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重庆永荣青鹏水泥有限公司</w:t>
      </w:r>
    </w:p>
    <w:p>
      <w:pPr>
        <w:jc w:val="center"/>
        <w:rPr>
          <w:rFonts w:hint="eastAsia" w:asciiTheme="minorEastAsia" w:hAnsiTheme="minorEastAsia" w:eastAsiaTheme="minorEastAsia" w:cstheme="minorEastAsia"/>
          <w:b/>
          <w:bCs/>
          <w:sz w:val="36"/>
          <w:szCs w:val="36"/>
          <w:lang w:val="en-US" w:eastAsia="zh-CN"/>
        </w:rPr>
      </w:pPr>
      <w:r>
        <w:rPr>
          <w:rFonts w:hint="eastAsia" w:asciiTheme="minorEastAsia" w:hAnsiTheme="minorEastAsia" w:eastAsiaTheme="minorEastAsia" w:cstheme="minorEastAsia"/>
          <w:b/>
          <w:bCs/>
          <w:sz w:val="36"/>
          <w:szCs w:val="36"/>
          <w:lang w:val="en-US" w:eastAsia="zh-CN"/>
        </w:rPr>
        <w:t>环境信息公示材料</w:t>
      </w:r>
    </w:p>
    <w:p>
      <w:pPr>
        <w:numPr>
          <w:ilvl w:val="0"/>
          <w:numId w:val="3"/>
        </w:numPr>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基本信息</w:t>
      </w:r>
    </w:p>
    <w:p>
      <w:pPr>
        <w:numPr>
          <w:ilvl w:val="0"/>
          <w:numId w:val="0"/>
        </w:numPr>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 xml:space="preserve">   </w:t>
      </w:r>
      <w:r>
        <w:rPr>
          <w:rFonts w:hint="eastAsia" w:asciiTheme="minorEastAsia" w:hAnsiTheme="minorEastAsia" w:eastAsiaTheme="minorEastAsia" w:cstheme="minorEastAsia"/>
          <w:sz w:val="30"/>
          <w:szCs w:val="30"/>
        </w:rPr>
        <w:t>重庆永荣青鹏水泥有限公司，成立于1956年6月，</w:t>
      </w:r>
      <w:r>
        <w:rPr>
          <w:rFonts w:hint="eastAsia" w:asciiTheme="minorEastAsia" w:hAnsiTheme="minorEastAsia" w:eastAsiaTheme="minorEastAsia" w:cstheme="minorEastAsia"/>
          <w:sz w:val="30"/>
          <w:szCs w:val="30"/>
          <w:lang w:val="en-US" w:eastAsia="zh-CN"/>
        </w:rPr>
        <w:t>隶属于重庆能源投资集团旗下南桐矿业有限公司，</w:t>
      </w:r>
      <w:r>
        <w:rPr>
          <w:rFonts w:hint="eastAsia" w:asciiTheme="minorEastAsia" w:hAnsiTheme="minorEastAsia" w:eastAsiaTheme="minorEastAsia" w:cstheme="minorEastAsia"/>
          <w:sz w:val="30"/>
          <w:szCs w:val="30"/>
        </w:rPr>
        <w:t>位于</w:t>
      </w:r>
      <w:r>
        <w:rPr>
          <w:rFonts w:hint="eastAsia" w:asciiTheme="minorEastAsia" w:hAnsiTheme="minorEastAsia" w:eastAsiaTheme="minorEastAsia" w:cstheme="minorEastAsia"/>
          <w:sz w:val="30"/>
          <w:szCs w:val="30"/>
          <w:lang w:val="en-US" w:eastAsia="zh-CN"/>
        </w:rPr>
        <w:t>重庆市</w:t>
      </w:r>
      <w:r>
        <w:rPr>
          <w:rFonts w:hint="eastAsia" w:asciiTheme="minorEastAsia" w:hAnsiTheme="minorEastAsia" w:eastAsiaTheme="minorEastAsia" w:cstheme="minorEastAsia"/>
          <w:sz w:val="30"/>
          <w:szCs w:val="30"/>
        </w:rPr>
        <w:t>沙坪坝区青木关镇关口</w:t>
      </w:r>
      <w:r>
        <w:rPr>
          <w:rFonts w:hint="eastAsia" w:asciiTheme="minorEastAsia" w:hAnsiTheme="minorEastAsia" w:eastAsiaTheme="minorEastAsia" w:cstheme="minorEastAsia"/>
          <w:sz w:val="30"/>
          <w:szCs w:val="30"/>
          <w:lang w:val="en-US" w:eastAsia="zh-CN"/>
        </w:rPr>
        <w:t>村</w:t>
      </w:r>
      <w:r>
        <w:rPr>
          <w:rFonts w:hint="eastAsia" w:asciiTheme="minorEastAsia" w:hAnsiTheme="minorEastAsia" w:eastAsiaTheme="minorEastAsia" w:cstheme="minorEastAsia"/>
          <w:sz w:val="30"/>
          <w:szCs w:val="30"/>
        </w:rPr>
        <w:t>20号</w:t>
      </w:r>
      <w:r>
        <w:rPr>
          <w:rFonts w:hint="eastAsia" w:asciiTheme="minorEastAsia" w:hAnsiTheme="minorEastAsia" w:eastAsiaTheme="minorEastAsia" w:cstheme="minorEastAsia"/>
          <w:sz w:val="30"/>
          <w:szCs w:val="30"/>
          <w:lang w:eastAsia="zh-CN"/>
        </w:rPr>
        <w:t>，</w:t>
      </w:r>
      <w:r>
        <w:rPr>
          <w:rFonts w:hint="eastAsia" w:asciiTheme="minorEastAsia" w:hAnsiTheme="minorEastAsia" w:eastAsiaTheme="minorEastAsia" w:cstheme="minorEastAsia"/>
          <w:sz w:val="30"/>
          <w:szCs w:val="30"/>
          <w:lang w:val="en-US" w:eastAsia="zh-CN"/>
        </w:rPr>
        <w:t>组织机构代码（三证合一）91500106203401664G，公司法人代表张安俊，联系号码65600379，公司主要产品水泥、熟料，生产线设计产能熟料日产3000吨每天、水泥年产量120万吨，企业规模中型企业。</w:t>
      </w:r>
    </w:p>
    <w:p>
      <w:pPr>
        <w:numPr>
          <w:ilvl w:val="0"/>
          <w:numId w:val="3"/>
        </w:numPr>
        <w:ind w:left="0" w:leftChars="0" w:firstLine="0" w:firstLineChars="0"/>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排污信息</w:t>
      </w:r>
    </w:p>
    <w:p>
      <w:pPr>
        <w:numPr>
          <w:ilvl w:val="0"/>
          <w:numId w:val="0"/>
        </w:numPr>
        <w:ind w:leftChars="0"/>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 xml:space="preserve">   生产线生产过程中主要产生的是大气污染物，主要排污因子有颗粒物、二氧化硫、氮氧化合物，排放方式连续排放，大气有组织排放排气口原有61个，其中因工艺改变熟料落料口处及配料石灰石破碎处已取消拆除，故现有排口59个，二氧化硫、氮氧化合物只有窑尾排放，其它排口均只有颗粒物排放。排口分布图见后附图。</w:t>
      </w:r>
    </w:p>
    <w:p>
      <w:pPr>
        <w:numPr>
          <w:ilvl w:val="0"/>
          <w:numId w:val="0"/>
        </w:numPr>
        <w:ind w:leftChars="0"/>
        <w:rPr>
          <w:rFonts w:hint="eastAsia" w:asciiTheme="minorEastAsia" w:hAnsiTheme="minorEastAsia" w:eastAsiaTheme="minorEastAsia" w:cstheme="minorEastAsia"/>
          <w:sz w:val="21"/>
          <w:szCs w:val="21"/>
          <w:lang w:val="en-US" w:eastAsia="zh-CN"/>
        </w:rPr>
      </w:pPr>
    </w:p>
    <w:tbl>
      <w:tblPr>
        <w:tblStyle w:val="22"/>
        <w:tblpPr w:leftFromText="180" w:rightFromText="180" w:vertAnchor="text" w:horzAnchor="page" w:tblpX="2640" w:tblpY="209"/>
        <w:tblOverlap w:val="never"/>
        <w:tblW w:w="59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181"/>
        <w:gridCol w:w="1181"/>
        <w:gridCol w:w="1181"/>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项目</w:t>
            </w:r>
          </w:p>
        </w:tc>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排放浓度（mg/m³）</w:t>
            </w:r>
          </w:p>
        </w:tc>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排放总量（吨）</w:t>
            </w:r>
          </w:p>
        </w:tc>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核定排放量（吨）</w:t>
            </w:r>
          </w:p>
        </w:tc>
        <w:tc>
          <w:tcPr>
            <w:tcW w:w="1180"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排放限值（mg/m³）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SO2</w:t>
            </w:r>
          </w:p>
        </w:tc>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6-20</w:t>
            </w:r>
          </w:p>
        </w:tc>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121.45</w:t>
            </w:r>
          </w:p>
        </w:tc>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216.4</w:t>
            </w:r>
          </w:p>
        </w:tc>
        <w:tc>
          <w:tcPr>
            <w:tcW w:w="1180"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NOX</w:t>
            </w:r>
          </w:p>
        </w:tc>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195</w:t>
            </w:r>
          </w:p>
        </w:tc>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524.65</w:t>
            </w:r>
          </w:p>
        </w:tc>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562.5</w:t>
            </w:r>
          </w:p>
        </w:tc>
        <w:tc>
          <w:tcPr>
            <w:tcW w:w="1180"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颗粒物</w:t>
            </w:r>
          </w:p>
        </w:tc>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10.7</w:t>
            </w:r>
          </w:p>
        </w:tc>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71.23</w:t>
            </w:r>
          </w:p>
        </w:tc>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无</w:t>
            </w:r>
          </w:p>
        </w:tc>
        <w:tc>
          <w:tcPr>
            <w:tcW w:w="1180"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执行的排放标准</w:t>
            </w:r>
          </w:p>
        </w:tc>
        <w:tc>
          <w:tcPr>
            <w:tcW w:w="4723" w:type="dxa"/>
            <w:gridSpan w:val="4"/>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重庆市大气污染物综合排放标准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超标情况</w:t>
            </w:r>
          </w:p>
        </w:tc>
        <w:tc>
          <w:tcPr>
            <w:tcW w:w="4723" w:type="dxa"/>
            <w:gridSpan w:val="4"/>
            <w:vAlign w:val="top"/>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无超标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904" w:type="dxa"/>
            <w:gridSpan w:val="5"/>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注：数据均是按照2018年运行而得</w:t>
            </w:r>
          </w:p>
        </w:tc>
      </w:tr>
    </w:tbl>
    <w:p>
      <w:pPr>
        <w:numPr>
          <w:ilvl w:val="0"/>
          <w:numId w:val="0"/>
        </w:numPr>
        <w:ind w:leftChars="0"/>
        <w:rPr>
          <w:rFonts w:hint="eastAsia" w:asciiTheme="minorEastAsia" w:hAnsiTheme="minorEastAsia" w:eastAsiaTheme="minorEastAsia" w:cstheme="minorEastAsia"/>
          <w:sz w:val="21"/>
          <w:szCs w:val="21"/>
          <w:lang w:val="en-US" w:eastAsia="zh-CN"/>
        </w:rPr>
      </w:pPr>
    </w:p>
    <w:p>
      <w:pPr>
        <w:numPr>
          <w:ilvl w:val="0"/>
          <w:numId w:val="0"/>
        </w:numPr>
        <w:ind w:leftChars="0"/>
        <w:rPr>
          <w:rFonts w:hint="eastAsia" w:asciiTheme="minorEastAsia" w:hAnsiTheme="minorEastAsia" w:eastAsiaTheme="minorEastAsia" w:cstheme="minorEastAsia"/>
          <w:sz w:val="21"/>
          <w:szCs w:val="21"/>
          <w:lang w:val="en-US" w:eastAsia="zh-CN"/>
        </w:rPr>
      </w:pPr>
    </w:p>
    <w:p>
      <w:pPr>
        <w:numPr>
          <w:ilvl w:val="0"/>
          <w:numId w:val="0"/>
        </w:numPr>
        <w:ind w:leftChars="0"/>
        <w:rPr>
          <w:rFonts w:hint="eastAsia" w:asciiTheme="minorEastAsia" w:hAnsiTheme="minorEastAsia" w:eastAsiaTheme="minorEastAsia" w:cstheme="minorEastAsia"/>
          <w:sz w:val="21"/>
          <w:szCs w:val="21"/>
          <w:lang w:val="en-US" w:eastAsia="zh-CN"/>
        </w:rPr>
      </w:pPr>
    </w:p>
    <w:p>
      <w:pPr>
        <w:numPr>
          <w:ilvl w:val="0"/>
          <w:numId w:val="0"/>
        </w:numPr>
        <w:ind w:leftChars="0"/>
        <w:rPr>
          <w:rFonts w:hint="eastAsia" w:asciiTheme="minorEastAsia" w:hAnsiTheme="minorEastAsia" w:eastAsiaTheme="minorEastAsia" w:cstheme="minorEastAsia"/>
          <w:sz w:val="21"/>
          <w:szCs w:val="21"/>
          <w:lang w:val="en-US" w:eastAsia="zh-CN"/>
        </w:rPr>
      </w:pPr>
    </w:p>
    <w:p>
      <w:pPr>
        <w:numPr>
          <w:ilvl w:val="0"/>
          <w:numId w:val="0"/>
        </w:numPr>
        <w:ind w:leftChars="0"/>
        <w:rPr>
          <w:rFonts w:hint="eastAsia" w:asciiTheme="minorEastAsia" w:hAnsiTheme="minorEastAsia" w:eastAsiaTheme="minorEastAsia" w:cstheme="minorEastAsia"/>
          <w:sz w:val="21"/>
          <w:szCs w:val="21"/>
          <w:lang w:val="en-US" w:eastAsia="zh-CN"/>
        </w:rPr>
      </w:pPr>
    </w:p>
    <w:p>
      <w:pPr>
        <w:numPr>
          <w:ilvl w:val="0"/>
          <w:numId w:val="0"/>
        </w:numPr>
        <w:ind w:leftChars="0"/>
        <w:rPr>
          <w:rFonts w:hint="eastAsia" w:asciiTheme="minorEastAsia" w:hAnsiTheme="minorEastAsia" w:eastAsiaTheme="minorEastAsia" w:cstheme="minorEastAsia"/>
          <w:sz w:val="21"/>
          <w:szCs w:val="21"/>
          <w:lang w:val="en-US" w:eastAsia="zh-CN"/>
        </w:rPr>
      </w:pPr>
    </w:p>
    <w:p>
      <w:pPr>
        <w:numPr>
          <w:ilvl w:val="0"/>
          <w:numId w:val="0"/>
        </w:numPr>
        <w:ind w:leftChars="0"/>
        <w:rPr>
          <w:rFonts w:hint="eastAsia" w:asciiTheme="minorEastAsia" w:hAnsiTheme="minorEastAsia" w:eastAsiaTheme="minorEastAsia" w:cstheme="minorEastAsia"/>
          <w:sz w:val="21"/>
          <w:szCs w:val="21"/>
          <w:lang w:val="en-US" w:eastAsia="zh-CN"/>
        </w:rPr>
      </w:pPr>
    </w:p>
    <w:p>
      <w:pPr>
        <w:numPr>
          <w:ilvl w:val="0"/>
          <w:numId w:val="0"/>
        </w:numPr>
        <w:ind w:leftChars="0"/>
        <w:rPr>
          <w:rFonts w:hint="eastAsia" w:asciiTheme="minorEastAsia" w:hAnsiTheme="minorEastAsia" w:eastAsiaTheme="minorEastAsia" w:cstheme="minorEastAsia"/>
          <w:sz w:val="21"/>
          <w:szCs w:val="21"/>
          <w:lang w:val="en-US" w:eastAsia="zh-CN"/>
        </w:rPr>
      </w:pPr>
    </w:p>
    <w:p>
      <w:pPr>
        <w:numPr>
          <w:ilvl w:val="0"/>
          <w:numId w:val="0"/>
        </w:numPr>
        <w:ind w:leftChars="0"/>
        <w:rPr>
          <w:rFonts w:hint="eastAsia" w:asciiTheme="minorEastAsia" w:hAnsiTheme="minorEastAsia" w:eastAsiaTheme="minorEastAsia" w:cstheme="minorEastAsia"/>
          <w:sz w:val="21"/>
          <w:szCs w:val="21"/>
          <w:lang w:val="en-US" w:eastAsia="zh-CN"/>
        </w:rPr>
      </w:pPr>
    </w:p>
    <w:p>
      <w:pPr>
        <w:jc w:val="center"/>
        <w:rPr>
          <w:rFonts w:hint="eastAsia" w:asciiTheme="minorEastAsia" w:hAnsiTheme="minorEastAsia" w:eastAsiaTheme="minorEastAsia" w:cstheme="minorEastAsia"/>
          <w:b/>
          <w:color w:val="000000"/>
          <w:sz w:val="28"/>
          <w:szCs w:val="28"/>
          <w:lang w:val="en-US" w:eastAsia="zh-CN"/>
        </w:rPr>
      </w:pPr>
    </w:p>
    <w:p>
      <w:pPr>
        <w:jc w:val="center"/>
        <w:rPr>
          <w:rFonts w:hint="eastAsia" w:eastAsia="仿宋_GB2312"/>
          <w:b/>
          <w:color w:val="000000"/>
          <w:sz w:val="28"/>
          <w:szCs w:val="28"/>
          <w:lang w:val="en-US" w:eastAsia="zh-CN"/>
        </w:rPr>
      </w:pPr>
    </w:p>
    <w:p>
      <w:pPr>
        <w:jc w:val="center"/>
        <w:rPr>
          <w:rFonts w:hint="eastAsia" w:eastAsia="仿宋_GB2312"/>
          <w:b/>
          <w:color w:val="000000"/>
          <w:sz w:val="28"/>
          <w:szCs w:val="28"/>
          <w:lang w:val="en-US" w:eastAsia="zh-CN"/>
        </w:rPr>
      </w:pPr>
    </w:p>
    <w:p>
      <w:pPr>
        <w:jc w:val="center"/>
        <w:rPr>
          <w:rFonts w:hint="eastAsia" w:eastAsia="仿宋_GB2312"/>
          <w:b/>
          <w:color w:val="000000"/>
          <w:sz w:val="28"/>
          <w:szCs w:val="28"/>
          <w:lang w:val="en-US" w:eastAsia="zh-CN"/>
        </w:rPr>
      </w:pPr>
    </w:p>
    <w:p>
      <w:pPr>
        <w:jc w:val="center"/>
        <w:rPr>
          <w:rFonts w:hint="eastAsia" w:eastAsia="仿宋_GB2312"/>
          <w:b/>
          <w:color w:val="000000"/>
          <w:sz w:val="28"/>
          <w:szCs w:val="28"/>
          <w:lang w:val="en-US" w:eastAsia="zh-CN"/>
        </w:rPr>
      </w:pPr>
    </w:p>
    <w:p>
      <w:pPr>
        <w:jc w:val="center"/>
        <w:rPr>
          <w:rFonts w:hint="eastAsia" w:eastAsia="仿宋_GB2312"/>
          <w:b/>
          <w:color w:val="000000"/>
          <w:sz w:val="28"/>
          <w:szCs w:val="28"/>
          <w:lang w:val="en-US" w:eastAsia="zh-CN"/>
        </w:rPr>
      </w:pPr>
    </w:p>
    <w:p>
      <w:pPr>
        <w:jc w:val="center"/>
        <w:rPr>
          <w:rFonts w:hint="eastAsia" w:eastAsia="仿宋_GB2312"/>
          <w:b/>
          <w:color w:val="000000"/>
          <w:sz w:val="28"/>
          <w:szCs w:val="28"/>
          <w:lang w:val="en-US" w:eastAsia="zh-CN"/>
        </w:rPr>
      </w:pPr>
    </w:p>
    <w:p>
      <w:pPr>
        <w:jc w:val="center"/>
        <w:rPr>
          <w:rFonts w:hint="eastAsia" w:eastAsia="仿宋_GB2312"/>
          <w:b/>
          <w:color w:val="000000"/>
          <w:sz w:val="28"/>
          <w:szCs w:val="28"/>
          <w:lang w:val="en-US" w:eastAsia="zh-CN"/>
        </w:rPr>
      </w:pPr>
    </w:p>
    <w:p>
      <w:pPr>
        <w:jc w:val="center"/>
        <w:rPr>
          <w:rFonts w:hint="eastAsia" w:eastAsia="仿宋_GB2312"/>
          <w:b/>
          <w:color w:val="000000"/>
          <w:sz w:val="28"/>
          <w:szCs w:val="28"/>
          <w:lang w:val="en-US" w:eastAsia="zh-CN"/>
        </w:rPr>
      </w:pPr>
    </w:p>
    <w:p>
      <w:pPr>
        <w:jc w:val="left"/>
        <w:rPr>
          <w:rFonts w:hint="default" w:eastAsia="仿宋_GB2312"/>
          <w:b/>
          <w:color w:val="000000"/>
          <w:sz w:val="28"/>
          <w:szCs w:val="28"/>
          <w:lang w:val="en-US" w:eastAsia="zh-CN"/>
        </w:rPr>
      </w:pPr>
      <w:r>
        <w:rPr>
          <w:rFonts w:hint="eastAsia" w:eastAsia="仿宋_GB2312"/>
          <w:b/>
          <w:color w:val="000000"/>
          <w:sz w:val="28"/>
          <w:szCs w:val="28"/>
          <w:lang w:val="en-US" w:eastAsia="zh-CN"/>
        </w:rPr>
        <w:t>排口分布图</w:t>
      </w:r>
    </w:p>
    <w:p>
      <w:pPr>
        <w:jc w:val="center"/>
        <w:rPr>
          <w:rFonts w:hint="eastAsia" w:eastAsia="仿宋_GB2312"/>
          <w:b/>
          <w:color w:val="000000"/>
          <w:sz w:val="28"/>
          <w:szCs w:val="28"/>
          <w:lang w:val="en-US" w:eastAsia="zh-CN"/>
        </w:rPr>
      </w:pPr>
      <w:r>
        <w:object>
          <v:shape id="_x0000_i1025" o:spt="75" type="#_x0000_t75" style="height:193.3pt;width:482.65pt;" o:ole="t" filled="f" o:preferrelative="t" stroked="f" coordsize="21600,21600">
            <v:path/>
            <v:fill on="f" focussize="0,0"/>
            <v:stroke on="f"/>
            <v:imagedata r:id="rId29" o:title=""/>
            <o:lock v:ext="edit" aspectratio="t"/>
            <w10:wrap type="none"/>
            <w10:anchorlock/>
          </v:shape>
          <o:OLEObject Type="Embed" ProgID="Visio.Drawing.11" ShapeID="_x0000_i1025" DrawAspect="Content" ObjectID="_1468075725" r:id="rId28">
            <o:LockedField>false</o:LockedField>
          </o:OLEObject>
        </w:object>
      </w:r>
    </w:p>
    <w:p>
      <w:pPr>
        <w:jc w:val="center"/>
        <w:rPr>
          <w:rFonts w:hint="eastAsia" w:eastAsia="仿宋_GB2312"/>
          <w:b/>
          <w:color w:val="000000"/>
          <w:sz w:val="28"/>
          <w:szCs w:val="28"/>
          <w:lang w:val="en-US" w:eastAsia="zh-CN"/>
        </w:rPr>
      </w:pPr>
    </w:p>
    <w:p>
      <w:pPr>
        <w:jc w:val="both"/>
        <w:rPr>
          <w:rFonts w:hint="eastAsia" w:eastAsia="仿宋_GB2312"/>
          <w:b/>
          <w:color w:val="000000"/>
          <w:sz w:val="28"/>
          <w:szCs w:val="28"/>
          <w:lang w:val="en-US" w:eastAsia="zh-CN"/>
        </w:rPr>
      </w:pPr>
    </w:p>
    <w:p>
      <w:pPr>
        <w:jc w:val="left"/>
        <w:rPr>
          <w:rFonts w:hint="default" w:eastAsia="仿宋_GB2312"/>
          <w:b/>
          <w:color w:val="000000"/>
          <w:sz w:val="28"/>
          <w:szCs w:val="28"/>
          <w:lang w:val="en-US" w:eastAsia="zh-CN"/>
        </w:rPr>
      </w:pPr>
      <w:r>
        <w:rPr>
          <w:rFonts w:hint="eastAsia" w:eastAsia="仿宋_GB2312"/>
          <w:b/>
          <w:color w:val="000000"/>
          <w:sz w:val="28"/>
          <w:szCs w:val="28"/>
          <w:lang w:val="en-US" w:eastAsia="zh-CN"/>
        </w:rPr>
        <w:t>三、污染治理设施</w:t>
      </w:r>
    </w:p>
    <w:p>
      <w:pPr>
        <w:jc w:val="center"/>
        <w:rPr>
          <w:rFonts w:hint="eastAsia" w:ascii="仿宋_GB2312" w:eastAsia="仿宋_GB2312"/>
          <w:b/>
          <w:color w:val="000000"/>
          <w:sz w:val="28"/>
          <w:szCs w:val="28"/>
        </w:rPr>
      </w:pPr>
      <w:r>
        <w:rPr>
          <w:rFonts w:hint="eastAsia" w:eastAsia="仿宋_GB2312"/>
          <w:b/>
          <w:color w:val="000000"/>
          <w:sz w:val="28"/>
          <w:szCs w:val="28"/>
          <w:lang w:val="en-US" w:eastAsia="zh-CN"/>
        </w:rPr>
        <w:t>污染</w:t>
      </w:r>
      <w:r>
        <w:rPr>
          <w:rFonts w:hint="eastAsia" w:eastAsia="仿宋_GB2312"/>
          <w:b/>
          <w:color w:val="000000"/>
          <w:sz w:val="28"/>
          <w:szCs w:val="28"/>
        </w:rPr>
        <w:t>治理设施一览表</w:t>
      </w:r>
    </w:p>
    <w:tbl>
      <w:tblPr>
        <w:tblStyle w:val="21"/>
        <w:tblW w:w="96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1890"/>
        <w:gridCol w:w="1335"/>
        <w:gridCol w:w="1677"/>
        <w:gridCol w:w="1698"/>
        <w:gridCol w:w="1420"/>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98" w:type="dxa"/>
            <w:vAlign w:val="center"/>
          </w:tcPr>
          <w:p>
            <w:pPr>
              <w:spacing w:line="460" w:lineRule="exact"/>
              <w:jc w:val="center"/>
              <w:rPr>
                <w:rFonts w:eastAsia="仿宋_GB2312"/>
                <w:color w:val="000000"/>
                <w:sz w:val="24"/>
              </w:rPr>
            </w:pPr>
            <w:r>
              <w:rPr>
                <w:rFonts w:eastAsia="仿宋_GB2312"/>
                <w:color w:val="000000"/>
                <w:sz w:val="24"/>
              </w:rPr>
              <w:t>编号</w:t>
            </w:r>
          </w:p>
        </w:tc>
        <w:tc>
          <w:tcPr>
            <w:tcW w:w="1890" w:type="dxa"/>
            <w:vAlign w:val="center"/>
          </w:tcPr>
          <w:p>
            <w:pPr>
              <w:spacing w:line="460" w:lineRule="exact"/>
              <w:jc w:val="center"/>
              <w:rPr>
                <w:rFonts w:eastAsia="仿宋_GB2312"/>
                <w:color w:val="000000"/>
                <w:sz w:val="24"/>
              </w:rPr>
            </w:pPr>
            <w:r>
              <w:rPr>
                <w:rFonts w:eastAsia="仿宋_GB2312"/>
                <w:color w:val="000000"/>
                <w:sz w:val="24"/>
              </w:rPr>
              <w:t>位置</w:t>
            </w:r>
          </w:p>
        </w:tc>
        <w:tc>
          <w:tcPr>
            <w:tcW w:w="1335" w:type="dxa"/>
            <w:vAlign w:val="center"/>
          </w:tcPr>
          <w:p>
            <w:pPr>
              <w:spacing w:line="460" w:lineRule="exact"/>
              <w:jc w:val="center"/>
              <w:rPr>
                <w:rFonts w:eastAsia="仿宋_GB2312"/>
                <w:color w:val="000000"/>
                <w:sz w:val="24"/>
              </w:rPr>
            </w:pPr>
            <w:r>
              <w:rPr>
                <w:rFonts w:eastAsia="仿宋_GB2312"/>
                <w:color w:val="000000"/>
                <w:sz w:val="24"/>
              </w:rPr>
              <w:t>主要</w:t>
            </w:r>
          </w:p>
          <w:p>
            <w:pPr>
              <w:spacing w:line="460" w:lineRule="exact"/>
              <w:jc w:val="center"/>
              <w:rPr>
                <w:rFonts w:eastAsia="仿宋_GB2312"/>
                <w:color w:val="000000"/>
                <w:sz w:val="24"/>
              </w:rPr>
            </w:pPr>
            <w:r>
              <w:rPr>
                <w:rFonts w:eastAsia="仿宋_GB2312"/>
                <w:color w:val="000000"/>
                <w:sz w:val="24"/>
              </w:rPr>
              <w:t>污染物</w:t>
            </w:r>
          </w:p>
        </w:tc>
        <w:tc>
          <w:tcPr>
            <w:tcW w:w="1677" w:type="dxa"/>
            <w:vAlign w:val="center"/>
          </w:tcPr>
          <w:p>
            <w:pPr>
              <w:spacing w:line="460" w:lineRule="exact"/>
              <w:jc w:val="center"/>
              <w:rPr>
                <w:rFonts w:eastAsia="仿宋_GB2312"/>
                <w:color w:val="000000"/>
                <w:sz w:val="24"/>
              </w:rPr>
            </w:pPr>
            <w:r>
              <w:rPr>
                <w:rFonts w:eastAsia="仿宋_GB2312"/>
                <w:color w:val="000000"/>
                <w:sz w:val="24"/>
              </w:rPr>
              <w:t>治理措施</w:t>
            </w:r>
          </w:p>
        </w:tc>
        <w:tc>
          <w:tcPr>
            <w:tcW w:w="1698" w:type="dxa"/>
            <w:vAlign w:val="center"/>
          </w:tcPr>
          <w:p>
            <w:pPr>
              <w:spacing w:line="460" w:lineRule="exact"/>
              <w:jc w:val="center"/>
              <w:rPr>
                <w:rFonts w:eastAsia="仿宋_GB2312"/>
                <w:color w:val="000000"/>
                <w:sz w:val="24"/>
              </w:rPr>
            </w:pPr>
            <w:r>
              <w:rPr>
                <w:rFonts w:eastAsia="仿宋_GB2312"/>
                <w:color w:val="000000"/>
                <w:sz w:val="24"/>
              </w:rPr>
              <w:t>型号</w:t>
            </w:r>
          </w:p>
        </w:tc>
        <w:tc>
          <w:tcPr>
            <w:tcW w:w="1420" w:type="dxa"/>
            <w:vAlign w:val="center"/>
          </w:tcPr>
          <w:p>
            <w:pPr>
              <w:spacing w:line="460" w:lineRule="exact"/>
              <w:jc w:val="center"/>
              <w:rPr>
                <w:rFonts w:eastAsia="仿宋_GB2312"/>
                <w:color w:val="000000"/>
                <w:sz w:val="24"/>
              </w:rPr>
            </w:pPr>
            <w:r>
              <w:rPr>
                <w:rFonts w:eastAsia="仿宋_GB2312"/>
                <w:color w:val="000000"/>
                <w:sz w:val="24"/>
              </w:rPr>
              <w:t>风量(m</w:t>
            </w:r>
            <w:r>
              <w:rPr>
                <w:rFonts w:eastAsia="仿宋_GB2312"/>
                <w:color w:val="000000"/>
                <w:sz w:val="24"/>
                <w:vertAlign w:val="superscript"/>
              </w:rPr>
              <w:t>3</w:t>
            </w:r>
            <w:r>
              <w:rPr>
                <w:rFonts w:eastAsia="仿宋_GB2312"/>
                <w:color w:val="000000"/>
                <w:sz w:val="24"/>
              </w:rPr>
              <w:t>/h)</w:t>
            </w:r>
          </w:p>
        </w:tc>
        <w:tc>
          <w:tcPr>
            <w:tcW w:w="992" w:type="dxa"/>
            <w:vAlign w:val="center"/>
          </w:tcPr>
          <w:p>
            <w:pPr>
              <w:spacing w:line="460" w:lineRule="exact"/>
              <w:jc w:val="center"/>
              <w:rPr>
                <w:rFonts w:eastAsia="仿宋_GB2312"/>
                <w:color w:val="000000"/>
                <w:sz w:val="24"/>
              </w:rPr>
            </w:pPr>
            <w:r>
              <w:rPr>
                <w:rFonts w:eastAsia="仿宋_GB2312"/>
                <w:color w:val="000000"/>
                <w:sz w:val="24"/>
              </w:rPr>
              <w:t>排气高度（m）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eastAsia="仿宋_GB2312"/>
                <w:color w:val="000000"/>
                <w:sz w:val="24"/>
              </w:rPr>
            </w:pPr>
            <w:r>
              <w:rPr>
                <w:rFonts w:eastAsia="仿宋_GB2312"/>
                <w:color w:val="000000"/>
                <w:sz w:val="24"/>
              </w:rPr>
              <w:t>1</w:t>
            </w:r>
            <w:r>
              <w:rPr>
                <w:rFonts w:hint="eastAsia" w:eastAsia="仿宋_GB2312"/>
                <w:color w:val="000000"/>
                <w:sz w:val="24"/>
              </w:rPr>
              <w:t>#</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辅助</w:t>
            </w:r>
            <w:r>
              <w:rPr>
                <w:rFonts w:ascii="楷体" w:hAnsi="楷体" w:eastAsia="楷体"/>
                <w:color w:val="000000"/>
                <w:kern w:val="0"/>
                <w:szCs w:val="21"/>
              </w:rPr>
              <w:t>喂料、破碎</w:t>
            </w:r>
            <w:r>
              <w:rPr>
                <w:rFonts w:ascii="楷体" w:hAnsi="楷体" w:eastAsia="楷体"/>
                <w:color w:val="000000"/>
                <w:spacing w:val="-13"/>
                <w:kern w:val="0"/>
                <w:szCs w:val="21"/>
              </w:rPr>
              <w:t xml:space="preserve"> </w:t>
            </w:r>
          </w:p>
        </w:tc>
        <w:tc>
          <w:tcPr>
            <w:tcW w:w="1335" w:type="dxa"/>
            <w:vAlign w:val="center"/>
          </w:tcPr>
          <w:p>
            <w:pPr>
              <w:autoSpaceDE w:val="0"/>
              <w:autoSpaceDN w:val="0"/>
              <w:adjustRightInd w:val="0"/>
              <w:ind w:left="-6" w:leftChars="-3" w:right="-20" w:firstLine="14" w:firstLineChars="7"/>
              <w:jc w:val="center"/>
              <w:rPr>
                <w:rFonts w:eastAsia="仿宋_GB2312"/>
                <w:color w:val="000000"/>
                <w:sz w:val="24"/>
              </w:rPr>
            </w:pPr>
            <w:r>
              <w:rPr>
                <w:rFonts w:ascii="楷体" w:hAnsi="楷体" w:eastAsia="楷体"/>
                <w:color w:val="000000"/>
                <w:kern w:val="0"/>
                <w:szCs w:val="21"/>
              </w:rPr>
              <w:t>粉尘</w:t>
            </w:r>
          </w:p>
        </w:tc>
        <w:tc>
          <w:tcPr>
            <w:tcW w:w="1677" w:type="dxa"/>
            <w:vAlign w:val="center"/>
          </w:tcPr>
          <w:p>
            <w:pPr>
              <w:spacing w:line="460" w:lineRule="exact"/>
              <w:jc w:val="center"/>
              <w:rPr>
                <w:rFonts w:hint="eastAsia"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FGM64-4</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13000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eastAsia="仿宋_GB2312"/>
                <w:color w:val="000000"/>
                <w:sz w:val="24"/>
              </w:rPr>
            </w:pPr>
            <w:r>
              <w:rPr>
                <w:rFonts w:eastAsia="仿宋_GB2312"/>
                <w:color w:val="000000"/>
                <w:sz w:val="24"/>
              </w:rPr>
              <w:t>2</w:t>
            </w:r>
            <w:r>
              <w:rPr>
                <w:rFonts w:hint="eastAsia" w:eastAsia="仿宋_GB2312"/>
                <w:color w:val="000000"/>
                <w:sz w:val="24"/>
              </w:rPr>
              <w:t>#</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主</w:t>
            </w:r>
            <w:r>
              <w:rPr>
                <w:rFonts w:ascii="楷体" w:hAnsi="楷体" w:eastAsia="楷体"/>
                <w:color w:val="000000"/>
                <w:kern w:val="0"/>
                <w:szCs w:val="21"/>
              </w:rPr>
              <w:t>喂料、破碎</w:t>
            </w:r>
            <w:r>
              <w:rPr>
                <w:rFonts w:ascii="楷体" w:hAnsi="楷体" w:eastAsia="楷体"/>
                <w:color w:val="000000"/>
                <w:spacing w:val="-13"/>
                <w:kern w:val="0"/>
                <w:szCs w:val="21"/>
              </w:rPr>
              <w:t xml:space="preserve"> </w:t>
            </w:r>
          </w:p>
        </w:tc>
        <w:tc>
          <w:tcPr>
            <w:tcW w:w="1335" w:type="dxa"/>
            <w:vAlign w:val="center"/>
          </w:tcPr>
          <w:p>
            <w:pPr>
              <w:autoSpaceDE w:val="0"/>
              <w:autoSpaceDN w:val="0"/>
              <w:adjustRightInd w:val="0"/>
              <w:ind w:left="-6" w:leftChars="-3" w:right="-20" w:firstLine="14" w:firstLineChars="7"/>
              <w:jc w:val="center"/>
              <w:rPr>
                <w:rFonts w:eastAsia="仿宋_GB2312"/>
                <w:color w:val="000000"/>
                <w:sz w:val="24"/>
              </w:rPr>
            </w:pPr>
            <w:r>
              <w:rPr>
                <w:rFonts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PPW96-2×6</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70000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eastAsia="仿宋_GB2312"/>
                <w:color w:val="000000"/>
                <w:sz w:val="24"/>
              </w:rPr>
            </w:pPr>
            <w:r>
              <w:rPr>
                <w:rFonts w:hint="eastAsia" w:eastAsia="仿宋_GB2312"/>
                <w:color w:val="000000"/>
                <w:sz w:val="24"/>
              </w:rPr>
              <w:t>3#</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石灰石均化场皮带</w:t>
            </w:r>
          </w:p>
        </w:tc>
        <w:tc>
          <w:tcPr>
            <w:tcW w:w="1335" w:type="dxa"/>
            <w:vAlign w:val="center"/>
          </w:tcPr>
          <w:p>
            <w:pPr>
              <w:autoSpaceDE w:val="0"/>
              <w:autoSpaceDN w:val="0"/>
              <w:adjustRightInd w:val="0"/>
              <w:ind w:left="-6" w:leftChars="-3" w:right="-20" w:firstLine="14" w:firstLineChars="7"/>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DMC（A）-96</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7000</w:t>
            </w:r>
          </w:p>
        </w:tc>
        <w:tc>
          <w:tcPr>
            <w:tcW w:w="992" w:type="dxa"/>
            <w:vAlign w:val="center"/>
          </w:tcPr>
          <w:p>
            <w:pPr>
              <w:autoSpaceDE w:val="0"/>
              <w:autoSpaceDN w:val="0"/>
              <w:adjustRightInd w:val="0"/>
              <w:ind w:right="380"/>
              <w:jc w:val="center"/>
              <w:rPr>
                <w:rFonts w:eastAsia="仿宋_GB2312"/>
                <w:color w:val="000000"/>
                <w:sz w:val="24"/>
              </w:rPr>
            </w:pPr>
            <w:r>
              <w:rPr>
                <w:rFonts w:hint="eastAsia" w:ascii="楷体" w:hAnsi="楷体" w:eastAsia="楷体"/>
                <w:color w:val="000000"/>
                <w:kern w:val="0"/>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eastAsia="仿宋_GB2312"/>
                <w:color w:val="000000"/>
                <w:sz w:val="24"/>
              </w:rPr>
            </w:pPr>
            <w:r>
              <w:rPr>
                <w:rFonts w:eastAsia="仿宋_GB2312"/>
                <w:color w:val="000000"/>
                <w:sz w:val="24"/>
              </w:rPr>
              <w:t>4</w:t>
            </w:r>
            <w:r>
              <w:rPr>
                <w:rFonts w:hint="eastAsia" w:eastAsia="仿宋_GB2312"/>
                <w:color w:val="000000"/>
                <w:sz w:val="24"/>
              </w:rPr>
              <w:t>#</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石灰石库顶</w:t>
            </w:r>
          </w:p>
        </w:tc>
        <w:tc>
          <w:tcPr>
            <w:tcW w:w="1335" w:type="dxa"/>
            <w:vAlign w:val="center"/>
          </w:tcPr>
          <w:p>
            <w:pPr>
              <w:autoSpaceDE w:val="0"/>
              <w:autoSpaceDN w:val="0"/>
              <w:adjustRightInd w:val="0"/>
              <w:ind w:left="-6" w:leftChars="-3" w:right="-20" w:firstLine="14" w:firstLineChars="7"/>
              <w:jc w:val="center"/>
              <w:rPr>
                <w:rFonts w:eastAsia="仿宋_GB2312"/>
                <w:color w:val="000000"/>
                <w:sz w:val="24"/>
              </w:rPr>
            </w:pPr>
            <w:r>
              <w:rPr>
                <w:rFonts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HQM32-5</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10800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eastAsia="仿宋_GB2312"/>
                <w:color w:val="000000"/>
                <w:sz w:val="24"/>
              </w:rPr>
            </w:pPr>
            <w:r>
              <w:rPr>
                <w:rFonts w:hint="eastAsia" w:eastAsia="仿宋_GB2312"/>
                <w:color w:val="000000"/>
                <w:sz w:val="24"/>
              </w:rPr>
              <w:t>5#</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磷渣库顶</w:t>
            </w:r>
          </w:p>
        </w:tc>
        <w:tc>
          <w:tcPr>
            <w:tcW w:w="1335" w:type="dxa"/>
            <w:vAlign w:val="center"/>
          </w:tcPr>
          <w:p>
            <w:pPr>
              <w:autoSpaceDE w:val="0"/>
              <w:autoSpaceDN w:val="0"/>
              <w:adjustRightInd w:val="0"/>
              <w:ind w:left="-6" w:leftChars="-3" w:right="-20" w:firstLine="14" w:firstLineChars="7"/>
              <w:jc w:val="center"/>
              <w:rPr>
                <w:rFonts w:eastAsia="仿宋_GB2312"/>
                <w:color w:val="000000"/>
                <w:sz w:val="24"/>
              </w:rPr>
            </w:pPr>
            <w:r>
              <w:rPr>
                <w:rFonts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HQM32-4</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7200</w:t>
            </w:r>
          </w:p>
        </w:tc>
        <w:tc>
          <w:tcPr>
            <w:tcW w:w="992" w:type="dxa"/>
            <w:vAlign w:val="center"/>
          </w:tcPr>
          <w:p>
            <w:pPr>
              <w:autoSpaceDE w:val="0"/>
              <w:autoSpaceDN w:val="0"/>
              <w:adjustRightInd w:val="0"/>
              <w:ind w:right="380"/>
              <w:jc w:val="center"/>
              <w:rPr>
                <w:rFonts w:eastAsia="仿宋_GB2312"/>
                <w:color w:val="000000"/>
                <w:sz w:val="24"/>
              </w:rPr>
            </w:pPr>
            <w:r>
              <w:rPr>
                <w:rFonts w:hint="eastAsia" w:ascii="楷体" w:hAnsi="楷体" w:eastAsia="楷体"/>
                <w:color w:val="000000"/>
                <w:kern w:val="0"/>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6#</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煤矸石库顶</w:t>
            </w:r>
          </w:p>
        </w:tc>
        <w:tc>
          <w:tcPr>
            <w:tcW w:w="1335" w:type="dxa"/>
            <w:vAlign w:val="center"/>
          </w:tcPr>
          <w:p>
            <w:pPr>
              <w:autoSpaceDE w:val="0"/>
              <w:autoSpaceDN w:val="0"/>
              <w:adjustRightInd w:val="0"/>
              <w:ind w:left="-6" w:leftChars="-3" w:right="-20" w:firstLine="14" w:firstLineChars="7"/>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HQM32-4</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7200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7#</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冶炼废渣均化场皮带</w:t>
            </w:r>
          </w:p>
        </w:tc>
        <w:tc>
          <w:tcPr>
            <w:tcW w:w="1335" w:type="dxa"/>
            <w:vAlign w:val="center"/>
          </w:tcPr>
          <w:p>
            <w:pPr>
              <w:autoSpaceDE w:val="0"/>
              <w:autoSpaceDN w:val="0"/>
              <w:adjustRightInd w:val="0"/>
              <w:ind w:left="-6" w:leftChars="-3" w:right="-20" w:firstLine="14" w:firstLineChars="7"/>
              <w:jc w:val="center"/>
              <w:rPr>
                <w:rFonts w:eastAsia="仿宋_GB2312"/>
                <w:color w:val="000000"/>
                <w:sz w:val="24"/>
              </w:rPr>
            </w:pPr>
            <w:r>
              <w:rPr>
                <w:rFonts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PPC1-32</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2000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8#</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冶炼废渣均化场皮带</w:t>
            </w:r>
          </w:p>
        </w:tc>
        <w:tc>
          <w:tcPr>
            <w:tcW w:w="1335" w:type="dxa"/>
            <w:vAlign w:val="center"/>
          </w:tcPr>
          <w:p>
            <w:pPr>
              <w:autoSpaceDE w:val="0"/>
              <w:autoSpaceDN w:val="0"/>
              <w:adjustRightInd w:val="0"/>
              <w:ind w:left="-6" w:leftChars="-3" w:right="-20" w:firstLine="14" w:firstLineChars="7"/>
              <w:jc w:val="center"/>
              <w:rPr>
                <w:rFonts w:eastAsia="仿宋_GB2312"/>
                <w:color w:val="000000"/>
                <w:sz w:val="24"/>
              </w:rPr>
            </w:pPr>
            <w:r>
              <w:rPr>
                <w:rFonts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PPC1-32</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2000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9#</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立磨下料口收尘</w:t>
            </w:r>
          </w:p>
        </w:tc>
        <w:tc>
          <w:tcPr>
            <w:tcW w:w="1335" w:type="dxa"/>
            <w:vAlign w:val="center"/>
          </w:tcPr>
          <w:p>
            <w:pPr>
              <w:autoSpaceDE w:val="0"/>
              <w:autoSpaceDN w:val="0"/>
              <w:adjustRightInd w:val="0"/>
              <w:ind w:left="-6" w:leftChars="-3" w:right="-20" w:firstLine="14" w:firstLineChars="7"/>
              <w:jc w:val="center"/>
              <w:rPr>
                <w:rFonts w:eastAsia="仿宋_GB2312"/>
                <w:color w:val="000000"/>
                <w:sz w:val="24"/>
              </w:rPr>
            </w:pPr>
            <w:r>
              <w:rPr>
                <w:rFonts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HQM78-4</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21600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10#</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立磨空气斜槽收尘</w:t>
            </w:r>
          </w:p>
        </w:tc>
        <w:tc>
          <w:tcPr>
            <w:tcW w:w="1335" w:type="dxa"/>
            <w:vAlign w:val="center"/>
          </w:tcPr>
          <w:p>
            <w:pPr>
              <w:autoSpaceDE w:val="0"/>
              <w:autoSpaceDN w:val="0"/>
              <w:adjustRightInd w:val="0"/>
              <w:ind w:left="-6" w:leftChars="-3" w:right="-20" w:firstLine="14" w:firstLineChars="7"/>
              <w:jc w:val="center"/>
              <w:rPr>
                <w:rFonts w:eastAsia="仿宋_GB2312"/>
                <w:color w:val="000000"/>
                <w:sz w:val="24"/>
              </w:rPr>
            </w:pPr>
            <w:r>
              <w:rPr>
                <w:rFonts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DMC96</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8500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11#</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窑尾空气斜槽收尘</w:t>
            </w:r>
          </w:p>
        </w:tc>
        <w:tc>
          <w:tcPr>
            <w:tcW w:w="1335" w:type="dxa"/>
            <w:vAlign w:val="center"/>
          </w:tcPr>
          <w:p>
            <w:pPr>
              <w:autoSpaceDE w:val="0"/>
              <w:autoSpaceDN w:val="0"/>
              <w:adjustRightInd w:val="0"/>
              <w:ind w:left="-6" w:leftChars="-3" w:right="-20" w:firstLine="14" w:firstLineChars="7"/>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DMC80A</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7000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12#</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窑尾空气斜槽收尘</w:t>
            </w:r>
          </w:p>
        </w:tc>
        <w:tc>
          <w:tcPr>
            <w:tcW w:w="1335" w:type="dxa"/>
            <w:vAlign w:val="center"/>
          </w:tcPr>
          <w:p>
            <w:pPr>
              <w:autoSpaceDE w:val="0"/>
              <w:autoSpaceDN w:val="0"/>
              <w:adjustRightInd w:val="0"/>
              <w:ind w:left="-6" w:leftChars="-3" w:right="-20" w:firstLine="14" w:firstLineChars="7"/>
              <w:jc w:val="center"/>
              <w:rPr>
                <w:rFonts w:eastAsia="仿宋_GB2312"/>
                <w:color w:val="000000"/>
                <w:sz w:val="24"/>
              </w:rPr>
            </w:pPr>
            <w:r>
              <w:rPr>
                <w:rFonts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PMD-6B</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6500-7000</w:t>
            </w:r>
          </w:p>
        </w:tc>
        <w:tc>
          <w:tcPr>
            <w:tcW w:w="992"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13#</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入窑提升机收尘</w:t>
            </w:r>
          </w:p>
        </w:tc>
        <w:tc>
          <w:tcPr>
            <w:tcW w:w="1335" w:type="dxa"/>
            <w:vAlign w:val="center"/>
          </w:tcPr>
          <w:p>
            <w:pPr>
              <w:autoSpaceDE w:val="0"/>
              <w:autoSpaceDN w:val="0"/>
              <w:adjustRightInd w:val="0"/>
              <w:ind w:left="-6" w:leftChars="-3" w:right="-20" w:firstLine="14" w:firstLineChars="7"/>
              <w:jc w:val="center"/>
              <w:rPr>
                <w:rFonts w:eastAsia="仿宋_GB2312"/>
                <w:color w:val="000000"/>
                <w:sz w:val="24"/>
              </w:rPr>
            </w:pPr>
            <w:r>
              <w:rPr>
                <w:rFonts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DMC-72</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4000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14#</w:t>
            </w:r>
          </w:p>
        </w:tc>
        <w:tc>
          <w:tcPr>
            <w:tcW w:w="1890" w:type="dxa"/>
            <w:vAlign w:val="top"/>
          </w:tcPr>
          <w:p>
            <w:pPr>
              <w:autoSpaceDE w:val="0"/>
              <w:autoSpaceDN w:val="0"/>
              <w:adjustRightInd w:val="0"/>
              <w:ind w:right="777"/>
              <w:rPr>
                <w:rFonts w:hint="eastAsia" w:eastAsia="仿宋_GB2312"/>
                <w:color w:val="000000"/>
                <w:sz w:val="24"/>
              </w:rPr>
            </w:pPr>
            <w:r>
              <w:rPr>
                <w:rFonts w:hint="eastAsia" w:ascii="楷体_GB2312" w:hAnsi="楷体_GB2312" w:eastAsia="楷体_GB2312" w:cs="楷体_GB2312"/>
                <w:color w:val="000000"/>
                <w:szCs w:val="21"/>
              </w:rPr>
              <w:t>生料均化库顶</w:t>
            </w:r>
          </w:p>
        </w:tc>
        <w:tc>
          <w:tcPr>
            <w:tcW w:w="1335" w:type="dxa"/>
            <w:vAlign w:val="center"/>
          </w:tcPr>
          <w:p>
            <w:pPr>
              <w:autoSpaceDE w:val="0"/>
              <w:autoSpaceDN w:val="0"/>
              <w:adjustRightInd w:val="0"/>
              <w:ind w:left="-6" w:leftChars="-3" w:right="-20" w:firstLine="14" w:firstLineChars="7"/>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HQM64-4</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18000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15#</w:t>
            </w:r>
          </w:p>
        </w:tc>
        <w:tc>
          <w:tcPr>
            <w:tcW w:w="1890" w:type="dxa"/>
            <w:vAlign w:val="center"/>
          </w:tcPr>
          <w:p>
            <w:pPr>
              <w:autoSpaceDE w:val="0"/>
              <w:autoSpaceDN w:val="0"/>
              <w:adjustRightInd w:val="0"/>
              <w:ind w:right="777"/>
              <w:jc w:val="center"/>
              <w:rPr>
                <w:rFonts w:eastAsia="仿宋_GB2312"/>
                <w:color w:val="000000"/>
                <w:sz w:val="24"/>
              </w:rPr>
            </w:pPr>
            <w:r>
              <w:rPr>
                <w:rFonts w:hint="eastAsia" w:ascii="楷体" w:hAnsi="楷体" w:eastAsia="楷体"/>
                <w:color w:val="000000"/>
                <w:kern w:val="0"/>
                <w:szCs w:val="21"/>
              </w:rPr>
              <w:t>窑尾收尘</w:t>
            </w:r>
          </w:p>
        </w:tc>
        <w:tc>
          <w:tcPr>
            <w:tcW w:w="1335" w:type="dxa"/>
            <w:vAlign w:val="center"/>
          </w:tcPr>
          <w:p>
            <w:pPr>
              <w:autoSpaceDE w:val="0"/>
              <w:autoSpaceDN w:val="0"/>
              <w:adjustRightInd w:val="0"/>
              <w:ind w:left="-7" w:right="-20"/>
              <w:jc w:val="center"/>
              <w:rPr>
                <w:rFonts w:eastAsia="仿宋_GB2312"/>
                <w:color w:val="000000"/>
                <w:sz w:val="24"/>
              </w:rPr>
            </w:pPr>
            <w:r>
              <w:rPr>
                <w:rFonts w:ascii="楷体" w:hAnsi="楷体" w:eastAsia="楷体"/>
                <w:color w:val="000000"/>
                <w:kern w:val="0"/>
                <w:szCs w:val="21"/>
              </w:rPr>
              <w:t>粉尘、SO</w:t>
            </w:r>
            <w:r>
              <w:rPr>
                <w:rFonts w:ascii="楷体" w:hAnsi="楷体" w:eastAsia="楷体"/>
                <w:color w:val="000000"/>
                <w:kern w:val="0"/>
                <w:szCs w:val="21"/>
                <w:vertAlign w:val="subscript"/>
              </w:rPr>
              <w:t>2</w:t>
            </w:r>
            <w:r>
              <w:rPr>
                <w:rFonts w:ascii="楷体" w:hAnsi="楷体" w:eastAsia="楷体"/>
                <w:color w:val="000000"/>
                <w:kern w:val="0"/>
                <w:szCs w:val="21"/>
              </w:rPr>
              <w:t>、NO</w:t>
            </w:r>
            <w:r>
              <w:rPr>
                <w:rFonts w:ascii="楷体" w:hAnsi="楷体" w:eastAsia="楷体"/>
                <w:color w:val="000000"/>
                <w:kern w:val="0"/>
                <w:szCs w:val="21"/>
                <w:vertAlign w:val="subscript"/>
              </w:rPr>
              <w:t>x</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LCMP994-2×6</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635000</w:t>
            </w:r>
          </w:p>
        </w:tc>
        <w:tc>
          <w:tcPr>
            <w:tcW w:w="992" w:type="dxa"/>
            <w:vAlign w:val="center"/>
          </w:tcPr>
          <w:p>
            <w:pPr>
              <w:autoSpaceDE w:val="0"/>
              <w:autoSpaceDN w:val="0"/>
              <w:adjustRightInd w:val="0"/>
              <w:ind w:right="379"/>
              <w:jc w:val="center"/>
              <w:rPr>
                <w:rFonts w:hint="eastAsia" w:eastAsia="仿宋_GB2312"/>
                <w:color w:val="000000"/>
                <w:sz w:val="24"/>
              </w:rPr>
            </w:pPr>
            <w:r>
              <w:rPr>
                <w:rFonts w:hint="eastAsia" w:eastAsia="仿宋_GB2312"/>
                <w:color w:val="000000"/>
                <w:sz w:val="24"/>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16#</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窑头收尘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left="111"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Lcmp770-2×6</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465600</w:t>
            </w:r>
          </w:p>
        </w:tc>
        <w:tc>
          <w:tcPr>
            <w:tcW w:w="992" w:type="dxa"/>
            <w:vAlign w:val="center"/>
          </w:tcPr>
          <w:p>
            <w:pPr>
              <w:autoSpaceDE w:val="0"/>
              <w:autoSpaceDN w:val="0"/>
              <w:adjustRightInd w:val="0"/>
              <w:ind w:right="380"/>
              <w:jc w:val="center"/>
              <w:rPr>
                <w:rFonts w:eastAsia="仿宋_GB2312"/>
                <w:color w:val="000000"/>
                <w:sz w:val="24"/>
              </w:rPr>
            </w:pPr>
            <w:r>
              <w:rPr>
                <w:rFonts w:hint="eastAsia" w:ascii="楷体" w:hAnsi="楷体" w:eastAsia="楷体"/>
                <w:color w:val="000000"/>
                <w:kern w:val="0"/>
                <w:szCs w:val="21"/>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17#</w:t>
            </w:r>
          </w:p>
        </w:tc>
        <w:tc>
          <w:tcPr>
            <w:tcW w:w="1890" w:type="dxa"/>
            <w:vAlign w:val="center"/>
          </w:tcPr>
          <w:p>
            <w:pPr>
              <w:autoSpaceDE w:val="0"/>
              <w:autoSpaceDN w:val="0"/>
              <w:adjustRightInd w:val="0"/>
              <w:ind w:right="417"/>
              <w:jc w:val="center"/>
              <w:rPr>
                <w:rFonts w:eastAsia="仿宋_GB2312"/>
                <w:color w:val="000000"/>
                <w:sz w:val="24"/>
              </w:rPr>
            </w:pPr>
            <w:r>
              <w:rPr>
                <w:rFonts w:hint="eastAsia" w:ascii="楷体" w:hAnsi="楷体" w:eastAsia="楷体"/>
                <w:color w:val="000000"/>
                <w:kern w:val="0"/>
                <w:szCs w:val="21"/>
              </w:rPr>
              <w:t>熟料库顶收尘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left="87"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PPC96-6</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22300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18#</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熟料落料口收尘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HMC-96(A)</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6708</w:t>
            </w:r>
          </w:p>
        </w:tc>
        <w:tc>
          <w:tcPr>
            <w:tcW w:w="992" w:type="dxa"/>
            <w:vAlign w:val="center"/>
          </w:tcPr>
          <w:p>
            <w:pPr>
              <w:autoSpaceDE w:val="0"/>
              <w:autoSpaceDN w:val="0"/>
              <w:adjustRightInd w:val="0"/>
              <w:ind w:right="380"/>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19#</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煤粉称收尘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DMC80B</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20#</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煤磨收尘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PPCM 96-2×8</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85000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21#</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煤粉皮带收尘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DMC80B</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22#</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煤粉皮带收尘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DMC(A)-96</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7200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23#</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煤粉运送机下料端收尘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DMC(A)-96</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7200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24#</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入辊皮带机收尘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HQM32-5</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10230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25#</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配料皮带机收尘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DMC80A</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7000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26#</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1#出库皮带收尘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HQM64-5</w:t>
            </w:r>
          </w:p>
        </w:tc>
        <w:tc>
          <w:tcPr>
            <w:tcW w:w="1420"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16740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27#</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2#出库皮带收尘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HQM64-5</w:t>
            </w:r>
          </w:p>
        </w:tc>
        <w:tc>
          <w:tcPr>
            <w:tcW w:w="1420"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16740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28#</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水泥配料石灰石破碎收尘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PPC40-4</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12852-22803</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29#</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石膏配料库收尘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FGM64-4</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14880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30#</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矿渣配料库收尘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FGM32-6</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12276</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31#</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石灰石库收尘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FGM64-4</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14880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32#</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水泥磨1号后排收尘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LHMC154-2×5</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235000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33#</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水泥磨2号后排收尘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LHMC154-2×5</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235000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34#</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水泥磨1号尾排收尘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PPC96-9</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40000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35#</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水泥磨2号尾排收尘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PPC96-9</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40000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36#</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粉煤灰库顶收尘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DMC80B</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8500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37#</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粉煤灰库顶收尘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DMC80B</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8500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38#</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粉煤灰入库1#提升机收尘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DMC-96</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7000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39#</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粉煤灰入库2#提升机收尘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DMC-96</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7000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40#</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水泥库1#入库提升机收尘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DMC80A</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center"/>
          </w:tcPr>
          <w:p>
            <w:pPr>
              <w:spacing w:line="460" w:lineRule="exact"/>
              <w:jc w:val="center"/>
              <w:rPr>
                <w:rFonts w:hint="eastAsia" w:eastAsia="仿宋_GB2312"/>
                <w:color w:val="000000"/>
                <w:sz w:val="24"/>
              </w:rPr>
            </w:pPr>
            <w:r>
              <w:rPr>
                <w:rFonts w:hint="eastAsia" w:eastAsia="仿宋_GB2312"/>
                <w:color w:val="000000"/>
                <w:sz w:val="24"/>
              </w:rPr>
              <w:t>41#</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水泥库2#入库提升机收尘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DMC80A</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top"/>
          </w:tcPr>
          <w:p>
            <w:pPr>
              <w:spacing w:line="460" w:lineRule="exact"/>
              <w:jc w:val="center"/>
              <w:rPr>
                <w:rFonts w:hint="eastAsia" w:eastAsia="仿宋_GB2312"/>
                <w:color w:val="000000"/>
                <w:sz w:val="24"/>
              </w:rPr>
            </w:pPr>
            <w:r>
              <w:rPr>
                <w:rFonts w:hint="eastAsia" w:eastAsia="仿宋_GB2312"/>
                <w:color w:val="000000"/>
                <w:sz w:val="24"/>
              </w:rPr>
              <w:t>42#</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1#水泥库顶收尘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HQM32-5</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9000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top"/>
          </w:tcPr>
          <w:p>
            <w:pPr>
              <w:spacing w:line="460" w:lineRule="exact"/>
              <w:jc w:val="center"/>
              <w:rPr>
                <w:rFonts w:hint="eastAsia" w:eastAsia="仿宋_GB2312"/>
                <w:color w:val="000000"/>
                <w:sz w:val="24"/>
              </w:rPr>
            </w:pPr>
            <w:r>
              <w:rPr>
                <w:rFonts w:hint="eastAsia" w:eastAsia="仿宋_GB2312"/>
                <w:color w:val="000000"/>
                <w:sz w:val="24"/>
              </w:rPr>
              <w:t>43#</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2#水泥库顶收尘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HQM32-5</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9000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top"/>
          </w:tcPr>
          <w:p>
            <w:pPr>
              <w:spacing w:line="460" w:lineRule="exact"/>
              <w:jc w:val="center"/>
              <w:rPr>
                <w:rFonts w:hint="eastAsia" w:eastAsia="仿宋_GB2312"/>
                <w:color w:val="000000"/>
                <w:sz w:val="24"/>
              </w:rPr>
            </w:pPr>
            <w:r>
              <w:rPr>
                <w:rFonts w:hint="eastAsia" w:eastAsia="仿宋_GB2312"/>
                <w:color w:val="000000"/>
                <w:sz w:val="24"/>
              </w:rPr>
              <w:t>44#</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3#水泥库顶收尘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HQM32-5</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9000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top"/>
          </w:tcPr>
          <w:p>
            <w:pPr>
              <w:spacing w:line="460" w:lineRule="exact"/>
              <w:jc w:val="center"/>
              <w:rPr>
                <w:rFonts w:hint="eastAsia" w:eastAsia="仿宋_GB2312"/>
                <w:color w:val="000000"/>
                <w:sz w:val="24"/>
              </w:rPr>
            </w:pPr>
            <w:r>
              <w:rPr>
                <w:rFonts w:hint="eastAsia" w:eastAsia="仿宋_GB2312"/>
                <w:color w:val="000000"/>
                <w:sz w:val="24"/>
              </w:rPr>
              <w:t>45#</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4#水泥库顶收尘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HQM32-5</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9000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top"/>
          </w:tcPr>
          <w:p>
            <w:pPr>
              <w:spacing w:line="460" w:lineRule="exact"/>
              <w:jc w:val="center"/>
              <w:rPr>
                <w:rFonts w:hint="eastAsia" w:eastAsia="仿宋_GB2312"/>
                <w:color w:val="000000"/>
                <w:sz w:val="24"/>
              </w:rPr>
            </w:pPr>
            <w:r>
              <w:rPr>
                <w:rFonts w:hint="eastAsia" w:eastAsia="仿宋_GB2312"/>
                <w:color w:val="000000"/>
                <w:sz w:val="24"/>
              </w:rPr>
              <w:t>46#</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5#水泥库顶收尘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HQM32-5</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9000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top"/>
          </w:tcPr>
          <w:p>
            <w:pPr>
              <w:spacing w:line="460" w:lineRule="exact"/>
              <w:jc w:val="center"/>
              <w:rPr>
                <w:rFonts w:hint="eastAsia" w:eastAsia="仿宋_GB2312"/>
                <w:color w:val="000000"/>
                <w:sz w:val="24"/>
              </w:rPr>
            </w:pPr>
            <w:r>
              <w:rPr>
                <w:rFonts w:hint="eastAsia" w:eastAsia="仿宋_GB2312"/>
                <w:color w:val="000000"/>
                <w:sz w:val="24"/>
              </w:rPr>
              <w:t>47#</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6#水泥库顶收尘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HQM32-5</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9000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top"/>
          </w:tcPr>
          <w:p>
            <w:pPr>
              <w:spacing w:line="460" w:lineRule="exact"/>
              <w:jc w:val="center"/>
              <w:rPr>
                <w:rFonts w:hint="eastAsia" w:eastAsia="仿宋_GB2312"/>
                <w:color w:val="000000"/>
                <w:sz w:val="24"/>
              </w:rPr>
            </w:pPr>
            <w:r>
              <w:rPr>
                <w:rFonts w:hint="eastAsia" w:eastAsia="仿宋_GB2312"/>
                <w:color w:val="000000"/>
                <w:sz w:val="24"/>
              </w:rPr>
              <w:t>48#</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1#水泥库内收尘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HMC-126 (A)</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6708</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top"/>
          </w:tcPr>
          <w:p>
            <w:pPr>
              <w:spacing w:line="460" w:lineRule="exact"/>
              <w:jc w:val="center"/>
              <w:rPr>
                <w:rFonts w:hint="eastAsia" w:eastAsia="仿宋_GB2312"/>
                <w:color w:val="000000"/>
                <w:sz w:val="24"/>
              </w:rPr>
            </w:pPr>
            <w:r>
              <w:rPr>
                <w:rFonts w:hint="eastAsia" w:eastAsia="仿宋_GB2312"/>
                <w:color w:val="000000"/>
                <w:sz w:val="24"/>
              </w:rPr>
              <w:t>49#</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2#水泥库内收尘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HMC-126 (A)</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6708</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top"/>
          </w:tcPr>
          <w:p>
            <w:pPr>
              <w:spacing w:line="460" w:lineRule="exact"/>
              <w:jc w:val="center"/>
              <w:rPr>
                <w:rFonts w:hint="eastAsia" w:eastAsia="仿宋_GB2312"/>
                <w:color w:val="000000"/>
                <w:sz w:val="24"/>
              </w:rPr>
            </w:pPr>
            <w:r>
              <w:rPr>
                <w:rFonts w:hint="eastAsia" w:eastAsia="仿宋_GB2312"/>
                <w:color w:val="000000"/>
                <w:sz w:val="24"/>
              </w:rPr>
              <w:t>50#</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3#水泥库内收尘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HMC-126 (A)</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6708</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top"/>
          </w:tcPr>
          <w:p>
            <w:pPr>
              <w:spacing w:line="460" w:lineRule="exact"/>
              <w:jc w:val="center"/>
              <w:rPr>
                <w:rFonts w:hint="eastAsia" w:eastAsia="仿宋_GB2312"/>
                <w:color w:val="000000"/>
                <w:sz w:val="24"/>
              </w:rPr>
            </w:pPr>
            <w:r>
              <w:rPr>
                <w:rFonts w:hint="eastAsia" w:eastAsia="仿宋_GB2312"/>
                <w:color w:val="000000"/>
                <w:sz w:val="24"/>
              </w:rPr>
              <w:t>51#</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4#水泥库内收尘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HMC-126 (A)</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6708</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top"/>
          </w:tcPr>
          <w:p>
            <w:pPr>
              <w:spacing w:line="460" w:lineRule="exact"/>
              <w:jc w:val="center"/>
              <w:rPr>
                <w:rFonts w:hint="eastAsia" w:eastAsia="仿宋_GB2312"/>
                <w:color w:val="000000"/>
                <w:sz w:val="24"/>
              </w:rPr>
            </w:pPr>
            <w:r>
              <w:rPr>
                <w:rFonts w:hint="eastAsia" w:eastAsia="仿宋_GB2312"/>
                <w:color w:val="000000"/>
                <w:sz w:val="24"/>
              </w:rPr>
              <w:t>52#</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5#水泥库内收尘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HMC-126 (A)</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6708</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top"/>
          </w:tcPr>
          <w:p>
            <w:pPr>
              <w:spacing w:line="460" w:lineRule="exact"/>
              <w:jc w:val="center"/>
              <w:rPr>
                <w:rFonts w:hint="eastAsia" w:eastAsia="仿宋_GB2312"/>
                <w:color w:val="000000"/>
                <w:sz w:val="24"/>
              </w:rPr>
            </w:pPr>
            <w:r>
              <w:rPr>
                <w:rFonts w:hint="eastAsia" w:eastAsia="仿宋_GB2312"/>
                <w:color w:val="000000"/>
                <w:sz w:val="24"/>
              </w:rPr>
              <w:t>53#</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6#水泥库内收尘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HMC-126 (A)</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6708</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top"/>
          </w:tcPr>
          <w:p>
            <w:pPr>
              <w:spacing w:line="460" w:lineRule="exact"/>
              <w:jc w:val="center"/>
              <w:rPr>
                <w:rFonts w:hint="eastAsia" w:eastAsia="仿宋_GB2312"/>
                <w:color w:val="000000"/>
                <w:sz w:val="24"/>
              </w:rPr>
            </w:pPr>
            <w:r>
              <w:rPr>
                <w:rFonts w:hint="eastAsia" w:eastAsia="仿宋_GB2312"/>
                <w:color w:val="000000"/>
                <w:sz w:val="24"/>
              </w:rPr>
              <w:t>54#</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水泥库空气斜槽收尘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DMC112A</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9000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top"/>
          </w:tcPr>
          <w:p>
            <w:pPr>
              <w:spacing w:line="460" w:lineRule="exact"/>
              <w:jc w:val="center"/>
              <w:rPr>
                <w:rFonts w:hint="eastAsia" w:eastAsia="仿宋_GB2312"/>
                <w:color w:val="000000"/>
                <w:sz w:val="24"/>
              </w:rPr>
            </w:pPr>
            <w:r>
              <w:rPr>
                <w:rFonts w:hint="eastAsia" w:eastAsia="仿宋_GB2312"/>
                <w:color w:val="000000"/>
                <w:sz w:val="24"/>
              </w:rPr>
              <w:t>55#</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水泥库空气斜槽收尘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DMC112A</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9000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top"/>
          </w:tcPr>
          <w:p>
            <w:pPr>
              <w:spacing w:line="460" w:lineRule="exact"/>
              <w:jc w:val="center"/>
              <w:rPr>
                <w:rFonts w:hint="eastAsia" w:eastAsia="仿宋_GB2312"/>
                <w:color w:val="000000"/>
                <w:sz w:val="24"/>
              </w:rPr>
            </w:pPr>
            <w:r>
              <w:rPr>
                <w:rFonts w:hint="eastAsia" w:eastAsia="仿宋_GB2312"/>
                <w:color w:val="000000"/>
                <w:sz w:val="24"/>
              </w:rPr>
              <w:t>56#</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1#包装提升机收尘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HQM32-5</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10000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top"/>
          </w:tcPr>
          <w:p>
            <w:pPr>
              <w:spacing w:line="460" w:lineRule="exact"/>
              <w:jc w:val="center"/>
              <w:rPr>
                <w:rFonts w:hint="eastAsia" w:eastAsia="仿宋_GB2312"/>
                <w:color w:val="000000"/>
                <w:sz w:val="24"/>
              </w:rPr>
            </w:pPr>
            <w:r>
              <w:rPr>
                <w:rFonts w:hint="eastAsia" w:eastAsia="仿宋_GB2312"/>
                <w:color w:val="000000"/>
                <w:sz w:val="24"/>
              </w:rPr>
              <w:t>57#</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2#包装提升机收尘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HQM32-5</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10000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top"/>
          </w:tcPr>
          <w:p>
            <w:pPr>
              <w:spacing w:line="460" w:lineRule="exact"/>
              <w:jc w:val="center"/>
              <w:rPr>
                <w:rFonts w:hint="eastAsia" w:eastAsia="仿宋_GB2312"/>
                <w:color w:val="000000"/>
                <w:sz w:val="24"/>
              </w:rPr>
            </w:pPr>
            <w:r>
              <w:rPr>
                <w:rFonts w:hint="eastAsia" w:eastAsia="仿宋_GB2312"/>
                <w:color w:val="000000"/>
                <w:sz w:val="24"/>
              </w:rPr>
              <w:t>58#</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3#包装提升机收尘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HQM32-5</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10000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top"/>
          </w:tcPr>
          <w:p>
            <w:pPr>
              <w:spacing w:line="460" w:lineRule="exact"/>
              <w:jc w:val="center"/>
              <w:rPr>
                <w:rFonts w:hint="eastAsia" w:eastAsia="仿宋_GB2312"/>
                <w:color w:val="000000"/>
                <w:sz w:val="24"/>
              </w:rPr>
            </w:pPr>
            <w:r>
              <w:rPr>
                <w:rFonts w:hint="eastAsia" w:eastAsia="仿宋_GB2312"/>
                <w:color w:val="000000"/>
                <w:sz w:val="24"/>
              </w:rPr>
              <w:t>59#</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1#包装机收尘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HQM96-6</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33000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top"/>
          </w:tcPr>
          <w:p>
            <w:pPr>
              <w:spacing w:line="460" w:lineRule="exact"/>
              <w:jc w:val="center"/>
              <w:rPr>
                <w:rFonts w:hint="eastAsia" w:eastAsia="仿宋_GB2312"/>
                <w:color w:val="000000"/>
                <w:sz w:val="24"/>
              </w:rPr>
            </w:pPr>
            <w:r>
              <w:rPr>
                <w:rFonts w:hint="eastAsia" w:eastAsia="仿宋_GB2312"/>
                <w:color w:val="000000"/>
                <w:sz w:val="24"/>
              </w:rPr>
              <w:t>60#</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2#包装机收尘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HQM96-6</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33000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8" w:type="dxa"/>
            <w:vAlign w:val="top"/>
          </w:tcPr>
          <w:p>
            <w:pPr>
              <w:spacing w:line="460" w:lineRule="exact"/>
              <w:jc w:val="center"/>
              <w:rPr>
                <w:rFonts w:hint="eastAsia" w:eastAsia="仿宋_GB2312"/>
                <w:color w:val="000000"/>
                <w:sz w:val="24"/>
              </w:rPr>
            </w:pPr>
            <w:r>
              <w:rPr>
                <w:rFonts w:hint="eastAsia" w:eastAsia="仿宋_GB2312"/>
                <w:color w:val="000000"/>
                <w:sz w:val="24"/>
              </w:rPr>
              <w:t>61#</w:t>
            </w:r>
          </w:p>
        </w:tc>
        <w:tc>
          <w:tcPr>
            <w:tcW w:w="189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3#包装机收尘</w:t>
            </w:r>
          </w:p>
        </w:tc>
        <w:tc>
          <w:tcPr>
            <w:tcW w:w="1335"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HQM96-6</w:t>
            </w:r>
          </w:p>
        </w:tc>
        <w:tc>
          <w:tcPr>
            <w:tcW w:w="1420" w:type="dxa"/>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33000</w:t>
            </w:r>
          </w:p>
        </w:tc>
        <w:tc>
          <w:tcPr>
            <w:tcW w:w="992" w:type="dxa"/>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bl>
    <w:p>
      <w:pPr>
        <w:numPr>
          <w:ilvl w:val="0"/>
          <w:numId w:val="0"/>
        </w:numPr>
        <w:ind w:firstLine="600" w:firstLineChars="200"/>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另，其中18#、28#收尘器因工艺改变已停止运行，其它的均在用；我司还配有一套SNCR脱硝设施降低氮氧化合物，还配备洒水车、吸尘车各一辆，还有一些地段配有雾化机降低空气中的扬尘。</w:t>
      </w:r>
    </w:p>
    <w:p>
      <w:pPr>
        <w:numPr>
          <w:ilvl w:val="0"/>
          <w:numId w:val="0"/>
        </w:numPr>
        <w:ind w:leftChars="0"/>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四、环评批复及报告书</w:t>
      </w:r>
    </w:p>
    <w:p>
      <w:pPr>
        <w:numPr>
          <w:ilvl w:val="0"/>
          <w:numId w:val="0"/>
        </w:numPr>
        <w:ind w:leftChars="0"/>
        <w:rPr>
          <w:rFonts w:hint="default" w:asciiTheme="minorEastAsia" w:hAnsiTheme="minorEastAsia" w:cstheme="minorEastAsia"/>
          <w:sz w:val="30"/>
          <w:szCs w:val="30"/>
          <w:lang w:val="en-US" w:eastAsia="zh-CN"/>
        </w:rPr>
      </w:pPr>
      <w:r>
        <w:rPr>
          <w:rFonts w:hint="eastAsia" w:asciiTheme="minorEastAsia" w:hAnsiTheme="minorEastAsia" w:cstheme="minorEastAsia"/>
          <w:sz w:val="30"/>
          <w:szCs w:val="30"/>
          <w:lang w:val="en-US" w:eastAsia="zh-CN"/>
        </w:rPr>
        <w:t>1、环评批复</w:t>
      </w:r>
    </w:p>
    <w:p>
      <w:pPr>
        <w:numPr>
          <w:ilvl w:val="0"/>
          <w:numId w:val="0"/>
        </w:numPr>
        <w:ind w:leftChars="0"/>
        <w:rPr>
          <w:rFonts w:hint="eastAsia" w:asciiTheme="minorEastAsia" w:hAnsiTheme="minorEastAsia" w:cstheme="minorEastAsia"/>
          <w:sz w:val="21"/>
          <w:szCs w:val="21"/>
          <w:lang w:val="en-US" w:eastAsia="zh-CN"/>
        </w:rPr>
      </w:pPr>
      <w:r>
        <w:rPr>
          <w:rFonts w:hint="default" w:asciiTheme="minorEastAsia" w:hAnsiTheme="minorEastAsia" w:cstheme="minorEastAsia"/>
          <w:sz w:val="21"/>
          <w:szCs w:val="21"/>
          <w:lang w:val="en-US" w:eastAsia="zh-CN"/>
        </w:rPr>
        <w:drawing>
          <wp:inline distT="0" distB="0" distL="114300" distR="114300">
            <wp:extent cx="5272405" cy="6969760"/>
            <wp:effectExtent l="0" t="0" r="4445" b="2540"/>
            <wp:docPr id="2" name="图片 2" descr="环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环评1"/>
                    <pic:cNvPicPr>
                      <a:picLocks noChangeAspect="1"/>
                    </pic:cNvPicPr>
                  </pic:nvPicPr>
                  <pic:blipFill>
                    <a:blip r:embed="rId30"/>
                    <a:stretch>
                      <a:fillRect/>
                    </a:stretch>
                  </pic:blipFill>
                  <pic:spPr>
                    <a:xfrm>
                      <a:off x="0" y="0"/>
                      <a:ext cx="5272405" cy="6969760"/>
                    </a:xfrm>
                    <a:prstGeom prst="rect">
                      <a:avLst/>
                    </a:prstGeom>
                  </pic:spPr>
                </pic:pic>
              </a:graphicData>
            </a:graphic>
          </wp:inline>
        </w:drawing>
      </w:r>
    </w:p>
    <w:p>
      <w:pPr>
        <w:numPr>
          <w:ilvl w:val="0"/>
          <w:numId w:val="0"/>
        </w:numPr>
        <w:ind w:leftChars="0"/>
        <w:rPr>
          <w:rFonts w:hint="default" w:asciiTheme="minorEastAsia" w:hAnsiTheme="minorEastAsia" w:cstheme="minorEastAsia"/>
          <w:sz w:val="21"/>
          <w:szCs w:val="21"/>
          <w:lang w:val="en-US" w:eastAsia="zh-CN"/>
        </w:rPr>
      </w:pPr>
      <w:r>
        <w:rPr>
          <w:rFonts w:hint="default" w:asciiTheme="minorEastAsia" w:hAnsiTheme="minorEastAsia" w:cstheme="minorEastAsia"/>
          <w:sz w:val="21"/>
          <w:szCs w:val="21"/>
          <w:lang w:val="en-US" w:eastAsia="zh-CN"/>
        </w:rPr>
        <w:drawing>
          <wp:inline distT="0" distB="0" distL="114300" distR="114300">
            <wp:extent cx="5270500" cy="6897370"/>
            <wp:effectExtent l="0" t="0" r="6350" b="17780"/>
            <wp:docPr id="1" name="图片 1" descr="环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环评2"/>
                    <pic:cNvPicPr>
                      <a:picLocks noChangeAspect="1"/>
                    </pic:cNvPicPr>
                  </pic:nvPicPr>
                  <pic:blipFill>
                    <a:blip r:embed="rId31"/>
                    <a:stretch>
                      <a:fillRect/>
                    </a:stretch>
                  </pic:blipFill>
                  <pic:spPr>
                    <a:xfrm>
                      <a:off x="0" y="0"/>
                      <a:ext cx="5270500" cy="6897370"/>
                    </a:xfrm>
                    <a:prstGeom prst="rect">
                      <a:avLst/>
                    </a:prstGeom>
                  </pic:spPr>
                </pic:pic>
              </a:graphicData>
            </a:graphic>
          </wp:inline>
        </w:drawing>
      </w:r>
      <w:r>
        <w:rPr>
          <w:rFonts w:hint="default" w:asciiTheme="minorEastAsia" w:hAnsiTheme="minorEastAsia" w:cstheme="minorEastAsia"/>
          <w:sz w:val="21"/>
          <w:szCs w:val="21"/>
          <w:lang w:val="en-US" w:eastAsia="zh-CN"/>
        </w:rPr>
        <w:drawing>
          <wp:inline distT="0" distB="0" distL="114300" distR="114300">
            <wp:extent cx="5273040" cy="6928485"/>
            <wp:effectExtent l="0" t="0" r="3810" b="5715"/>
            <wp:docPr id="3" name="图片 3" descr="环评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环评3"/>
                    <pic:cNvPicPr>
                      <a:picLocks noChangeAspect="1"/>
                    </pic:cNvPicPr>
                  </pic:nvPicPr>
                  <pic:blipFill>
                    <a:blip r:embed="rId32"/>
                    <a:stretch>
                      <a:fillRect/>
                    </a:stretch>
                  </pic:blipFill>
                  <pic:spPr>
                    <a:xfrm>
                      <a:off x="0" y="0"/>
                      <a:ext cx="5273040" cy="6928485"/>
                    </a:xfrm>
                    <a:prstGeom prst="rect">
                      <a:avLst/>
                    </a:prstGeom>
                  </pic:spPr>
                </pic:pic>
              </a:graphicData>
            </a:graphic>
          </wp:inline>
        </w:drawing>
      </w:r>
    </w:p>
    <w:p>
      <w:pPr>
        <w:numPr>
          <w:ilvl w:val="0"/>
          <w:numId w:val="0"/>
        </w:numPr>
        <w:ind w:leftChars="0"/>
        <w:rPr>
          <w:rFonts w:hint="default" w:asciiTheme="minorEastAsia" w:hAnsiTheme="minorEastAsia" w:cstheme="minorEastAsia"/>
          <w:sz w:val="21"/>
          <w:szCs w:val="21"/>
          <w:lang w:val="en-US" w:eastAsia="zh-CN"/>
        </w:rPr>
      </w:pPr>
    </w:p>
    <w:p>
      <w:pPr>
        <w:numPr>
          <w:ilvl w:val="0"/>
          <w:numId w:val="0"/>
        </w:numPr>
        <w:ind w:leftChars="0"/>
        <w:rPr>
          <w:rFonts w:hint="default" w:asciiTheme="minorEastAsia" w:hAnsiTheme="minorEastAsia" w:cstheme="minorEastAsia"/>
          <w:sz w:val="21"/>
          <w:szCs w:val="21"/>
          <w:lang w:val="en-US" w:eastAsia="zh-CN"/>
        </w:rPr>
      </w:pPr>
    </w:p>
    <w:p>
      <w:pPr>
        <w:numPr>
          <w:ilvl w:val="0"/>
          <w:numId w:val="0"/>
        </w:numPr>
        <w:ind w:leftChars="0"/>
        <w:rPr>
          <w:rFonts w:hint="default" w:asciiTheme="minorEastAsia" w:hAnsiTheme="minorEastAsia" w:cstheme="minorEastAsia"/>
          <w:sz w:val="21"/>
          <w:szCs w:val="21"/>
          <w:lang w:val="en-US" w:eastAsia="zh-CN"/>
        </w:rPr>
      </w:pPr>
    </w:p>
    <w:p>
      <w:pPr>
        <w:numPr>
          <w:ilvl w:val="0"/>
          <w:numId w:val="0"/>
        </w:numPr>
        <w:ind w:leftChars="0"/>
        <w:rPr>
          <w:rFonts w:hint="default" w:asciiTheme="minorEastAsia" w:hAnsiTheme="minorEastAsia" w:cstheme="minorEastAsia"/>
          <w:sz w:val="21"/>
          <w:szCs w:val="21"/>
          <w:lang w:val="en-US" w:eastAsia="zh-CN"/>
        </w:rPr>
      </w:pPr>
    </w:p>
    <w:p>
      <w:pPr>
        <w:numPr>
          <w:ilvl w:val="0"/>
          <w:numId w:val="0"/>
        </w:numPr>
        <w:ind w:leftChars="0"/>
        <w:rPr>
          <w:rFonts w:hint="default" w:asciiTheme="minorEastAsia" w:hAnsiTheme="minorEastAsia" w:cstheme="minorEastAsia"/>
          <w:sz w:val="21"/>
          <w:szCs w:val="21"/>
          <w:lang w:val="en-US" w:eastAsia="zh-CN"/>
        </w:rPr>
      </w:pPr>
    </w:p>
    <w:p>
      <w:pPr>
        <w:numPr>
          <w:ilvl w:val="0"/>
          <w:numId w:val="0"/>
        </w:numPr>
        <w:ind w:leftChars="0"/>
        <w:rPr>
          <w:rFonts w:hint="default" w:asciiTheme="minorEastAsia" w:hAnsiTheme="minorEastAsia" w:cstheme="minorEastAsia"/>
          <w:sz w:val="21"/>
          <w:szCs w:val="21"/>
          <w:lang w:val="en-US" w:eastAsia="zh-CN"/>
        </w:rPr>
      </w:pPr>
    </w:p>
    <w:p>
      <w:pPr>
        <w:numPr>
          <w:ilvl w:val="0"/>
          <w:numId w:val="0"/>
        </w:numPr>
        <w:ind w:leftChars="0"/>
        <w:rPr>
          <w:rFonts w:hint="default" w:asciiTheme="minorEastAsia" w:hAnsiTheme="minorEastAsia" w:cstheme="minorEastAsia"/>
          <w:sz w:val="21"/>
          <w:szCs w:val="21"/>
          <w:lang w:val="en-US" w:eastAsia="zh-CN"/>
        </w:rPr>
      </w:pPr>
    </w:p>
    <w:p>
      <w:pPr>
        <w:numPr>
          <w:ilvl w:val="0"/>
          <w:numId w:val="0"/>
        </w:numPr>
        <w:ind w:leftChars="0"/>
        <w:rPr>
          <w:rFonts w:hint="default" w:asciiTheme="minorEastAsia" w:hAnsiTheme="minorEastAsia" w:cstheme="minorEastAsia"/>
          <w:sz w:val="21"/>
          <w:szCs w:val="21"/>
          <w:lang w:val="en-US" w:eastAsia="zh-CN"/>
        </w:rPr>
      </w:pPr>
    </w:p>
    <w:p>
      <w:pPr>
        <w:numPr>
          <w:ilvl w:val="0"/>
          <w:numId w:val="0"/>
        </w:numPr>
        <w:ind w:leftChars="0"/>
        <w:rPr>
          <w:rFonts w:hint="default" w:asciiTheme="minorEastAsia" w:hAnsiTheme="minorEastAsia" w:cstheme="minorEastAsia"/>
          <w:sz w:val="21"/>
          <w:szCs w:val="21"/>
          <w:lang w:val="en-US" w:eastAsia="zh-CN"/>
        </w:rPr>
      </w:pPr>
    </w:p>
    <w:p>
      <w:pPr>
        <w:numPr>
          <w:ilvl w:val="0"/>
          <w:numId w:val="0"/>
        </w:numPr>
        <w:ind w:leftChars="0"/>
        <w:rPr>
          <w:rFonts w:hint="default" w:asciiTheme="minorEastAsia" w:hAnsiTheme="minorEastAsia" w:cstheme="minorEastAsia"/>
          <w:sz w:val="21"/>
          <w:szCs w:val="21"/>
          <w:lang w:val="en-US" w:eastAsia="zh-CN"/>
        </w:rPr>
      </w:pPr>
    </w:p>
    <w:p>
      <w:pPr>
        <w:numPr>
          <w:ilvl w:val="0"/>
          <w:numId w:val="0"/>
        </w:numPr>
        <w:ind w:leftChars="0"/>
        <w:rPr>
          <w:rFonts w:hint="default" w:asciiTheme="minorEastAsia" w:hAnsiTheme="minorEastAsia" w:cstheme="minorEastAsia"/>
          <w:sz w:val="21"/>
          <w:szCs w:val="21"/>
          <w:lang w:val="en-US" w:eastAsia="zh-CN"/>
        </w:rPr>
      </w:pPr>
    </w:p>
    <w:p>
      <w:pPr>
        <w:numPr>
          <w:ilvl w:val="0"/>
          <w:numId w:val="0"/>
        </w:numPr>
        <w:ind w:leftChars="0"/>
        <w:rPr>
          <w:rFonts w:hint="default" w:asciiTheme="minorEastAsia" w:hAnsiTheme="minorEastAsia" w:cstheme="minorEastAsia"/>
          <w:sz w:val="21"/>
          <w:szCs w:val="21"/>
          <w:lang w:val="en-US" w:eastAsia="zh-CN"/>
        </w:rPr>
      </w:pPr>
    </w:p>
    <w:p>
      <w:pPr>
        <w:pStyle w:val="14"/>
        <w:rPr>
          <w:rFonts w:hint="default" w:ascii="黑体" w:eastAsia="黑体"/>
          <w:sz w:val="28"/>
          <w:lang w:val="en-US" w:eastAsia="zh-CN"/>
        </w:rPr>
      </w:pPr>
      <w:r>
        <w:rPr>
          <w:rFonts w:hint="eastAsia" w:ascii="黑体" w:eastAsia="黑体"/>
          <w:sz w:val="28"/>
        </w:rPr>
        <w:t xml:space="preserve">     </w:t>
      </w:r>
      <w:r>
        <w:rPr>
          <w:rFonts w:hint="eastAsia" w:ascii="黑体" w:eastAsia="黑体"/>
          <w:sz w:val="28"/>
          <w:lang w:val="en-US" w:eastAsia="zh-CN"/>
        </w:rPr>
        <w:t>2、环境影响报告书</w:t>
      </w:r>
    </w:p>
    <w:p>
      <w:pPr>
        <w:pStyle w:val="14"/>
        <w:rPr>
          <w:rFonts w:hint="eastAsia" w:ascii="黑体" w:eastAsia="黑体"/>
          <w:sz w:val="30"/>
          <w:szCs w:val="30"/>
        </w:rPr>
      </w:pPr>
      <w:r>
        <w:rPr>
          <w:rFonts w:hint="eastAsia" w:ascii="黑体" w:eastAsia="黑体"/>
          <w:sz w:val="28"/>
        </w:rPr>
        <w:t xml:space="preserve">                         </w:t>
      </w:r>
      <w:r>
        <w:rPr>
          <w:rFonts w:hint="eastAsia" w:ascii="黑体" w:eastAsia="黑体"/>
          <w:sz w:val="30"/>
          <w:szCs w:val="30"/>
        </w:rPr>
        <w:t>目    录</w:t>
      </w:r>
    </w:p>
    <w:p>
      <w:pPr>
        <w:pStyle w:val="14"/>
        <w:rPr>
          <w:b w:val="0"/>
          <w:bCs w:val="0"/>
          <w:caps w:val="0"/>
          <w:sz w:val="21"/>
        </w:rPr>
      </w:pPr>
      <w:r>
        <w:rPr>
          <w:rFonts w:ascii="黑体" w:eastAsia="黑体"/>
          <w:sz w:val="28"/>
        </w:rPr>
        <w:fldChar w:fldCharType="begin"/>
      </w:r>
      <w:r>
        <w:rPr>
          <w:rFonts w:ascii="黑体" w:eastAsia="黑体"/>
          <w:sz w:val="28"/>
        </w:rPr>
        <w:instrText xml:space="preserve"> TOC \o "1-2" \h \z \u </w:instrText>
      </w:r>
      <w:r>
        <w:rPr>
          <w:rFonts w:ascii="黑体" w:eastAsia="黑体"/>
          <w:sz w:val="28"/>
        </w:rPr>
        <w:fldChar w:fldCharType="separate"/>
      </w:r>
      <w:r>
        <w:rPr>
          <w:rStyle w:val="20"/>
        </w:rPr>
        <w:fldChar w:fldCharType="begin"/>
      </w:r>
      <w:r>
        <w:rPr>
          <w:rStyle w:val="20"/>
        </w:rPr>
        <w:instrText xml:space="preserve"> </w:instrText>
      </w:r>
      <w:r>
        <w:instrText xml:space="preserve">HYPERLINK \l "_Toc276372209"</w:instrText>
      </w:r>
      <w:r>
        <w:rPr>
          <w:rStyle w:val="20"/>
        </w:rPr>
        <w:instrText xml:space="preserve"> </w:instrText>
      </w:r>
      <w:r>
        <w:rPr>
          <w:rStyle w:val="20"/>
        </w:rPr>
        <w:fldChar w:fldCharType="separate"/>
      </w:r>
      <w:r>
        <w:rPr>
          <w:rStyle w:val="20"/>
          <w:rFonts w:hint="eastAsia" w:ascii="黑体" w:eastAsia="黑体"/>
        </w:rPr>
        <w:t>前</w:t>
      </w:r>
      <w:r>
        <w:rPr>
          <w:rStyle w:val="20"/>
          <w:rFonts w:ascii="黑体" w:eastAsia="黑体"/>
        </w:rPr>
        <w:t xml:space="preserve">    </w:t>
      </w:r>
      <w:r>
        <w:rPr>
          <w:rStyle w:val="20"/>
          <w:rFonts w:hint="eastAsia" w:ascii="黑体" w:eastAsia="黑体"/>
        </w:rPr>
        <w:t>言</w:t>
      </w:r>
      <w:r>
        <w:tab/>
      </w:r>
      <w:r>
        <w:fldChar w:fldCharType="begin"/>
      </w:r>
      <w:r>
        <w:instrText xml:space="preserve"> PAGEREF _Toc276372209 \h </w:instrText>
      </w:r>
      <w:r>
        <w:fldChar w:fldCharType="separate"/>
      </w:r>
      <w:r>
        <w:t>4</w:t>
      </w:r>
      <w:r>
        <w:fldChar w:fldCharType="end"/>
      </w:r>
      <w:r>
        <w:rPr>
          <w:rStyle w:val="20"/>
        </w:rPr>
        <w:fldChar w:fldCharType="end"/>
      </w:r>
    </w:p>
    <w:p>
      <w:pPr>
        <w:pStyle w:val="14"/>
        <w:rPr>
          <w:b w:val="0"/>
          <w:bCs w:val="0"/>
          <w:caps w:val="0"/>
          <w:sz w:val="21"/>
        </w:rPr>
      </w:pPr>
      <w:r>
        <w:rPr>
          <w:rStyle w:val="20"/>
        </w:rPr>
        <w:fldChar w:fldCharType="begin"/>
      </w:r>
      <w:r>
        <w:rPr>
          <w:rStyle w:val="20"/>
        </w:rPr>
        <w:instrText xml:space="preserve"> </w:instrText>
      </w:r>
      <w:r>
        <w:instrText xml:space="preserve">HYPERLINK \l "_Toc276372210"</w:instrText>
      </w:r>
      <w:r>
        <w:rPr>
          <w:rStyle w:val="20"/>
        </w:rPr>
        <w:instrText xml:space="preserve"> </w:instrText>
      </w:r>
      <w:r>
        <w:rPr>
          <w:rStyle w:val="20"/>
        </w:rPr>
        <w:fldChar w:fldCharType="separate"/>
      </w:r>
      <w:r>
        <w:rPr>
          <w:rStyle w:val="20"/>
        </w:rPr>
        <w:t>1</w:t>
      </w:r>
      <w:r>
        <w:rPr>
          <w:rStyle w:val="20"/>
          <w:rFonts w:hint="eastAsia"/>
        </w:rPr>
        <w:t>总论</w:t>
      </w:r>
      <w:r>
        <w:tab/>
      </w:r>
      <w:r>
        <w:fldChar w:fldCharType="begin"/>
      </w:r>
      <w:r>
        <w:instrText xml:space="preserve"> PAGEREF _Toc276372210 \h </w:instrText>
      </w:r>
      <w:r>
        <w:fldChar w:fldCharType="separate"/>
      </w:r>
      <w:r>
        <w:t>5</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"_Toc276372211"</w:instrText>
      </w:r>
      <w:r>
        <w:rPr>
          <w:rStyle w:val="20"/>
        </w:rPr>
        <w:instrText xml:space="preserve"> </w:instrText>
      </w:r>
      <w:r>
        <w:rPr>
          <w:rStyle w:val="20"/>
        </w:rPr>
        <w:fldChar w:fldCharType="separate"/>
      </w:r>
      <w:r>
        <w:rPr>
          <w:rStyle w:val="20"/>
          <w:b/>
        </w:rPr>
        <w:t xml:space="preserve">1.1 </w:t>
      </w:r>
      <w:r>
        <w:rPr>
          <w:rStyle w:val="20"/>
          <w:rFonts w:hint="eastAsia"/>
          <w:b/>
        </w:rPr>
        <w:t>评价目的</w:t>
      </w:r>
      <w:r>
        <w:tab/>
      </w:r>
      <w:r>
        <w:fldChar w:fldCharType="begin"/>
      </w:r>
      <w:r>
        <w:instrText xml:space="preserve"> PAGEREF _Toc276372211 \h </w:instrText>
      </w:r>
      <w:r>
        <w:fldChar w:fldCharType="separate"/>
      </w:r>
      <w:r>
        <w:t>5</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"_Toc276372212"</w:instrText>
      </w:r>
      <w:r>
        <w:rPr>
          <w:rStyle w:val="20"/>
        </w:rPr>
        <w:instrText xml:space="preserve"> </w:instrText>
      </w:r>
      <w:r>
        <w:rPr>
          <w:rStyle w:val="20"/>
        </w:rPr>
        <w:fldChar w:fldCharType="separate"/>
      </w:r>
      <w:r>
        <w:rPr>
          <w:rStyle w:val="20"/>
          <w:b/>
        </w:rPr>
        <w:t xml:space="preserve">1.2 </w:t>
      </w:r>
      <w:r>
        <w:rPr>
          <w:rStyle w:val="20"/>
          <w:rFonts w:hint="eastAsia"/>
          <w:b/>
        </w:rPr>
        <w:t>编制依据</w:t>
      </w:r>
      <w:r>
        <w:tab/>
      </w:r>
      <w:r>
        <w:fldChar w:fldCharType="begin"/>
      </w:r>
      <w:r>
        <w:instrText xml:space="preserve"> PAGEREF _Toc276372212 \h </w:instrText>
      </w:r>
      <w:r>
        <w:fldChar w:fldCharType="separate"/>
      </w:r>
      <w:r>
        <w:t>5</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"_Toc276372213"</w:instrText>
      </w:r>
      <w:r>
        <w:rPr>
          <w:rStyle w:val="20"/>
        </w:rPr>
        <w:instrText xml:space="preserve"> </w:instrText>
      </w:r>
      <w:r>
        <w:rPr>
          <w:rStyle w:val="20"/>
        </w:rPr>
        <w:fldChar w:fldCharType="separate"/>
      </w:r>
      <w:r>
        <w:rPr>
          <w:rStyle w:val="20"/>
          <w:b/>
        </w:rPr>
        <w:t xml:space="preserve">1.3 </w:t>
      </w:r>
      <w:r>
        <w:rPr>
          <w:rStyle w:val="20"/>
          <w:rFonts w:hint="eastAsia"/>
          <w:b/>
        </w:rPr>
        <w:t>评价原则</w:t>
      </w:r>
      <w:r>
        <w:tab/>
      </w:r>
      <w:r>
        <w:fldChar w:fldCharType="begin"/>
      </w:r>
      <w:r>
        <w:instrText xml:space="preserve"> PAGEREF _Toc276372213 \h </w:instrText>
      </w:r>
      <w:r>
        <w:fldChar w:fldCharType="separate"/>
      </w:r>
      <w:r>
        <w:t>7</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"_Toc276372214"</w:instrText>
      </w:r>
      <w:r>
        <w:rPr>
          <w:rStyle w:val="20"/>
        </w:rPr>
        <w:instrText xml:space="preserve"> </w:instrText>
      </w:r>
      <w:r>
        <w:rPr>
          <w:rStyle w:val="20"/>
        </w:rPr>
        <w:fldChar w:fldCharType="separate"/>
      </w:r>
      <w:r>
        <w:rPr>
          <w:rStyle w:val="20"/>
          <w:b/>
        </w:rPr>
        <w:t>1.4</w:t>
      </w:r>
      <w:r>
        <w:rPr>
          <w:rStyle w:val="20"/>
          <w:rFonts w:hint="eastAsia"/>
          <w:b/>
        </w:rPr>
        <w:t>总体构思</w:t>
      </w:r>
      <w:r>
        <w:tab/>
      </w:r>
      <w:r>
        <w:fldChar w:fldCharType="begin"/>
      </w:r>
      <w:r>
        <w:instrText xml:space="preserve"> PAGEREF _Toc276372214 \h </w:instrText>
      </w:r>
      <w:r>
        <w:fldChar w:fldCharType="separate"/>
      </w:r>
      <w:r>
        <w:t>7</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"_Toc276372215"</w:instrText>
      </w:r>
      <w:r>
        <w:rPr>
          <w:rStyle w:val="20"/>
        </w:rPr>
        <w:instrText xml:space="preserve"> </w:instrText>
      </w:r>
      <w:r>
        <w:rPr>
          <w:rStyle w:val="20"/>
        </w:rPr>
        <w:fldChar w:fldCharType="separate"/>
      </w:r>
      <w:r>
        <w:rPr>
          <w:rStyle w:val="20"/>
          <w:b/>
        </w:rPr>
        <w:t xml:space="preserve">1.5 </w:t>
      </w:r>
      <w:r>
        <w:rPr>
          <w:rStyle w:val="20"/>
          <w:rFonts w:hint="eastAsia"/>
          <w:b/>
        </w:rPr>
        <w:t>评价标准</w:t>
      </w:r>
      <w:r>
        <w:tab/>
      </w:r>
      <w:r>
        <w:fldChar w:fldCharType="begin"/>
      </w:r>
      <w:r>
        <w:instrText xml:space="preserve"> PAGEREF _Toc276372215 \h </w:instrText>
      </w:r>
      <w:r>
        <w:fldChar w:fldCharType="separate"/>
      </w:r>
      <w:r>
        <w:t>7</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"_Toc276372216"</w:instrText>
      </w:r>
      <w:r>
        <w:rPr>
          <w:rStyle w:val="20"/>
        </w:rPr>
        <w:instrText xml:space="preserve"> </w:instrText>
      </w:r>
      <w:r>
        <w:rPr>
          <w:rStyle w:val="20"/>
        </w:rPr>
        <w:fldChar w:fldCharType="separate"/>
      </w:r>
      <w:r>
        <w:rPr>
          <w:rStyle w:val="20"/>
          <w:b/>
        </w:rPr>
        <w:t xml:space="preserve">1.6 </w:t>
      </w:r>
      <w:r>
        <w:rPr>
          <w:rStyle w:val="20"/>
          <w:rFonts w:hint="eastAsia"/>
          <w:b/>
        </w:rPr>
        <w:t>评价等级</w:t>
      </w:r>
      <w:r>
        <w:tab/>
      </w:r>
      <w:r>
        <w:fldChar w:fldCharType="begin"/>
      </w:r>
      <w:r>
        <w:instrText xml:space="preserve"> PAGEREF _Toc276372216 \h </w:instrText>
      </w:r>
      <w:r>
        <w:fldChar w:fldCharType="separate"/>
      </w:r>
      <w:r>
        <w:t>10</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"_Toc276372217"</w:instrText>
      </w:r>
      <w:r>
        <w:rPr>
          <w:rStyle w:val="20"/>
        </w:rPr>
        <w:instrText xml:space="preserve"> </w:instrText>
      </w:r>
      <w:r>
        <w:rPr>
          <w:rStyle w:val="20"/>
        </w:rPr>
        <w:fldChar w:fldCharType="separate"/>
      </w:r>
      <w:r>
        <w:rPr>
          <w:rStyle w:val="20"/>
          <w:b/>
        </w:rPr>
        <w:t xml:space="preserve">1.8  </w:t>
      </w:r>
      <w:r>
        <w:rPr>
          <w:rStyle w:val="20"/>
          <w:rFonts w:hint="eastAsia"/>
          <w:b/>
        </w:rPr>
        <w:t>环境影响因子识别和筛选</w:t>
      </w:r>
      <w:r>
        <w:tab/>
      </w:r>
      <w:r>
        <w:fldChar w:fldCharType="begin"/>
      </w:r>
      <w:r>
        <w:instrText xml:space="preserve"> PAGEREF _Toc276372217 \h </w:instrText>
      </w:r>
      <w:r>
        <w:fldChar w:fldCharType="separate"/>
      </w:r>
      <w:r>
        <w:t>11</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"_Toc276372218"</w:instrText>
      </w:r>
      <w:r>
        <w:rPr>
          <w:rStyle w:val="20"/>
        </w:rPr>
        <w:instrText xml:space="preserve"> </w:instrText>
      </w:r>
      <w:r>
        <w:rPr>
          <w:rStyle w:val="20"/>
        </w:rPr>
        <w:fldChar w:fldCharType="separate"/>
      </w:r>
      <w:r>
        <w:rPr>
          <w:rStyle w:val="20"/>
          <w:b/>
        </w:rPr>
        <w:t xml:space="preserve">1.9 </w:t>
      </w:r>
      <w:r>
        <w:rPr>
          <w:rStyle w:val="20"/>
          <w:rFonts w:hint="eastAsia"/>
          <w:b/>
        </w:rPr>
        <w:t>评价范围、评价时段及评价因子</w:t>
      </w:r>
      <w:r>
        <w:tab/>
      </w:r>
      <w:r>
        <w:fldChar w:fldCharType="begin"/>
      </w:r>
      <w:r>
        <w:instrText xml:space="preserve"> PAGEREF _Toc276372218 \h </w:instrText>
      </w:r>
      <w:r>
        <w:fldChar w:fldCharType="separate"/>
      </w:r>
      <w:r>
        <w:t>13</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"_Toc276372219"</w:instrText>
      </w:r>
      <w:r>
        <w:rPr>
          <w:rStyle w:val="20"/>
        </w:rPr>
        <w:instrText xml:space="preserve"> </w:instrText>
      </w:r>
      <w:r>
        <w:rPr>
          <w:rStyle w:val="20"/>
        </w:rPr>
        <w:fldChar w:fldCharType="separate"/>
      </w:r>
      <w:r>
        <w:rPr>
          <w:rStyle w:val="20"/>
          <w:b/>
        </w:rPr>
        <w:t>1.10</w:t>
      </w:r>
      <w:r>
        <w:rPr>
          <w:rStyle w:val="20"/>
          <w:rFonts w:hint="eastAsia"/>
          <w:b/>
        </w:rPr>
        <w:t>污染控制目标及环境敏感点</w:t>
      </w:r>
      <w:r>
        <w:tab/>
      </w:r>
      <w:r>
        <w:fldChar w:fldCharType="begin"/>
      </w:r>
      <w:r>
        <w:instrText xml:space="preserve"> PAGEREF _Toc276372219 \h </w:instrText>
      </w:r>
      <w:r>
        <w:fldChar w:fldCharType="separate"/>
      </w:r>
      <w:r>
        <w:t>14</w:t>
      </w:r>
      <w:r>
        <w:fldChar w:fldCharType="end"/>
      </w:r>
      <w:r>
        <w:rPr>
          <w:rStyle w:val="20"/>
        </w:rPr>
        <w:fldChar w:fldCharType="end"/>
      </w:r>
    </w:p>
    <w:p>
      <w:pPr>
        <w:pStyle w:val="14"/>
        <w:rPr>
          <w:b w:val="0"/>
          <w:bCs w:val="0"/>
          <w:caps w:val="0"/>
          <w:sz w:val="21"/>
        </w:rPr>
      </w:pPr>
      <w:r>
        <w:rPr>
          <w:rStyle w:val="20"/>
        </w:rPr>
        <w:fldChar w:fldCharType="begin"/>
      </w:r>
      <w:r>
        <w:rPr>
          <w:rStyle w:val="20"/>
        </w:rPr>
        <w:instrText xml:space="preserve"> </w:instrText>
      </w:r>
      <w:r>
        <w:instrText xml:space="preserve">HYPERLINK \l "_Toc276372220"</w:instrText>
      </w:r>
      <w:r>
        <w:rPr>
          <w:rStyle w:val="20"/>
        </w:rPr>
        <w:instrText xml:space="preserve"> </w:instrText>
      </w:r>
      <w:r>
        <w:rPr>
          <w:rStyle w:val="20"/>
        </w:rPr>
        <w:fldChar w:fldCharType="separate"/>
      </w:r>
      <w:r>
        <w:rPr>
          <w:rStyle w:val="20"/>
        </w:rPr>
        <w:t>2</w:t>
      </w:r>
      <w:r>
        <w:rPr>
          <w:rStyle w:val="20"/>
          <w:rFonts w:hint="eastAsia"/>
        </w:rPr>
        <w:t>重庆永荣青鹏煤业有限公司现状</w:t>
      </w:r>
      <w:r>
        <w:tab/>
      </w:r>
      <w:r>
        <w:fldChar w:fldCharType="begin"/>
      </w:r>
      <w:r>
        <w:instrText xml:space="preserve"> PAGEREF _Toc276372220 \h </w:instrText>
      </w:r>
      <w:r>
        <w:fldChar w:fldCharType="separate"/>
      </w:r>
      <w:r>
        <w:t>16</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"_Toc276372221"</w:instrText>
      </w:r>
      <w:r>
        <w:rPr>
          <w:rStyle w:val="20"/>
        </w:rPr>
        <w:instrText xml:space="preserve"> </w:instrText>
      </w:r>
      <w:r>
        <w:rPr>
          <w:rStyle w:val="20"/>
        </w:rPr>
        <w:fldChar w:fldCharType="separate"/>
      </w:r>
      <w:r>
        <w:rPr>
          <w:rStyle w:val="20"/>
          <w:b/>
        </w:rPr>
        <w:t xml:space="preserve">2.1 </w:t>
      </w:r>
      <w:r>
        <w:rPr>
          <w:rStyle w:val="20"/>
          <w:rFonts w:hint="eastAsia"/>
          <w:b/>
        </w:rPr>
        <w:t>厂址地理位置与交通</w:t>
      </w:r>
      <w:r>
        <w:tab/>
      </w:r>
      <w:r>
        <w:fldChar w:fldCharType="begin"/>
      </w:r>
      <w:r>
        <w:instrText xml:space="preserve"> PAGEREF _Toc276372221 \h </w:instrText>
      </w:r>
      <w:r>
        <w:fldChar w:fldCharType="separate"/>
      </w:r>
      <w:r>
        <w:t>16</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"_Toc276372222"</w:instrText>
      </w:r>
      <w:r>
        <w:rPr>
          <w:rStyle w:val="20"/>
        </w:rPr>
        <w:instrText xml:space="preserve"> </w:instrText>
      </w:r>
      <w:r>
        <w:rPr>
          <w:rStyle w:val="20"/>
        </w:rPr>
        <w:fldChar w:fldCharType="separate"/>
      </w:r>
      <w:r>
        <w:rPr>
          <w:rStyle w:val="20"/>
          <w:b/>
        </w:rPr>
        <w:t xml:space="preserve">2.2 </w:t>
      </w:r>
      <w:r>
        <w:rPr>
          <w:rStyle w:val="20"/>
          <w:rFonts w:hint="eastAsia"/>
          <w:b/>
        </w:rPr>
        <w:t>重庆永荣青鹏煤业有限公司水泥厂基本情况</w:t>
      </w:r>
      <w:r>
        <w:tab/>
      </w:r>
      <w:r>
        <w:fldChar w:fldCharType="begin"/>
      </w:r>
      <w:r>
        <w:instrText xml:space="preserve"> PAGEREF _Toc276372222 \h </w:instrText>
      </w:r>
      <w:r>
        <w:fldChar w:fldCharType="separate"/>
      </w:r>
      <w:r>
        <w:t>16</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"_Toc276372223"</w:instrText>
      </w:r>
      <w:r>
        <w:rPr>
          <w:rStyle w:val="20"/>
        </w:rPr>
        <w:instrText xml:space="preserve"> </w:instrText>
      </w:r>
      <w:r>
        <w:rPr>
          <w:rStyle w:val="20"/>
        </w:rPr>
        <w:fldChar w:fldCharType="separate"/>
      </w:r>
      <w:r>
        <w:rPr>
          <w:rStyle w:val="20"/>
          <w:b/>
        </w:rPr>
        <w:t xml:space="preserve">2.3 </w:t>
      </w:r>
      <w:r>
        <w:rPr>
          <w:rStyle w:val="20"/>
          <w:rFonts w:hint="eastAsia"/>
          <w:b/>
        </w:rPr>
        <w:t>主要生产设备</w:t>
      </w:r>
      <w:r>
        <w:tab/>
      </w:r>
      <w:r>
        <w:fldChar w:fldCharType="begin"/>
      </w:r>
      <w:r>
        <w:instrText xml:space="preserve"> PAGEREF _Toc276372223 \h </w:instrText>
      </w:r>
      <w:r>
        <w:fldChar w:fldCharType="separate"/>
      </w:r>
      <w:r>
        <w:t>16</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"_Toc276372224"</w:instrText>
      </w:r>
      <w:r>
        <w:rPr>
          <w:rStyle w:val="20"/>
        </w:rPr>
        <w:instrText xml:space="preserve"> </w:instrText>
      </w:r>
      <w:r>
        <w:rPr>
          <w:rStyle w:val="20"/>
        </w:rPr>
        <w:fldChar w:fldCharType="separate"/>
      </w:r>
      <w:r>
        <w:rPr>
          <w:rStyle w:val="20"/>
          <w:b/>
        </w:rPr>
        <w:t xml:space="preserve">2.4 </w:t>
      </w:r>
      <w:r>
        <w:rPr>
          <w:rStyle w:val="20"/>
          <w:rFonts w:hint="eastAsia"/>
          <w:b/>
        </w:rPr>
        <w:t>主要原料、燃料消耗及来源</w:t>
      </w:r>
      <w:r>
        <w:tab/>
      </w:r>
      <w:r>
        <w:fldChar w:fldCharType="begin"/>
      </w:r>
      <w:r>
        <w:instrText xml:space="preserve"> PAGEREF _Toc276372224 \h </w:instrText>
      </w:r>
      <w:r>
        <w:fldChar w:fldCharType="separate"/>
      </w:r>
      <w:r>
        <w:t>17</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"_Toc276372225"</w:instrText>
      </w:r>
      <w:r>
        <w:rPr>
          <w:rStyle w:val="20"/>
        </w:rPr>
        <w:instrText xml:space="preserve"> </w:instrText>
      </w:r>
      <w:r>
        <w:rPr>
          <w:rStyle w:val="20"/>
        </w:rPr>
        <w:fldChar w:fldCharType="separate"/>
      </w:r>
      <w:r>
        <w:rPr>
          <w:rStyle w:val="20"/>
          <w:b/>
        </w:rPr>
        <w:t xml:space="preserve">2.5 </w:t>
      </w:r>
      <w:r>
        <w:rPr>
          <w:rStyle w:val="20"/>
          <w:rFonts w:hint="eastAsia"/>
          <w:b/>
        </w:rPr>
        <w:t>公用工程</w:t>
      </w:r>
      <w:r>
        <w:tab/>
      </w:r>
      <w:r>
        <w:fldChar w:fldCharType="begin"/>
      </w:r>
      <w:r>
        <w:instrText xml:space="preserve"> PAGEREF _Toc276372225 \h </w:instrText>
      </w:r>
      <w:r>
        <w:fldChar w:fldCharType="separate"/>
      </w:r>
      <w:r>
        <w:t>17</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"_Toc276372226"</w:instrText>
      </w:r>
      <w:r>
        <w:rPr>
          <w:rStyle w:val="20"/>
        </w:rPr>
        <w:instrText xml:space="preserve"> </w:instrText>
      </w:r>
      <w:r>
        <w:rPr>
          <w:rStyle w:val="20"/>
        </w:rPr>
        <w:fldChar w:fldCharType="separate"/>
      </w:r>
      <w:r>
        <w:rPr>
          <w:rStyle w:val="20"/>
          <w:b/>
        </w:rPr>
        <w:t xml:space="preserve">2.6 </w:t>
      </w:r>
      <w:r>
        <w:rPr>
          <w:rStyle w:val="20"/>
          <w:rFonts w:hint="eastAsia"/>
          <w:b/>
        </w:rPr>
        <w:t>生产工艺</w:t>
      </w:r>
      <w:r>
        <w:tab/>
      </w:r>
      <w:r>
        <w:fldChar w:fldCharType="begin"/>
      </w:r>
      <w:r>
        <w:instrText xml:space="preserve"> PAGEREF _Toc276372226 \h </w:instrText>
      </w:r>
      <w:r>
        <w:fldChar w:fldCharType="separate"/>
      </w:r>
      <w:r>
        <w:t>17</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"_Toc276372227"</w:instrText>
      </w:r>
      <w:r>
        <w:rPr>
          <w:rStyle w:val="20"/>
        </w:rPr>
        <w:instrText xml:space="preserve"> </w:instrText>
      </w:r>
      <w:r>
        <w:rPr>
          <w:rStyle w:val="20"/>
        </w:rPr>
        <w:fldChar w:fldCharType="separate"/>
      </w:r>
      <w:r>
        <w:rPr>
          <w:rStyle w:val="20"/>
          <w:b/>
        </w:rPr>
        <w:t xml:space="preserve">2.7 </w:t>
      </w:r>
      <w:r>
        <w:rPr>
          <w:rStyle w:val="20"/>
          <w:rFonts w:hint="eastAsia"/>
          <w:b/>
        </w:rPr>
        <w:t>污染物产生、治理及排放情况</w:t>
      </w:r>
      <w:r>
        <w:tab/>
      </w:r>
      <w:r>
        <w:fldChar w:fldCharType="begin"/>
      </w:r>
      <w:r>
        <w:instrText xml:space="preserve"> PAGEREF _Toc276372227 \h </w:instrText>
      </w:r>
      <w:r>
        <w:fldChar w:fldCharType="separate"/>
      </w:r>
      <w:r>
        <w:t>18</w:t>
      </w:r>
      <w:r>
        <w:fldChar w:fldCharType="end"/>
      </w:r>
      <w:r>
        <w:rPr>
          <w:rStyle w:val="20"/>
        </w:rPr>
        <w:fldChar w:fldCharType="end"/>
      </w:r>
    </w:p>
    <w:p>
      <w:pPr>
        <w:pStyle w:val="14"/>
        <w:rPr>
          <w:b w:val="0"/>
          <w:bCs w:val="0"/>
          <w:caps w:val="0"/>
          <w:sz w:val="21"/>
        </w:rPr>
      </w:pPr>
      <w:r>
        <w:rPr>
          <w:rStyle w:val="20"/>
        </w:rPr>
        <w:fldChar w:fldCharType="begin"/>
      </w:r>
      <w:r>
        <w:rPr>
          <w:rStyle w:val="20"/>
        </w:rPr>
        <w:instrText xml:space="preserve"> </w:instrText>
      </w:r>
      <w:r>
        <w:instrText xml:space="preserve">HYPERLINK \l "_Toc276372228"</w:instrText>
      </w:r>
      <w:r>
        <w:rPr>
          <w:rStyle w:val="20"/>
        </w:rPr>
        <w:instrText xml:space="preserve"> </w:instrText>
      </w:r>
      <w:r>
        <w:rPr>
          <w:rStyle w:val="20"/>
        </w:rPr>
        <w:fldChar w:fldCharType="separate"/>
      </w:r>
      <w:r>
        <w:rPr>
          <w:rStyle w:val="20"/>
        </w:rPr>
        <w:t xml:space="preserve">3 </w:t>
      </w:r>
      <w:r>
        <w:rPr>
          <w:rStyle w:val="20"/>
          <w:rFonts w:hint="eastAsia"/>
        </w:rPr>
        <w:t>技改项目概况及工程分析</w:t>
      </w:r>
      <w:r>
        <w:tab/>
      </w:r>
      <w:r>
        <w:fldChar w:fldCharType="begin"/>
      </w:r>
      <w:r>
        <w:instrText xml:space="preserve"> PAGEREF _Toc276372228 \h </w:instrText>
      </w:r>
      <w:r>
        <w:fldChar w:fldCharType="separate"/>
      </w:r>
      <w:r>
        <w:t>22</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"_Toc276372229"</w:instrText>
      </w:r>
      <w:r>
        <w:rPr>
          <w:rStyle w:val="20"/>
        </w:rPr>
        <w:instrText xml:space="preserve"> </w:instrText>
      </w:r>
      <w:r>
        <w:rPr>
          <w:rStyle w:val="20"/>
        </w:rPr>
        <w:fldChar w:fldCharType="separate"/>
      </w:r>
      <w:r>
        <w:rPr>
          <w:rStyle w:val="20"/>
          <w:b/>
        </w:rPr>
        <w:t xml:space="preserve">3.1 </w:t>
      </w:r>
      <w:r>
        <w:rPr>
          <w:rStyle w:val="20"/>
          <w:rFonts w:hint="eastAsia"/>
          <w:b/>
        </w:rPr>
        <w:t>技改项目概况</w:t>
      </w:r>
      <w:r>
        <w:tab/>
      </w:r>
      <w:r>
        <w:fldChar w:fldCharType="begin"/>
      </w:r>
      <w:r>
        <w:instrText xml:space="preserve"> PAGEREF _Toc276372229 \h </w:instrText>
      </w:r>
      <w:r>
        <w:fldChar w:fldCharType="separate"/>
      </w:r>
      <w:r>
        <w:t>22</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"_Toc276372230"</w:instrText>
      </w:r>
      <w:r>
        <w:rPr>
          <w:rStyle w:val="20"/>
        </w:rPr>
        <w:instrText xml:space="preserve"> </w:instrText>
      </w:r>
      <w:r>
        <w:rPr>
          <w:rStyle w:val="20"/>
        </w:rPr>
        <w:fldChar w:fldCharType="separate"/>
      </w:r>
      <w:r>
        <w:rPr>
          <w:rStyle w:val="20"/>
          <w:b/>
        </w:rPr>
        <w:t>3.2</w:t>
      </w:r>
      <w:r>
        <w:rPr>
          <w:rStyle w:val="20"/>
          <w:rFonts w:hint="eastAsia"/>
          <w:b/>
        </w:rPr>
        <w:t>工程分析</w:t>
      </w:r>
      <w:r>
        <w:tab/>
      </w:r>
      <w:r>
        <w:fldChar w:fldCharType="begin"/>
      </w:r>
      <w:r>
        <w:instrText xml:space="preserve"> PAGEREF _Toc276372230 \h </w:instrText>
      </w:r>
      <w:r>
        <w:fldChar w:fldCharType="separate"/>
      </w:r>
      <w:r>
        <w:t>33</w:t>
      </w:r>
      <w:r>
        <w:fldChar w:fldCharType="end"/>
      </w:r>
      <w:r>
        <w:rPr>
          <w:rStyle w:val="20"/>
        </w:rPr>
        <w:fldChar w:fldCharType="end"/>
      </w:r>
    </w:p>
    <w:p>
      <w:pPr>
        <w:pStyle w:val="14"/>
        <w:rPr>
          <w:b w:val="0"/>
          <w:bCs w:val="0"/>
          <w:caps w:val="0"/>
          <w:sz w:val="21"/>
        </w:rPr>
      </w:pPr>
      <w:r>
        <w:rPr>
          <w:rStyle w:val="20"/>
        </w:rPr>
        <w:fldChar w:fldCharType="begin"/>
      </w:r>
      <w:r>
        <w:rPr>
          <w:rStyle w:val="20"/>
        </w:rPr>
        <w:instrText xml:space="preserve"> </w:instrText>
      </w:r>
      <w:r>
        <w:instrText xml:space="preserve">HYPERLINK \l "_Toc276372231"</w:instrText>
      </w:r>
      <w:r>
        <w:rPr>
          <w:rStyle w:val="20"/>
        </w:rPr>
        <w:instrText xml:space="preserve"> </w:instrText>
      </w:r>
      <w:r>
        <w:rPr>
          <w:rStyle w:val="20"/>
        </w:rPr>
        <w:fldChar w:fldCharType="separate"/>
      </w:r>
      <w:r>
        <w:rPr>
          <w:rStyle w:val="20"/>
        </w:rPr>
        <w:t>4</w:t>
      </w:r>
      <w:r>
        <w:rPr>
          <w:rStyle w:val="20"/>
          <w:rFonts w:hint="eastAsia"/>
        </w:rPr>
        <w:t>清洁生产与循环经济分析</w:t>
      </w:r>
      <w:r>
        <w:tab/>
      </w:r>
      <w:r>
        <w:fldChar w:fldCharType="begin"/>
      </w:r>
      <w:r>
        <w:instrText xml:space="preserve"> PAGEREF _Toc276372231 \h </w:instrText>
      </w:r>
      <w:r>
        <w:fldChar w:fldCharType="separate"/>
      </w:r>
      <w:r>
        <w:t>51</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"_Toc276372232"</w:instrText>
      </w:r>
      <w:r>
        <w:rPr>
          <w:rStyle w:val="20"/>
        </w:rPr>
        <w:instrText xml:space="preserve"> </w:instrText>
      </w:r>
      <w:r>
        <w:rPr>
          <w:rStyle w:val="20"/>
        </w:rPr>
        <w:fldChar w:fldCharType="separate"/>
      </w:r>
      <w:r>
        <w:rPr>
          <w:rStyle w:val="20"/>
          <w:b/>
        </w:rPr>
        <w:t>4.1</w:t>
      </w:r>
      <w:r>
        <w:rPr>
          <w:rStyle w:val="20"/>
          <w:rFonts w:hint="eastAsia"/>
          <w:b/>
        </w:rPr>
        <w:t>清洁生产</w:t>
      </w:r>
      <w:r>
        <w:tab/>
      </w:r>
      <w:r>
        <w:fldChar w:fldCharType="begin"/>
      </w:r>
      <w:r>
        <w:instrText xml:space="preserve"> PAGEREF _Toc276372232 \h </w:instrText>
      </w:r>
      <w:r>
        <w:fldChar w:fldCharType="separate"/>
      </w:r>
      <w:r>
        <w:t>51</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"_Toc276372233"</w:instrText>
      </w:r>
      <w:r>
        <w:rPr>
          <w:rStyle w:val="20"/>
        </w:rPr>
        <w:instrText xml:space="preserve"> </w:instrText>
      </w:r>
      <w:r>
        <w:rPr>
          <w:rStyle w:val="20"/>
        </w:rPr>
        <w:fldChar w:fldCharType="separate"/>
      </w:r>
      <w:r>
        <w:rPr>
          <w:rStyle w:val="20"/>
          <w:b/>
        </w:rPr>
        <w:t>4.2</w:t>
      </w:r>
      <w:r>
        <w:rPr>
          <w:rStyle w:val="20"/>
          <w:rFonts w:hint="eastAsia"/>
          <w:b/>
        </w:rPr>
        <w:t>循环经济分析</w:t>
      </w:r>
      <w:r>
        <w:tab/>
      </w:r>
      <w:r>
        <w:fldChar w:fldCharType="begin"/>
      </w:r>
      <w:r>
        <w:instrText xml:space="preserve"> PAGEREF _Toc276372233 \h </w:instrText>
      </w:r>
      <w:r>
        <w:fldChar w:fldCharType="separate"/>
      </w:r>
      <w:r>
        <w:t>57</w:t>
      </w:r>
      <w:r>
        <w:fldChar w:fldCharType="end"/>
      </w:r>
      <w:r>
        <w:rPr>
          <w:rStyle w:val="20"/>
        </w:rPr>
        <w:fldChar w:fldCharType="end"/>
      </w:r>
    </w:p>
    <w:p>
      <w:pPr>
        <w:pStyle w:val="14"/>
        <w:rPr>
          <w:b w:val="0"/>
          <w:bCs w:val="0"/>
          <w:caps w:val="0"/>
          <w:sz w:val="21"/>
        </w:rPr>
      </w:pPr>
      <w:r>
        <w:rPr>
          <w:rStyle w:val="20"/>
        </w:rPr>
        <w:fldChar w:fldCharType="begin"/>
      </w:r>
      <w:r>
        <w:rPr>
          <w:rStyle w:val="20"/>
        </w:rPr>
        <w:instrText xml:space="preserve"> </w:instrText>
      </w:r>
      <w:r>
        <w:instrText xml:space="preserve">HYPERLINK \l "_Toc276372234"</w:instrText>
      </w:r>
      <w:r>
        <w:rPr>
          <w:rStyle w:val="20"/>
        </w:rPr>
        <w:instrText xml:space="preserve"> </w:instrText>
      </w:r>
      <w:r>
        <w:rPr>
          <w:rStyle w:val="20"/>
        </w:rPr>
        <w:fldChar w:fldCharType="separate"/>
      </w:r>
      <w:r>
        <w:rPr>
          <w:rStyle w:val="20"/>
        </w:rPr>
        <w:t xml:space="preserve">5 </w:t>
      </w:r>
      <w:r>
        <w:rPr>
          <w:rStyle w:val="20"/>
          <w:rFonts w:hint="eastAsia"/>
        </w:rPr>
        <w:t>区域环境现状</w:t>
      </w:r>
      <w:r>
        <w:tab/>
      </w:r>
      <w:r>
        <w:fldChar w:fldCharType="begin"/>
      </w:r>
      <w:r>
        <w:instrText xml:space="preserve"> PAGEREF _Toc276372234 \h </w:instrText>
      </w:r>
      <w:r>
        <w:fldChar w:fldCharType="separate"/>
      </w:r>
      <w:r>
        <w:t>59</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"_Toc276372235"</w:instrText>
      </w:r>
      <w:r>
        <w:rPr>
          <w:rStyle w:val="20"/>
        </w:rPr>
        <w:instrText xml:space="preserve"> </w:instrText>
      </w:r>
      <w:r>
        <w:rPr>
          <w:rStyle w:val="20"/>
        </w:rPr>
        <w:fldChar w:fldCharType="separate"/>
      </w:r>
      <w:r>
        <w:rPr>
          <w:rStyle w:val="20"/>
          <w:b/>
        </w:rPr>
        <w:t>5.1</w:t>
      </w:r>
      <w:r>
        <w:rPr>
          <w:rStyle w:val="20"/>
          <w:rFonts w:hint="eastAsia"/>
          <w:b/>
        </w:rPr>
        <w:t>自然环境概况</w:t>
      </w:r>
      <w:r>
        <w:tab/>
      </w:r>
      <w:r>
        <w:fldChar w:fldCharType="begin"/>
      </w:r>
      <w:r>
        <w:instrText xml:space="preserve"> PAGEREF _Toc276372235 \h </w:instrText>
      </w:r>
      <w:r>
        <w:fldChar w:fldCharType="separate"/>
      </w:r>
      <w:r>
        <w:t>59</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"_Toc276372236"</w:instrText>
      </w:r>
      <w:r>
        <w:rPr>
          <w:rStyle w:val="20"/>
        </w:rPr>
        <w:instrText xml:space="preserve"> </w:instrText>
      </w:r>
      <w:r>
        <w:rPr>
          <w:rStyle w:val="20"/>
        </w:rPr>
        <w:fldChar w:fldCharType="separate"/>
      </w:r>
      <w:r>
        <w:rPr>
          <w:rStyle w:val="20"/>
          <w:b/>
        </w:rPr>
        <w:t>5.2</w:t>
      </w:r>
      <w:r>
        <w:rPr>
          <w:rStyle w:val="20"/>
          <w:rFonts w:hint="eastAsia"/>
          <w:b/>
        </w:rPr>
        <w:t>社会环境现状</w:t>
      </w:r>
      <w:r>
        <w:tab/>
      </w:r>
      <w:r>
        <w:fldChar w:fldCharType="begin"/>
      </w:r>
      <w:r>
        <w:instrText xml:space="preserve"> PAGEREF _Toc276372236 \h </w:instrText>
      </w:r>
      <w:r>
        <w:fldChar w:fldCharType="separate"/>
      </w:r>
      <w:r>
        <w:t>62</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"_Toc276372237"</w:instrText>
      </w:r>
      <w:r>
        <w:rPr>
          <w:rStyle w:val="20"/>
        </w:rPr>
        <w:instrText xml:space="preserve"> </w:instrText>
      </w:r>
      <w:r>
        <w:rPr>
          <w:rStyle w:val="20"/>
        </w:rPr>
        <w:fldChar w:fldCharType="separate"/>
      </w:r>
      <w:r>
        <w:rPr>
          <w:rStyle w:val="20"/>
          <w:b/>
          <w:bCs/>
        </w:rPr>
        <w:t xml:space="preserve">5.3 </w:t>
      </w:r>
      <w:r>
        <w:rPr>
          <w:rStyle w:val="20"/>
          <w:rFonts w:hint="eastAsia"/>
          <w:b/>
          <w:bCs/>
        </w:rPr>
        <w:t>区域规划</w:t>
      </w:r>
      <w:r>
        <w:tab/>
      </w:r>
      <w:r>
        <w:fldChar w:fldCharType="begin"/>
      </w:r>
      <w:r>
        <w:instrText xml:space="preserve"> PAGEREF _Toc276372237 \h </w:instrText>
      </w:r>
      <w:r>
        <w:fldChar w:fldCharType="separate"/>
      </w:r>
      <w:r>
        <w:t>63</w:t>
      </w:r>
      <w:r>
        <w:fldChar w:fldCharType="end"/>
      </w:r>
      <w:r>
        <w:rPr>
          <w:rStyle w:val="20"/>
        </w:rPr>
        <w:fldChar w:fldCharType="end"/>
      </w:r>
    </w:p>
    <w:p>
      <w:pPr>
        <w:pStyle w:val="14"/>
        <w:rPr>
          <w:b w:val="0"/>
          <w:bCs w:val="0"/>
          <w:caps w:val="0"/>
          <w:sz w:val="21"/>
        </w:rPr>
      </w:pPr>
      <w:r>
        <w:rPr>
          <w:rStyle w:val="20"/>
        </w:rPr>
        <w:fldChar w:fldCharType="begin"/>
      </w:r>
      <w:r>
        <w:rPr>
          <w:rStyle w:val="20"/>
        </w:rPr>
        <w:instrText xml:space="preserve"> </w:instrText>
      </w:r>
      <w:r>
        <w:instrText xml:space="preserve">HYPERLINK \l "_Toc276372238"</w:instrText>
      </w:r>
      <w:r>
        <w:rPr>
          <w:rStyle w:val="20"/>
        </w:rPr>
        <w:instrText xml:space="preserve"> </w:instrText>
      </w:r>
      <w:r>
        <w:rPr>
          <w:rStyle w:val="20"/>
        </w:rPr>
        <w:fldChar w:fldCharType="separate"/>
      </w:r>
      <w:r>
        <w:rPr>
          <w:rStyle w:val="20"/>
        </w:rPr>
        <w:t xml:space="preserve">6  </w:t>
      </w:r>
      <w:r>
        <w:rPr>
          <w:rStyle w:val="20"/>
          <w:rFonts w:hint="eastAsia"/>
        </w:rPr>
        <w:t>环境质量现状</w:t>
      </w:r>
      <w:r>
        <w:tab/>
      </w:r>
      <w:r>
        <w:fldChar w:fldCharType="begin"/>
      </w:r>
      <w:r>
        <w:instrText xml:space="preserve"> PAGEREF _Toc276372238 \h </w:instrText>
      </w:r>
      <w:r>
        <w:fldChar w:fldCharType="separate"/>
      </w:r>
      <w:r>
        <w:t>66</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"_Toc276372239"</w:instrText>
      </w:r>
      <w:r>
        <w:rPr>
          <w:rStyle w:val="20"/>
        </w:rPr>
        <w:instrText xml:space="preserve"> </w:instrText>
      </w:r>
      <w:r>
        <w:rPr>
          <w:rStyle w:val="20"/>
        </w:rPr>
        <w:fldChar w:fldCharType="separate"/>
      </w:r>
      <w:r>
        <w:rPr>
          <w:rStyle w:val="20"/>
          <w:b/>
          <w:bCs/>
        </w:rPr>
        <w:t xml:space="preserve">6.1 </w:t>
      </w:r>
      <w:r>
        <w:rPr>
          <w:rStyle w:val="20"/>
          <w:rFonts w:hint="eastAsia"/>
          <w:b/>
          <w:bCs/>
        </w:rPr>
        <w:t>环境空气质量现状与评价</w:t>
      </w:r>
      <w:r>
        <w:tab/>
      </w:r>
      <w:r>
        <w:fldChar w:fldCharType="begin"/>
      </w:r>
      <w:r>
        <w:instrText xml:space="preserve"> PAGEREF _Toc276372239 \h </w:instrText>
      </w:r>
      <w:r>
        <w:fldChar w:fldCharType="separate"/>
      </w:r>
      <w:r>
        <w:t>66</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"_Toc276372240"</w:instrText>
      </w:r>
      <w:r>
        <w:rPr>
          <w:rStyle w:val="20"/>
        </w:rPr>
        <w:instrText xml:space="preserve"> </w:instrText>
      </w:r>
      <w:r>
        <w:rPr>
          <w:rStyle w:val="20"/>
        </w:rPr>
        <w:fldChar w:fldCharType="separate"/>
      </w:r>
      <w:r>
        <w:rPr>
          <w:rStyle w:val="20"/>
          <w:b/>
          <w:bCs/>
        </w:rPr>
        <w:t xml:space="preserve">6.2 </w:t>
      </w:r>
      <w:r>
        <w:rPr>
          <w:rStyle w:val="20"/>
          <w:rFonts w:hint="eastAsia"/>
          <w:b/>
          <w:bCs/>
        </w:rPr>
        <w:t>地表水环境质量现状监测与评价</w:t>
      </w:r>
      <w:r>
        <w:tab/>
      </w:r>
      <w:r>
        <w:fldChar w:fldCharType="begin"/>
      </w:r>
      <w:r>
        <w:instrText xml:space="preserve"> PAGEREF _Toc276372240 \h </w:instrText>
      </w:r>
      <w:r>
        <w:fldChar w:fldCharType="separate"/>
      </w:r>
      <w:r>
        <w:t>69</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"_Toc276372241"</w:instrText>
      </w:r>
      <w:r>
        <w:rPr>
          <w:rStyle w:val="20"/>
        </w:rPr>
        <w:instrText xml:space="preserve"> </w:instrText>
      </w:r>
      <w:r>
        <w:rPr>
          <w:rStyle w:val="20"/>
        </w:rPr>
        <w:fldChar w:fldCharType="separate"/>
      </w:r>
      <w:r>
        <w:rPr>
          <w:rStyle w:val="20"/>
          <w:b/>
          <w:bCs/>
        </w:rPr>
        <w:t xml:space="preserve">6.3 </w:t>
      </w:r>
      <w:r>
        <w:rPr>
          <w:rStyle w:val="20"/>
          <w:rFonts w:hint="eastAsia"/>
          <w:b/>
          <w:bCs/>
        </w:rPr>
        <w:t>声环境质量现状监测与评价</w:t>
      </w:r>
      <w:r>
        <w:tab/>
      </w:r>
      <w:r>
        <w:fldChar w:fldCharType="begin"/>
      </w:r>
      <w:r>
        <w:instrText xml:space="preserve"> PAGEREF _Toc276372241 \h </w:instrText>
      </w:r>
      <w:r>
        <w:fldChar w:fldCharType="separate"/>
      </w:r>
      <w:r>
        <w:t>71</w:t>
      </w:r>
      <w:r>
        <w:fldChar w:fldCharType="end"/>
      </w:r>
      <w:r>
        <w:rPr>
          <w:rStyle w:val="20"/>
        </w:rPr>
        <w:fldChar w:fldCharType="end"/>
      </w:r>
    </w:p>
    <w:p>
      <w:pPr>
        <w:pStyle w:val="14"/>
        <w:rPr>
          <w:b w:val="0"/>
          <w:bCs w:val="0"/>
          <w:caps w:val="0"/>
          <w:sz w:val="21"/>
        </w:rPr>
      </w:pPr>
      <w:r>
        <w:rPr>
          <w:rStyle w:val="20"/>
        </w:rPr>
        <w:fldChar w:fldCharType="begin"/>
      </w:r>
      <w:r>
        <w:rPr>
          <w:rStyle w:val="20"/>
        </w:rPr>
        <w:instrText xml:space="preserve"> </w:instrText>
      </w:r>
      <w:r>
        <w:instrText xml:space="preserve">HYPERLINK \l "_Toc276372242"</w:instrText>
      </w:r>
      <w:r>
        <w:rPr>
          <w:rStyle w:val="20"/>
        </w:rPr>
        <w:instrText xml:space="preserve"> </w:instrText>
      </w:r>
      <w:r>
        <w:rPr>
          <w:rStyle w:val="20"/>
        </w:rPr>
        <w:fldChar w:fldCharType="separate"/>
      </w:r>
      <w:r>
        <w:rPr>
          <w:rStyle w:val="20"/>
        </w:rPr>
        <w:t>7</w:t>
      </w:r>
      <w:r>
        <w:rPr>
          <w:rStyle w:val="20"/>
          <w:rFonts w:hint="eastAsia"/>
        </w:rPr>
        <w:t>施工期环境影响分析及水土保持初步方案</w:t>
      </w:r>
      <w:r>
        <w:tab/>
      </w:r>
      <w:r>
        <w:fldChar w:fldCharType="begin"/>
      </w:r>
      <w:r>
        <w:instrText xml:space="preserve"> PAGEREF _Toc276372242 \h </w:instrText>
      </w:r>
      <w:r>
        <w:fldChar w:fldCharType="separate"/>
      </w:r>
      <w:r>
        <w:t>72</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"_Toc276372243"</w:instrText>
      </w:r>
      <w:r>
        <w:rPr>
          <w:rStyle w:val="20"/>
        </w:rPr>
        <w:instrText xml:space="preserve"> </w:instrText>
      </w:r>
      <w:r>
        <w:rPr>
          <w:rStyle w:val="20"/>
        </w:rPr>
        <w:fldChar w:fldCharType="separate"/>
      </w:r>
      <w:r>
        <w:rPr>
          <w:rStyle w:val="20"/>
          <w:b/>
          <w:bCs/>
        </w:rPr>
        <w:t>7.1</w:t>
      </w:r>
      <w:r>
        <w:rPr>
          <w:rStyle w:val="20"/>
          <w:rFonts w:hint="eastAsia"/>
          <w:b/>
        </w:rPr>
        <w:t>主要施工内容及施工方法</w:t>
      </w:r>
      <w:r>
        <w:tab/>
      </w:r>
      <w:r>
        <w:fldChar w:fldCharType="begin"/>
      </w:r>
      <w:r>
        <w:instrText xml:space="preserve"> PAGEREF _Toc276372243 \h </w:instrText>
      </w:r>
      <w:r>
        <w:fldChar w:fldCharType="separate"/>
      </w:r>
      <w:r>
        <w:t>72</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"_Toc276372244"</w:instrText>
      </w:r>
      <w:r>
        <w:rPr>
          <w:rStyle w:val="20"/>
        </w:rPr>
        <w:instrText xml:space="preserve"> </w:instrText>
      </w:r>
      <w:r>
        <w:rPr>
          <w:rStyle w:val="20"/>
        </w:rPr>
        <w:fldChar w:fldCharType="separate"/>
      </w:r>
      <w:r>
        <w:rPr>
          <w:rStyle w:val="20"/>
          <w:b/>
          <w:bCs/>
        </w:rPr>
        <w:t xml:space="preserve">7.2  </w:t>
      </w:r>
      <w:r>
        <w:rPr>
          <w:rStyle w:val="20"/>
          <w:rFonts w:hint="eastAsia"/>
          <w:b/>
          <w:bCs/>
        </w:rPr>
        <w:t>主要污染源及污染防治对策</w:t>
      </w:r>
      <w:r>
        <w:tab/>
      </w:r>
      <w:r>
        <w:fldChar w:fldCharType="begin"/>
      </w:r>
      <w:r>
        <w:instrText xml:space="preserve"> PAGEREF _Toc276372244 \h </w:instrText>
      </w:r>
      <w:r>
        <w:fldChar w:fldCharType="separate"/>
      </w:r>
      <w:r>
        <w:t>72</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"_Toc276372245"</w:instrText>
      </w:r>
      <w:r>
        <w:rPr>
          <w:rStyle w:val="20"/>
        </w:rPr>
        <w:instrText xml:space="preserve"> </w:instrText>
      </w:r>
      <w:r>
        <w:rPr>
          <w:rStyle w:val="20"/>
        </w:rPr>
        <w:fldChar w:fldCharType="separate"/>
      </w:r>
      <w:r>
        <w:rPr>
          <w:rStyle w:val="20"/>
          <w:b/>
          <w:bCs/>
        </w:rPr>
        <w:t xml:space="preserve">7.3  </w:t>
      </w:r>
      <w:r>
        <w:rPr>
          <w:rStyle w:val="20"/>
          <w:rFonts w:hint="eastAsia"/>
          <w:b/>
          <w:bCs/>
        </w:rPr>
        <w:t>施工期环境影响分析及减缓措施</w:t>
      </w:r>
      <w:r>
        <w:tab/>
      </w:r>
      <w:r>
        <w:fldChar w:fldCharType="begin"/>
      </w:r>
      <w:r>
        <w:instrText xml:space="preserve"> PAGEREF _Toc276372245 \h </w:instrText>
      </w:r>
      <w:r>
        <w:fldChar w:fldCharType="separate"/>
      </w:r>
      <w:r>
        <w:t>72</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"_Toc276372246"</w:instrText>
      </w:r>
      <w:r>
        <w:rPr>
          <w:rStyle w:val="20"/>
        </w:rPr>
        <w:instrText xml:space="preserve"> </w:instrText>
      </w:r>
      <w:r>
        <w:rPr>
          <w:rStyle w:val="20"/>
        </w:rPr>
        <w:fldChar w:fldCharType="separate"/>
      </w:r>
      <w:r>
        <w:rPr>
          <w:rStyle w:val="20"/>
          <w:b/>
          <w:bCs/>
        </w:rPr>
        <w:t xml:space="preserve">7.4  </w:t>
      </w:r>
      <w:r>
        <w:rPr>
          <w:rStyle w:val="20"/>
          <w:rFonts w:hint="eastAsia"/>
          <w:b/>
          <w:bCs/>
        </w:rPr>
        <w:t>水土流失环境影响分析及水土保持初步方案</w:t>
      </w:r>
      <w:r>
        <w:tab/>
      </w:r>
      <w:r>
        <w:fldChar w:fldCharType="begin"/>
      </w:r>
      <w:r>
        <w:instrText xml:space="preserve"> PAGEREF _Toc276372246 \h </w:instrText>
      </w:r>
      <w:r>
        <w:fldChar w:fldCharType="separate"/>
      </w:r>
      <w:r>
        <w:t>76</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"_Toc276372247"</w:instrText>
      </w:r>
      <w:r>
        <w:rPr>
          <w:rStyle w:val="20"/>
        </w:rPr>
        <w:instrText xml:space="preserve"> </w:instrText>
      </w:r>
      <w:r>
        <w:rPr>
          <w:rStyle w:val="20"/>
        </w:rPr>
        <w:fldChar w:fldCharType="separate"/>
      </w:r>
      <w:r>
        <w:rPr>
          <w:rStyle w:val="20"/>
          <w:b/>
          <w:bCs/>
        </w:rPr>
        <w:t xml:space="preserve">7.5 </w:t>
      </w:r>
      <w:r>
        <w:rPr>
          <w:rStyle w:val="20"/>
          <w:rFonts w:hint="eastAsia"/>
          <w:b/>
          <w:bCs/>
        </w:rPr>
        <w:t>废弃放射源处置</w:t>
      </w:r>
      <w:r>
        <w:tab/>
      </w:r>
      <w:r>
        <w:fldChar w:fldCharType="begin"/>
      </w:r>
      <w:r>
        <w:instrText xml:space="preserve"> PAGEREF _Toc276372247 \h </w:instrText>
      </w:r>
      <w:r>
        <w:fldChar w:fldCharType="separate"/>
      </w:r>
      <w:r>
        <w:t>77</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"_Toc276372249"</w:instrText>
      </w:r>
      <w:r>
        <w:rPr>
          <w:rStyle w:val="20"/>
        </w:rPr>
        <w:instrText xml:space="preserve"> </w:instrText>
      </w:r>
      <w:r>
        <w:rPr>
          <w:rStyle w:val="20"/>
        </w:rPr>
        <w:fldChar w:fldCharType="separate"/>
      </w:r>
      <w:r>
        <w:rPr>
          <w:rStyle w:val="20"/>
          <w:b/>
          <w:bCs/>
        </w:rPr>
        <w:t xml:space="preserve">7.6 </w:t>
      </w:r>
      <w:r>
        <w:rPr>
          <w:rStyle w:val="20"/>
          <w:rFonts w:hint="eastAsia"/>
          <w:b/>
          <w:bCs/>
        </w:rPr>
        <w:t>小结</w:t>
      </w:r>
      <w:r>
        <w:tab/>
      </w:r>
      <w:r>
        <w:fldChar w:fldCharType="begin"/>
      </w:r>
      <w:r>
        <w:instrText xml:space="preserve"> PAGEREF _Toc276372249 \h </w:instrText>
      </w:r>
      <w:r>
        <w:fldChar w:fldCharType="separate"/>
      </w:r>
      <w:r>
        <w:t>77</w:t>
      </w:r>
      <w:r>
        <w:fldChar w:fldCharType="end"/>
      </w:r>
      <w:r>
        <w:rPr>
          <w:rStyle w:val="20"/>
        </w:rPr>
        <w:fldChar w:fldCharType="end"/>
      </w:r>
    </w:p>
    <w:p>
      <w:pPr>
        <w:pStyle w:val="14"/>
        <w:rPr>
          <w:b w:val="0"/>
          <w:bCs w:val="0"/>
          <w:caps w:val="0"/>
          <w:sz w:val="21"/>
        </w:rPr>
      </w:pPr>
      <w:r>
        <w:rPr>
          <w:rStyle w:val="20"/>
        </w:rPr>
        <w:fldChar w:fldCharType="begin"/>
      </w:r>
      <w:r>
        <w:rPr>
          <w:rStyle w:val="20"/>
        </w:rPr>
        <w:instrText xml:space="preserve"> </w:instrText>
      </w:r>
      <w:r>
        <w:instrText xml:space="preserve">HYPERLINK \l "_Toc276372250"</w:instrText>
      </w:r>
      <w:r>
        <w:rPr>
          <w:rStyle w:val="20"/>
        </w:rPr>
        <w:instrText xml:space="preserve"> </w:instrText>
      </w:r>
      <w:r>
        <w:rPr>
          <w:rStyle w:val="20"/>
        </w:rPr>
        <w:fldChar w:fldCharType="separate"/>
      </w:r>
      <w:r>
        <w:rPr>
          <w:rStyle w:val="20"/>
        </w:rPr>
        <w:t xml:space="preserve">8 </w:t>
      </w:r>
      <w:r>
        <w:rPr>
          <w:rStyle w:val="20"/>
          <w:rFonts w:hint="eastAsia"/>
        </w:rPr>
        <w:t>环境影响预测与评价</w:t>
      </w:r>
      <w:r>
        <w:tab/>
      </w:r>
      <w:r>
        <w:fldChar w:fldCharType="begin"/>
      </w:r>
      <w:r>
        <w:instrText xml:space="preserve"> PAGEREF _Toc276372250 \h </w:instrText>
      </w:r>
      <w:r>
        <w:fldChar w:fldCharType="separate"/>
      </w:r>
      <w:r>
        <w:t>79</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"_Toc276372251"</w:instrText>
      </w:r>
      <w:r>
        <w:rPr>
          <w:rStyle w:val="20"/>
        </w:rPr>
        <w:instrText xml:space="preserve"> </w:instrText>
      </w:r>
      <w:r>
        <w:rPr>
          <w:rStyle w:val="20"/>
        </w:rPr>
        <w:fldChar w:fldCharType="separate"/>
      </w:r>
      <w:r>
        <w:rPr>
          <w:rStyle w:val="20"/>
          <w:b/>
          <w:bCs/>
        </w:rPr>
        <w:t>8.1</w:t>
      </w:r>
      <w:r>
        <w:rPr>
          <w:rStyle w:val="20"/>
          <w:rFonts w:hint="eastAsia"/>
          <w:b/>
          <w:bCs/>
        </w:rPr>
        <w:t>环境空气影响预测与评价</w:t>
      </w:r>
      <w:r>
        <w:tab/>
      </w:r>
      <w:r>
        <w:fldChar w:fldCharType="begin"/>
      </w:r>
      <w:r>
        <w:instrText xml:space="preserve"> PAGEREF _Toc276372251 \h </w:instrText>
      </w:r>
      <w:r>
        <w:fldChar w:fldCharType="separate"/>
      </w:r>
      <w:r>
        <w:t>79</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"_Toc276372252"</w:instrText>
      </w:r>
      <w:r>
        <w:rPr>
          <w:rStyle w:val="20"/>
        </w:rPr>
        <w:instrText xml:space="preserve"> </w:instrText>
      </w:r>
      <w:r>
        <w:rPr>
          <w:rStyle w:val="20"/>
        </w:rPr>
        <w:fldChar w:fldCharType="separate"/>
      </w:r>
      <w:r>
        <w:rPr>
          <w:rStyle w:val="20"/>
          <w:b/>
          <w:bCs/>
        </w:rPr>
        <w:t xml:space="preserve">8.2 </w:t>
      </w:r>
      <w:r>
        <w:rPr>
          <w:rStyle w:val="20"/>
          <w:rFonts w:hint="eastAsia"/>
          <w:b/>
          <w:bCs/>
        </w:rPr>
        <w:t>地表水影响分析</w:t>
      </w:r>
      <w:r>
        <w:tab/>
      </w:r>
      <w:r>
        <w:fldChar w:fldCharType="begin"/>
      </w:r>
      <w:r>
        <w:instrText xml:space="preserve"> PAGEREF _Toc276372252 \h </w:instrText>
      </w:r>
      <w:r>
        <w:fldChar w:fldCharType="separate"/>
      </w:r>
      <w:r>
        <w:t>97</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"_Toc276372253"</w:instrText>
      </w:r>
      <w:r>
        <w:rPr>
          <w:rStyle w:val="20"/>
        </w:rPr>
        <w:instrText xml:space="preserve"> </w:instrText>
      </w:r>
      <w:r>
        <w:rPr>
          <w:rStyle w:val="20"/>
        </w:rPr>
        <w:fldChar w:fldCharType="separate"/>
      </w:r>
      <w:r>
        <w:rPr>
          <w:rStyle w:val="20"/>
          <w:b/>
          <w:bCs/>
        </w:rPr>
        <w:t>8.3</w:t>
      </w:r>
      <w:r>
        <w:rPr>
          <w:rStyle w:val="20"/>
          <w:rFonts w:hint="eastAsia"/>
          <w:b/>
          <w:bCs/>
        </w:rPr>
        <w:t>声环境影响预测与评价</w:t>
      </w:r>
      <w:r>
        <w:tab/>
      </w:r>
      <w:r>
        <w:fldChar w:fldCharType="begin"/>
      </w:r>
      <w:r>
        <w:instrText xml:space="preserve"> PAGEREF _Toc276372253 \h </w:instrText>
      </w:r>
      <w:r>
        <w:fldChar w:fldCharType="separate"/>
      </w:r>
      <w:r>
        <w:t>98</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"_Toc276372254"</w:instrText>
      </w:r>
      <w:r>
        <w:rPr>
          <w:rStyle w:val="20"/>
        </w:rPr>
        <w:instrText xml:space="preserve"> </w:instrText>
      </w:r>
      <w:r>
        <w:rPr>
          <w:rStyle w:val="20"/>
        </w:rPr>
        <w:fldChar w:fldCharType="separate"/>
      </w:r>
      <w:r>
        <w:rPr>
          <w:rStyle w:val="20"/>
          <w:b/>
          <w:bCs/>
        </w:rPr>
        <w:t>8.4</w:t>
      </w:r>
      <w:r>
        <w:rPr>
          <w:rStyle w:val="20"/>
          <w:rFonts w:hint="eastAsia"/>
          <w:b/>
          <w:bCs/>
        </w:rPr>
        <w:t>固体废物影响分析</w:t>
      </w:r>
      <w:r>
        <w:tab/>
      </w:r>
      <w:r>
        <w:fldChar w:fldCharType="begin"/>
      </w:r>
      <w:r>
        <w:instrText xml:space="preserve"> PAGEREF _Toc276372254 \h </w:instrText>
      </w:r>
      <w:r>
        <w:fldChar w:fldCharType="separate"/>
      </w:r>
      <w:r>
        <w:t>100</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"_Toc276372255"</w:instrText>
      </w:r>
      <w:r>
        <w:rPr>
          <w:rStyle w:val="20"/>
        </w:rPr>
        <w:instrText xml:space="preserve"> </w:instrText>
      </w:r>
      <w:r>
        <w:rPr>
          <w:rStyle w:val="20"/>
        </w:rPr>
        <w:fldChar w:fldCharType="separate"/>
      </w:r>
      <w:r>
        <w:rPr>
          <w:rStyle w:val="20"/>
          <w:b/>
          <w:bCs/>
        </w:rPr>
        <w:t>8.5</w:t>
      </w:r>
      <w:r>
        <w:rPr>
          <w:rStyle w:val="20"/>
          <w:rFonts w:hint="eastAsia"/>
          <w:b/>
          <w:bCs/>
        </w:rPr>
        <w:t>生态环境影响分析</w:t>
      </w:r>
      <w:r>
        <w:tab/>
      </w:r>
      <w:r>
        <w:fldChar w:fldCharType="begin"/>
      </w:r>
      <w:r>
        <w:instrText xml:space="preserve"> PAGEREF _Toc276372255 \h </w:instrText>
      </w:r>
      <w:r>
        <w:fldChar w:fldCharType="separate"/>
      </w:r>
      <w:r>
        <w:t>101</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"_Toc276372256"</w:instrText>
      </w:r>
      <w:r>
        <w:rPr>
          <w:rStyle w:val="20"/>
        </w:rPr>
        <w:instrText xml:space="preserve"> </w:instrText>
      </w:r>
      <w:r>
        <w:rPr>
          <w:rStyle w:val="20"/>
        </w:rPr>
        <w:fldChar w:fldCharType="separate"/>
      </w:r>
      <w:r>
        <w:rPr>
          <w:rStyle w:val="20"/>
          <w:b/>
          <w:bCs/>
        </w:rPr>
        <w:t xml:space="preserve">8.6 </w:t>
      </w:r>
      <w:r>
        <w:rPr>
          <w:rStyle w:val="20"/>
          <w:rFonts w:hint="eastAsia"/>
          <w:b/>
          <w:bCs/>
        </w:rPr>
        <w:t>运输对环境的影响分析</w:t>
      </w:r>
      <w:r>
        <w:tab/>
      </w:r>
      <w:r>
        <w:fldChar w:fldCharType="begin"/>
      </w:r>
      <w:r>
        <w:instrText xml:space="preserve"> PAGEREF _Toc276372256 \h </w:instrText>
      </w:r>
      <w:r>
        <w:fldChar w:fldCharType="separate"/>
      </w:r>
      <w:r>
        <w:t>102</w:t>
      </w:r>
      <w:r>
        <w:fldChar w:fldCharType="end"/>
      </w:r>
      <w:r>
        <w:rPr>
          <w:rStyle w:val="20"/>
        </w:rPr>
        <w:fldChar w:fldCharType="end"/>
      </w:r>
    </w:p>
    <w:p>
      <w:pPr>
        <w:pStyle w:val="14"/>
        <w:rPr>
          <w:b w:val="0"/>
          <w:bCs w:val="0"/>
          <w:caps w:val="0"/>
          <w:sz w:val="21"/>
        </w:rPr>
      </w:pPr>
      <w:r>
        <w:rPr>
          <w:rStyle w:val="20"/>
        </w:rPr>
        <w:fldChar w:fldCharType="begin"/>
      </w:r>
      <w:r>
        <w:rPr>
          <w:rStyle w:val="20"/>
        </w:rPr>
        <w:instrText xml:space="preserve"> </w:instrText>
      </w:r>
      <w:r>
        <w:instrText xml:space="preserve">HYPERLINK \l "_Toc276372257"</w:instrText>
      </w:r>
      <w:r>
        <w:rPr>
          <w:rStyle w:val="20"/>
        </w:rPr>
        <w:instrText xml:space="preserve"> </w:instrText>
      </w:r>
      <w:r>
        <w:rPr>
          <w:rStyle w:val="20"/>
        </w:rPr>
        <w:fldChar w:fldCharType="separate"/>
      </w:r>
      <w:r>
        <w:rPr>
          <w:rStyle w:val="20"/>
        </w:rPr>
        <w:t xml:space="preserve">9 </w:t>
      </w:r>
      <w:r>
        <w:rPr>
          <w:rStyle w:val="20"/>
          <w:rFonts w:hint="eastAsia"/>
        </w:rPr>
        <w:t>公众参与</w:t>
      </w:r>
      <w:r>
        <w:tab/>
      </w:r>
      <w:r>
        <w:fldChar w:fldCharType="begin"/>
      </w:r>
      <w:r>
        <w:instrText xml:space="preserve"> PAGEREF _Toc276372257 \h </w:instrText>
      </w:r>
      <w:r>
        <w:fldChar w:fldCharType="separate"/>
      </w:r>
      <w:r>
        <w:t>104</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"_Toc276372258"</w:instrText>
      </w:r>
      <w:r>
        <w:rPr>
          <w:rStyle w:val="20"/>
        </w:rPr>
        <w:instrText xml:space="preserve"> </w:instrText>
      </w:r>
      <w:r>
        <w:rPr>
          <w:rStyle w:val="20"/>
        </w:rPr>
        <w:fldChar w:fldCharType="separate"/>
      </w:r>
      <w:r>
        <w:rPr>
          <w:rStyle w:val="20"/>
          <w:b/>
          <w:bCs/>
        </w:rPr>
        <w:t xml:space="preserve">9.1 </w:t>
      </w:r>
      <w:r>
        <w:rPr>
          <w:rStyle w:val="20"/>
          <w:rFonts w:hint="eastAsia"/>
          <w:b/>
          <w:bCs/>
        </w:rPr>
        <w:t>公众参与的目的和方式</w:t>
      </w:r>
      <w:r>
        <w:tab/>
      </w:r>
      <w:r>
        <w:fldChar w:fldCharType="begin"/>
      </w:r>
      <w:r>
        <w:instrText xml:space="preserve"> PAGEREF _Toc276372258 \h </w:instrText>
      </w:r>
      <w:r>
        <w:fldChar w:fldCharType="separate"/>
      </w:r>
      <w:r>
        <w:t>104</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"_Toc276372259"</w:instrText>
      </w:r>
      <w:r>
        <w:rPr>
          <w:rStyle w:val="20"/>
        </w:rPr>
        <w:instrText xml:space="preserve"> </w:instrText>
      </w:r>
      <w:r>
        <w:rPr>
          <w:rStyle w:val="20"/>
        </w:rPr>
        <w:fldChar w:fldCharType="separate"/>
      </w:r>
      <w:r>
        <w:rPr>
          <w:rStyle w:val="20"/>
          <w:b/>
          <w:bCs/>
        </w:rPr>
        <w:t xml:space="preserve">9.2 </w:t>
      </w:r>
      <w:r>
        <w:rPr>
          <w:rStyle w:val="20"/>
          <w:rFonts w:hint="eastAsia"/>
          <w:b/>
          <w:bCs/>
        </w:rPr>
        <w:t>公众参与方式及范围</w:t>
      </w:r>
      <w:r>
        <w:tab/>
      </w:r>
      <w:r>
        <w:fldChar w:fldCharType="begin"/>
      </w:r>
      <w:r>
        <w:instrText xml:space="preserve"> PAGEREF _Toc276372259 \h </w:instrText>
      </w:r>
      <w:r>
        <w:fldChar w:fldCharType="separate"/>
      </w:r>
      <w:r>
        <w:t>104</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"_Toc276372260"</w:instrText>
      </w:r>
      <w:r>
        <w:rPr>
          <w:rStyle w:val="20"/>
        </w:rPr>
        <w:instrText xml:space="preserve"> </w:instrText>
      </w:r>
      <w:r>
        <w:rPr>
          <w:rStyle w:val="20"/>
        </w:rPr>
        <w:fldChar w:fldCharType="separate"/>
      </w:r>
      <w:r>
        <w:rPr>
          <w:rStyle w:val="20"/>
          <w:b/>
          <w:bCs/>
        </w:rPr>
        <w:t>9.3</w:t>
      </w:r>
      <w:r>
        <w:rPr>
          <w:rStyle w:val="20"/>
          <w:rFonts w:hint="eastAsia"/>
          <w:b/>
          <w:bCs/>
        </w:rPr>
        <w:t>公众参与结果</w:t>
      </w:r>
      <w:r>
        <w:tab/>
      </w:r>
      <w:r>
        <w:fldChar w:fldCharType="begin"/>
      </w:r>
      <w:r>
        <w:instrText xml:space="preserve"> PAGEREF _Toc276372260 \h </w:instrText>
      </w:r>
      <w:r>
        <w:fldChar w:fldCharType="separate"/>
      </w:r>
      <w:r>
        <w:t>104</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"_Toc276372261"</w:instrText>
      </w:r>
      <w:r>
        <w:rPr>
          <w:rStyle w:val="20"/>
        </w:rPr>
        <w:instrText xml:space="preserve"> </w:instrText>
      </w:r>
      <w:r>
        <w:rPr>
          <w:rStyle w:val="20"/>
        </w:rPr>
        <w:fldChar w:fldCharType="separate"/>
      </w:r>
      <w:r>
        <w:rPr>
          <w:rStyle w:val="20"/>
          <w:b/>
          <w:bCs/>
        </w:rPr>
        <w:t xml:space="preserve">9.4 </w:t>
      </w:r>
      <w:r>
        <w:rPr>
          <w:rStyle w:val="20"/>
          <w:rFonts w:hint="eastAsia"/>
          <w:b/>
          <w:bCs/>
        </w:rPr>
        <w:t>公众意见采纳情况</w:t>
      </w:r>
      <w:r>
        <w:tab/>
      </w:r>
      <w:r>
        <w:fldChar w:fldCharType="begin"/>
      </w:r>
      <w:r>
        <w:instrText xml:space="preserve"> PAGEREF _Toc276372261 \h </w:instrText>
      </w:r>
      <w:r>
        <w:fldChar w:fldCharType="separate"/>
      </w:r>
      <w:r>
        <w:t>107</w:t>
      </w:r>
      <w:r>
        <w:fldChar w:fldCharType="end"/>
      </w:r>
      <w:r>
        <w:rPr>
          <w:rStyle w:val="20"/>
        </w:rPr>
        <w:fldChar w:fldCharType="end"/>
      </w:r>
    </w:p>
    <w:p>
      <w:pPr>
        <w:pStyle w:val="14"/>
        <w:rPr>
          <w:b w:val="0"/>
          <w:bCs w:val="0"/>
          <w:caps w:val="0"/>
          <w:sz w:val="21"/>
        </w:rPr>
      </w:pPr>
      <w:r>
        <w:rPr>
          <w:rStyle w:val="20"/>
        </w:rPr>
        <w:fldChar w:fldCharType="begin"/>
      </w:r>
      <w:r>
        <w:rPr>
          <w:rStyle w:val="20"/>
        </w:rPr>
        <w:instrText xml:space="preserve"> </w:instrText>
      </w:r>
      <w:r>
        <w:instrText xml:space="preserve">HYPERLINK \l "_Toc276372262"</w:instrText>
      </w:r>
      <w:r>
        <w:rPr>
          <w:rStyle w:val="20"/>
        </w:rPr>
        <w:instrText xml:space="preserve"> </w:instrText>
      </w:r>
      <w:r>
        <w:rPr>
          <w:rStyle w:val="20"/>
        </w:rPr>
        <w:fldChar w:fldCharType="separate"/>
      </w:r>
      <w:r>
        <w:rPr>
          <w:rStyle w:val="20"/>
        </w:rPr>
        <w:t xml:space="preserve">10 </w:t>
      </w:r>
      <w:r>
        <w:rPr>
          <w:rStyle w:val="20"/>
          <w:rFonts w:hint="eastAsia"/>
        </w:rPr>
        <w:t>环保措施及其技术经济论证</w:t>
      </w:r>
      <w:r>
        <w:tab/>
      </w:r>
      <w:r>
        <w:fldChar w:fldCharType="begin"/>
      </w:r>
      <w:r>
        <w:instrText xml:space="preserve"> PAGEREF _Toc276372262 \h </w:instrText>
      </w:r>
      <w:r>
        <w:fldChar w:fldCharType="separate"/>
      </w:r>
      <w:r>
        <w:t>108</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"_Toc276372263"</w:instrText>
      </w:r>
      <w:r>
        <w:rPr>
          <w:rStyle w:val="20"/>
        </w:rPr>
        <w:instrText xml:space="preserve"> </w:instrText>
      </w:r>
      <w:r>
        <w:rPr>
          <w:rStyle w:val="20"/>
        </w:rPr>
        <w:fldChar w:fldCharType="separate"/>
      </w:r>
      <w:r>
        <w:rPr>
          <w:rStyle w:val="20"/>
          <w:b/>
        </w:rPr>
        <w:t>10.1</w:t>
      </w:r>
      <w:r>
        <w:rPr>
          <w:rStyle w:val="20"/>
          <w:rFonts w:hint="eastAsia"/>
          <w:b/>
        </w:rPr>
        <w:t>废气治理</w:t>
      </w:r>
      <w:r>
        <w:tab/>
      </w:r>
      <w:r>
        <w:fldChar w:fldCharType="begin"/>
      </w:r>
      <w:r>
        <w:instrText xml:space="preserve"> PAGEREF _Toc276372263 \h </w:instrText>
      </w:r>
      <w:r>
        <w:fldChar w:fldCharType="separate"/>
      </w:r>
      <w:r>
        <w:t>108</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"_Toc276372264"</w:instrText>
      </w:r>
      <w:r>
        <w:rPr>
          <w:rStyle w:val="20"/>
        </w:rPr>
        <w:instrText xml:space="preserve"> </w:instrText>
      </w:r>
      <w:r>
        <w:rPr>
          <w:rStyle w:val="20"/>
        </w:rPr>
        <w:fldChar w:fldCharType="separate"/>
      </w:r>
      <w:r>
        <w:rPr>
          <w:rStyle w:val="20"/>
          <w:b/>
        </w:rPr>
        <w:t>10.2</w:t>
      </w:r>
      <w:r>
        <w:rPr>
          <w:rStyle w:val="20"/>
          <w:rFonts w:hint="eastAsia"/>
          <w:b/>
        </w:rPr>
        <w:t>废水治理</w:t>
      </w:r>
      <w:r>
        <w:tab/>
      </w:r>
      <w:r>
        <w:fldChar w:fldCharType="begin"/>
      </w:r>
      <w:r>
        <w:instrText xml:space="preserve"> PAGEREF _Toc276372264 \h </w:instrText>
      </w:r>
      <w:r>
        <w:fldChar w:fldCharType="separate"/>
      </w:r>
      <w:r>
        <w:t>110</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"_Toc276372265"</w:instrText>
      </w:r>
      <w:r>
        <w:rPr>
          <w:rStyle w:val="20"/>
        </w:rPr>
        <w:instrText xml:space="preserve"> </w:instrText>
      </w:r>
      <w:r>
        <w:rPr>
          <w:rStyle w:val="20"/>
        </w:rPr>
        <w:fldChar w:fldCharType="separate"/>
      </w:r>
      <w:r>
        <w:rPr>
          <w:rStyle w:val="20"/>
          <w:b/>
        </w:rPr>
        <w:t xml:space="preserve">10.3 </w:t>
      </w:r>
      <w:r>
        <w:rPr>
          <w:rStyle w:val="20"/>
          <w:rFonts w:hint="eastAsia"/>
          <w:b/>
        </w:rPr>
        <w:t>环境噪声污染防治措施</w:t>
      </w:r>
      <w:r>
        <w:tab/>
      </w:r>
      <w:r>
        <w:fldChar w:fldCharType="begin"/>
      </w:r>
      <w:r>
        <w:instrText xml:space="preserve"> PAGEREF _Toc276372265 \h </w:instrText>
      </w:r>
      <w:r>
        <w:fldChar w:fldCharType="separate"/>
      </w:r>
      <w:r>
        <w:t>111</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"_Toc276372266"</w:instrText>
      </w:r>
      <w:r>
        <w:rPr>
          <w:rStyle w:val="20"/>
        </w:rPr>
        <w:instrText xml:space="preserve"> </w:instrText>
      </w:r>
      <w:r>
        <w:rPr>
          <w:rStyle w:val="20"/>
        </w:rPr>
        <w:fldChar w:fldCharType="separate"/>
      </w:r>
      <w:r>
        <w:rPr>
          <w:rStyle w:val="20"/>
          <w:b/>
        </w:rPr>
        <w:t xml:space="preserve">10.4 </w:t>
      </w:r>
      <w:r>
        <w:rPr>
          <w:rStyle w:val="20"/>
          <w:rFonts w:hint="eastAsia"/>
          <w:b/>
        </w:rPr>
        <w:t>固体废物处置</w:t>
      </w:r>
      <w:r>
        <w:tab/>
      </w:r>
      <w:r>
        <w:fldChar w:fldCharType="begin"/>
      </w:r>
      <w:r>
        <w:instrText xml:space="preserve"> PAGEREF _Toc276372266 \h </w:instrText>
      </w:r>
      <w:r>
        <w:fldChar w:fldCharType="separate"/>
      </w:r>
      <w:r>
        <w:t>112</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"_Toc276372267"</w:instrText>
      </w:r>
      <w:r>
        <w:rPr>
          <w:rStyle w:val="20"/>
        </w:rPr>
        <w:instrText xml:space="preserve"> </w:instrText>
      </w:r>
      <w:r>
        <w:rPr>
          <w:rStyle w:val="20"/>
        </w:rPr>
        <w:fldChar w:fldCharType="separate"/>
      </w:r>
      <w:r>
        <w:rPr>
          <w:rStyle w:val="20"/>
          <w:b/>
        </w:rPr>
        <w:t>10.5</w:t>
      </w:r>
      <w:r>
        <w:rPr>
          <w:rStyle w:val="20"/>
          <w:rFonts w:hint="eastAsia"/>
          <w:b/>
        </w:rPr>
        <w:t>环境监测</w:t>
      </w:r>
      <w:r>
        <w:tab/>
      </w:r>
      <w:r>
        <w:fldChar w:fldCharType="begin"/>
      </w:r>
      <w:r>
        <w:instrText xml:space="preserve"> PAGEREF _Toc276372267 \h </w:instrText>
      </w:r>
      <w:r>
        <w:fldChar w:fldCharType="separate"/>
      </w:r>
      <w:r>
        <w:t>112</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"_Toc276372268"</w:instrText>
      </w:r>
      <w:r>
        <w:rPr>
          <w:rStyle w:val="20"/>
        </w:rPr>
        <w:instrText xml:space="preserve"> </w:instrText>
      </w:r>
      <w:r>
        <w:rPr>
          <w:rStyle w:val="20"/>
        </w:rPr>
        <w:fldChar w:fldCharType="separate"/>
      </w:r>
      <w:r>
        <w:rPr>
          <w:rStyle w:val="20"/>
          <w:b/>
        </w:rPr>
        <w:t>10.6</w:t>
      </w:r>
      <w:r>
        <w:rPr>
          <w:rStyle w:val="20"/>
          <w:rFonts w:hint="eastAsia"/>
          <w:b/>
        </w:rPr>
        <w:t>厂区绿化</w:t>
      </w:r>
      <w:r>
        <w:tab/>
      </w:r>
      <w:r>
        <w:fldChar w:fldCharType="begin"/>
      </w:r>
      <w:r>
        <w:instrText xml:space="preserve"> PAGEREF _Toc276372268 \h </w:instrText>
      </w:r>
      <w:r>
        <w:fldChar w:fldCharType="separate"/>
      </w:r>
      <w:r>
        <w:t>113</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"_Toc276372269"</w:instrText>
      </w:r>
      <w:r>
        <w:rPr>
          <w:rStyle w:val="20"/>
        </w:rPr>
        <w:instrText xml:space="preserve"> </w:instrText>
      </w:r>
      <w:r>
        <w:rPr>
          <w:rStyle w:val="20"/>
        </w:rPr>
        <w:fldChar w:fldCharType="separate"/>
      </w:r>
      <w:r>
        <w:rPr>
          <w:rStyle w:val="20"/>
          <w:b/>
        </w:rPr>
        <w:t>10.7</w:t>
      </w:r>
      <w:r>
        <w:rPr>
          <w:rStyle w:val="20"/>
          <w:rFonts w:hint="eastAsia"/>
          <w:b/>
        </w:rPr>
        <w:t>环保投资</w:t>
      </w:r>
      <w:r>
        <w:tab/>
      </w:r>
      <w:r>
        <w:fldChar w:fldCharType="begin"/>
      </w:r>
      <w:r>
        <w:instrText xml:space="preserve"> PAGEREF _Toc276372269 \h </w:instrText>
      </w:r>
      <w:r>
        <w:fldChar w:fldCharType="separate"/>
      </w:r>
      <w:r>
        <w:t>113</w:t>
      </w:r>
      <w:r>
        <w:fldChar w:fldCharType="end"/>
      </w:r>
      <w:r>
        <w:rPr>
          <w:rStyle w:val="20"/>
        </w:rPr>
        <w:fldChar w:fldCharType="end"/>
      </w:r>
    </w:p>
    <w:p>
      <w:pPr>
        <w:pStyle w:val="14"/>
        <w:rPr>
          <w:b w:val="0"/>
          <w:bCs w:val="0"/>
          <w:caps w:val="0"/>
          <w:sz w:val="21"/>
        </w:rPr>
      </w:pPr>
      <w:r>
        <w:rPr>
          <w:rStyle w:val="20"/>
        </w:rPr>
        <w:fldChar w:fldCharType="begin"/>
      </w:r>
      <w:r>
        <w:rPr>
          <w:rStyle w:val="20"/>
        </w:rPr>
        <w:instrText xml:space="preserve"> </w:instrText>
      </w:r>
      <w:r>
        <w:instrText xml:space="preserve">HYPERLINK \l "_Toc276372270"</w:instrText>
      </w:r>
      <w:r>
        <w:rPr>
          <w:rStyle w:val="20"/>
        </w:rPr>
        <w:instrText xml:space="preserve"> </w:instrText>
      </w:r>
      <w:r>
        <w:rPr>
          <w:rStyle w:val="20"/>
        </w:rPr>
        <w:fldChar w:fldCharType="separate"/>
      </w:r>
      <w:r>
        <w:rPr>
          <w:rStyle w:val="20"/>
        </w:rPr>
        <w:t xml:space="preserve">11 </w:t>
      </w:r>
      <w:r>
        <w:rPr>
          <w:rStyle w:val="20"/>
          <w:rFonts w:hint="eastAsia"/>
        </w:rPr>
        <w:t>环境影响经济损益分析</w:t>
      </w:r>
      <w:r>
        <w:tab/>
      </w:r>
      <w:r>
        <w:fldChar w:fldCharType="begin"/>
      </w:r>
      <w:r>
        <w:instrText xml:space="preserve"> PAGEREF _Toc276372270 \h </w:instrText>
      </w:r>
      <w:r>
        <w:fldChar w:fldCharType="separate"/>
      </w:r>
      <w:r>
        <w:t>115</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"_Toc276372271"</w:instrText>
      </w:r>
      <w:r>
        <w:rPr>
          <w:rStyle w:val="20"/>
        </w:rPr>
        <w:instrText xml:space="preserve"> </w:instrText>
      </w:r>
      <w:r>
        <w:rPr>
          <w:rStyle w:val="20"/>
        </w:rPr>
        <w:fldChar w:fldCharType="separate"/>
      </w:r>
      <w:r>
        <w:rPr>
          <w:rStyle w:val="20"/>
          <w:b/>
        </w:rPr>
        <w:t>11.1</w:t>
      </w:r>
      <w:r>
        <w:rPr>
          <w:rStyle w:val="20"/>
          <w:rFonts w:hint="eastAsia"/>
          <w:b/>
        </w:rPr>
        <w:t>环境经济损益分析</w:t>
      </w:r>
      <w:r>
        <w:tab/>
      </w:r>
      <w:r>
        <w:fldChar w:fldCharType="begin"/>
      </w:r>
      <w:r>
        <w:instrText xml:space="preserve"> PAGEREF _Toc276372271 \h </w:instrText>
      </w:r>
      <w:r>
        <w:fldChar w:fldCharType="separate"/>
      </w:r>
      <w:r>
        <w:t>115</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"_Toc276372272"</w:instrText>
      </w:r>
      <w:r>
        <w:rPr>
          <w:rStyle w:val="20"/>
        </w:rPr>
        <w:instrText xml:space="preserve"> </w:instrText>
      </w:r>
      <w:r>
        <w:rPr>
          <w:rStyle w:val="20"/>
        </w:rPr>
        <w:fldChar w:fldCharType="separate"/>
      </w:r>
      <w:r>
        <w:rPr>
          <w:rStyle w:val="20"/>
          <w:b/>
        </w:rPr>
        <w:t xml:space="preserve">11.2 </w:t>
      </w:r>
      <w:r>
        <w:rPr>
          <w:rStyle w:val="20"/>
          <w:rFonts w:hint="eastAsia"/>
          <w:b/>
        </w:rPr>
        <w:t>社会效益分析</w:t>
      </w:r>
      <w:r>
        <w:tab/>
      </w:r>
      <w:r>
        <w:fldChar w:fldCharType="begin"/>
      </w:r>
      <w:r>
        <w:instrText xml:space="preserve"> PAGEREF _Toc276372272 \h </w:instrText>
      </w:r>
      <w:r>
        <w:fldChar w:fldCharType="separate"/>
      </w:r>
      <w:r>
        <w:t>116</w:t>
      </w:r>
      <w:r>
        <w:fldChar w:fldCharType="end"/>
      </w:r>
      <w:r>
        <w:rPr>
          <w:rStyle w:val="20"/>
        </w:rPr>
        <w:fldChar w:fldCharType="end"/>
      </w:r>
    </w:p>
    <w:p>
      <w:pPr>
        <w:pStyle w:val="14"/>
        <w:rPr>
          <w:b w:val="0"/>
          <w:bCs w:val="0"/>
          <w:caps w:val="0"/>
          <w:sz w:val="21"/>
        </w:rPr>
      </w:pPr>
      <w:r>
        <w:rPr>
          <w:rStyle w:val="20"/>
        </w:rPr>
        <w:fldChar w:fldCharType="begin"/>
      </w:r>
      <w:r>
        <w:rPr>
          <w:rStyle w:val="20"/>
        </w:rPr>
        <w:instrText xml:space="preserve"> </w:instrText>
      </w:r>
      <w:r>
        <w:instrText xml:space="preserve">HYPERLINK \l "_Toc276372273"</w:instrText>
      </w:r>
      <w:r>
        <w:rPr>
          <w:rStyle w:val="20"/>
        </w:rPr>
        <w:instrText xml:space="preserve"> </w:instrText>
      </w:r>
      <w:r>
        <w:rPr>
          <w:rStyle w:val="20"/>
        </w:rPr>
        <w:fldChar w:fldCharType="separate"/>
      </w:r>
      <w:r>
        <w:rPr>
          <w:rStyle w:val="20"/>
        </w:rPr>
        <w:t>12</w:t>
      </w:r>
      <w:r>
        <w:rPr>
          <w:rStyle w:val="20"/>
          <w:rFonts w:hint="eastAsia"/>
        </w:rPr>
        <w:t>污染物排放总量控制分析</w:t>
      </w:r>
      <w:r>
        <w:tab/>
      </w:r>
      <w:r>
        <w:fldChar w:fldCharType="begin"/>
      </w:r>
      <w:r>
        <w:instrText xml:space="preserve"> PAGEREF _Toc276372273 \h </w:instrText>
      </w:r>
      <w:r>
        <w:fldChar w:fldCharType="separate"/>
      </w:r>
      <w:r>
        <w:t>119</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"_Toc276372274"</w:instrText>
      </w:r>
      <w:r>
        <w:rPr>
          <w:rStyle w:val="20"/>
        </w:rPr>
        <w:instrText xml:space="preserve"> </w:instrText>
      </w:r>
      <w:r>
        <w:rPr>
          <w:rStyle w:val="20"/>
        </w:rPr>
        <w:fldChar w:fldCharType="separate"/>
      </w:r>
      <w:r>
        <w:rPr>
          <w:rStyle w:val="20"/>
          <w:b/>
        </w:rPr>
        <w:t xml:space="preserve">12.1 </w:t>
      </w:r>
      <w:r>
        <w:rPr>
          <w:rStyle w:val="20"/>
          <w:rFonts w:hint="eastAsia"/>
          <w:b/>
        </w:rPr>
        <w:t>污染物排放总量控制依据</w:t>
      </w:r>
      <w:r>
        <w:tab/>
      </w:r>
      <w:r>
        <w:fldChar w:fldCharType="begin"/>
      </w:r>
      <w:r>
        <w:instrText xml:space="preserve"> PAGEREF _Toc276372274 \h </w:instrText>
      </w:r>
      <w:r>
        <w:fldChar w:fldCharType="separate"/>
      </w:r>
      <w:r>
        <w:t>119</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"_Toc276372275"</w:instrText>
      </w:r>
      <w:r>
        <w:rPr>
          <w:rStyle w:val="20"/>
        </w:rPr>
        <w:instrText xml:space="preserve"> </w:instrText>
      </w:r>
      <w:r>
        <w:rPr>
          <w:rStyle w:val="20"/>
        </w:rPr>
        <w:fldChar w:fldCharType="separate"/>
      </w:r>
      <w:r>
        <w:rPr>
          <w:rStyle w:val="20"/>
          <w:b/>
        </w:rPr>
        <w:t xml:space="preserve">12.2 </w:t>
      </w:r>
      <w:r>
        <w:rPr>
          <w:rStyle w:val="20"/>
          <w:rFonts w:hint="eastAsia"/>
          <w:b/>
        </w:rPr>
        <w:t>总量控制因子</w:t>
      </w:r>
      <w:r>
        <w:tab/>
      </w:r>
      <w:r>
        <w:fldChar w:fldCharType="begin"/>
      </w:r>
      <w:r>
        <w:instrText xml:space="preserve"> PAGEREF _Toc276372275 \h </w:instrText>
      </w:r>
      <w:r>
        <w:fldChar w:fldCharType="separate"/>
      </w:r>
      <w:r>
        <w:t>119</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"_Toc276372276"</w:instrText>
      </w:r>
      <w:r>
        <w:rPr>
          <w:rStyle w:val="20"/>
        </w:rPr>
        <w:instrText xml:space="preserve"> </w:instrText>
      </w:r>
      <w:r>
        <w:rPr>
          <w:rStyle w:val="20"/>
        </w:rPr>
        <w:fldChar w:fldCharType="separate"/>
      </w:r>
      <w:r>
        <w:rPr>
          <w:rStyle w:val="20"/>
          <w:b/>
        </w:rPr>
        <w:t>12.3</w:t>
      </w:r>
      <w:r>
        <w:rPr>
          <w:rStyle w:val="20"/>
          <w:rFonts w:hint="eastAsia"/>
          <w:b/>
        </w:rPr>
        <w:t>总量指标的解决途径</w:t>
      </w:r>
      <w:r>
        <w:tab/>
      </w:r>
      <w:r>
        <w:fldChar w:fldCharType="begin"/>
      </w:r>
      <w:r>
        <w:instrText xml:space="preserve"> PAGEREF _Toc276372276 \h </w:instrText>
      </w:r>
      <w:r>
        <w:fldChar w:fldCharType="separate"/>
      </w:r>
      <w:r>
        <w:t>119</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"_Toc276372277"</w:instrText>
      </w:r>
      <w:r>
        <w:rPr>
          <w:rStyle w:val="20"/>
        </w:rPr>
        <w:instrText xml:space="preserve"> </w:instrText>
      </w:r>
      <w:r>
        <w:rPr>
          <w:rStyle w:val="20"/>
        </w:rPr>
        <w:fldChar w:fldCharType="separate"/>
      </w:r>
      <w:r>
        <w:rPr>
          <w:rStyle w:val="20"/>
          <w:b/>
        </w:rPr>
        <w:t xml:space="preserve">12.4 </w:t>
      </w:r>
      <w:r>
        <w:rPr>
          <w:rStyle w:val="20"/>
          <w:rFonts w:hint="eastAsia"/>
          <w:b/>
        </w:rPr>
        <w:t>污染物排放总量控制建议指标</w:t>
      </w:r>
      <w:r>
        <w:tab/>
      </w:r>
      <w:r>
        <w:fldChar w:fldCharType="begin"/>
      </w:r>
      <w:r>
        <w:instrText xml:space="preserve"> PAGEREF _Toc276372277 \h </w:instrText>
      </w:r>
      <w:r>
        <w:fldChar w:fldCharType="separate"/>
      </w:r>
      <w:r>
        <w:t>119</w:t>
      </w:r>
      <w:r>
        <w:fldChar w:fldCharType="end"/>
      </w:r>
      <w:r>
        <w:rPr>
          <w:rStyle w:val="20"/>
        </w:rPr>
        <w:fldChar w:fldCharType="end"/>
      </w:r>
    </w:p>
    <w:p>
      <w:pPr>
        <w:pStyle w:val="14"/>
        <w:rPr>
          <w:b w:val="0"/>
          <w:bCs w:val="0"/>
          <w:caps w:val="0"/>
          <w:sz w:val="21"/>
        </w:rPr>
      </w:pPr>
      <w:r>
        <w:rPr>
          <w:rStyle w:val="20"/>
        </w:rPr>
        <w:fldChar w:fldCharType="begin"/>
      </w:r>
      <w:r>
        <w:rPr>
          <w:rStyle w:val="20"/>
        </w:rPr>
        <w:instrText xml:space="preserve"> </w:instrText>
      </w:r>
      <w:r>
        <w:instrText xml:space="preserve">HYPERLINK \l "_Toc276372278"</w:instrText>
      </w:r>
      <w:r>
        <w:rPr>
          <w:rStyle w:val="20"/>
        </w:rPr>
        <w:instrText xml:space="preserve"> </w:instrText>
      </w:r>
      <w:r>
        <w:rPr>
          <w:rStyle w:val="20"/>
        </w:rPr>
        <w:fldChar w:fldCharType="separate"/>
      </w:r>
      <w:r>
        <w:rPr>
          <w:rStyle w:val="20"/>
        </w:rPr>
        <w:t xml:space="preserve">13 </w:t>
      </w:r>
      <w:r>
        <w:rPr>
          <w:rStyle w:val="20"/>
          <w:rFonts w:hint="eastAsia"/>
        </w:rPr>
        <w:t>产业政策与规划符合性分析</w:t>
      </w:r>
      <w:r>
        <w:tab/>
      </w:r>
      <w:r>
        <w:fldChar w:fldCharType="begin"/>
      </w:r>
      <w:r>
        <w:instrText xml:space="preserve"> PAGEREF _Toc276372278 \h </w:instrText>
      </w:r>
      <w:r>
        <w:fldChar w:fldCharType="separate"/>
      </w:r>
      <w:r>
        <w:t>120</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"_Toc276372279"</w:instrText>
      </w:r>
      <w:r>
        <w:rPr>
          <w:rStyle w:val="20"/>
        </w:rPr>
        <w:instrText xml:space="preserve"> </w:instrText>
      </w:r>
      <w:r>
        <w:rPr>
          <w:rStyle w:val="20"/>
        </w:rPr>
        <w:fldChar w:fldCharType="separate"/>
      </w:r>
      <w:r>
        <w:rPr>
          <w:rStyle w:val="20"/>
          <w:b/>
        </w:rPr>
        <w:t xml:space="preserve">13.1 </w:t>
      </w:r>
      <w:r>
        <w:rPr>
          <w:rStyle w:val="20"/>
          <w:rFonts w:hint="eastAsia"/>
          <w:b/>
        </w:rPr>
        <w:t>产业政策符合性分析</w:t>
      </w:r>
      <w:r>
        <w:tab/>
      </w:r>
      <w:r>
        <w:fldChar w:fldCharType="begin"/>
      </w:r>
      <w:r>
        <w:instrText xml:space="preserve"> PAGEREF _Toc276372279 \h </w:instrText>
      </w:r>
      <w:r>
        <w:fldChar w:fldCharType="separate"/>
      </w:r>
      <w:r>
        <w:t>120</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"_Toc276372280"</w:instrText>
      </w:r>
      <w:r>
        <w:rPr>
          <w:rStyle w:val="20"/>
        </w:rPr>
        <w:instrText xml:space="preserve"> </w:instrText>
      </w:r>
      <w:r>
        <w:rPr>
          <w:rStyle w:val="20"/>
        </w:rPr>
        <w:fldChar w:fldCharType="separate"/>
      </w:r>
      <w:r>
        <w:rPr>
          <w:rStyle w:val="20"/>
          <w:b/>
          <w:bCs/>
        </w:rPr>
        <w:t xml:space="preserve">13.2  </w:t>
      </w:r>
      <w:r>
        <w:rPr>
          <w:rStyle w:val="20"/>
          <w:rFonts w:hint="eastAsia"/>
          <w:b/>
          <w:bCs/>
        </w:rPr>
        <w:t>规划符合性分析</w:t>
      </w:r>
      <w:r>
        <w:tab/>
      </w:r>
      <w:r>
        <w:fldChar w:fldCharType="begin"/>
      </w:r>
      <w:r>
        <w:instrText xml:space="preserve"> PAGEREF _Toc276372280 \h </w:instrText>
      </w:r>
      <w:r>
        <w:fldChar w:fldCharType="separate"/>
      </w:r>
      <w:r>
        <w:t>122</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"_Toc276372281"</w:instrText>
      </w:r>
      <w:r>
        <w:rPr>
          <w:rStyle w:val="20"/>
        </w:rPr>
        <w:instrText xml:space="preserve"> </w:instrText>
      </w:r>
      <w:r>
        <w:rPr>
          <w:rStyle w:val="20"/>
        </w:rPr>
        <w:fldChar w:fldCharType="separate"/>
      </w:r>
      <w:r>
        <w:rPr>
          <w:rStyle w:val="20"/>
          <w:b/>
        </w:rPr>
        <w:t xml:space="preserve">13.3 </w:t>
      </w:r>
      <w:r>
        <w:rPr>
          <w:rStyle w:val="20"/>
          <w:rFonts w:hint="eastAsia" w:ascii="宋体" w:hAnsi="宋体"/>
          <w:b/>
          <w:bCs/>
        </w:rPr>
        <w:t>重庆市工业项目环境准入规定符合性分析</w:t>
      </w:r>
      <w:r>
        <w:tab/>
      </w:r>
      <w:r>
        <w:fldChar w:fldCharType="begin"/>
      </w:r>
      <w:r>
        <w:instrText xml:space="preserve"> PAGEREF _Toc276372281 \h </w:instrText>
      </w:r>
      <w:r>
        <w:fldChar w:fldCharType="separate"/>
      </w:r>
      <w:r>
        <w:t>123</w:t>
      </w:r>
      <w:r>
        <w:fldChar w:fldCharType="end"/>
      </w:r>
      <w:r>
        <w:rPr>
          <w:rStyle w:val="20"/>
        </w:rPr>
        <w:fldChar w:fldCharType="end"/>
      </w:r>
    </w:p>
    <w:p>
      <w:pPr>
        <w:pStyle w:val="14"/>
        <w:rPr>
          <w:b w:val="0"/>
          <w:bCs w:val="0"/>
          <w:caps w:val="0"/>
          <w:sz w:val="21"/>
        </w:rPr>
      </w:pPr>
      <w:r>
        <w:rPr>
          <w:rStyle w:val="20"/>
        </w:rPr>
        <w:fldChar w:fldCharType="begin"/>
      </w:r>
      <w:r>
        <w:rPr>
          <w:rStyle w:val="20"/>
        </w:rPr>
        <w:instrText xml:space="preserve"> </w:instrText>
      </w:r>
      <w:r>
        <w:instrText xml:space="preserve">HYPERLINK \l "_Toc276372282"</w:instrText>
      </w:r>
      <w:r>
        <w:rPr>
          <w:rStyle w:val="20"/>
        </w:rPr>
        <w:instrText xml:space="preserve"> </w:instrText>
      </w:r>
      <w:r>
        <w:rPr>
          <w:rStyle w:val="20"/>
        </w:rPr>
        <w:fldChar w:fldCharType="separate"/>
      </w:r>
      <w:r>
        <w:rPr>
          <w:rStyle w:val="20"/>
        </w:rPr>
        <w:t xml:space="preserve">14  </w:t>
      </w:r>
      <w:r>
        <w:rPr>
          <w:rStyle w:val="20"/>
          <w:rFonts w:hint="eastAsia"/>
        </w:rPr>
        <w:t>厂址选择合理性分析</w:t>
      </w:r>
      <w:r>
        <w:tab/>
      </w:r>
      <w:r>
        <w:fldChar w:fldCharType="begin"/>
      </w:r>
      <w:r>
        <w:instrText xml:space="preserve"> PAGEREF _Toc276372282 \h </w:instrText>
      </w:r>
      <w:r>
        <w:fldChar w:fldCharType="separate"/>
      </w:r>
      <w:r>
        <w:t>125</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"_Toc276372283"</w:instrText>
      </w:r>
      <w:r>
        <w:rPr>
          <w:rStyle w:val="20"/>
        </w:rPr>
        <w:instrText xml:space="preserve"> </w:instrText>
      </w:r>
      <w:r>
        <w:rPr>
          <w:rStyle w:val="20"/>
        </w:rPr>
        <w:fldChar w:fldCharType="separate"/>
      </w:r>
      <w:r>
        <w:rPr>
          <w:rStyle w:val="20"/>
          <w:b/>
        </w:rPr>
        <w:t>14.1</w:t>
      </w:r>
      <w:r>
        <w:rPr>
          <w:rStyle w:val="20"/>
          <w:rFonts w:hint="eastAsia"/>
          <w:b/>
        </w:rPr>
        <w:t>与地方规划符合性</w:t>
      </w:r>
      <w:r>
        <w:tab/>
      </w:r>
      <w:r>
        <w:fldChar w:fldCharType="begin"/>
      </w:r>
      <w:r>
        <w:instrText xml:space="preserve"> PAGEREF _Toc276372283 \h </w:instrText>
      </w:r>
      <w:r>
        <w:fldChar w:fldCharType="separate"/>
      </w:r>
      <w:r>
        <w:t>125</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"_Toc276372284"</w:instrText>
      </w:r>
      <w:r>
        <w:rPr>
          <w:rStyle w:val="20"/>
        </w:rPr>
        <w:instrText xml:space="preserve"> </w:instrText>
      </w:r>
      <w:r>
        <w:rPr>
          <w:rStyle w:val="20"/>
        </w:rPr>
        <w:fldChar w:fldCharType="separate"/>
      </w:r>
      <w:r>
        <w:rPr>
          <w:rStyle w:val="20"/>
          <w:b/>
        </w:rPr>
        <w:t xml:space="preserve">14.2 </w:t>
      </w:r>
      <w:r>
        <w:rPr>
          <w:rStyle w:val="20"/>
          <w:rFonts w:hint="eastAsia"/>
          <w:b/>
        </w:rPr>
        <w:t>厂址自然环境条件</w:t>
      </w:r>
      <w:r>
        <w:tab/>
      </w:r>
      <w:r>
        <w:fldChar w:fldCharType="begin"/>
      </w:r>
      <w:r>
        <w:instrText xml:space="preserve"> PAGEREF _Toc276372284 \h </w:instrText>
      </w:r>
      <w:r>
        <w:fldChar w:fldCharType="separate"/>
      </w:r>
      <w:r>
        <w:t>125</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"_Toc276372285"</w:instrText>
      </w:r>
      <w:r>
        <w:rPr>
          <w:rStyle w:val="20"/>
        </w:rPr>
        <w:instrText xml:space="preserve"> </w:instrText>
      </w:r>
      <w:r>
        <w:rPr>
          <w:rStyle w:val="20"/>
        </w:rPr>
        <w:fldChar w:fldCharType="separate"/>
      </w:r>
      <w:r>
        <w:rPr>
          <w:rStyle w:val="20"/>
          <w:b/>
        </w:rPr>
        <w:t>14.3</w:t>
      </w:r>
      <w:r>
        <w:rPr>
          <w:rStyle w:val="20"/>
          <w:rFonts w:hint="eastAsia"/>
          <w:b/>
        </w:rPr>
        <w:t>环境要素承载力分析</w:t>
      </w:r>
      <w:r>
        <w:tab/>
      </w:r>
      <w:r>
        <w:fldChar w:fldCharType="begin"/>
      </w:r>
      <w:r>
        <w:instrText xml:space="preserve"> PAGEREF _Toc276372285 \h </w:instrText>
      </w:r>
      <w:r>
        <w:fldChar w:fldCharType="separate"/>
      </w:r>
      <w:r>
        <w:t>126</w:t>
      </w:r>
      <w:r>
        <w:fldChar w:fldCharType="end"/>
      </w:r>
      <w:r>
        <w:rPr>
          <w:rStyle w:val="20"/>
        </w:rPr>
        <w:fldChar w:fldCharType="end"/>
      </w:r>
    </w:p>
    <w:p>
      <w:pPr>
        <w:pStyle w:val="14"/>
        <w:rPr>
          <w:b w:val="0"/>
          <w:bCs w:val="0"/>
          <w:caps w:val="0"/>
          <w:sz w:val="21"/>
        </w:rPr>
      </w:pPr>
      <w:r>
        <w:rPr>
          <w:rStyle w:val="20"/>
        </w:rPr>
        <w:fldChar w:fldCharType="begin"/>
      </w:r>
      <w:r>
        <w:rPr>
          <w:rStyle w:val="20"/>
        </w:rPr>
        <w:instrText xml:space="preserve"> </w:instrText>
      </w:r>
      <w:r>
        <w:instrText xml:space="preserve">HYPERLINK \l "_Toc276372286"</w:instrText>
      </w:r>
      <w:r>
        <w:rPr>
          <w:rStyle w:val="20"/>
        </w:rPr>
        <w:instrText xml:space="preserve"> </w:instrText>
      </w:r>
      <w:r>
        <w:rPr>
          <w:rStyle w:val="20"/>
        </w:rPr>
        <w:fldChar w:fldCharType="separate"/>
      </w:r>
      <w:r>
        <w:rPr>
          <w:rStyle w:val="20"/>
        </w:rPr>
        <w:t xml:space="preserve">15 </w:t>
      </w:r>
      <w:r>
        <w:rPr>
          <w:rStyle w:val="20"/>
          <w:rFonts w:hint="eastAsia"/>
        </w:rPr>
        <w:t>环境管理与监测计划</w:t>
      </w:r>
      <w:r>
        <w:tab/>
      </w:r>
      <w:r>
        <w:fldChar w:fldCharType="begin"/>
      </w:r>
      <w:r>
        <w:instrText xml:space="preserve"> PAGEREF _Toc276372286 \h </w:instrText>
      </w:r>
      <w:r>
        <w:fldChar w:fldCharType="separate"/>
      </w:r>
      <w:r>
        <w:t>127</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"_Toc276372287"</w:instrText>
      </w:r>
      <w:r>
        <w:rPr>
          <w:rStyle w:val="20"/>
        </w:rPr>
        <w:instrText xml:space="preserve"> </w:instrText>
      </w:r>
      <w:r>
        <w:rPr>
          <w:rStyle w:val="20"/>
        </w:rPr>
        <w:fldChar w:fldCharType="separate"/>
      </w:r>
      <w:r>
        <w:rPr>
          <w:rStyle w:val="20"/>
          <w:b/>
        </w:rPr>
        <w:t>15.1 ISO14000</w:t>
      </w:r>
      <w:r>
        <w:rPr>
          <w:rStyle w:val="20"/>
          <w:rFonts w:hint="eastAsia"/>
          <w:b/>
        </w:rPr>
        <w:t>简介</w:t>
      </w:r>
      <w:r>
        <w:tab/>
      </w:r>
      <w:r>
        <w:fldChar w:fldCharType="begin"/>
      </w:r>
      <w:r>
        <w:instrText xml:space="preserve"> PAGEREF _Toc276372287 \h </w:instrText>
      </w:r>
      <w:r>
        <w:fldChar w:fldCharType="separate"/>
      </w:r>
      <w:r>
        <w:t>127</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"_Toc276372288"</w:instrText>
      </w:r>
      <w:r>
        <w:rPr>
          <w:rStyle w:val="20"/>
        </w:rPr>
        <w:instrText xml:space="preserve"> </w:instrText>
      </w:r>
      <w:r>
        <w:rPr>
          <w:rStyle w:val="20"/>
        </w:rPr>
        <w:fldChar w:fldCharType="separate"/>
      </w:r>
      <w:r>
        <w:rPr>
          <w:rStyle w:val="20"/>
          <w:b/>
        </w:rPr>
        <w:t xml:space="preserve">15.2  </w:t>
      </w:r>
      <w:r>
        <w:rPr>
          <w:rStyle w:val="20"/>
          <w:rFonts w:hint="eastAsia"/>
          <w:b/>
        </w:rPr>
        <w:t>环境监测</w:t>
      </w:r>
      <w:r>
        <w:tab/>
      </w:r>
      <w:r>
        <w:fldChar w:fldCharType="begin"/>
      </w:r>
      <w:r>
        <w:instrText xml:space="preserve"> PAGEREF _Toc276372288 \h </w:instrText>
      </w:r>
      <w:r>
        <w:fldChar w:fldCharType="separate"/>
      </w:r>
      <w:r>
        <w:t>128</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"_Toc276372289"</w:instrText>
      </w:r>
      <w:r>
        <w:rPr>
          <w:rStyle w:val="20"/>
        </w:rPr>
        <w:instrText xml:space="preserve"> </w:instrText>
      </w:r>
      <w:r>
        <w:rPr>
          <w:rStyle w:val="20"/>
        </w:rPr>
        <w:fldChar w:fldCharType="separate"/>
      </w:r>
      <w:r>
        <w:rPr>
          <w:rStyle w:val="20"/>
          <w:b/>
        </w:rPr>
        <w:t xml:space="preserve">15.3  </w:t>
      </w:r>
      <w:r>
        <w:rPr>
          <w:rStyle w:val="20"/>
          <w:rFonts w:hint="eastAsia"/>
          <w:b/>
        </w:rPr>
        <w:t>环保管理、监测人员的培训计划</w:t>
      </w:r>
      <w:r>
        <w:tab/>
      </w:r>
      <w:r>
        <w:fldChar w:fldCharType="begin"/>
      </w:r>
      <w:r>
        <w:instrText xml:space="preserve"> PAGEREF _Toc276372289 \h </w:instrText>
      </w:r>
      <w:r>
        <w:fldChar w:fldCharType="separate"/>
      </w:r>
      <w:r>
        <w:t>129</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"_Toc276372290"</w:instrText>
      </w:r>
      <w:r>
        <w:rPr>
          <w:rStyle w:val="20"/>
        </w:rPr>
        <w:instrText xml:space="preserve"> </w:instrText>
      </w:r>
      <w:r>
        <w:rPr>
          <w:rStyle w:val="20"/>
        </w:rPr>
        <w:fldChar w:fldCharType="separate"/>
      </w:r>
      <w:r>
        <w:rPr>
          <w:rStyle w:val="20"/>
          <w:b/>
        </w:rPr>
        <w:t xml:space="preserve">15.4  </w:t>
      </w:r>
      <w:r>
        <w:rPr>
          <w:rStyle w:val="20"/>
          <w:rFonts w:hint="eastAsia"/>
          <w:b/>
        </w:rPr>
        <w:t>环境保护竣工验收</w:t>
      </w:r>
      <w:r>
        <w:tab/>
      </w:r>
      <w:r>
        <w:fldChar w:fldCharType="begin"/>
      </w:r>
      <w:r>
        <w:instrText xml:space="preserve"> PAGEREF _Toc276372290 \h </w:instrText>
      </w:r>
      <w:r>
        <w:fldChar w:fldCharType="separate"/>
      </w:r>
      <w:r>
        <w:t>129</w:t>
      </w:r>
      <w:r>
        <w:fldChar w:fldCharType="end"/>
      </w:r>
      <w:r>
        <w:rPr>
          <w:rStyle w:val="20"/>
        </w:rPr>
        <w:fldChar w:fldCharType="end"/>
      </w:r>
    </w:p>
    <w:p>
      <w:pPr>
        <w:pStyle w:val="14"/>
        <w:rPr>
          <w:b w:val="0"/>
          <w:bCs w:val="0"/>
          <w:caps w:val="0"/>
          <w:sz w:val="21"/>
        </w:rPr>
      </w:pPr>
      <w:r>
        <w:rPr>
          <w:rStyle w:val="20"/>
        </w:rPr>
        <w:fldChar w:fldCharType="begin"/>
      </w:r>
      <w:r>
        <w:rPr>
          <w:rStyle w:val="20"/>
        </w:rPr>
        <w:instrText xml:space="preserve"> </w:instrText>
      </w:r>
      <w:r>
        <w:instrText xml:space="preserve">HYPERLINK \l "_Toc276372291"</w:instrText>
      </w:r>
      <w:r>
        <w:rPr>
          <w:rStyle w:val="20"/>
        </w:rPr>
        <w:instrText xml:space="preserve"> </w:instrText>
      </w:r>
      <w:r>
        <w:rPr>
          <w:rStyle w:val="20"/>
        </w:rPr>
        <w:fldChar w:fldCharType="separate"/>
      </w:r>
      <w:r>
        <w:rPr>
          <w:rStyle w:val="20"/>
        </w:rPr>
        <w:t>16</w:t>
      </w:r>
      <w:r>
        <w:rPr>
          <w:rStyle w:val="20"/>
          <w:rFonts w:hint="eastAsia"/>
        </w:rPr>
        <w:t>结论与建议</w:t>
      </w:r>
      <w:r>
        <w:tab/>
      </w:r>
      <w:r>
        <w:fldChar w:fldCharType="begin"/>
      </w:r>
      <w:r>
        <w:instrText xml:space="preserve"> PAGEREF _Toc276372291 \h </w:instrText>
      </w:r>
      <w:r>
        <w:fldChar w:fldCharType="separate"/>
      </w:r>
      <w:r>
        <w:t>133</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"_Toc276372292"</w:instrText>
      </w:r>
      <w:r>
        <w:rPr>
          <w:rStyle w:val="20"/>
        </w:rPr>
        <w:instrText xml:space="preserve"> </w:instrText>
      </w:r>
      <w:r>
        <w:rPr>
          <w:rStyle w:val="20"/>
        </w:rPr>
        <w:fldChar w:fldCharType="separate"/>
      </w:r>
      <w:r>
        <w:rPr>
          <w:rStyle w:val="20"/>
          <w:b/>
        </w:rPr>
        <w:t>16.1</w:t>
      </w:r>
      <w:r>
        <w:rPr>
          <w:rStyle w:val="20"/>
          <w:rFonts w:hint="eastAsia"/>
          <w:b/>
        </w:rPr>
        <w:t>结论</w:t>
      </w:r>
      <w:r>
        <w:tab/>
      </w:r>
      <w:r>
        <w:fldChar w:fldCharType="begin"/>
      </w:r>
      <w:r>
        <w:instrText xml:space="preserve"> PAGEREF _Toc276372292 \h </w:instrText>
      </w:r>
      <w:r>
        <w:fldChar w:fldCharType="separate"/>
      </w:r>
      <w:r>
        <w:t>133</w:t>
      </w:r>
      <w:r>
        <w:fldChar w:fldCharType="end"/>
      </w:r>
      <w:r>
        <w:rPr>
          <w:rStyle w:val="20"/>
        </w:rPr>
        <w:fldChar w:fldCharType="end"/>
      </w:r>
    </w:p>
    <w:p>
      <w:pPr>
        <w:pStyle w:val="15"/>
        <w:tabs>
          <w:tab w:val="right" w:leader="dot" w:pos="9060"/>
        </w:tabs>
        <w:ind w:left="480"/>
        <w:rPr>
          <w:sz w:val="21"/>
        </w:rPr>
      </w:pPr>
      <w:r>
        <w:rPr>
          <w:rStyle w:val="20"/>
        </w:rPr>
        <w:fldChar w:fldCharType="begin"/>
      </w:r>
      <w:r>
        <w:rPr>
          <w:rStyle w:val="20"/>
        </w:rPr>
        <w:instrText xml:space="preserve"> </w:instrText>
      </w:r>
      <w:r>
        <w:instrText xml:space="preserve">HYPERLINK \l "_Toc276372293"</w:instrText>
      </w:r>
      <w:r>
        <w:rPr>
          <w:rStyle w:val="20"/>
        </w:rPr>
        <w:instrText xml:space="preserve"> </w:instrText>
      </w:r>
      <w:r>
        <w:rPr>
          <w:rStyle w:val="20"/>
        </w:rPr>
        <w:fldChar w:fldCharType="separate"/>
      </w:r>
      <w:r>
        <w:rPr>
          <w:rStyle w:val="20"/>
          <w:b/>
        </w:rPr>
        <w:t xml:space="preserve">16.2 </w:t>
      </w:r>
      <w:r>
        <w:rPr>
          <w:rStyle w:val="20"/>
          <w:rFonts w:hint="eastAsia"/>
          <w:b/>
        </w:rPr>
        <w:t>建议</w:t>
      </w:r>
      <w:r>
        <w:tab/>
      </w:r>
      <w:r>
        <w:fldChar w:fldCharType="begin"/>
      </w:r>
      <w:r>
        <w:instrText xml:space="preserve"> PAGEREF _Toc276372293 \h </w:instrText>
      </w:r>
      <w:r>
        <w:fldChar w:fldCharType="separate"/>
      </w:r>
      <w:r>
        <w:t>137</w:t>
      </w:r>
      <w:r>
        <w:fldChar w:fldCharType="end"/>
      </w:r>
      <w:r>
        <w:rPr>
          <w:rStyle w:val="20"/>
        </w:rPr>
        <w:fldChar w:fldCharType="end"/>
      </w:r>
    </w:p>
    <w:p>
      <w:pPr>
        <w:spacing w:line="360" w:lineRule="auto"/>
        <w:rPr>
          <w:rFonts w:hint="eastAsia" w:ascii="黑体" w:eastAsia="黑体"/>
          <w:b/>
          <w:bCs/>
          <w:caps/>
          <w:sz w:val="28"/>
        </w:rPr>
      </w:pPr>
      <w:r>
        <w:rPr>
          <w:rFonts w:ascii="黑体" w:eastAsia="黑体"/>
          <w:sz w:val="28"/>
        </w:rPr>
        <w:fldChar w:fldCharType="end"/>
      </w:r>
    </w:p>
    <w:p>
      <w:pPr>
        <w:spacing w:line="360" w:lineRule="auto"/>
        <w:rPr>
          <w:rFonts w:hint="eastAsia" w:ascii="黑体" w:eastAsia="黑体"/>
          <w:b/>
          <w:bCs/>
          <w:caps/>
          <w:sz w:val="28"/>
        </w:rPr>
      </w:pPr>
    </w:p>
    <w:p>
      <w:pPr>
        <w:spacing w:line="360" w:lineRule="auto"/>
        <w:rPr>
          <w:rFonts w:hint="eastAsia" w:ascii="黑体" w:eastAsia="黑体"/>
          <w:b/>
          <w:bCs/>
          <w:caps/>
          <w:sz w:val="28"/>
        </w:rPr>
      </w:pPr>
    </w:p>
    <w:p>
      <w:pPr>
        <w:spacing w:line="360" w:lineRule="auto"/>
        <w:rPr>
          <w:rFonts w:hint="eastAsia" w:ascii="黑体" w:eastAsia="黑体"/>
          <w:b/>
          <w:bCs/>
          <w:caps/>
          <w:sz w:val="28"/>
        </w:rPr>
      </w:pPr>
    </w:p>
    <w:p>
      <w:pPr>
        <w:spacing w:line="360" w:lineRule="auto"/>
        <w:rPr>
          <w:rFonts w:hint="eastAsia" w:ascii="黑体" w:eastAsia="黑体"/>
          <w:b/>
          <w:bCs/>
          <w:caps/>
          <w:sz w:val="28"/>
        </w:rPr>
      </w:pPr>
    </w:p>
    <w:p>
      <w:pPr>
        <w:spacing w:line="360" w:lineRule="auto"/>
        <w:rPr>
          <w:rFonts w:hint="eastAsia" w:ascii="黑体" w:eastAsia="黑体"/>
          <w:b/>
          <w:bCs/>
          <w:caps/>
          <w:sz w:val="28"/>
        </w:rPr>
      </w:pPr>
      <w:r>
        <w:rPr>
          <w:rFonts w:hint="eastAsia" w:ascii="黑体" w:eastAsia="黑体"/>
          <w:b/>
          <w:bCs/>
          <w:caps/>
          <w:sz w:val="28"/>
        </w:rPr>
        <w:t>附件：</w:t>
      </w:r>
    </w:p>
    <w:p>
      <w:pPr>
        <w:pStyle w:val="24"/>
        <w:ind w:firstLine="480"/>
        <w:rPr>
          <w:rFonts w:hint="eastAsia" w:eastAsia="宋体"/>
          <w:color w:val="auto"/>
        </w:rPr>
      </w:pPr>
      <w:r>
        <w:rPr>
          <w:rFonts w:hint="eastAsia" w:eastAsia="宋体"/>
          <w:color w:val="auto"/>
        </w:rPr>
        <w:t xml:space="preserve">1、《关于重庆永荣青鹏煤业公司环保节能技改2500t/d新型干法水泥项目符合国家产业政策的行业意见》（重庆市经济和信息化委员会）； </w:t>
      </w:r>
    </w:p>
    <w:p>
      <w:pPr>
        <w:spacing w:line="360" w:lineRule="auto"/>
        <w:ind w:firstLine="308" w:firstLineChars="147"/>
        <w:rPr>
          <w:rFonts w:hint="eastAsia"/>
        </w:rPr>
      </w:pPr>
      <w:r>
        <w:rPr>
          <w:rFonts w:hint="eastAsia"/>
        </w:rPr>
        <w:t>2、《市政府关于研究市能投集团发展有关问题的会议纪要》（2010-123）；</w:t>
      </w:r>
    </w:p>
    <w:p>
      <w:pPr>
        <w:spacing w:line="360" w:lineRule="auto"/>
        <w:ind w:firstLine="308" w:firstLineChars="147"/>
        <w:rPr>
          <w:rFonts w:hint="eastAsia"/>
        </w:rPr>
      </w:pPr>
      <w:r>
        <w:rPr>
          <w:rFonts w:hint="eastAsia"/>
        </w:rPr>
        <w:t>3、《建设项目选址意见书》（选字第500106201000043）；</w:t>
      </w:r>
    </w:p>
    <w:p>
      <w:pPr>
        <w:spacing w:line="360" w:lineRule="auto"/>
        <w:ind w:firstLine="308" w:firstLineChars="147"/>
        <w:rPr>
          <w:rFonts w:hint="eastAsia" w:ascii="宋体" w:hAnsi="宋体"/>
        </w:rPr>
      </w:pPr>
      <w:r>
        <w:rPr>
          <w:rFonts w:hint="eastAsia"/>
        </w:rPr>
        <w:t>4、</w:t>
      </w:r>
      <w:r>
        <w:rPr>
          <w:rFonts w:hint="eastAsia" w:ascii="宋体" w:hAnsi="宋体"/>
        </w:rPr>
        <w:t>重庆市建设项目环境影响评价要求通知书（渝（市）环评通920100139号）；</w:t>
      </w:r>
    </w:p>
    <w:p>
      <w:pPr>
        <w:spacing w:line="360" w:lineRule="auto"/>
        <w:ind w:firstLine="308" w:firstLineChars="147"/>
        <w:rPr>
          <w:rFonts w:hint="eastAsia"/>
        </w:rPr>
      </w:pPr>
      <w:r>
        <w:rPr>
          <w:rFonts w:hint="eastAsia" w:ascii="宋体" w:hAnsi="宋体"/>
        </w:rPr>
        <w:t>5、环境监测报告（NO.SPBEMS-2010-PJ042</w:t>
      </w:r>
      <w:r>
        <w:rPr>
          <w:rFonts w:ascii="宋体" w:hAnsi="宋体"/>
        </w:rPr>
        <w:t>）</w:t>
      </w:r>
      <w:r>
        <w:rPr>
          <w:rFonts w:hint="eastAsia" w:ascii="宋体" w:hAnsi="宋体"/>
        </w:rPr>
        <w:t>；</w:t>
      </w:r>
    </w:p>
    <w:p>
      <w:pPr>
        <w:spacing w:line="360" w:lineRule="auto"/>
        <w:ind w:firstLine="308" w:firstLineChars="147"/>
        <w:rPr>
          <w:rFonts w:hint="eastAsia" w:ascii="宋体" w:hAnsi="宋体"/>
        </w:rPr>
      </w:pPr>
      <w:r>
        <w:rPr>
          <w:rFonts w:hint="eastAsia" w:ascii="宋体" w:hAnsi="宋体"/>
        </w:rPr>
        <w:t>6、煤质化验报告；</w:t>
      </w:r>
    </w:p>
    <w:p>
      <w:pPr>
        <w:spacing w:line="360" w:lineRule="auto"/>
        <w:ind w:firstLine="308" w:firstLineChars="147"/>
        <w:rPr>
          <w:rFonts w:hint="eastAsia" w:ascii="宋体" w:hAnsi="宋体"/>
        </w:rPr>
      </w:pPr>
      <w:r>
        <w:rPr>
          <w:rFonts w:hint="eastAsia" w:ascii="宋体" w:hAnsi="宋体"/>
        </w:rPr>
        <w:t>7、石灰石购销合同；</w:t>
      </w:r>
    </w:p>
    <w:p>
      <w:pPr>
        <w:spacing w:line="360" w:lineRule="auto"/>
        <w:ind w:firstLine="308" w:firstLineChars="147"/>
        <w:rPr>
          <w:rFonts w:hint="eastAsia" w:ascii="宋体" w:hAnsi="宋体"/>
        </w:rPr>
      </w:pPr>
      <w:r>
        <w:rPr>
          <w:rFonts w:hint="eastAsia" w:ascii="宋体" w:hAnsi="宋体"/>
        </w:rPr>
        <w:t>8、沙坪坝区环境保护局关于同意安排重庆永荣青鹏公司水泥厂技改项目二氧化硫排放指标的函；</w:t>
      </w:r>
    </w:p>
    <w:p>
      <w:pPr>
        <w:spacing w:line="360" w:lineRule="auto"/>
        <w:ind w:firstLine="308" w:firstLineChars="147"/>
        <w:rPr>
          <w:rFonts w:hint="eastAsia" w:ascii="宋体" w:hAnsi="宋体"/>
        </w:rPr>
      </w:pPr>
      <w:r>
        <w:rPr>
          <w:rFonts w:hint="eastAsia" w:ascii="宋体" w:hAnsi="宋体"/>
        </w:rPr>
        <w:t>9、技改项目网上公示内容；</w:t>
      </w:r>
    </w:p>
    <w:p>
      <w:pPr>
        <w:spacing w:line="360" w:lineRule="auto"/>
        <w:ind w:firstLine="308" w:firstLineChars="147"/>
        <w:rPr>
          <w:rFonts w:hint="eastAsia" w:ascii="宋体" w:hAnsi="宋体"/>
        </w:rPr>
      </w:pPr>
      <w:r>
        <w:rPr>
          <w:rFonts w:hint="eastAsia" w:ascii="宋体" w:hAnsi="宋体"/>
        </w:rPr>
        <w:t>10、公众参与调查表；</w:t>
      </w:r>
    </w:p>
    <w:p>
      <w:pPr>
        <w:spacing w:line="360" w:lineRule="auto"/>
        <w:rPr>
          <w:rFonts w:hint="eastAsia" w:ascii="宋体" w:hAnsi="宋体"/>
        </w:rPr>
      </w:pPr>
      <w:r>
        <w:rPr>
          <w:rFonts w:hint="eastAsia" w:ascii="宋体" w:hAnsi="宋体"/>
        </w:rPr>
        <w:t xml:space="preserve">   11、建设项目审批登记表。</w:t>
      </w:r>
    </w:p>
    <w:p>
      <w:pPr>
        <w:spacing w:line="360" w:lineRule="auto"/>
        <w:rPr>
          <w:rFonts w:hint="eastAsia" w:ascii="宋体" w:hAnsi="宋体"/>
        </w:rPr>
        <w:sectPr>
          <w:headerReference r:id="rId5" w:type="first"/>
          <w:footerReference r:id="rId8" w:type="first"/>
          <w:headerReference r:id="rId3" w:type="default"/>
          <w:footerReference r:id="rId6" w:type="default"/>
          <w:headerReference r:id="rId4" w:type="even"/>
          <w:footerReference r:id="rId7" w:type="even"/>
          <w:pgSz w:w="11906" w:h="16838"/>
          <w:pgMar w:top="1134" w:right="1418" w:bottom="1134" w:left="1418" w:header="851" w:footer="992" w:gutter="0"/>
          <w:paperSrc w:first="20070" w:other="20070"/>
          <w:pgNumType w:fmt="upperRoman" w:start="1"/>
          <w:cols w:space="425" w:num="1"/>
          <w:docGrid w:linePitch="312" w:charSpace="0"/>
        </w:sectPr>
      </w:pPr>
    </w:p>
    <w:p>
      <w:pPr>
        <w:spacing w:line="460" w:lineRule="exact"/>
        <w:jc w:val="center"/>
        <w:outlineLvl w:val="0"/>
        <w:rPr>
          <w:rFonts w:hint="eastAsia" w:ascii="黑体" w:eastAsia="黑体"/>
          <w:sz w:val="30"/>
          <w:szCs w:val="30"/>
        </w:rPr>
      </w:pPr>
      <w:r>
        <w:rPr>
          <w:rFonts w:hint="eastAsia" w:ascii="黑体" w:eastAsia="黑体"/>
          <w:sz w:val="30"/>
          <w:szCs w:val="30"/>
        </w:rPr>
        <w:t xml:space="preserve"> </w:t>
      </w:r>
      <w:bookmarkStart w:id="0" w:name="_Toc276372209"/>
      <w:r>
        <w:rPr>
          <w:rFonts w:hint="eastAsia" w:ascii="黑体" w:eastAsia="黑体"/>
          <w:sz w:val="30"/>
          <w:szCs w:val="30"/>
        </w:rPr>
        <w:t>前    言</w:t>
      </w:r>
      <w:bookmarkEnd w:id="0"/>
    </w:p>
    <w:p>
      <w:pPr>
        <w:autoSpaceDE w:val="0"/>
        <w:autoSpaceDN w:val="0"/>
        <w:spacing w:line="480" w:lineRule="exact"/>
        <w:ind w:firstLine="420" w:firstLineChars="200"/>
        <w:rPr>
          <w:rFonts w:hint="eastAsia" w:ascii="宋体" w:hAnsi="宋体"/>
        </w:rPr>
      </w:pPr>
      <w:r>
        <w:rPr>
          <w:rFonts w:ascii="宋体" w:hAnsi="宋体"/>
        </w:rPr>
        <w:t>重庆永荣青鹏煤业有限公司</w:t>
      </w:r>
      <w:r>
        <w:rPr>
          <w:rFonts w:hint="eastAsia" w:ascii="宋体" w:hAnsi="宋体"/>
        </w:rPr>
        <w:t>隶属于重庆</w:t>
      </w:r>
      <w:r>
        <w:rPr>
          <w:rFonts w:ascii="宋体" w:hAnsi="宋体"/>
        </w:rPr>
        <w:t>市</w:t>
      </w:r>
      <w:r>
        <w:rPr>
          <w:rFonts w:hint="eastAsia" w:ascii="宋体" w:hAnsi="宋体"/>
        </w:rPr>
        <w:t>能源</w:t>
      </w:r>
      <w:r>
        <w:rPr>
          <w:rFonts w:ascii="宋体" w:hAnsi="宋体"/>
        </w:rPr>
        <w:t>投</w:t>
      </w:r>
      <w:r>
        <w:rPr>
          <w:rFonts w:hint="eastAsia" w:ascii="宋体" w:hAnsi="宋体"/>
        </w:rPr>
        <w:t>资</w:t>
      </w:r>
      <w:r>
        <w:rPr>
          <w:rFonts w:ascii="宋体" w:hAnsi="宋体"/>
        </w:rPr>
        <w:t>集团公司，前身为重庆市青木关煤矿，始建于1958年，现有二千多名职工，位于沙坪坝区青木关镇关口村境内。319国道将矿区分成南北两块：北边为生活区、办公区；南边是工业区的水泥厂、矿井工业广场。几经改扩建至1992年，已成为具水泥、煤炭生产加工和销售一体的“双主业”企业。经重庆市国资委同意于2007年1月1日改制为重庆永荣青鹏煤业有限公司（国有独资企业）。</w:t>
      </w:r>
      <w:r>
        <w:rPr>
          <w:rFonts w:hint="eastAsia" w:ascii="宋体" w:hAnsi="宋体"/>
        </w:rPr>
        <w:t>公司目前拥有</w:t>
      </w:r>
      <w:r>
        <w:rPr>
          <w:rFonts w:ascii="宋体" w:hAnsi="宋体"/>
        </w:rPr>
        <w:t>4条立窑生产线年产能60万吨，属</w:t>
      </w:r>
      <w:r>
        <w:rPr>
          <w:rFonts w:hint="eastAsia" w:ascii="宋体" w:hAnsi="宋体"/>
        </w:rPr>
        <w:t>沙坪坝区</w:t>
      </w:r>
      <w:r>
        <w:rPr>
          <w:rFonts w:ascii="宋体" w:hAnsi="宋体"/>
        </w:rPr>
        <w:t>立窑之首，水泥销售收入年1.2亿元。</w:t>
      </w:r>
    </w:p>
    <w:p>
      <w:pPr>
        <w:autoSpaceDE w:val="0"/>
        <w:autoSpaceDN w:val="0"/>
        <w:spacing w:line="480" w:lineRule="exact"/>
        <w:ind w:firstLine="420" w:firstLineChars="200"/>
        <w:rPr>
          <w:rFonts w:hint="eastAsia" w:ascii="宋体" w:hAnsi="宋体"/>
        </w:rPr>
      </w:pPr>
      <w:r>
        <w:rPr>
          <w:rFonts w:ascii="宋体" w:hAnsi="宋体"/>
        </w:rPr>
        <w:t>为贯彻国家水泥工业产业政策，改变区域水泥工业产业结构，淘汰立窑生产工艺，降低能耗，减少污染，更进一步促进区域循环经济发展，</w:t>
      </w:r>
      <w:r>
        <w:rPr>
          <w:rFonts w:hint="eastAsia" w:ascii="宋体" w:hAnsi="宋体"/>
        </w:rPr>
        <w:t>沙坪坝区人民政府根据区内水泥产业现状，决定实施“关5保1”的措施，即将区内现有6家立窑水泥企业（地王、泰琦、青木关、山洞、中梁、青鹏）12条生产线180万吨/年的产能，升级改造为1家（青鹏公司）1条100万吨/年新型干法熟料水泥的产能。</w:t>
      </w:r>
    </w:p>
    <w:p>
      <w:pPr>
        <w:autoSpaceDE w:val="0"/>
        <w:autoSpaceDN w:val="0"/>
        <w:spacing w:line="480" w:lineRule="exact"/>
        <w:ind w:firstLine="420" w:firstLineChars="200"/>
        <w:rPr>
          <w:rFonts w:hint="eastAsia" w:ascii="宋体" w:hAnsi="宋体"/>
        </w:rPr>
      </w:pPr>
      <w:r>
        <w:rPr>
          <w:rFonts w:hint="eastAsia" w:ascii="宋体" w:hAnsi="宋体"/>
        </w:rPr>
        <w:t>该项目实施后，不但淘汰落后的立窑工艺，调整产品结构，还大量消耗煤矸石、粉煤灰、炉渣等固体废物，实现变废为宝，彻底改善因废气、废水、废渣对环境的影响，极大地促进沙坪坝区环境保护和减排工作，同时也成为公司发展壮大新的经济增长点。该项目的建设得到了重庆市人民政府、重庆市能投集团、沙坪坝区人民政府的大力支持。</w:t>
      </w:r>
    </w:p>
    <w:p>
      <w:pPr>
        <w:spacing w:line="480" w:lineRule="exact"/>
        <w:ind w:firstLine="420" w:firstLineChars="200"/>
        <w:rPr>
          <w:rFonts w:hint="eastAsia" w:ascii="宋体" w:hAnsi="宋体"/>
        </w:rPr>
      </w:pPr>
      <w:r>
        <w:rPr>
          <w:rFonts w:hint="eastAsia" w:ascii="宋体" w:hAnsi="宋体"/>
        </w:rPr>
        <w:t>根据《中华人民共和国环境影响评价法》，重庆永荣青鹏煤业有限公司委托重庆市环境科学研究院编制重庆永荣青鹏煤业有限公司环保节能技改2500</w:t>
      </w:r>
      <w:r>
        <w:rPr>
          <w:rFonts w:ascii="宋体" w:hAnsi="宋体"/>
        </w:rPr>
        <w:t xml:space="preserve"> t/d熟料水泥生产线</w:t>
      </w:r>
      <w:r>
        <w:rPr>
          <w:rFonts w:hint="eastAsia" w:ascii="宋体" w:hAnsi="宋体"/>
        </w:rPr>
        <w:t>项目（以下简称技改项目）环境影响报告书。接受委托后，我院立即组织有关技术人员深入现场踏勘、调查，并依据技改项目有关的技术资料及《环境影响评价技术导则》要求，编制完成了《重庆永荣青鹏煤业有限公司环保节能技改2500</w:t>
      </w:r>
      <w:r>
        <w:rPr>
          <w:rFonts w:ascii="宋体" w:hAnsi="宋体"/>
        </w:rPr>
        <w:t xml:space="preserve"> t/d熟料水泥生产线</w:t>
      </w:r>
      <w:r>
        <w:rPr>
          <w:rFonts w:hint="eastAsia" w:ascii="宋体" w:hAnsi="宋体"/>
        </w:rPr>
        <w:t>项目环境影响报告书》，</w:t>
      </w:r>
      <w:r>
        <w:rPr>
          <w:rFonts w:ascii="宋体" w:hAnsi="宋体"/>
        </w:rPr>
        <w:t>呈报</w:t>
      </w:r>
      <w:r>
        <w:rPr>
          <w:rFonts w:hint="eastAsia" w:ascii="宋体" w:hAnsi="宋体"/>
        </w:rPr>
        <w:t>重庆市</w:t>
      </w:r>
      <w:r>
        <w:rPr>
          <w:rFonts w:ascii="宋体" w:hAnsi="宋体"/>
        </w:rPr>
        <w:t>环境保护局审</w:t>
      </w:r>
      <w:r>
        <w:rPr>
          <w:rFonts w:hint="eastAsia" w:ascii="宋体" w:hAnsi="宋体"/>
        </w:rPr>
        <w:t>批。审查通过后的报告书及重庆市环保局的批复意见将作为技改项目环境保护管理的重要依据。</w:t>
      </w:r>
    </w:p>
    <w:p>
      <w:pPr>
        <w:spacing w:line="480" w:lineRule="exact"/>
        <w:ind w:firstLine="420" w:firstLineChars="200"/>
        <w:rPr>
          <w:rFonts w:hint="eastAsia" w:ascii="宋体" w:hAnsi="宋体"/>
        </w:rPr>
      </w:pPr>
      <w:r>
        <w:rPr>
          <w:rFonts w:hint="eastAsia" w:ascii="宋体" w:hAnsi="宋体"/>
        </w:rPr>
        <w:t xml:space="preserve">报告书编制过程中得到了重庆市环保局、重庆市环境工程评估中心、沙坪坝区环保局、青木关镇政府、山东省建筑材料工业设计研究院、山东省经纬项目管理咨询公司、重庆永荣青鹏煤业有限公司等单位的大力支持和帮助，在此一并致谢！ </w:t>
      </w:r>
    </w:p>
    <w:p>
      <w:pPr>
        <w:spacing w:before="72" w:beforeLines="30" w:after="72" w:afterLines="30" w:line="360" w:lineRule="auto"/>
        <w:outlineLvl w:val="0"/>
        <w:rPr>
          <w:rFonts w:hint="eastAsia" w:ascii="黑体" w:eastAsia="黑体"/>
        </w:rPr>
      </w:pPr>
      <w:r>
        <w:rPr>
          <w:rFonts w:ascii="宋体" w:hAnsi="宋体"/>
        </w:rPr>
        <w:br w:type="page"/>
      </w:r>
      <w:bookmarkStart w:id="1" w:name="_Toc276372210"/>
      <w:r>
        <w:rPr>
          <w:rFonts w:hint="eastAsia"/>
          <w:b/>
          <w:bCs/>
          <w:sz w:val="28"/>
          <w:szCs w:val="28"/>
        </w:rPr>
        <w:t>1总论</w:t>
      </w:r>
      <w:bookmarkEnd w:id="1"/>
    </w:p>
    <w:p>
      <w:pPr>
        <w:spacing w:before="24" w:beforeLines="10" w:after="24" w:afterLines="10" w:line="360" w:lineRule="auto"/>
        <w:outlineLvl w:val="1"/>
        <w:rPr>
          <w:b/>
        </w:rPr>
      </w:pPr>
      <w:bookmarkStart w:id="2" w:name="_Toc129763677"/>
      <w:bookmarkStart w:id="3" w:name="_Toc175479773"/>
      <w:bookmarkStart w:id="4" w:name="_Toc189814117"/>
      <w:bookmarkStart w:id="5" w:name="_Toc165607332"/>
      <w:bookmarkStart w:id="6" w:name="_Toc473281475"/>
      <w:bookmarkStart w:id="7" w:name="_Toc276372211"/>
      <w:r>
        <w:rPr>
          <w:rFonts w:hint="eastAsia"/>
          <w:b/>
        </w:rPr>
        <w:t>1.1</w:t>
      </w:r>
      <w:bookmarkEnd w:id="2"/>
      <w:bookmarkEnd w:id="3"/>
      <w:bookmarkEnd w:id="4"/>
      <w:bookmarkEnd w:id="5"/>
      <w:bookmarkEnd w:id="6"/>
      <w:r>
        <w:rPr>
          <w:rFonts w:hint="eastAsia"/>
          <w:b/>
        </w:rPr>
        <w:t xml:space="preserve"> </w:t>
      </w:r>
      <w:r>
        <w:rPr>
          <w:b/>
        </w:rPr>
        <w:t>评价目的</w:t>
      </w:r>
      <w:bookmarkEnd w:id="7"/>
    </w:p>
    <w:p>
      <w:pPr>
        <w:spacing w:line="360" w:lineRule="auto"/>
        <w:ind w:firstLine="420" w:firstLineChars="200"/>
        <w:rPr>
          <w:rFonts w:ascii="宋体"/>
        </w:rPr>
      </w:pPr>
      <w:r>
        <w:rPr>
          <w:rFonts w:ascii="宋体"/>
        </w:rPr>
        <w:t>通过对本项目进行环境影响评价，查清项目拟建</w:t>
      </w:r>
      <w:r>
        <w:rPr>
          <w:rFonts w:hint="eastAsia" w:ascii="宋体"/>
        </w:rPr>
        <w:t>厂</w:t>
      </w:r>
      <w:r>
        <w:rPr>
          <w:rFonts w:ascii="宋体"/>
        </w:rPr>
        <w:t>址周围的环境状况</w:t>
      </w:r>
      <w:r>
        <w:rPr>
          <w:rFonts w:hint="eastAsia" w:ascii="宋体"/>
        </w:rPr>
        <w:t>，</w:t>
      </w:r>
      <w:r>
        <w:rPr>
          <w:rFonts w:ascii="宋体"/>
        </w:rPr>
        <w:t>在工程分析的基础上，确定项目施工期与营运期各环节的污染源、主要污染物产生量，提出避免或减少污染、防止对环境质量造成破坏的对策和建议，预测项目建成后排放的主要污染物对周围环境可能造成影响的范围和程度。</w:t>
      </w:r>
    </w:p>
    <w:p>
      <w:pPr>
        <w:spacing w:line="360" w:lineRule="auto"/>
        <w:ind w:firstLine="420" w:firstLineChars="200"/>
        <w:rPr>
          <w:rFonts w:ascii="宋体"/>
        </w:rPr>
      </w:pPr>
      <w:r>
        <w:rPr>
          <w:rFonts w:ascii="宋体"/>
        </w:rPr>
        <w:t>依据国家有关环境标准，论证污染治理措施的可行性和合理性，提出污染物控制措施的对策、建议，为该项目的选址、布局和工程设计从环境保护角度提供科学依据，对项目建设的环境可行性作出明确结论。</w:t>
      </w:r>
    </w:p>
    <w:p>
      <w:pPr>
        <w:spacing w:before="24" w:beforeLines="10" w:after="24" w:afterLines="10" w:line="360" w:lineRule="auto"/>
        <w:outlineLvl w:val="1"/>
        <w:rPr>
          <w:rFonts w:hint="eastAsia"/>
          <w:b/>
        </w:rPr>
      </w:pPr>
      <w:bookmarkStart w:id="8" w:name="_Toc276372212"/>
      <w:r>
        <w:rPr>
          <w:rFonts w:hint="eastAsia"/>
          <w:b/>
        </w:rPr>
        <w:t>1.2 编制依据</w:t>
      </w:r>
      <w:bookmarkEnd w:id="8"/>
    </w:p>
    <w:p>
      <w:pPr>
        <w:spacing w:line="360" w:lineRule="auto"/>
        <w:outlineLvl w:val="2"/>
        <w:rPr>
          <w:rFonts w:hint="eastAsia"/>
          <w:b/>
        </w:rPr>
      </w:pPr>
      <w:r>
        <w:rPr>
          <w:rFonts w:hint="eastAsia"/>
          <w:b/>
        </w:rPr>
        <w:t>1.2.1 环境保护有关的法律</w:t>
      </w:r>
    </w:p>
    <w:p>
      <w:pPr>
        <w:spacing w:line="360" w:lineRule="auto"/>
        <w:ind w:firstLine="420" w:firstLineChars="200"/>
        <w:rPr>
          <w:rFonts w:hint="eastAsia" w:ascii="宋体"/>
        </w:rPr>
      </w:pPr>
      <w:r>
        <w:rPr>
          <w:rFonts w:hint="eastAsia" w:ascii="宋体"/>
        </w:rPr>
        <w:t>（1）《中华人民共和国环境保护法》；</w:t>
      </w:r>
    </w:p>
    <w:p>
      <w:pPr>
        <w:spacing w:line="360" w:lineRule="auto"/>
        <w:ind w:firstLine="420" w:firstLineChars="200"/>
        <w:rPr>
          <w:rFonts w:hint="eastAsia" w:ascii="宋体"/>
        </w:rPr>
      </w:pPr>
      <w:r>
        <w:rPr>
          <w:rFonts w:hint="eastAsia" w:ascii="宋体"/>
        </w:rPr>
        <w:t>（2）《中华人民共和国环境影响评价法》；</w:t>
      </w:r>
    </w:p>
    <w:p>
      <w:pPr>
        <w:spacing w:line="360" w:lineRule="auto"/>
        <w:ind w:firstLine="420" w:firstLineChars="200"/>
        <w:rPr>
          <w:rFonts w:hint="eastAsia" w:ascii="宋体"/>
        </w:rPr>
      </w:pPr>
      <w:r>
        <w:rPr>
          <w:rFonts w:hint="eastAsia" w:ascii="宋体"/>
        </w:rPr>
        <w:t>（3）《中华人民共和国清洁生产促进法》；</w:t>
      </w:r>
    </w:p>
    <w:p>
      <w:pPr>
        <w:spacing w:line="360" w:lineRule="auto"/>
        <w:ind w:firstLine="420" w:firstLineChars="200"/>
        <w:rPr>
          <w:rFonts w:hint="eastAsia" w:ascii="宋体"/>
        </w:rPr>
      </w:pPr>
      <w:r>
        <w:rPr>
          <w:rFonts w:hint="eastAsia" w:ascii="宋体"/>
        </w:rPr>
        <w:t>（4）《中华人民共和国安全生产法》；</w:t>
      </w:r>
    </w:p>
    <w:p>
      <w:pPr>
        <w:spacing w:line="360" w:lineRule="auto"/>
        <w:ind w:firstLine="420" w:firstLineChars="200"/>
        <w:rPr>
          <w:rFonts w:hint="eastAsia" w:ascii="宋体"/>
        </w:rPr>
      </w:pPr>
      <w:r>
        <w:rPr>
          <w:rFonts w:hint="eastAsia" w:ascii="宋体"/>
        </w:rPr>
        <w:t>（5）《中华人民共和国大气污染防治法》；</w:t>
      </w:r>
    </w:p>
    <w:p>
      <w:pPr>
        <w:spacing w:line="360" w:lineRule="auto"/>
        <w:ind w:firstLine="420" w:firstLineChars="200"/>
        <w:rPr>
          <w:rFonts w:hint="eastAsia" w:ascii="宋体"/>
        </w:rPr>
      </w:pPr>
      <w:r>
        <w:rPr>
          <w:rFonts w:hint="eastAsia" w:ascii="宋体"/>
        </w:rPr>
        <w:t>（6）《中华人民共和国水污染防治法》；</w:t>
      </w:r>
    </w:p>
    <w:p>
      <w:pPr>
        <w:spacing w:line="360" w:lineRule="auto"/>
        <w:ind w:firstLine="420" w:firstLineChars="200"/>
        <w:rPr>
          <w:rFonts w:hint="eastAsia" w:ascii="宋体"/>
        </w:rPr>
      </w:pPr>
      <w:r>
        <w:rPr>
          <w:rFonts w:hint="eastAsia" w:ascii="宋体"/>
        </w:rPr>
        <w:t>（7）《中华人民共和国固体废物污染环境防治法》；</w:t>
      </w:r>
    </w:p>
    <w:p>
      <w:pPr>
        <w:spacing w:line="360" w:lineRule="auto"/>
        <w:ind w:firstLine="420" w:firstLineChars="200"/>
        <w:rPr>
          <w:rFonts w:hint="eastAsia" w:ascii="宋体"/>
        </w:rPr>
      </w:pPr>
      <w:r>
        <w:rPr>
          <w:rFonts w:hint="eastAsia" w:ascii="宋体"/>
        </w:rPr>
        <w:t>（8）《中华人民共和国噪声污染防治法》；</w:t>
      </w:r>
    </w:p>
    <w:p>
      <w:pPr>
        <w:spacing w:line="360" w:lineRule="auto"/>
        <w:ind w:firstLine="420" w:firstLineChars="200"/>
        <w:rPr>
          <w:rFonts w:hint="eastAsia" w:ascii="宋体"/>
        </w:rPr>
      </w:pPr>
      <w:r>
        <w:rPr>
          <w:rFonts w:hint="eastAsia" w:ascii="宋体"/>
        </w:rPr>
        <w:t>（9）《中华人民共和国土地管理法》。</w:t>
      </w:r>
    </w:p>
    <w:p>
      <w:pPr>
        <w:spacing w:line="360" w:lineRule="auto"/>
        <w:outlineLvl w:val="2"/>
        <w:rPr>
          <w:rFonts w:hint="eastAsia"/>
          <w:b/>
        </w:rPr>
      </w:pPr>
      <w:r>
        <w:rPr>
          <w:rFonts w:hint="eastAsia"/>
          <w:b/>
        </w:rPr>
        <w:t>1.2.2 环境保护行政法规及政策</w:t>
      </w:r>
    </w:p>
    <w:p>
      <w:pPr>
        <w:spacing w:line="360" w:lineRule="auto"/>
        <w:ind w:firstLine="420" w:firstLineChars="200"/>
        <w:rPr>
          <w:rFonts w:hint="eastAsia" w:ascii="宋体" w:hAnsi="宋体"/>
        </w:rPr>
      </w:pPr>
      <w:r>
        <w:rPr>
          <w:rFonts w:hint="eastAsia" w:ascii="宋体" w:hAnsi="宋体"/>
        </w:rPr>
        <w:t>（1）中华人民共和国国务院令第253号《建设项目环境保护管理条例》；</w:t>
      </w:r>
    </w:p>
    <w:p>
      <w:pPr>
        <w:spacing w:line="360" w:lineRule="auto"/>
        <w:ind w:firstLine="420" w:firstLineChars="200"/>
        <w:rPr>
          <w:rFonts w:hint="eastAsia" w:ascii="宋体" w:hAnsi="宋体"/>
        </w:rPr>
      </w:pPr>
      <w:r>
        <w:rPr>
          <w:rFonts w:hint="eastAsia" w:ascii="宋体" w:hAnsi="宋体"/>
        </w:rPr>
        <w:t>（2）国家环境保护总局令第14号《建设项目环境保护分类管理名录》；</w:t>
      </w:r>
    </w:p>
    <w:p>
      <w:pPr>
        <w:spacing w:line="360" w:lineRule="auto"/>
        <w:ind w:firstLine="420" w:firstLineChars="200"/>
        <w:rPr>
          <w:rFonts w:hint="eastAsia" w:ascii="宋体" w:hAnsi="宋体"/>
        </w:rPr>
      </w:pPr>
      <w:r>
        <w:rPr>
          <w:rFonts w:hint="eastAsia" w:ascii="宋体" w:hAnsi="宋体"/>
        </w:rPr>
        <w:t>（3）国发</w:t>
      </w:r>
      <w:r>
        <w:rPr>
          <w:rFonts w:ascii="宋体" w:hAnsi="宋体"/>
        </w:rPr>
        <w:t>[</w:t>
      </w:r>
      <w:r>
        <w:rPr>
          <w:rFonts w:hint="eastAsia" w:ascii="宋体" w:hAnsi="宋体"/>
        </w:rPr>
        <w:t>2005</w:t>
      </w:r>
      <w:r>
        <w:rPr>
          <w:rFonts w:ascii="宋体" w:hAnsi="宋体"/>
        </w:rPr>
        <w:t>]</w:t>
      </w:r>
      <w:r>
        <w:rPr>
          <w:rFonts w:hint="eastAsia" w:ascii="宋体" w:hAnsi="宋体"/>
        </w:rPr>
        <w:t>39号《国务院关于落实科学发展观加强环境保护的决定》；</w:t>
      </w:r>
    </w:p>
    <w:p>
      <w:pPr>
        <w:spacing w:line="360" w:lineRule="auto"/>
        <w:ind w:firstLine="420" w:firstLineChars="200"/>
        <w:rPr>
          <w:rFonts w:hint="eastAsia" w:ascii="宋体" w:hAnsi="宋体"/>
        </w:rPr>
      </w:pPr>
      <w:r>
        <w:rPr>
          <w:rFonts w:hint="eastAsia" w:ascii="宋体" w:hAnsi="宋体"/>
        </w:rPr>
        <w:t>（4）国家发展和改革委员会第40号令《产业结构调整指导目录（2005年本）》；</w:t>
      </w:r>
    </w:p>
    <w:p>
      <w:pPr>
        <w:spacing w:line="360" w:lineRule="auto"/>
        <w:ind w:firstLine="420" w:firstLineChars="200"/>
        <w:rPr>
          <w:rFonts w:hint="eastAsia" w:ascii="宋体" w:hAnsi="宋体"/>
        </w:rPr>
      </w:pPr>
      <w:r>
        <w:rPr>
          <w:rFonts w:hint="eastAsia" w:ascii="宋体" w:hAnsi="宋体"/>
        </w:rPr>
        <w:t>（5）国发</w:t>
      </w:r>
      <w:r>
        <w:rPr>
          <w:rFonts w:ascii="宋体" w:hAnsi="宋体"/>
        </w:rPr>
        <w:t>[</w:t>
      </w:r>
      <w:r>
        <w:rPr>
          <w:rFonts w:hint="eastAsia" w:ascii="宋体" w:hAnsi="宋体"/>
        </w:rPr>
        <w:t>2007</w:t>
      </w:r>
      <w:r>
        <w:rPr>
          <w:rFonts w:ascii="宋体" w:hAnsi="宋体"/>
        </w:rPr>
        <w:t>]</w:t>
      </w:r>
      <w:r>
        <w:rPr>
          <w:rFonts w:hint="eastAsia" w:ascii="宋体" w:hAnsi="宋体"/>
        </w:rPr>
        <w:t>15号《</w:t>
      </w:r>
      <w:r>
        <w:rPr>
          <w:rFonts w:ascii="宋体" w:hAnsi="宋体"/>
        </w:rPr>
        <w:t>国务院关于印发节能减排综合性工作方案的通知</w:t>
      </w:r>
      <w:r>
        <w:rPr>
          <w:rFonts w:hint="eastAsia" w:ascii="宋体" w:hAnsi="宋体"/>
        </w:rPr>
        <w:t>》；</w:t>
      </w:r>
    </w:p>
    <w:p>
      <w:pPr>
        <w:spacing w:line="360" w:lineRule="auto"/>
        <w:ind w:firstLine="420" w:firstLineChars="200"/>
        <w:rPr>
          <w:rFonts w:hint="eastAsia" w:ascii="宋体" w:hAnsi="宋体"/>
        </w:rPr>
      </w:pPr>
      <w:r>
        <w:rPr>
          <w:rFonts w:hint="eastAsia" w:ascii="宋体" w:hAnsi="宋体"/>
        </w:rPr>
        <w:t>（6）《环境影响评价公众参与暂行办法》（环发[2006]28号）；</w:t>
      </w:r>
    </w:p>
    <w:p>
      <w:pPr>
        <w:spacing w:line="360" w:lineRule="auto"/>
        <w:ind w:firstLine="420" w:firstLineChars="200"/>
        <w:rPr>
          <w:rFonts w:hint="eastAsia" w:ascii="宋体" w:hAnsi="宋体"/>
        </w:rPr>
      </w:pPr>
      <w:r>
        <w:rPr>
          <w:rFonts w:hint="eastAsia" w:ascii="宋体" w:hAnsi="宋体"/>
        </w:rPr>
        <w:t>（7）《水泥工业产业发展政策》（发改委</w:t>
      </w:r>
      <w:r>
        <w:rPr>
          <w:rFonts w:ascii="宋体" w:hAnsi="宋体"/>
        </w:rPr>
        <w:t>第50号</w:t>
      </w:r>
      <w:r>
        <w:rPr>
          <w:rFonts w:hint="eastAsia" w:ascii="宋体" w:hAnsi="宋体"/>
        </w:rPr>
        <w:t>）；</w:t>
      </w:r>
    </w:p>
    <w:p>
      <w:pPr>
        <w:spacing w:line="360" w:lineRule="auto"/>
        <w:ind w:firstLine="420" w:firstLineChars="200"/>
        <w:rPr>
          <w:rFonts w:hint="eastAsia" w:ascii="宋体" w:hAnsi="宋体"/>
        </w:rPr>
      </w:pPr>
      <w:r>
        <w:rPr>
          <w:rFonts w:hint="eastAsia" w:ascii="宋体" w:hAnsi="宋体"/>
        </w:rPr>
        <w:t>（8）</w:t>
      </w:r>
      <w:r>
        <w:rPr>
          <w:rFonts w:ascii="宋体" w:hAnsi="宋体"/>
        </w:rPr>
        <w:t>《关于加快水泥工业结构调整的若干意见》</w:t>
      </w:r>
      <w:r>
        <w:rPr>
          <w:rFonts w:hint="eastAsia" w:ascii="宋体" w:hAnsi="宋体"/>
        </w:rPr>
        <w:t>（</w:t>
      </w:r>
      <w:r>
        <w:rPr>
          <w:rFonts w:ascii="宋体" w:hAnsi="宋体"/>
        </w:rPr>
        <w:t>急发改运行[2006]609号</w:t>
      </w:r>
      <w:r>
        <w:rPr>
          <w:rFonts w:hint="eastAsia" w:ascii="宋体" w:hAnsi="宋体"/>
        </w:rPr>
        <w:t>）；</w:t>
      </w:r>
    </w:p>
    <w:p>
      <w:pPr>
        <w:spacing w:line="360" w:lineRule="auto"/>
        <w:ind w:firstLine="420" w:firstLineChars="200"/>
        <w:rPr>
          <w:rFonts w:hint="eastAsia" w:ascii="宋体" w:hAnsi="宋体"/>
        </w:rPr>
      </w:pPr>
      <w:r>
        <w:rPr>
          <w:rFonts w:hint="eastAsia" w:ascii="宋体" w:hAnsi="宋体"/>
        </w:rPr>
        <w:t>（20）《国务院批转发改委等部门关于抑制部分行业产能过剩和重复建设引导产业健康发展若干意见的通知》（国发〔2009〕38号）；</w:t>
      </w:r>
    </w:p>
    <w:p>
      <w:pPr>
        <w:spacing w:line="360" w:lineRule="auto"/>
        <w:ind w:firstLine="420" w:firstLineChars="200"/>
        <w:rPr>
          <w:rFonts w:hint="eastAsia" w:ascii="宋体" w:hAnsi="宋体"/>
        </w:rPr>
      </w:pPr>
      <w:r>
        <w:rPr>
          <w:rFonts w:hint="eastAsia" w:ascii="宋体" w:hAnsi="宋体"/>
        </w:rPr>
        <w:t>（21）《国务院关于进一步加强淘汰落后产能工作的通知》（国发〔2010〕7</w:t>
      </w:r>
      <w:r>
        <w:rPr>
          <w:rFonts w:hint="eastAsia" w:ascii="宋体" w:hAnsi="宋体"/>
          <w:sz w:val="28"/>
          <w:szCs w:val="28"/>
        </w:rPr>
        <w:t>号）；</w:t>
      </w:r>
    </w:p>
    <w:p>
      <w:pPr>
        <w:spacing w:line="360" w:lineRule="auto"/>
        <w:ind w:firstLine="420" w:firstLineChars="200"/>
        <w:rPr>
          <w:rFonts w:hint="eastAsia" w:ascii="宋体" w:hAnsi="宋体"/>
        </w:rPr>
      </w:pPr>
      <w:r>
        <w:rPr>
          <w:rFonts w:hint="eastAsia" w:ascii="宋体" w:hAnsi="宋体"/>
        </w:rPr>
        <w:t>（9）《重庆建材工业“十一五”发展规划》；</w:t>
      </w:r>
    </w:p>
    <w:p>
      <w:pPr>
        <w:spacing w:line="360" w:lineRule="auto"/>
        <w:ind w:firstLine="420" w:firstLineChars="200"/>
        <w:rPr>
          <w:rFonts w:hint="eastAsia" w:ascii="宋体" w:hAnsi="宋体"/>
        </w:rPr>
      </w:pPr>
      <w:r>
        <w:rPr>
          <w:rFonts w:hint="eastAsia" w:ascii="宋体" w:hAnsi="宋体"/>
        </w:rPr>
        <w:t>（10）重庆市经济委员会关于印发《重庆市水泥工业“十一五”发展规划》的通知（渝经投资［2006］137号）；</w:t>
      </w:r>
    </w:p>
    <w:p>
      <w:pPr>
        <w:spacing w:line="360" w:lineRule="auto"/>
        <w:ind w:firstLine="420" w:firstLineChars="200"/>
        <w:rPr>
          <w:rFonts w:hint="eastAsia" w:ascii="宋体"/>
        </w:rPr>
      </w:pPr>
      <w:r>
        <w:rPr>
          <w:rFonts w:hint="eastAsia" w:ascii="宋体" w:hAnsi="宋体"/>
        </w:rPr>
        <w:t>（19）《</w:t>
      </w:r>
      <w:r>
        <w:rPr>
          <w:rFonts w:hint="eastAsia" w:ascii="宋体"/>
        </w:rPr>
        <w:t>重庆市人民政府办公厅转发关于促进水泥工业结构调整的实施意见的通知》(渝办发[2008]353)；</w:t>
      </w:r>
    </w:p>
    <w:p>
      <w:pPr>
        <w:snapToGrid w:val="0"/>
        <w:spacing w:line="360" w:lineRule="auto"/>
        <w:ind w:firstLine="420" w:firstLineChars="200"/>
        <w:rPr>
          <w:rFonts w:hint="eastAsia" w:ascii="宋体" w:hAnsi="宋体"/>
        </w:rPr>
      </w:pPr>
      <w:r>
        <w:rPr>
          <w:rFonts w:hint="eastAsia" w:ascii="宋体" w:hAnsi="宋体"/>
        </w:rPr>
        <w:t>（11）《关于印发“十一五”十大重点节能工程实施意见的通知》（发改环资[2006]1457号；</w:t>
      </w:r>
    </w:p>
    <w:p>
      <w:pPr>
        <w:snapToGrid w:val="0"/>
        <w:spacing w:line="360" w:lineRule="auto"/>
        <w:ind w:firstLine="420" w:firstLineChars="200"/>
        <w:rPr>
          <w:rFonts w:hint="eastAsia" w:ascii="宋体" w:hAnsi="宋体"/>
        </w:rPr>
      </w:pPr>
      <w:r>
        <w:rPr>
          <w:rFonts w:hint="eastAsia" w:ascii="宋体" w:hAnsi="宋体"/>
        </w:rPr>
        <w:t>（12）重庆市人民政府令（第126号）《重庆市环境噪声污染防治办法》；</w:t>
      </w:r>
    </w:p>
    <w:p>
      <w:pPr>
        <w:snapToGrid w:val="0"/>
        <w:spacing w:line="360" w:lineRule="auto"/>
        <w:ind w:firstLine="420" w:firstLineChars="200"/>
        <w:rPr>
          <w:rFonts w:hint="eastAsia" w:ascii="宋体" w:hAnsi="宋体"/>
        </w:rPr>
      </w:pPr>
      <w:r>
        <w:rPr>
          <w:rFonts w:hint="eastAsia" w:ascii="宋体" w:hAnsi="宋体"/>
        </w:rPr>
        <w:t>（13）渝环发[2006]196号《重庆市人民政府办公厅关于印发“十一五”化学需氧量及二氧化硫控制计划的通知》；</w:t>
      </w:r>
    </w:p>
    <w:p>
      <w:pPr>
        <w:snapToGrid w:val="0"/>
        <w:spacing w:line="360" w:lineRule="auto"/>
        <w:ind w:firstLine="420" w:firstLineChars="200"/>
        <w:rPr>
          <w:rFonts w:hint="eastAsia" w:ascii="宋体" w:hAnsi="宋体"/>
        </w:rPr>
      </w:pPr>
      <w:r>
        <w:rPr>
          <w:rFonts w:hint="eastAsia" w:ascii="宋体" w:hAnsi="宋体"/>
        </w:rPr>
        <w:t>（16）《重庆市人民政府关于加强缙云山、中梁山（含歌乐山）、铜锣山（含南山、铁山坪、玉峰山）部分区域建设管制的通告》（渝府发〔</w:t>
      </w:r>
      <w:r>
        <w:rPr>
          <w:rFonts w:ascii="宋体" w:hAnsi="宋体"/>
        </w:rPr>
        <w:t>2006</w:t>
      </w:r>
      <w:r>
        <w:rPr>
          <w:rFonts w:hint="eastAsia" w:ascii="宋体" w:hAnsi="宋体"/>
        </w:rPr>
        <w:t>〕</w:t>
      </w:r>
      <w:r>
        <w:rPr>
          <w:rFonts w:ascii="宋体" w:hAnsi="宋体"/>
        </w:rPr>
        <w:t>78</w:t>
      </w:r>
      <w:r>
        <w:rPr>
          <w:rFonts w:hint="eastAsia" w:ascii="宋体" w:hAnsi="宋体"/>
        </w:rPr>
        <w:t>号）；</w:t>
      </w:r>
    </w:p>
    <w:p>
      <w:pPr>
        <w:snapToGrid w:val="0"/>
        <w:spacing w:line="360" w:lineRule="auto"/>
        <w:ind w:firstLine="420" w:firstLineChars="200"/>
        <w:rPr>
          <w:rFonts w:hint="eastAsia" w:ascii="宋体" w:hAnsi="宋体"/>
        </w:rPr>
      </w:pPr>
      <w:r>
        <w:rPr>
          <w:rFonts w:hint="eastAsia" w:ascii="宋体" w:hAnsi="宋体"/>
        </w:rPr>
        <w:t>（17）</w:t>
      </w:r>
      <w:r>
        <w:rPr>
          <w:rFonts w:ascii="宋体" w:hAnsi="宋体"/>
        </w:rPr>
        <w:t>《关于推进重庆市大气污染联防联控工作改善区域空气质量实施方案》</w:t>
      </w:r>
      <w:r>
        <w:rPr>
          <w:rFonts w:hint="eastAsia" w:ascii="宋体" w:hAnsi="宋体"/>
        </w:rPr>
        <w:t xml:space="preserve"> （渝环文〔</w:t>
      </w:r>
      <w:r>
        <w:rPr>
          <w:rFonts w:ascii="宋体" w:hAnsi="宋体"/>
        </w:rPr>
        <w:t>2010</w:t>
      </w:r>
      <w:r>
        <w:rPr>
          <w:rFonts w:hint="eastAsia" w:ascii="宋体" w:hAnsi="宋体"/>
        </w:rPr>
        <w:t>〕</w:t>
      </w:r>
      <w:r>
        <w:rPr>
          <w:rFonts w:ascii="宋体" w:hAnsi="宋体"/>
        </w:rPr>
        <w:t>106</w:t>
      </w:r>
      <w:r>
        <w:rPr>
          <w:rFonts w:hint="eastAsia" w:ascii="宋体" w:hAnsi="宋体"/>
        </w:rPr>
        <w:t>号）；</w:t>
      </w:r>
    </w:p>
    <w:p>
      <w:pPr>
        <w:snapToGrid w:val="0"/>
        <w:spacing w:line="360" w:lineRule="auto"/>
        <w:ind w:firstLine="420" w:firstLineChars="200"/>
        <w:rPr>
          <w:rFonts w:hint="eastAsia" w:ascii="宋体" w:hAnsi="宋体"/>
        </w:rPr>
      </w:pPr>
      <w:r>
        <w:rPr>
          <w:rFonts w:hint="eastAsia" w:ascii="宋体" w:hAnsi="宋体"/>
        </w:rPr>
        <w:t xml:space="preserve">（18）《重庆市主城“蓝天行动”实施方案(2008-2012年)》(渝府〔2007〕224号)； </w:t>
      </w:r>
    </w:p>
    <w:p>
      <w:pPr>
        <w:snapToGrid w:val="0"/>
        <w:spacing w:line="360" w:lineRule="auto"/>
        <w:ind w:firstLine="420" w:firstLineChars="200"/>
        <w:rPr>
          <w:rFonts w:hint="eastAsia" w:ascii="宋体" w:hAnsi="宋体"/>
        </w:rPr>
      </w:pPr>
      <w:r>
        <w:rPr>
          <w:rFonts w:hint="eastAsia" w:ascii="宋体" w:hAnsi="宋体"/>
        </w:rPr>
        <w:t>（20）渝办发[2008]62号《重庆市工业项目环境准入规定》。</w:t>
      </w:r>
    </w:p>
    <w:p>
      <w:pPr>
        <w:spacing w:line="360" w:lineRule="auto"/>
        <w:outlineLvl w:val="2"/>
        <w:rPr>
          <w:rFonts w:hint="eastAsia"/>
          <w:b/>
        </w:rPr>
      </w:pPr>
      <w:r>
        <w:rPr>
          <w:rFonts w:hint="eastAsia"/>
          <w:b/>
        </w:rPr>
        <w:t>1.2.3 评价技术规范</w:t>
      </w:r>
    </w:p>
    <w:p>
      <w:pPr>
        <w:snapToGrid w:val="0"/>
        <w:spacing w:line="360" w:lineRule="auto"/>
        <w:ind w:firstLine="420" w:firstLineChars="200"/>
        <w:rPr>
          <w:rFonts w:hint="eastAsia" w:ascii="宋体" w:hAnsi="宋体"/>
        </w:rPr>
      </w:pPr>
      <w:r>
        <w:rPr>
          <w:rFonts w:hint="eastAsia" w:ascii="宋体" w:hAnsi="宋体"/>
        </w:rPr>
        <w:t>（1）《环境影响评价技术导则》（HJ/T</w:t>
      </w:r>
      <w:r>
        <w:rPr>
          <w:rFonts w:ascii="宋体" w:hAnsi="宋体"/>
        </w:rPr>
        <w:t>2.1</w:t>
      </w:r>
      <w:r>
        <w:rPr>
          <w:rFonts w:hint="eastAsia" w:ascii="宋体" w:hAnsi="宋体"/>
        </w:rPr>
        <w:t>～</w:t>
      </w:r>
      <w:r>
        <w:rPr>
          <w:rFonts w:ascii="宋体" w:hAnsi="宋体"/>
        </w:rPr>
        <w:t>2.3</w:t>
      </w:r>
      <w:r>
        <w:rPr>
          <w:rFonts w:hint="eastAsia" w:ascii="宋体" w:hAnsi="宋体"/>
        </w:rPr>
        <w:t>—9</w:t>
      </w:r>
      <w:r>
        <w:rPr>
          <w:rFonts w:ascii="宋体" w:hAnsi="宋体"/>
        </w:rPr>
        <w:t>3</w:t>
      </w:r>
      <w:r>
        <w:rPr>
          <w:rFonts w:hint="eastAsia" w:ascii="宋体" w:hAnsi="宋体"/>
        </w:rPr>
        <w:t>，HJ</w:t>
      </w:r>
      <w:r>
        <w:rPr>
          <w:rFonts w:ascii="宋体" w:hAnsi="宋体"/>
        </w:rPr>
        <w:t>2.4</w:t>
      </w:r>
      <w:r>
        <w:rPr>
          <w:rFonts w:hint="eastAsia" w:ascii="宋体" w:hAnsi="宋体"/>
        </w:rPr>
        <w:t>—2009）；</w:t>
      </w:r>
    </w:p>
    <w:p>
      <w:pPr>
        <w:snapToGrid w:val="0"/>
        <w:spacing w:line="360" w:lineRule="auto"/>
        <w:ind w:firstLine="420" w:firstLineChars="200"/>
        <w:rPr>
          <w:rFonts w:hint="eastAsia" w:ascii="宋体" w:hAnsi="宋体"/>
        </w:rPr>
      </w:pPr>
      <w:r>
        <w:rPr>
          <w:rFonts w:hint="eastAsia" w:ascii="宋体" w:hAnsi="宋体"/>
        </w:rPr>
        <w:t>（2）《水泥生产工业建设项目竣工环境保护验收监测技术规范》；</w:t>
      </w:r>
    </w:p>
    <w:p>
      <w:pPr>
        <w:snapToGrid w:val="0"/>
        <w:spacing w:line="360" w:lineRule="auto"/>
        <w:ind w:firstLine="420" w:firstLineChars="200"/>
        <w:rPr>
          <w:rFonts w:hint="eastAsia" w:ascii="宋体" w:hAnsi="宋体"/>
        </w:rPr>
      </w:pPr>
      <w:r>
        <w:rPr>
          <w:rFonts w:hint="eastAsia" w:ascii="宋体" w:hAnsi="宋体"/>
        </w:rPr>
        <w:t>（3）《清洁生产标准  水泥工业》（HJ 467-2009</w:t>
      </w:r>
      <w:r>
        <w:rPr>
          <w:rFonts w:ascii="宋体" w:hAnsi="宋体"/>
        </w:rPr>
        <w:t>）</w:t>
      </w:r>
      <w:r>
        <w:rPr>
          <w:rFonts w:hint="eastAsia" w:ascii="宋体" w:hAnsi="宋体"/>
        </w:rPr>
        <w:t>；</w:t>
      </w:r>
    </w:p>
    <w:p>
      <w:pPr>
        <w:snapToGrid w:val="0"/>
        <w:spacing w:line="360" w:lineRule="auto"/>
        <w:ind w:firstLine="420" w:firstLineChars="200"/>
        <w:rPr>
          <w:rFonts w:hint="eastAsia" w:ascii="宋体" w:hAnsi="宋体"/>
        </w:rPr>
      </w:pPr>
      <w:r>
        <w:rPr>
          <w:rFonts w:hint="eastAsia" w:ascii="宋体" w:hAnsi="宋体"/>
        </w:rPr>
        <w:t>（4）《水泥厂卫生防护距离》（GB18068-2000）；</w:t>
      </w:r>
    </w:p>
    <w:p>
      <w:pPr>
        <w:snapToGrid w:val="0"/>
        <w:spacing w:line="360" w:lineRule="auto"/>
        <w:ind w:firstLine="420" w:firstLineChars="200"/>
        <w:rPr>
          <w:rFonts w:hint="eastAsia" w:ascii="宋体" w:hAnsi="宋体"/>
        </w:rPr>
      </w:pPr>
      <w:r>
        <w:rPr>
          <w:rFonts w:hint="eastAsia" w:ascii="宋体" w:hAnsi="宋体"/>
        </w:rPr>
        <w:t>（5）《水泥工业除尘工程技术规范》（HJ434-2008</w:t>
      </w:r>
      <w:r>
        <w:rPr>
          <w:rFonts w:ascii="宋体" w:hAnsi="宋体"/>
        </w:rPr>
        <w:t>）</w:t>
      </w:r>
      <w:r>
        <w:rPr>
          <w:rFonts w:hint="eastAsia" w:ascii="宋体" w:hAnsi="宋体"/>
        </w:rPr>
        <w:t>。</w:t>
      </w:r>
    </w:p>
    <w:p>
      <w:pPr>
        <w:spacing w:line="360" w:lineRule="auto"/>
        <w:outlineLvl w:val="2"/>
        <w:rPr>
          <w:rFonts w:hint="eastAsia"/>
          <w:b/>
        </w:rPr>
      </w:pPr>
      <w:r>
        <w:rPr>
          <w:rFonts w:hint="eastAsia"/>
          <w:b/>
        </w:rPr>
        <w:t>1.2.4 建设项目有关资料</w:t>
      </w:r>
    </w:p>
    <w:p>
      <w:pPr>
        <w:spacing w:line="360" w:lineRule="auto"/>
        <w:ind w:firstLine="420" w:firstLineChars="200"/>
        <w:rPr>
          <w:rFonts w:hint="eastAsia" w:hAnsi="宋体"/>
        </w:rPr>
      </w:pPr>
      <w:r>
        <w:rPr>
          <w:rFonts w:hint="eastAsia" w:hAnsi="宋体"/>
        </w:rPr>
        <w:t>（1）《重庆永荣青鹏煤业有限公司2500t/d熟料水泥生产线技改项目</w:t>
      </w:r>
      <w:r>
        <w:rPr>
          <w:rFonts w:hAnsi="宋体"/>
        </w:rPr>
        <w:t>可行性研究报告</w:t>
      </w:r>
      <w:r>
        <w:rPr>
          <w:rFonts w:hint="eastAsia" w:hAnsi="宋体"/>
        </w:rPr>
        <w:t>》（山东省建筑材料工业设计研究院、山东省经纬项目管理咨询公司 2010年6月）；</w:t>
      </w:r>
    </w:p>
    <w:p>
      <w:pPr>
        <w:spacing w:line="360" w:lineRule="auto"/>
        <w:ind w:firstLine="420" w:firstLineChars="200"/>
        <w:rPr>
          <w:rFonts w:hint="eastAsia" w:hAnsi="宋体"/>
        </w:rPr>
      </w:pPr>
      <w:r>
        <w:rPr>
          <w:rFonts w:hint="eastAsia" w:hAnsi="宋体"/>
        </w:rPr>
        <w:t>（2）《重庆永荣青鹏煤业有限公司2500t/d熟料水泥生产线技改工程水土保持方案报告书》（重庆蓝宇园林绿化工程有限公司，2008年9月）；</w:t>
      </w:r>
    </w:p>
    <w:p>
      <w:pPr>
        <w:adjustRightInd w:val="0"/>
        <w:snapToGrid w:val="0"/>
        <w:spacing w:line="360" w:lineRule="auto"/>
        <w:ind w:firstLine="420" w:firstLineChars="200"/>
        <w:textAlignment w:val="baseline"/>
        <w:rPr>
          <w:rFonts w:hAnsi="宋体"/>
        </w:rPr>
      </w:pPr>
      <w:r>
        <w:rPr>
          <w:rFonts w:hint="eastAsia" w:hAnsi="宋体"/>
        </w:rPr>
        <w:t>（3）《重庆永荣青鹏水泥厂技改工程</w:t>
      </w:r>
      <w:bookmarkStart w:id="9" w:name="_Toc183225306"/>
      <w:bookmarkStart w:id="10" w:name="_Toc183225163"/>
      <w:bookmarkStart w:id="11" w:name="_Toc183225207"/>
      <w:bookmarkStart w:id="12" w:name="_Toc183225244"/>
      <w:r>
        <w:rPr>
          <w:rFonts w:hint="eastAsia" w:hAnsi="宋体"/>
        </w:rPr>
        <w:t>建设工程用地地质灾害危险性评估</w:t>
      </w:r>
      <w:bookmarkEnd w:id="9"/>
      <w:bookmarkEnd w:id="10"/>
      <w:bookmarkEnd w:id="11"/>
      <w:bookmarkEnd w:id="12"/>
      <w:r>
        <w:rPr>
          <w:rFonts w:hint="eastAsia" w:hAnsi="宋体"/>
        </w:rPr>
        <w:t>说明书》</w:t>
      </w:r>
      <w:bookmarkStart w:id="13" w:name="_Toc183225307"/>
      <w:bookmarkStart w:id="14" w:name="_Toc183225245"/>
      <w:r>
        <w:rPr>
          <w:rFonts w:hint="eastAsia" w:hAnsi="宋体"/>
        </w:rPr>
        <w:t>（重 庆 市 勘 测 院</w:t>
      </w:r>
      <w:bookmarkEnd w:id="13"/>
      <w:bookmarkEnd w:id="14"/>
      <w:r>
        <w:rPr>
          <w:rFonts w:hint="eastAsia" w:hAnsi="宋体"/>
        </w:rPr>
        <w:t>，2007年11月）；</w:t>
      </w:r>
    </w:p>
    <w:p>
      <w:pPr>
        <w:spacing w:line="360" w:lineRule="auto"/>
        <w:ind w:firstLine="420" w:firstLineChars="200"/>
        <w:rPr>
          <w:rFonts w:hint="eastAsia" w:hAnsi="宋体"/>
        </w:rPr>
      </w:pPr>
      <w:r>
        <w:rPr>
          <w:rFonts w:hint="eastAsia" w:hAnsi="宋体"/>
        </w:rPr>
        <w:t>（4）重庆市建设项目环境影响评价要求通知书，渝（市）［2010］139号。</w:t>
      </w:r>
    </w:p>
    <w:p>
      <w:pPr>
        <w:spacing w:before="24" w:beforeLines="10" w:after="24" w:afterLines="10" w:line="360" w:lineRule="auto"/>
        <w:outlineLvl w:val="1"/>
        <w:rPr>
          <w:rFonts w:hint="eastAsia"/>
          <w:b/>
        </w:rPr>
      </w:pPr>
      <w:bookmarkStart w:id="15" w:name="_Toc276372213"/>
      <w:r>
        <w:rPr>
          <w:rFonts w:hint="eastAsia"/>
          <w:b/>
        </w:rPr>
        <w:t>1.3 评价原则</w:t>
      </w:r>
      <w:bookmarkEnd w:id="15"/>
    </w:p>
    <w:p>
      <w:pPr>
        <w:spacing w:line="360" w:lineRule="auto"/>
        <w:ind w:firstLine="420" w:firstLineChars="200"/>
        <w:rPr>
          <w:rFonts w:hAnsi="宋体"/>
        </w:rPr>
      </w:pPr>
      <w:r>
        <w:rPr>
          <w:rFonts w:hint="eastAsia" w:hAnsi="宋体"/>
        </w:rPr>
        <w:t>（1）</w:t>
      </w:r>
      <w:r>
        <w:rPr>
          <w:rFonts w:hAnsi="宋体"/>
        </w:rPr>
        <w:t>实现项目建设与当地自然、社会文化、经济、资源利用、环境保护的持续协调发展，即确保按可持续发展战略进行本项目建设。</w:t>
      </w:r>
    </w:p>
    <w:p>
      <w:pPr>
        <w:spacing w:line="360" w:lineRule="auto"/>
        <w:ind w:firstLine="420" w:firstLineChars="200"/>
        <w:rPr>
          <w:rFonts w:hAnsi="宋体"/>
        </w:rPr>
      </w:pPr>
      <w:r>
        <w:rPr>
          <w:rFonts w:hint="eastAsia" w:hAnsi="宋体"/>
        </w:rPr>
        <w:t>（</w:t>
      </w:r>
      <w:r>
        <w:rPr>
          <w:rFonts w:hAnsi="宋体"/>
        </w:rPr>
        <w:t>2）坚持</w:t>
      </w:r>
      <w:r>
        <w:rPr>
          <w:rFonts w:hint="eastAsia" w:hAnsi="宋体"/>
        </w:rPr>
        <w:t>“</w:t>
      </w:r>
      <w:r>
        <w:rPr>
          <w:rFonts w:hAnsi="宋体"/>
        </w:rPr>
        <w:t>达标排放、总量控制、以新带老、清洁生产</w:t>
      </w:r>
      <w:r>
        <w:rPr>
          <w:rFonts w:hint="eastAsia" w:hAnsi="宋体"/>
        </w:rPr>
        <w:t>”</w:t>
      </w:r>
      <w:r>
        <w:rPr>
          <w:rFonts w:hAnsi="宋体"/>
        </w:rPr>
        <w:t>的原则；并结合区域发展要素的总体发展规划，从环保角度论述本项目选址及总图布置的合理性。</w:t>
      </w:r>
    </w:p>
    <w:p>
      <w:pPr>
        <w:spacing w:line="360" w:lineRule="auto"/>
        <w:ind w:firstLine="420" w:firstLineChars="200"/>
        <w:rPr>
          <w:rFonts w:hAnsi="宋体"/>
        </w:rPr>
      </w:pPr>
      <w:r>
        <w:rPr>
          <w:rFonts w:hint="eastAsia" w:hAnsi="宋体"/>
        </w:rPr>
        <w:t>（</w:t>
      </w:r>
      <w:r>
        <w:rPr>
          <w:rFonts w:hAnsi="宋体"/>
        </w:rPr>
        <w:t>3）按</w:t>
      </w:r>
      <w:r>
        <w:rPr>
          <w:rFonts w:hint="eastAsia" w:hAnsi="宋体"/>
        </w:rPr>
        <w:t>“</w:t>
      </w:r>
      <w:r>
        <w:rPr>
          <w:rFonts w:hAnsi="宋体"/>
        </w:rPr>
        <w:t>突出重点</w:t>
      </w:r>
      <w:r>
        <w:rPr>
          <w:rFonts w:hint="eastAsia" w:hAnsi="宋体"/>
        </w:rPr>
        <w:t>”</w:t>
      </w:r>
      <w:r>
        <w:rPr>
          <w:rFonts w:hAnsi="宋体"/>
        </w:rPr>
        <w:t>的原则，针对水泥行业特点，重点分析项目废气排放对周围环境空气质量的影响；分析石灰石矿开采的生态影响及减缓措施。</w:t>
      </w:r>
    </w:p>
    <w:p>
      <w:pPr>
        <w:spacing w:line="360" w:lineRule="auto"/>
        <w:ind w:firstLine="420" w:firstLineChars="200"/>
        <w:rPr>
          <w:rFonts w:hAnsi="宋体"/>
        </w:rPr>
      </w:pPr>
      <w:r>
        <w:rPr>
          <w:rFonts w:hint="eastAsia" w:hAnsi="宋体"/>
        </w:rPr>
        <w:t>（</w:t>
      </w:r>
      <w:r>
        <w:rPr>
          <w:rFonts w:hAnsi="宋体"/>
        </w:rPr>
        <w:t>4）从经济、技术角度论证项目污染防治措施的可行性。</w:t>
      </w:r>
    </w:p>
    <w:p>
      <w:pPr>
        <w:spacing w:before="24" w:beforeLines="10" w:after="24" w:afterLines="10" w:line="360" w:lineRule="auto"/>
        <w:outlineLvl w:val="1"/>
        <w:rPr>
          <w:rFonts w:hint="eastAsia"/>
          <w:b/>
        </w:rPr>
      </w:pPr>
      <w:bookmarkStart w:id="16" w:name="_Toc276372214"/>
      <w:r>
        <w:rPr>
          <w:rFonts w:hint="eastAsia"/>
          <w:b/>
        </w:rPr>
        <w:t>1.4总体构思</w:t>
      </w:r>
      <w:bookmarkEnd w:id="16"/>
    </w:p>
    <w:p>
      <w:pPr>
        <w:spacing w:line="360" w:lineRule="auto"/>
        <w:ind w:firstLine="420" w:firstLineChars="200"/>
        <w:rPr>
          <w:rFonts w:hint="eastAsia" w:hAnsi="宋体"/>
        </w:rPr>
      </w:pPr>
      <w:r>
        <w:rPr>
          <w:rFonts w:hint="eastAsia" w:ascii="宋体" w:hAnsi="宋体"/>
        </w:rPr>
        <w:t>（1）</w:t>
      </w:r>
      <w:r>
        <w:rPr>
          <w:rFonts w:hint="eastAsia" w:hAnsi="宋体"/>
        </w:rPr>
        <w:t>本项目为技改项目，因此本评价在摸清公司现有的排污特征、采取的环保措施、治理效果以及存在主要环境问题的基础上，采用类比调查和物料平衡等方法进行搬迁项目的工程分析，算清“三本帐”，掌握污染物的产生、排放状况，确定环境影响因素，为环境影响预测提供基础数据，同时将重点评价技改前后单位产品的能耗、物耗、污染物的治理效果，对周边环境影响的变化情况，突出技改项目的环境效益。</w:t>
      </w:r>
    </w:p>
    <w:p>
      <w:pPr>
        <w:spacing w:line="360" w:lineRule="auto"/>
        <w:ind w:firstLine="420" w:firstLineChars="200"/>
        <w:rPr>
          <w:rFonts w:hint="eastAsia" w:ascii="宋体" w:hAnsi="宋体"/>
          <w:spacing w:val="8"/>
        </w:rPr>
      </w:pPr>
      <w:r>
        <w:rPr>
          <w:rFonts w:hint="eastAsia" w:ascii="宋体" w:hAnsi="宋体"/>
        </w:rPr>
        <w:t>（2）技改项目不新增用地，主要利用现有生产厂区，因此</w:t>
      </w:r>
      <w:r>
        <w:rPr>
          <w:rFonts w:hint="eastAsia" w:ascii="宋体" w:hAnsi="宋体"/>
          <w:spacing w:val="8"/>
        </w:rPr>
        <w:t>施工期建设内容较简单，施工周期不长，故工程分析主要针对运行期，将施工期排污分析内容调整到施工期环境影响分析专题之中。</w:t>
      </w:r>
    </w:p>
    <w:p>
      <w:pPr>
        <w:spacing w:line="360" w:lineRule="auto"/>
        <w:ind w:firstLine="420" w:firstLineChars="200"/>
        <w:rPr>
          <w:rFonts w:hint="eastAsia" w:ascii="宋体" w:hAnsi="宋体"/>
        </w:rPr>
      </w:pPr>
      <w:r>
        <w:rPr>
          <w:rFonts w:hint="eastAsia" w:ascii="宋体" w:hAnsi="宋体"/>
        </w:rPr>
        <w:t>（3）技改项目配套的石灰石矿山位于重庆市璧山县福禄镇，由重庆璧山县富强矿业有限公司定点供应。该矿山具有采矿许可证（证号：5002270710038），且重庆璧山县富强矿业有限公司对其单独进行了环境影响评价，并已取得璧山县环保局的批准（渝（璧）环准［2008］123号），重庆永荣青鹏煤业有限公司与重庆璧山县富强矿业有限公司签定了长期的供销合同。故本报告书不对石灰石矿山进行环境影响评价，仅分析矿山的生产规模和服务年限是否符合《水泥工业产业发展政策》要求。</w:t>
      </w:r>
    </w:p>
    <w:p>
      <w:pPr>
        <w:spacing w:before="24" w:beforeLines="10" w:after="24" w:afterLines="10" w:line="360" w:lineRule="auto"/>
        <w:outlineLvl w:val="1"/>
        <w:rPr>
          <w:rFonts w:hint="eastAsia"/>
          <w:b/>
        </w:rPr>
      </w:pPr>
      <w:bookmarkStart w:id="17" w:name="_Toc165607334"/>
      <w:bookmarkStart w:id="18" w:name="_Toc276372215"/>
      <w:bookmarkStart w:id="19" w:name="_Toc189814122"/>
      <w:bookmarkStart w:id="20" w:name="_Toc175479776"/>
      <w:bookmarkStart w:id="21" w:name="_Toc129763679"/>
      <w:bookmarkStart w:id="22" w:name="_Toc473281480"/>
      <w:r>
        <w:rPr>
          <w:rFonts w:hint="eastAsia"/>
          <w:b/>
        </w:rPr>
        <w:t>1.5 评价标准</w:t>
      </w:r>
      <w:bookmarkEnd w:id="17"/>
      <w:bookmarkEnd w:id="18"/>
      <w:bookmarkEnd w:id="19"/>
      <w:bookmarkEnd w:id="20"/>
      <w:bookmarkEnd w:id="21"/>
      <w:bookmarkEnd w:id="22"/>
    </w:p>
    <w:p>
      <w:pPr>
        <w:spacing w:line="360" w:lineRule="auto"/>
        <w:outlineLvl w:val="2"/>
        <w:rPr>
          <w:rFonts w:hint="eastAsia"/>
          <w:b/>
        </w:rPr>
      </w:pPr>
      <w:r>
        <w:rPr>
          <w:rFonts w:hint="eastAsia"/>
          <w:b/>
        </w:rPr>
        <w:t>1.5.1环境质量标准</w:t>
      </w:r>
    </w:p>
    <w:p>
      <w:pPr>
        <w:tabs>
          <w:tab w:val="left" w:pos="2055"/>
          <w:tab w:val="center" w:pos="5100"/>
        </w:tabs>
        <w:spacing w:line="360" w:lineRule="auto"/>
        <w:ind w:firstLine="420" w:firstLineChars="200"/>
        <w:rPr>
          <w:rFonts w:hint="eastAsia" w:ascii="宋体" w:hAnsi="宋体"/>
        </w:rPr>
      </w:pPr>
      <w:r>
        <w:rPr>
          <w:rFonts w:hint="eastAsia" w:ascii="宋体" w:hAnsi="宋体"/>
        </w:rPr>
        <w:t>环境空气：根据重府发[1997]40号文，技改项目所在地属环境空气功能二类区，执行《环境空气质量标准》（GB3095-1996，2000年1月修改）中的二级标准，</w:t>
      </w:r>
      <w:r>
        <w:rPr>
          <w:rFonts w:hint="eastAsia" w:ascii="宋体" w:hAnsi="宋体"/>
          <w:spacing w:val="8"/>
        </w:rPr>
        <w:t>环境空气中</w:t>
      </w:r>
      <w:r>
        <w:rPr>
          <w:rFonts w:ascii="宋体" w:hAnsi="宋体"/>
        </w:rPr>
        <w:t>SO</w:t>
      </w:r>
      <w:r>
        <w:rPr>
          <w:rFonts w:ascii="宋体" w:hAnsi="宋体"/>
          <w:vertAlign w:val="subscript"/>
        </w:rPr>
        <w:t>2</w:t>
      </w:r>
      <w:r>
        <w:rPr>
          <w:rFonts w:hint="eastAsia" w:ascii="宋体" w:hAnsi="宋体"/>
          <w:spacing w:val="8"/>
        </w:rPr>
        <w:t>同时还应执行《保护农作物的大气污染物最高允许浓度》（GB9137-88）。</w:t>
      </w:r>
      <w:r>
        <w:rPr>
          <w:rFonts w:hint="eastAsia" w:ascii="宋体" w:hAnsi="宋体"/>
        </w:rPr>
        <w:t>与技改项目相关的主要标准值见表1-1和表1-2。</w:t>
      </w:r>
    </w:p>
    <w:p>
      <w:pPr>
        <w:tabs>
          <w:tab w:val="left" w:pos="2055"/>
          <w:tab w:val="center" w:pos="5100"/>
        </w:tabs>
        <w:spacing w:line="480" w:lineRule="exact"/>
        <w:jc w:val="center"/>
        <w:rPr>
          <w:rFonts w:hint="eastAsia" w:ascii="宋体" w:hAnsi="宋体"/>
          <w:szCs w:val="21"/>
        </w:rPr>
      </w:pPr>
      <w:r>
        <w:rPr>
          <w:rFonts w:hint="eastAsia" w:ascii="宋体" w:hAnsi="宋体"/>
          <w:b/>
        </w:rPr>
        <w:t xml:space="preserve">表1-1     环境空气质量标准      </w:t>
      </w:r>
      <w:r>
        <w:rPr>
          <w:rFonts w:hint="eastAsia" w:ascii="宋体" w:hAnsi="宋体"/>
        </w:rPr>
        <w:t xml:space="preserve"> </w:t>
      </w:r>
      <w:r>
        <w:rPr>
          <w:rFonts w:hint="eastAsia" w:ascii="宋体" w:hAnsi="宋体"/>
          <w:szCs w:val="21"/>
        </w:rPr>
        <w:t>单位：</w:t>
      </w:r>
      <w:r>
        <w:rPr>
          <w:rFonts w:ascii="宋体" w:hAnsi="宋体"/>
          <w:szCs w:val="21"/>
        </w:rPr>
        <w:t>mg/m</w:t>
      </w:r>
      <w:r>
        <w:rPr>
          <w:rFonts w:ascii="宋体" w:hAnsi="宋体"/>
          <w:szCs w:val="21"/>
          <w:vertAlign w:val="superscript"/>
        </w:rPr>
        <w:t>3</w:t>
      </w:r>
    </w:p>
    <w:tbl>
      <w:tblPr>
        <w:tblStyle w:val="21"/>
        <w:tblW w:w="7141" w:type="dxa"/>
        <w:jc w:val="center"/>
        <w:tblInd w:w="9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2484"/>
        <w:gridCol w:w="3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25" w:hRule="atLeast"/>
          <w:jc w:val="center"/>
        </w:trPr>
        <w:tc>
          <w:tcPr>
            <w:tcW w:w="1478" w:type="dxa"/>
            <w:vMerge w:val="restart"/>
            <w:vAlign w:val="top"/>
          </w:tcPr>
          <w:p>
            <w:pPr>
              <w:spacing w:line="360" w:lineRule="exact"/>
              <w:jc w:val="center"/>
              <w:rPr>
                <w:rFonts w:hint="eastAsia" w:ascii="宋体" w:hAnsi="宋体"/>
                <w:sz w:val="21"/>
                <w:szCs w:val="21"/>
              </w:rPr>
            </w:pPr>
            <w:r>
              <w:rPr>
                <w:rFonts w:hint="eastAsia" w:ascii="宋体" w:hAnsi="宋体"/>
                <w:sz w:val="21"/>
                <w:szCs w:val="21"/>
              </w:rPr>
              <w:t>污染物</w:t>
            </w:r>
          </w:p>
        </w:tc>
        <w:tc>
          <w:tcPr>
            <w:tcW w:w="2484" w:type="dxa"/>
            <w:vMerge w:val="restart"/>
            <w:vAlign w:val="top"/>
          </w:tcPr>
          <w:p>
            <w:pPr>
              <w:spacing w:line="360" w:lineRule="exact"/>
              <w:jc w:val="center"/>
              <w:rPr>
                <w:rFonts w:hint="eastAsia" w:ascii="宋体" w:hAnsi="宋体"/>
                <w:sz w:val="21"/>
                <w:szCs w:val="21"/>
              </w:rPr>
            </w:pPr>
            <w:r>
              <w:rPr>
                <w:rFonts w:hint="eastAsia" w:ascii="宋体" w:hAnsi="宋体"/>
                <w:sz w:val="21"/>
                <w:szCs w:val="21"/>
              </w:rPr>
              <w:t>取值时间</w:t>
            </w:r>
          </w:p>
        </w:tc>
        <w:tc>
          <w:tcPr>
            <w:tcW w:w="3179" w:type="dxa"/>
            <w:vAlign w:val="top"/>
          </w:tcPr>
          <w:p>
            <w:pPr>
              <w:spacing w:line="360" w:lineRule="exact"/>
              <w:jc w:val="center"/>
              <w:rPr>
                <w:rFonts w:hint="eastAsia" w:ascii="宋体" w:hAnsi="宋体"/>
                <w:sz w:val="21"/>
                <w:szCs w:val="21"/>
              </w:rPr>
            </w:pPr>
            <w:r>
              <w:rPr>
                <w:rFonts w:hint="eastAsia" w:ascii="宋体" w:hAnsi="宋体"/>
                <w:sz w:val="21"/>
                <w:szCs w:val="21"/>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1478" w:type="dxa"/>
            <w:vMerge w:val="continue"/>
            <w:vAlign w:val="top"/>
          </w:tcPr>
          <w:p>
            <w:pPr>
              <w:spacing w:line="360" w:lineRule="exact"/>
              <w:jc w:val="center"/>
              <w:rPr>
                <w:rFonts w:hint="eastAsia" w:ascii="宋体" w:hAnsi="宋体"/>
                <w:sz w:val="21"/>
                <w:szCs w:val="21"/>
              </w:rPr>
            </w:pPr>
          </w:p>
        </w:tc>
        <w:tc>
          <w:tcPr>
            <w:tcW w:w="2484" w:type="dxa"/>
            <w:vMerge w:val="continue"/>
            <w:vAlign w:val="top"/>
          </w:tcPr>
          <w:p>
            <w:pPr>
              <w:spacing w:line="360" w:lineRule="exact"/>
              <w:jc w:val="center"/>
              <w:rPr>
                <w:rFonts w:hint="eastAsia" w:ascii="宋体" w:hAnsi="宋体"/>
                <w:sz w:val="21"/>
                <w:szCs w:val="21"/>
              </w:rPr>
            </w:pPr>
          </w:p>
        </w:tc>
        <w:tc>
          <w:tcPr>
            <w:tcW w:w="3179" w:type="dxa"/>
            <w:vAlign w:val="top"/>
          </w:tcPr>
          <w:p>
            <w:pPr>
              <w:spacing w:line="360" w:lineRule="exact"/>
              <w:jc w:val="center"/>
              <w:rPr>
                <w:rFonts w:hint="eastAsia" w:ascii="宋体" w:hAnsi="宋体"/>
                <w:sz w:val="21"/>
                <w:szCs w:val="21"/>
              </w:rPr>
            </w:pPr>
            <w:r>
              <w:rPr>
                <w:rFonts w:hint="eastAsia" w:ascii="宋体" w:hAnsi="宋体"/>
                <w:sz w:val="21"/>
                <w:szCs w:val="21"/>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0" w:hRule="atLeast"/>
          <w:jc w:val="center"/>
        </w:trPr>
        <w:tc>
          <w:tcPr>
            <w:tcW w:w="1478" w:type="dxa"/>
            <w:vMerge w:val="restart"/>
            <w:vAlign w:val="center"/>
          </w:tcPr>
          <w:p>
            <w:pPr>
              <w:spacing w:line="360" w:lineRule="exact"/>
              <w:jc w:val="center"/>
              <w:rPr>
                <w:rFonts w:hint="eastAsia" w:ascii="宋体" w:hAnsi="宋体"/>
                <w:sz w:val="21"/>
                <w:szCs w:val="21"/>
              </w:rPr>
            </w:pPr>
            <w:r>
              <w:rPr>
                <w:rFonts w:hint="eastAsia" w:ascii="宋体" w:hAnsi="宋体"/>
                <w:sz w:val="21"/>
                <w:szCs w:val="21"/>
              </w:rPr>
              <w:t>PM</w:t>
            </w:r>
            <w:r>
              <w:rPr>
                <w:rFonts w:hint="eastAsia" w:ascii="宋体" w:hAnsi="宋体"/>
                <w:sz w:val="21"/>
                <w:szCs w:val="21"/>
                <w:vertAlign w:val="subscript"/>
                <w:lang w:val="de-DE"/>
              </w:rPr>
              <w:t>10</w:t>
            </w:r>
          </w:p>
        </w:tc>
        <w:tc>
          <w:tcPr>
            <w:tcW w:w="2484" w:type="dxa"/>
            <w:vAlign w:val="center"/>
          </w:tcPr>
          <w:p>
            <w:pPr>
              <w:spacing w:line="360" w:lineRule="exact"/>
              <w:jc w:val="center"/>
              <w:rPr>
                <w:rFonts w:hint="eastAsia" w:ascii="宋体" w:hAnsi="宋体"/>
                <w:sz w:val="21"/>
                <w:szCs w:val="21"/>
              </w:rPr>
            </w:pPr>
            <w:r>
              <w:rPr>
                <w:rFonts w:hint="eastAsia" w:ascii="宋体" w:hAnsi="宋体"/>
                <w:sz w:val="21"/>
                <w:szCs w:val="21"/>
              </w:rPr>
              <w:t>年平均</w:t>
            </w:r>
          </w:p>
        </w:tc>
        <w:tc>
          <w:tcPr>
            <w:tcW w:w="3179" w:type="dxa"/>
            <w:vAlign w:val="top"/>
          </w:tcPr>
          <w:p>
            <w:pPr>
              <w:spacing w:line="360" w:lineRule="exact"/>
              <w:jc w:val="center"/>
              <w:rPr>
                <w:rFonts w:hint="eastAsia" w:ascii="宋体" w:hAnsi="宋体"/>
                <w:sz w:val="21"/>
                <w:szCs w:val="21"/>
              </w:rPr>
            </w:pPr>
            <w:r>
              <w:rPr>
                <w:rFonts w:ascii="宋体" w:hAnsi="宋体"/>
                <w:sz w:val="21"/>
                <w:szCs w:val="21"/>
              </w:rPr>
              <w:t>0.</w:t>
            </w:r>
            <w:r>
              <w:rPr>
                <w:rFonts w:hint="eastAsia" w:ascii="宋体" w:hAnsi="宋体"/>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 w:hRule="atLeast"/>
          <w:jc w:val="center"/>
        </w:trPr>
        <w:tc>
          <w:tcPr>
            <w:tcW w:w="1478" w:type="dxa"/>
            <w:vMerge w:val="continue"/>
            <w:vAlign w:val="center"/>
          </w:tcPr>
          <w:p>
            <w:pPr>
              <w:spacing w:line="360" w:lineRule="exact"/>
              <w:jc w:val="center"/>
              <w:rPr>
                <w:rFonts w:hint="eastAsia" w:ascii="宋体" w:hAnsi="宋体"/>
                <w:sz w:val="21"/>
                <w:szCs w:val="21"/>
              </w:rPr>
            </w:pPr>
          </w:p>
        </w:tc>
        <w:tc>
          <w:tcPr>
            <w:tcW w:w="2484" w:type="dxa"/>
            <w:vAlign w:val="center"/>
          </w:tcPr>
          <w:p>
            <w:pPr>
              <w:spacing w:line="360" w:lineRule="exact"/>
              <w:jc w:val="center"/>
              <w:rPr>
                <w:rFonts w:hint="eastAsia" w:ascii="宋体" w:hAnsi="宋体"/>
                <w:sz w:val="21"/>
                <w:szCs w:val="21"/>
              </w:rPr>
            </w:pPr>
            <w:r>
              <w:rPr>
                <w:rFonts w:hint="eastAsia" w:ascii="宋体" w:hAnsi="宋体"/>
                <w:sz w:val="21"/>
                <w:szCs w:val="21"/>
              </w:rPr>
              <w:t>日平均</w:t>
            </w:r>
          </w:p>
        </w:tc>
        <w:tc>
          <w:tcPr>
            <w:tcW w:w="3179" w:type="dxa"/>
            <w:vAlign w:val="top"/>
          </w:tcPr>
          <w:p>
            <w:pPr>
              <w:spacing w:line="360" w:lineRule="exact"/>
              <w:jc w:val="center"/>
              <w:rPr>
                <w:rFonts w:hint="eastAsia" w:ascii="宋体" w:hAnsi="宋体"/>
                <w:sz w:val="21"/>
                <w:szCs w:val="21"/>
                <w:lang w:val="de-DE"/>
              </w:rPr>
            </w:pPr>
            <w:r>
              <w:rPr>
                <w:rFonts w:ascii="宋体" w:hAnsi="宋体"/>
                <w:sz w:val="21"/>
                <w:szCs w:val="21"/>
                <w:lang w:val="de-DE"/>
              </w:rPr>
              <w:t>0.</w:t>
            </w:r>
            <w:r>
              <w:rPr>
                <w:rFonts w:hint="eastAsia" w:ascii="宋体" w:hAnsi="宋体"/>
                <w:sz w:val="21"/>
                <w:szCs w:val="21"/>
                <w:lang w:val="de-D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9" w:hRule="atLeast"/>
          <w:jc w:val="center"/>
        </w:trPr>
        <w:tc>
          <w:tcPr>
            <w:tcW w:w="1478" w:type="dxa"/>
            <w:vMerge w:val="restart"/>
            <w:vAlign w:val="center"/>
          </w:tcPr>
          <w:p>
            <w:pPr>
              <w:spacing w:line="360" w:lineRule="exact"/>
              <w:jc w:val="center"/>
              <w:rPr>
                <w:rFonts w:ascii="宋体" w:hAnsi="宋体"/>
                <w:sz w:val="21"/>
                <w:szCs w:val="21"/>
                <w:lang w:val="de-DE"/>
              </w:rPr>
            </w:pPr>
            <w:r>
              <w:rPr>
                <w:rFonts w:ascii="宋体" w:hAnsi="宋体"/>
                <w:sz w:val="21"/>
                <w:szCs w:val="21"/>
                <w:lang w:val="de-DE"/>
              </w:rPr>
              <w:t>SO</w:t>
            </w:r>
            <w:r>
              <w:rPr>
                <w:rFonts w:ascii="宋体" w:hAnsi="宋体"/>
                <w:sz w:val="21"/>
                <w:szCs w:val="21"/>
                <w:vertAlign w:val="subscript"/>
                <w:lang w:val="de-DE"/>
              </w:rPr>
              <w:t>2</w:t>
            </w:r>
          </w:p>
        </w:tc>
        <w:tc>
          <w:tcPr>
            <w:tcW w:w="2484" w:type="dxa"/>
            <w:vAlign w:val="center"/>
          </w:tcPr>
          <w:p>
            <w:pPr>
              <w:spacing w:line="360" w:lineRule="exact"/>
              <w:jc w:val="center"/>
              <w:rPr>
                <w:rFonts w:hint="eastAsia" w:ascii="宋体" w:hAnsi="宋体"/>
                <w:sz w:val="21"/>
                <w:szCs w:val="21"/>
                <w:lang w:val="de-DE"/>
              </w:rPr>
            </w:pPr>
            <w:r>
              <w:rPr>
                <w:rFonts w:hint="eastAsia" w:ascii="宋体" w:hAnsi="宋体"/>
                <w:sz w:val="21"/>
                <w:szCs w:val="21"/>
              </w:rPr>
              <w:t>年平均</w:t>
            </w:r>
          </w:p>
        </w:tc>
        <w:tc>
          <w:tcPr>
            <w:tcW w:w="3179" w:type="dxa"/>
            <w:vAlign w:val="top"/>
          </w:tcPr>
          <w:p>
            <w:pPr>
              <w:spacing w:line="360" w:lineRule="exact"/>
              <w:jc w:val="center"/>
              <w:rPr>
                <w:rFonts w:ascii="宋体" w:hAnsi="宋体"/>
                <w:sz w:val="21"/>
                <w:szCs w:val="21"/>
              </w:rPr>
            </w:pPr>
            <w:r>
              <w:rPr>
                <w:rFonts w:ascii="宋体" w:hAnsi="宋体"/>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 w:hRule="atLeast"/>
          <w:jc w:val="center"/>
        </w:trPr>
        <w:tc>
          <w:tcPr>
            <w:tcW w:w="1478" w:type="dxa"/>
            <w:vMerge w:val="continue"/>
            <w:vAlign w:val="center"/>
          </w:tcPr>
          <w:p>
            <w:pPr>
              <w:spacing w:line="360" w:lineRule="exact"/>
              <w:jc w:val="center"/>
              <w:rPr>
                <w:rFonts w:ascii="宋体" w:hAnsi="宋体"/>
                <w:sz w:val="21"/>
                <w:szCs w:val="21"/>
              </w:rPr>
            </w:pPr>
          </w:p>
        </w:tc>
        <w:tc>
          <w:tcPr>
            <w:tcW w:w="2484" w:type="dxa"/>
            <w:vAlign w:val="center"/>
          </w:tcPr>
          <w:p>
            <w:pPr>
              <w:spacing w:line="360" w:lineRule="exact"/>
              <w:jc w:val="center"/>
              <w:rPr>
                <w:rFonts w:hint="eastAsia" w:ascii="宋体" w:hAnsi="宋体"/>
                <w:sz w:val="21"/>
                <w:szCs w:val="21"/>
              </w:rPr>
            </w:pPr>
            <w:r>
              <w:rPr>
                <w:rFonts w:hint="eastAsia" w:ascii="宋体" w:hAnsi="宋体"/>
                <w:sz w:val="21"/>
                <w:szCs w:val="21"/>
              </w:rPr>
              <w:t>日平均</w:t>
            </w:r>
          </w:p>
        </w:tc>
        <w:tc>
          <w:tcPr>
            <w:tcW w:w="3179" w:type="dxa"/>
            <w:vAlign w:val="top"/>
          </w:tcPr>
          <w:p>
            <w:pPr>
              <w:spacing w:line="360" w:lineRule="exact"/>
              <w:jc w:val="center"/>
              <w:rPr>
                <w:rFonts w:ascii="宋体" w:hAnsi="宋体"/>
                <w:sz w:val="21"/>
                <w:szCs w:val="21"/>
              </w:rPr>
            </w:pPr>
            <w:r>
              <w:rPr>
                <w:rFonts w:ascii="宋体" w:hAnsi="宋体"/>
                <w:sz w:val="21"/>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8" w:hRule="atLeast"/>
          <w:jc w:val="center"/>
        </w:trPr>
        <w:tc>
          <w:tcPr>
            <w:tcW w:w="1478" w:type="dxa"/>
            <w:vMerge w:val="continue"/>
            <w:vAlign w:val="center"/>
          </w:tcPr>
          <w:p>
            <w:pPr>
              <w:spacing w:line="360" w:lineRule="exact"/>
              <w:jc w:val="center"/>
              <w:rPr>
                <w:rFonts w:ascii="宋体" w:hAnsi="宋体"/>
                <w:sz w:val="21"/>
                <w:szCs w:val="21"/>
              </w:rPr>
            </w:pPr>
          </w:p>
        </w:tc>
        <w:tc>
          <w:tcPr>
            <w:tcW w:w="2484" w:type="dxa"/>
            <w:vAlign w:val="center"/>
          </w:tcPr>
          <w:p>
            <w:pPr>
              <w:spacing w:line="360" w:lineRule="exact"/>
              <w:jc w:val="center"/>
              <w:rPr>
                <w:rFonts w:hint="eastAsia" w:ascii="宋体" w:hAnsi="宋体"/>
                <w:sz w:val="21"/>
                <w:szCs w:val="21"/>
              </w:rPr>
            </w:pPr>
            <w:r>
              <w:rPr>
                <w:rFonts w:hint="eastAsia" w:ascii="宋体" w:hAnsi="宋体"/>
                <w:sz w:val="21"/>
                <w:szCs w:val="21"/>
              </w:rPr>
              <w:t>1小时平均</w:t>
            </w:r>
          </w:p>
        </w:tc>
        <w:tc>
          <w:tcPr>
            <w:tcW w:w="3179" w:type="dxa"/>
            <w:vAlign w:val="top"/>
          </w:tcPr>
          <w:p>
            <w:pPr>
              <w:spacing w:line="360" w:lineRule="exact"/>
              <w:jc w:val="center"/>
              <w:rPr>
                <w:rFonts w:ascii="宋体" w:hAnsi="宋体"/>
                <w:sz w:val="21"/>
                <w:szCs w:val="21"/>
              </w:rPr>
            </w:pPr>
            <w:r>
              <w:rPr>
                <w:rFonts w:ascii="宋体" w:hAnsi="宋体"/>
                <w:sz w:val="21"/>
                <w:szCs w:val="21"/>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6" w:hRule="atLeast"/>
          <w:jc w:val="center"/>
        </w:trPr>
        <w:tc>
          <w:tcPr>
            <w:tcW w:w="1478" w:type="dxa"/>
            <w:vMerge w:val="restart"/>
            <w:vAlign w:val="center"/>
          </w:tcPr>
          <w:p>
            <w:pPr>
              <w:spacing w:line="360" w:lineRule="exact"/>
              <w:jc w:val="center"/>
              <w:rPr>
                <w:rFonts w:hint="eastAsia" w:ascii="宋体" w:hAnsi="宋体"/>
                <w:sz w:val="21"/>
                <w:szCs w:val="21"/>
              </w:rPr>
            </w:pPr>
            <w:r>
              <w:rPr>
                <w:rFonts w:ascii="宋体" w:hAnsi="宋体"/>
                <w:sz w:val="21"/>
                <w:szCs w:val="21"/>
              </w:rPr>
              <w:t>NO</w:t>
            </w:r>
            <w:r>
              <w:rPr>
                <w:rFonts w:ascii="宋体" w:hAnsi="宋体"/>
                <w:sz w:val="21"/>
                <w:szCs w:val="21"/>
                <w:vertAlign w:val="subscript"/>
              </w:rPr>
              <w:t>2</w:t>
            </w:r>
          </w:p>
        </w:tc>
        <w:tc>
          <w:tcPr>
            <w:tcW w:w="2484" w:type="dxa"/>
            <w:vAlign w:val="center"/>
          </w:tcPr>
          <w:p>
            <w:pPr>
              <w:spacing w:line="360" w:lineRule="exact"/>
              <w:jc w:val="center"/>
              <w:rPr>
                <w:rFonts w:hint="eastAsia" w:ascii="宋体" w:hAnsi="宋体"/>
                <w:sz w:val="21"/>
                <w:szCs w:val="21"/>
              </w:rPr>
            </w:pPr>
            <w:r>
              <w:rPr>
                <w:rFonts w:hint="eastAsia" w:ascii="宋体" w:hAnsi="宋体"/>
                <w:sz w:val="21"/>
                <w:szCs w:val="21"/>
              </w:rPr>
              <w:t>年平均</w:t>
            </w:r>
          </w:p>
        </w:tc>
        <w:tc>
          <w:tcPr>
            <w:tcW w:w="3179" w:type="dxa"/>
            <w:vAlign w:val="top"/>
          </w:tcPr>
          <w:p>
            <w:pPr>
              <w:spacing w:line="360" w:lineRule="exact"/>
              <w:jc w:val="center"/>
              <w:rPr>
                <w:rFonts w:hint="eastAsia" w:ascii="宋体" w:hAnsi="宋体"/>
                <w:sz w:val="21"/>
                <w:szCs w:val="21"/>
              </w:rPr>
            </w:pPr>
            <w:r>
              <w:rPr>
                <w:rFonts w:hint="eastAsia" w:ascii="宋体" w:hAnsi="宋体"/>
                <w:sz w:val="21"/>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1478" w:type="dxa"/>
            <w:vMerge w:val="continue"/>
            <w:vAlign w:val="center"/>
          </w:tcPr>
          <w:p>
            <w:pPr>
              <w:spacing w:line="360" w:lineRule="exact"/>
              <w:jc w:val="center"/>
              <w:rPr>
                <w:rFonts w:ascii="宋体" w:hAnsi="宋体"/>
                <w:sz w:val="21"/>
                <w:szCs w:val="21"/>
              </w:rPr>
            </w:pPr>
          </w:p>
        </w:tc>
        <w:tc>
          <w:tcPr>
            <w:tcW w:w="2484" w:type="dxa"/>
            <w:vAlign w:val="center"/>
          </w:tcPr>
          <w:p>
            <w:pPr>
              <w:spacing w:line="360" w:lineRule="exact"/>
              <w:jc w:val="center"/>
              <w:rPr>
                <w:rFonts w:hint="eastAsia" w:ascii="宋体" w:hAnsi="宋体"/>
                <w:sz w:val="21"/>
                <w:szCs w:val="21"/>
              </w:rPr>
            </w:pPr>
            <w:r>
              <w:rPr>
                <w:rFonts w:hint="eastAsia" w:ascii="宋体" w:hAnsi="宋体"/>
                <w:sz w:val="21"/>
                <w:szCs w:val="21"/>
              </w:rPr>
              <w:t>日平均</w:t>
            </w:r>
          </w:p>
        </w:tc>
        <w:tc>
          <w:tcPr>
            <w:tcW w:w="3179" w:type="dxa"/>
            <w:vAlign w:val="top"/>
          </w:tcPr>
          <w:p>
            <w:pPr>
              <w:spacing w:line="360" w:lineRule="exact"/>
              <w:jc w:val="center"/>
              <w:rPr>
                <w:rFonts w:hint="eastAsia" w:ascii="宋体" w:hAnsi="宋体"/>
                <w:sz w:val="21"/>
                <w:szCs w:val="21"/>
              </w:rPr>
            </w:pPr>
            <w:r>
              <w:rPr>
                <w:rFonts w:hint="eastAsia" w:ascii="宋体" w:hAnsi="宋体"/>
                <w:sz w:val="21"/>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 w:hRule="atLeast"/>
          <w:jc w:val="center"/>
        </w:trPr>
        <w:tc>
          <w:tcPr>
            <w:tcW w:w="1478" w:type="dxa"/>
            <w:vMerge w:val="continue"/>
            <w:vAlign w:val="center"/>
          </w:tcPr>
          <w:p>
            <w:pPr>
              <w:spacing w:line="360" w:lineRule="exact"/>
              <w:jc w:val="center"/>
              <w:rPr>
                <w:rFonts w:ascii="宋体" w:hAnsi="宋体"/>
                <w:sz w:val="21"/>
                <w:szCs w:val="21"/>
              </w:rPr>
            </w:pPr>
          </w:p>
        </w:tc>
        <w:tc>
          <w:tcPr>
            <w:tcW w:w="2484" w:type="dxa"/>
            <w:vAlign w:val="center"/>
          </w:tcPr>
          <w:p>
            <w:pPr>
              <w:spacing w:line="360" w:lineRule="exact"/>
              <w:jc w:val="center"/>
              <w:rPr>
                <w:rFonts w:hint="eastAsia" w:ascii="宋体" w:hAnsi="宋体"/>
                <w:sz w:val="21"/>
                <w:szCs w:val="21"/>
              </w:rPr>
            </w:pPr>
            <w:r>
              <w:rPr>
                <w:rFonts w:hint="eastAsia" w:ascii="宋体" w:hAnsi="宋体"/>
                <w:sz w:val="21"/>
                <w:szCs w:val="21"/>
              </w:rPr>
              <w:t>1小时平均</w:t>
            </w:r>
          </w:p>
        </w:tc>
        <w:tc>
          <w:tcPr>
            <w:tcW w:w="3179" w:type="dxa"/>
            <w:vAlign w:val="top"/>
          </w:tcPr>
          <w:p>
            <w:pPr>
              <w:spacing w:line="360" w:lineRule="exact"/>
              <w:jc w:val="center"/>
              <w:rPr>
                <w:rFonts w:hint="eastAsia" w:ascii="宋体" w:hAnsi="宋体"/>
                <w:sz w:val="21"/>
                <w:szCs w:val="21"/>
              </w:rPr>
            </w:pPr>
            <w:r>
              <w:rPr>
                <w:rFonts w:ascii="宋体" w:hAnsi="宋体"/>
                <w:sz w:val="21"/>
                <w:szCs w:val="21"/>
              </w:rPr>
              <w:t>0.</w:t>
            </w:r>
            <w:r>
              <w:rPr>
                <w:rFonts w:hint="eastAsia" w:ascii="宋体" w:hAnsi="宋体"/>
                <w:sz w:val="21"/>
                <w:szCs w:val="21"/>
              </w:rPr>
              <w:t>24</w:t>
            </w:r>
          </w:p>
        </w:tc>
      </w:tr>
    </w:tbl>
    <w:p>
      <w:pPr>
        <w:spacing w:line="480" w:lineRule="exact"/>
        <w:jc w:val="center"/>
        <w:rPr>
          <w:rFonts w:hint="eastAsia" w:ascii="宋体" w:hAnsi="宋体"/>
          <w:b/>
        </w:rPr>
      </w:pPr>
    </w:p>
    <w:p>
      <w:pPr>
        <w:spacing w:line="480" w:lineRule="exact"/>
        <w:jc w:val="center"/>
        <w:rPr>
          <w:rFonts w:hint="eastAsia" w:ascii="宋体" w:hAnsi="宋体"/>
          <w:b/>
          <w:szCs w:val="21"/>
        </w:rPr>
      </w:pPr>
      <w:r>
        <w:rPr>
          <w:rFonts w:hint="eastAsia" w:ascii="宋体" w:hAnsi="宋体"/>
          <w:b/>
        </w:rPr>
        <w:t>表1-2      保护农作物的大气污染物浓度限值</w:t>
      </w:r>
      <w:r>
        <w:rPr>
          <w:rFonts w:hint="eastAsia" w:ascii="宋体" w:hAnsi="宋体"/>
        </w:rPr>
        <w:t xml:space="preserve">   </w:t>
      </w:r>
      <w:r>
        <w:rPr>
          <w:rFonts w:hint="eastAsia" w:ascii="宋体" w:hAnsi="宋体"/>
          <w:b/>
        </w:rPr>
        <w:t xml:space="preserve"> </w:t>
      </w:r>
      <w:r>
        <w:rPr>
          <w:rFonts w:hint="eastAsia" w:ascii="宋体" w:hAnsi="宋体"/>
          <w:szCs w:val="21"/>
        </w:rPr>
        <w:t>单位：</w:t>
      </w:r>
      <w:r>
        <w:rPr>
          <w:rFonts w:ascii="宋体" w:hAnsi="宋体"/>
          <w:szCs w:val="21"/>
        </w:rPr>
        <w:t>mg/m</w:t>
      </w:r>
      <w:r>
        <w:rPr>
          <w:rFonts w:ascii="宋体" w:hAnsi="宋体"/>
          <w:szCs w:val="21"/>
          <w:vertAlign w:val="superscript"/>
        </w:rPr>
        <w:t>3</w:t>
      </w:r>
    </w:p>
    <w:tbl>
      <w:tblPr>
        <w:tblStyle w:val="21"/>
        <w:tblW w:w="81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1202"/>
        <w:gridCol w:w="1045"/>
        <w:gridCol w:w="986"/>
        <w:gridCol w:w="816"/>
        <w:gridCol w:w="3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8" w:hRule="atLeast"/>
          <w:jc w:val="center"/>
        </w:trPr>
        <w:tc>
          <w:tcPr>
            <w:tcW w:w="574" w:type="dxa"/>
            <w:vAlign w:val="center"/>
          </w:tcPr>
          <w:p>
            <w:pPr>
              <w:spacing w:line="320" w:lineRule="exact"/>
              <w:jc w:val="center"/>
              <w:rPr>
                <w:rFonts w:hint="eastAsia" w:ascii="宋体" w:hAnsi="宋体"/>
                <w:sz w:val="21"/>
                <w:szCs w:val="21"/>
              </w:rPr>
            </w:pPr>
            <w:r>
              <w:rPr>
                <w:rFonts w:hint="eastAsia" w:ascii="宋体" w:hAnsi="宋体"/>
                <w:sz w:val="21"/>
                <w:szCs w:val="21"/>
              </w:rPr>
              <w:t>污染物</w:t>
            </w:r>
          </w:p>
        </w:tc>
        <w:tc>
          <w:tcPr>
            <w:tcW w:w="1202" w:type="dxa"/>
            <w:vAlign w:val="center"/>
          </w:tcPr>
          <w:p>
            <w:pPr>
              <w:spacing w:line="320" w:lineRule="exact"/>
              <w:jc w:val="center"/>
              <w:rPr>
                <w:rFonts w:ascii="宋体" w:hAnsi="宋体"/>
                <w:sz w:val="21"/>
                <w:szCs w:val="21"/>
              </w:rPr>
            </w:pPr>
            <w:r>
              <w:rPr>
                <w:rFonts w:hint="eastAsia" w:ascii="宋体" w:hAnsi="宋体"/>
                <w:sz w:val="21"/>
                <w:szCs w:val="21"/>
              </w:rPr>
              <w:t>作物敏</w:t>
            </w:r>
          </w:p>
          <w:p>
            <w:pPr>
              <w:spacing w:line="320" w:lineRule="exact"/>
              <w:jc w:val="center"/>
              <w:rPr>
                <w:rFonts w:hint="eastAsia" w:ascii="宋体" w:hAnsi="宋体"/>
                <w:sz w:val="21"/>
                <w:szCs w:val="21"/>
              </w:rPr>
            </w:pPr>
            <w:r>
              <w:rPr>
                <w:rFonts w:hint="eastAsia" w:ascii="宋体" w:hAnsi="宋体"/>
                <w:sz w:val="21"/>
                <w:szCs w:val="21"/>
              </w:rPr>
              <w:t>感程度</w:t>
            </w:r>
          </w:p>
        </w:tc>
        <w:tc>
          <w:tcPr>
            <w:tcW w:w="1045" w:type="dxa"/>
            <w:vAlign w:val="center"/>
          </w:tcPr>
          <w:p>
            <w:pPr>
              <w:spacing w:line="320" w:lineRule="exact"/>
              <w:jc w:val="center"/>
              <w:rPr>
                <w:rFonts w:ascii="宋体" w:hAnsi="宋体"/>
                <w:sz w:val="21"/>
                <w:szCs w:val="21"/>
              </w:rPr>
            </w:pPr>
            <w:r>
              <w:rPr>
                <w:rFonts w:hint="eastAsia" w:ascii="宋体" w:hAnsi="宋体"/>
                <w:sz w:val="21"/>
                <w:szCs w:val="21"/>
              </w:rPr>
              <w:t>生长季平均浓度</w:t>
            </w:r>
            <w:r>
              <w:rPr>
                <w:rFonts w:ascii="宋体" w:hAnsi="宋体"/>
                <w:sz w:val="21"/>
                <w:szCs w:val="21"/>
                <w:vertAlign w:val="superscript"/>
              </w:rPr>
              <w:t>1)</w:t>
            </w:r>
          </w:p>
        </w:tc>
        <w:tc>
          <w:tcPr>
            <w:tcW w:w="986" w:type="dxa"/>
            <w:vAlign w:val="center"/>
          </w:tcPr>
          <w:p>
            <w:pPr>
              <w:spacing w:line="320" w:lineRule="exact"/>
              <w:jc w:val="center"/>
              <w:rPr>
                <w:rFonts w:ascii="宋体" w:hAnsi="宋体"/>
                <w:sz w:val="21"/>
                <w:szCs w:val="21"/>
              </w:rPr>
            </w:pPr>
            <w:r>
              <w:rPr>
                <w:rFonts w:hint="eastAsia" w:ascii="宋体" w:hAnsi="宋体"/>
                <w:sz w:val="21"/>
                <w:szCs w:val="21"/>
              </w:rPr>
              <w:t>日平均</w:t>
            </w:r>
          </w:p>
          <w:p>
            <w:pPr>
              <w:spacing w:line="320" w:lineRule="exact"/>
              <w:jc w:val="center"/>
              <w:rPr>
                <w:rFonts w:ascii="宋体" w:hAnsi="宋体"/>
                <w:sz w:val="21"/>
                <w:szCs w:val="21"/>
              </w:rPr>
            </w:pPr>
            <w:r>
              <w:rPr>
                <w:rFonts w:hint="eastAsia" w:ascii="宋体" w:hAnsi="宋体"/>
                <w:sz w:val="21"/>
                <w:szCs w:val="21"/>
              </w:rPr>
              <w:t>浓度</w:t>
            </w:r>
            <w:r>
              <w:rPr>
                <w:rFonts w:ascii="宋体" w:hAnsi="宋体"/>
                <w:sz w:val="21"/>
                <w:szCs w:val="21"/>
                <w:vertAlign w:val="superscript"/>
              </w:rPr>
              <w:t>2)</w:t>
            </w:r>
          </w:p>
        </w:tc>
        <w:tc>
          <w:tcPr>
            <w:tcW w:w="816" w:type="dxa"/>
            <w:vAlign w:val="center"/>
          </w:tcPr>
          <w:p>
            <w:pPr>
              <w:spacing w:line="320" w:lineRule="exact"/>
              <w:jc w:val="center"/>
              <w:rPr>
                <w:rFonts w:ascii="宋体" w:hAnsi="宋体"/>
                <w:sz w:val="21"/>
                <w:szCs w:val="21"/>
              </w:rPr>
            </w:pPr>
            <w:r>
              <w:rPr>
                <w:rFonts w:hint="eastAsia" w:ascii="宋体" w:hAnsi="宋体"/>
                <w:sz w:val="21"/>
                <w:szCs w:val="21"/>
              </w:rPr>
              <w:t>任何</w:t>
            </w:r>
          </w:p>
          <w:p>
            <w:pPr>
              <w:spacing w:line="320" w:lineRule="exact"/>
              <w:jc w:val="center"/>
              <w:rPr>
                <w:rFonts w:ascii="宋体" w:hAnsi="宋体"/>
                <w:sz w:val="21"/>
                <w:szCs w:val="21"/>
              </w:rPr>
            </w:pPr>
            <w:r>
              <w:rPr>
                <w:rFonts w:hint="eastAsia" w:ascii="宋体" w:hAnsi="宋体"/>
                <w:sz w:val="21"/>
                <w:szCs w:val="21"/>
              </w:rPr>
              <w:t>一次</w:t>
            </w:r>
            <w:r>
              <w:rPr>
                <w:rFonts w:ascii="宋体" w:hAnsi="宋体"/>
                <w:sz w:val="21"/>
                <w:szCs w:val="21"/>
                <w:vertAlign w:val="superscript"/>
              </w:rPr>
              <w:t>3)</w:t>
            </w:r>
          </w:p>
        </w:tc>
        <w:tc>
          <w:tcPr>
            <w:tcW w:w="3548" w:type="dxa"/>
            <w:vAlign w:val="center"/>
          </w:tcPr>
          <w:p>
            <w:pPr>
              <w:spacing w:line="320" w:lineRule="exact"/>
              <w:jc w:val="center"/>
              <w:rPr>
                <w:rFonts w:ascii="宋体" w:hAnsi="宋体"/>
                <w:sz w:val="21"/>
                <w:szCs w:val="21"/>
              </w:rPr>
            </w:pPr>
            <w:r>
              <w:rPr>
                <w:rFonts w:hint="eastAsia" w:ascii="宋体" w:hAnsi="宋体"/>
                <w:sz w:val="21"/>
                <w:szCs w:val="21"/>
              </w:rPr>
              <w:t>农作物种类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49" w:hRule="atLeast"/>
          <w:jc w:val="center"/>
        </w:trPr>
        <w:tc>
          <w:tcPr>
            <w:tcW w:w="574" w:type="dxa"/>
            <w:vMerge w:val="restart"/>
            <w:vAlign w:val="center"/>
          </w:tcPr>
          <w:p>
            <w:pPr>
              <w:spacing w:line="320" w:lineRule="exact"/>
              <w:jc w:val="center"/>
              <w:rPr>
                <w:rFonts w:hint="eastAsia" w:ascii="宋体" w:hAnsi="宋体"/>
                <w:sz w:val="21"/>
                <w:szCs w:val="21"/>
              </w:rPr>
            </w:pPr>
            <w:r>
              <w:rPr>
                <w:rFonts w:ascii="宋体" w:hAnsi="宋体"/>
                <w:sz w:val="21"/>
                <w:szCs w:val="21"/>
              </w:rPr>
              <w:t>SO</w:t>
            </w:r>
            <w:r>
              <w:rPr>
                <w:rFonts w:ascii="宋体" w:hAnsi="宋体"/>
                <w:sz w:val="21"/>
                <w:szCs w:val="21"/>
                <w:vertAlign w:val="subscript"/>
              </w:rPr>
              <w:t>2</w:t>
            </w:r>
          </w:p>
        </w:tc>
        <w:tc>
          <w:tcPr>
            <w:tcW w:w="1202" w:type="dxa"/>
            <w:vAlign w:val="center"/>
          </w:tcPr>
          <w:p>
            <w:pPr>
              <w:spacing w:line="320" w:lineRule="exact"/>
              <w:jc w:val="center"/>
              <w:rPr>
                <w:rFonts w:hint="eastAsia" w:ascii="宋体" w:hAnsi="宋体"/>
                <w:sz w:val="21"/>
                <w:szCs w:val="21"/>
              </w:rPr>
            </w:pPr>
            <w:r>
              <w:rPr>
                <w:rFonts w:hint="eastAsia" w:ascii="宋体" w:hAnsi="宋体"/>
                <w:sz w:val="21"/>
                <w:szCs w:val="21"/>
              </w:rPr>
              <w:t>敏感</w:t>
            </w:r>
          </w:p>
        </w:tc>
        <w:tc>
          <w:tcPr>
            <w:tcW w:w="1045" w:type="dxa"/>
            <w:vAlign w:val="center"/>
          </w:tcPr>
          <w:p>
            <w:pPr>
              <w:spacing w:line="320" w:lineRule="exact"/>
              <w:jc w:val="center"/>
              <w:rPr>
                <w:rFonts w:ascii="宋体" w:hAnsi="宋体"/>
                <w:sz w:val="21"/>
                <w:szCs w:val="21"/>
              </w:rPr>
            </w:pPr>
            <w:r>
              <w:rPr>
                <w:rFonts w:ascii="宋体" w:hAnsi="宋体"/>
                <w:sz w:val="21"/>
                <w:szCs w:val="21"/>
              </w:rPr>
              <w:t>0.05</w:t>
            </w:r>
          </w:p>
        </w:tc>
        <w:tc>
          <w:tcPr>
            <w:tcW w:w="986" w:type="dxa"/>
            <w:vAlign w:val="center"/>
          </w:tcPr>
          <w:p>
            <w:pPr>
              <w:spacing w:line="320" w:lineRule="exact"/>
              <w:jc w:val="center"/>
              <w:rPr>
                <w:rFonts w:ascii="宋体" w:hAnsi="宋体"/>
                <w:sz w:val="21"/>
                <w:szCs w:val="21"/>
              </w:rPr>
            </w:pPr>
            <w:r>
              <w:rPr>
                <w:rFonts w:ascii="宋体" w:hAnsi="宋体"/>
                <w:sz w:val="21"/>
                <w:szCs w:val="21"/>
              </w:rPr>
              <w:t>0.15</w:t>
            </w:r>
          </w:p>
        </w:tc>
        <w:tc>
          <w:tcPr>
            <w:tcW w:w="816" w:type="dxa"/>
            <w:vAlign w:val="center"/>
          </w:tcPr>
          <w:p>
            <w:pPr>
              <w:spacing w:line="320" w:lineRule="exact"/>
              <w:jc w:val="center"/>
              <w:rPr>
                <w:rFonts w:ascii="宋体" w:hAnsi="宋体"/>
                <w:sz w:val="21"/>
                <w:szCs w:val="21"/>
              </w:rPr>
            </w:pPr>
            <w:r>
              <w:rPr>
                <w:rFonts w:ascii="宋体" w:hAnsi="宋体"/>
                <w:sz w:val="21"/>
                <w:szCs w:val="21"/>
              </w:rPr>
              <w:t>0.50</w:t>
            </w:r>
          </w:p>
        </w:tc>
        <w:tc>
          <w:tcPr>
            <w:tcW w:w="3548" w:type="dxa"/>
            <w:vAlign w:val="center"/>
          </w:tcPr>
          <w:p>
            <w:pPr>
              <w:spacing w:line="320" w:lineRule="exact"/>
              <w:jc w:val="center"/>
              <w:rPr>
                <w:rFonts w:hint="eastAsia" w:ascii="宋体" w:hAnsi="宋体"/>
                <w:spacing w:val="-20"/>
                <w:sz w:val="21"/>
                <w:szCs w:val="21"/>
              </w:rPr>
            </w:pPr>
            <w:r>
              <w:rPr>
                <w:rFonts w:hint="eastAsia" w:ascii="宋体" w:hAnsi="宋体"/>
                <w:spacing w:val="-20"/>
                <w:sz w:val="21"/>
                <w:szCs w:val="21"/>
              </w:rPr>
              <w:t>冬小麦、春小麦、大麦、荞麦、大豆、甜菜、芝麻、菠菜、青菜、白菜、莴苣、黄瓜、南瓜、西葫芦、马铃薯、苹果、梨、葡萄、苜蓿、三叶草、鸭茅、黑麦草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4" w:hRule="atLeast"/>
          <w:jc w:val="center"/>
        </w:trPr>
        <w:tc>
          <w:tcPr>
            <w:tcW w:w="574" w:type="dxa"/>
            <w:vMerge w:val="continue"/>
            <w:vAlign w:val="center"/>
          </w:tcPr>
          <w:p>
            <w:pPr>
              <w:spacing w:line="320" w:lineRule="exact"/>
              <w:jc w:val="center"/>
              <w:rPr>
                <w:rFonts w:hint="eastAsia" w:ascii="宋体" w:hAnsi="宋体"/>
                <w:sz w:val="21"/>
                <w:szCs w:val="21"/>
              </w:rPr>
            </w:pPr>
          </w:p>
        </w:tc>
        <w:tc>
          <w:tcPr>
            <w:tcW w:w="1202" w:type="dxa"/>
            <w:vAlign w:val="center"/>
          </w:tcPr>
          <w:p>
            <w:pPr>
              <w:spacing w:line="320" w:lineRule="exact"/>
              <w:jc w:val="center"/>
              <w:rPr>
                <w:rFonts w:hint="eastAsia" w:ascii="宋体" w:hAnsi="宋体"/>
                <w:sz w:val="21"/>
                <w:szCs w:val="21"/>
              </w:rPr>
            </w:pPr>
            <w:r>
              <w:rPr>
                <w:rFonts w:hint="eastAsia" w:ascii="宋体" w:hAnsi="宋体"/>
                <w:sz w:val="21"/>
                <w:szCs w:val="21"/>
              </w:rPr>
              <w:t>中等敏感作物</w:t>
            </w:r>
          </w:p>
        </w:tc>
        <w:tc>
          <w:tcPr>
            <w:tcW w:w="1045" w:type="dxa"/>
            <w:vAlign w:val="center"/>
          </w:tcPr>
          <w:p>
            <w:pPr>
              <w:spacing w:line="320" w:lineRule="exact"/>
              <w:jc w:val="center"/>
              <w:rPr>
                <w:rFonts w:ascii="宋体" w:hAnsi="宋体"/>
                <w:sz w:val="21"/>
                <w:szCs w:val="21"/>
              </w:rPr>
            </w:pPr>
            <w:r>
              <w:rPr>
                <w:rFonts w:ascii="宋体" w:hAnsi="宋体"/>
                <w:sz w:val="21"/>
                <w:szCs w:val="21"/>
              </w:rPr>
              <w:t>0.08</w:t>
            </w:r>
          </w:p>
        </w:tc>
        <w:tc>
          <w:tcPr>
            <w:tcW w:w="986" w:type="dxa"/>
            <w:vAlign w:val="center"/>
          </w:tcPr>
          <w:p>
            <w:pPr>
              <w:spacing w:line="320" w:lineRule="exact"/>
              <w:jc w:val="center"/>
              <w:rPr>
                <w:rFonts w:ascii="宋体" w:hAnsi="宋体"/>
                <w:sz w:val="21"/>
                <w:szCs w:val="21"/>
              </w:rPr>
            </w:pPr>
            <w:r>
              <w:rPr>
                <w:rFonts w:ascii="宋体" w:hAnsi="宋体"/>
                <w:sz w:val="21"/>
                <w:szCs w:val="21"/>
              </w:rPr>
              <w:t>0.25</w:t>
            </w:r>
          </w:p>
        </w:tc>
        <w:tc>
          <w:tcPr>
            <w:tcW w:w="816" w:type="dxa"/>
            <w:vAlign w:val="center"/>
          </w:tcPr>
          <w:p>
            <w:pPr>
              <w:spacing w:line="320" w:lineRule="exact"/>
              <w:jc w:val="center"/>
              <w:rPr>
                <w:rFonts w:ascii="宋体" w:hAnsi="宋体"/>
                <w:sz w:val="21"/>
                <w:szCs w:val="21"/>
              </w:rPr>
            </w:pPr>
            <w:r>
              <w:rPr>
                <w:rFonts w:ascii="宋体" w:hAnsi="宋体"/>
                <w:sz w:val="21"/>
                <w:szCs w:val="21"/>
              </w:rPr>
              <w:t>0.70</w:t>
            </w:r>
          </w:p>
        </w:tc>
        <w:tc>
          <w:tcPr>
            <w:tcW w:w="3548" w:type="dxa"/>
            <w:vAlign w:val="center"/>
          </w:tcPr>
          <w:p>
            <w:pPr>
              <w:pStyle w:val="7"/>
              <w:spacing w:line="320" w:lineRule="exact"/>
              <w:jc w:val="center"/>
              <w:rPr>
                <w:rFonts w:hint="eastAsia" w:hAnsi="宋体"/>
                <w:spacing w:val="-20"/>
                <w:sz w:val="21"/>
                <w:szCs w:val="21"/>
              </w:rPr>
            </w:pPr>
            <w:r>
              <w:rPr>
                <w:rFonts w:hint="eastAsia" w:hAnsi="宋体"/>
                <w:spacing w:val="-20"/>
                <w:sz w:val="21"/>
                <w:szCs w:val="21"/>
              </w:rPr>
              <w:t>水稻、玉米、燕麦、高梁、棉花、烟草、番茄、茄子、胡萝卜、桃、杏、李、柑桔、樱桃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4" w:hRule="atLeast"/>
          <w:jc w:val="center"/>
        </w:trPr>
        <w:tc>
          <w:tcPr>
            <w:tcW w:w="574" w:type="dxa"/>
            <w:vMerge w:val="continue"/>
            <w:vAlign w:val="center"/>
          </w:tcPr>
          <w:p>
            <w:pPr>
              <w:spacing w:line="320" w:lineRule="exact"/>
              <w:jc w:val="center"/>
              <w:rPr>
                <w:rFonts w:hint="eastAsia" w:ascii="宋体" w:hAnsi="宋体"/>
                <w:sz w:val="21"/>
                <w:szCs w:val="21"/>
              </w:rPr>
            </w:pPr>
          </w:p>
        </w:tc>
        <w:tc>
          <w:tcPr>
            <w:tcW w:w="1202" w:type="dxa"/>
            <w:vAlign w:val="center"/>
          </w:tcPr>
          <w:p>
            <w:pPr>
              <w:spacing w:line="320" w:lineRule="exact"/>
              <w:jc w:val="center"/>
              <w:rPr>
                <w:rFonts w:hint="eastAsia" w:ascii="宋体" w:hAnsi="宋体"/>
                <w:sz w:val="21"/>
                <w:szCs w:val="21"/>
              </w:rPr>
            </w:pPr>
            <w:r>
              <w:rPr>
                <w:rFonts w:hint="eastAsia" w:ascii="宋体" w:hAnsi="宋体"/>
                <w:sz w:val="21"/>
                <w:szCs w:val="21"/>
              </w:rPr>
              <w:t>抗性作物</w:t>
            </w:r>
          </w:p>
        </w:tc>
        <w:tc>
          <w:tcPr>
            <w:tcW w:w="1045" w:type="dxa"/>
            <w:vAlign w:val="center"/>
          </w:tcPr>
          <w:p>
            <w:pPr>
              <w:spacing w:line="320" w:lineRule="exact"/>
              <w:jc w:val="center"/>
              <w:rPr>
                <w:rFonts w:ascii="宋体" w:hAnsi="宋体"/>
                <w:sz w:val="21"/>
                <w:szCs w:val="21"/>
              </w:rPr>
            </w:pPr>
            <w:r>
              <w:rPr>
                <w:rFonts w:ascii="宋体" w:hAnsi="宋体"/>
                <w:sz w:val="21"/>
                <w:szCs w:val="21"/>
              </w:rPr>
              <w:t>0.12</w:t>
            </w:r>
          </w:p>
        </w:tc>
        <w:tc>
          <w:tcPr>
            <w:tcW w:w="986" w:type="dxa"/>
            <w:vAlign w:val="center"/>
          </w:tcPr>
          <w:p>
            <w:pPr>
              <w:spacing w:line="320" w:lineRule="exact"/>
              <w:jc w:val="center"/>
              <w:rPr>
                <w:rFonts w:ascii="宋体" w:hAnsi="宋体"/>
                <w:sz w:val="21"/>
                <w:szCs w:val="21"/>
              </w:rPr>
            </w:pPr>
            <w:r>
              <w:rPr>
                <w:rFonts w:ascii="宋体" w:hAnsi="宋体"/>
                <w:sz w:val="21"/>
                <w:szCs w:val="21"/>
              </w:rPr>
              <w:t>0.30</w:t>
            </w:r>
          </w:p>
        </w:tc>
        <w:tc>
          <w:tcPr>
            <w:tcW w:w="816" w:type="dxa"/>
            <w:vAlign w:val="center"/>
          </w:tcPr>
          <w:p>
            <w:pPr>
              <w:spacing w:line="320" w:lineRule="exact"/>
              <w:jc w:val="center"/>
              <w:rPr>
                <w:rFonts w:ascii="宋体" w:hAnsi="宋体"/>
                <w:sz w:val="21"/>
                <w:szCs w:val="21"/>
              </w:rPr>
            </w:pPr>
            <w:r>
              <w:rPr>
                <w:rFonts w:ascii="宋体" w:hAnsi="宋体"/>
                <w:sz w:val="21"/>
                <w:szCs w:val="21"/>
              </w:rPr>
              <w:t>0.80</w:t>
            </w:r>
          </w:p>
        </w:tc>
        <w:tc>
          <w:tcPr>
            <w:tcW w:w="3548" w:type="dxa"/>
            <w:vAlign w:val="center"/>
          </w:tcPr>
          <w:p>
            <w:pPr>
              <w:pStyle w:val="7"/>
              <w:spacing w:line="320" w:lineRule="exact"/>
              <w:jc w:val="center"/>
              <w:rPr>
                <w:rFonts w:hint="eastAsia" w:hAnsi="宋体"/>
                <w:spacing w:val="-20"/>
                <w:sz w:val="21"/>
                <w:szCs w:val="21"/>
              </w:rPr>
            </w:pPr>
            <w:r>
              <w:rPr>
                <w:rFonts w:hint="eastAsia" w:hAnsi="宋体"/>
                <w:spacing w:val="-20"/>
                <w:sz w:val="21"/>
                <w:szCs w:val="21"/>
              </w:rPr>
              <w:t>蚕豆、油菜、向日葵、甘蓝、芋头、草莓</w:t>
            </w:r>
          </w:p>
        </w:tc>
      </w:tr>
    </w:tbl>
    <w:p>
      <w:pPr>
        <w:spacing w:line="480" w:lineRule="exact"/>
        <w:ind w:firstLine="420" w:firstLineChars="200"/>
        <w:rPr>
          <w:rFonts w:hint="eastAsia" w:ascii="宋体" w:hAnsi="宋体"/>
        </w:rPr>
      </w:pPr>
    </w:p>
    <w:p>
      <w:pPr>
        <w:spacing w:line="480" w:lineRule="exact"/>
        <w:ind w:firstLine="420" w:firstLineChars="200"/>
        <w:rPr>
          <w:rFonts w:hint="eastAsia" w:ascii="宋体" w:hAnsi="宋体"/>
        </w:rPr>
      </w:pPr>
      <w:r>
        <w:rPr>
          <w:rFonts w:hint="eastAsia" w:ascii="宋体" w:hAnsi="宋体"/>
        </w:rPr>
        <w:t>地表水：技改项目的纳污水体为厂区北侧的一条无名小河沟，该河沟的主要水源为青木关煤矿的井下排水，无水域功能，考虑其属于梁滩</w:t>
      </w:r>
      <w:r>
        <w:rPr>
          <w:rFonts w:ascii="宋体" w:hAnsi="宋体"/>
        </w:rPr>
        <w:t>河</w:t>
      </w:r>
      <w:r>
        <w:rPr>
          <w:rFonts w:hint="eastAsia" w:ascii="宋体" w:hAnsi="宋体"/>
        </w:rPr>
        <w:t>流域（∨类水域功能），因此该河沟执行按∨类</w:t>
      </w:r>
      <w:r>
        <w:rPr>
          <w:rFonts w:ascii="宋体" w:hAnsi="宋体"/>
        </w:rPr>
        <w:t>水域</w:t>
      </w:r>
      <w:r>
        <w:rPr>
          <w:rFonts w:hint="eastAsia" w:ascii="宋体" w:hAnsi="宋体"/>
        </w:rPr>
        <w:t>标准，与技改项目相关的主要标准值见表1-3。</w:t>
      </w:r>
    </w:p>
    <w:p>
      <w:pPr>
        <w:spacing w:line="480" w:lineRule="exact"/>
        <w:jc w:val="center"/>
        <w:rPr>
          <w:rFonts w:hint="eastAsia" w:ascii="宋体" w:hAnsi="宋体"/>
          <w:b/>
          <w:szCs w:val="21"/>
        </w:rPr>
      </w:pPr>
      <w:r>
        <w:rPr>
          <w:rFonts w:hint="eastAsia" w:ascii="宋体" w:hAnsi="宋体"/>
          <w:b/>
        </w:rPr>
        <w:t xml:space="preserve">表1-3  地表水环境质量标准   </w:t>
      </w:r>
      <w:r>
        <w:rPr>
          <w:rFonts w:hint="eastAsia" w:ascii="宋体" w:hAnsi="宋体"/>
          <w:szCs w:val="21"/>
        </w:rPr>
        <w:t>单位：</w:t>
      </w:r>
      <w:r>
        <w:rPr>
          <w:rFonts w:ascii="宋体" w:hAnsi="宋体"/>
          <w:szCs w:val="21"/>
        </w:rPr>
        <w:t>mg/</w:t>
      </w:r>
      <w:r>
        <w:rPr>
          <w:rFonts w:hint="eastAsia" w:ascii="宋体" w:hAnsi="宋体"/>
          <w:szCs w:val="21"/>
        </w:rPr>
        <w:t>L</w:t>
      </w:r>
      <w:r>
        <w:rPr>
          <w:rFonts w:ascii="宋体" w:hAnsi="宋体"/>
          <w:szCs w:val="21"/>
        </w:rPr>
        <w:t>,pH</w:t>
      </w:r>
      <w:r>
        <w:rPr>
          <w:rFonts w:hint="eastAsia" w:ascii="宋体" w:hAnsi="宋体"/>
          <w:szCs w:val="21"/>
        </w:rPr>
        <w:t>无量纲</w:t>
      </w:r>
    </w:p>
    <w:tbl>
      <w:tblPr>
        <w:tblStyle w:val="21"/>
        <w:tblW w:w="70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625"/>
        <w:gridCol w:w="703"/>
        <w:gridCol w:w="775"/>
        <w:gridCol w:w="926"/>
        <w:gridCol w:w="988"/>
        <w:gridCol w:w="921"/>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11" w:type="dxa"/>
            <w:vAlign w:val="center"/>
          </w:tcPr>
          <w:p>
            <w:pPr>
              <w:pStyle w:val="25"/>
              <w:widowControl w:val="0"/>
              <w:spacing w:before="0" w:beforeAutospacing="0" w:after="0" w:afterAutospacing="0" w:line="480" w:lineRule="exact"/>
              <w:rPr>
                <w:kern w:val="2"/>
                <w:sz w:val="21"/>
                <w:szCs w:val="21"/>
              </w:rPr>
            </w:pPr>
            <w:r>
              <w:rPr>
                <w:kern w:val="2"/>
                <w:sz w:val="21"/>
                <w:szCs w:val="21"/>
              </w:rPr>
              <w:t>项目</w:t>
            </w:r>
          </w:p>
        </w:tc>
        <w:tc>
          <w:tcPr>
            <w:tcW w:w="625" w:type="dxa"/>
            <w:vAlign w:val="center"/>
          </w:tcPr>
          <w:p>
            <w:pPr>
              <w:spacing w:line="480" w:lineRule="exact"/>
              <w:jc w:val="center"/>
              <w:rPr>
                <w:rFonts w:hint="eastAsia" w:ascii="宋体" w:hAnsi="宋体"/>
                <w:sz w:val="21"/>
                <w:szCs w:val="21"/>
              </w:rPr>
            </w:pPr>
            <w:r>
              <w:rPr>
                <w:rFonts w:hint="eastAsia" w:ascii="宋体" w:hAnsi="宋体"/>
                <w:sz w:val="21"/>
                <w:szCs w:val="21"/>
              </w:rPr>
              <w:t>DO</w:t>
            </w:r>
          </w:p>
        </w:tc>
        <w:tc>
          <w:tcPr>
            <w:tcW w:w="703" w:type="dxa"/>
            <w:vAlign w:val="center"/>
          </w:tcPr>
          <w:p>
            <w:pPr>
              <w:spacing w:line="480" w:lineRule="exact"/>
              <w:jc w:val="center"/>
              <w:rPr>
                <w:rFonts w:hint="eastAsia" w:ascii="宋体" w:hAnsi="宋体"/>
                <w:sz w:val="21"/>
                <w:szCs w:val="21"/>
              </w:rPr>
            </w:pPr>
            <w:r>
              <w:rPr>
                <w:rFonts w:ascii="宋体" w:hAnsi="宋体"/>
                <w:sz w:val="21"/>
                <w:szCs w:val="21"/>
              </w:rPr>
              <w:t>pH</w:t>
            </w:r>
          </w:p>
        </w:tc>
        <w:tc>
          <w:tcPr>
            <w:tcW w:w="775" w:type="dxa"/>
            <w:vAlign w:val="center"/>
          </w:tcPr>
          <w:p>
            <w:pPr>
              <w:spacing w:line="480" w:lineRule="exact"/>
              <w:jc w:val="center"/>
              <w:rPr>
                <w:rFonts w:hint="eastAsia" w:ascii="宋体" w:hAnsi="宋体"/>
                <w:sz w:val="21"/>
                <w:szCs w:val="21"/>
              </w:rPr>
            </w:pPr>
            <w:r>
              <w:rPr>
                <w:rFonts w:ascii="宋体" w:hAnsi="宋体"/>
                <w:sz w:val="21"/>
                <w:szCs w:val="21"/>
              </w:rPr>
              <w:t>COD</w:t>
            </w:r>
          </w:p>
        </w:tc>
        <w:tc>
          <w:tcPr>
            <w:tcW w:w="926" w:type="dxa"/>
            <w:vAlign w:val="center"/>
          </w:tcPr>
          <w:p>
            <w:pPr>
              <w:spacing w:line="480" w:lineRule="exact"/>
              <w:jc w:val="center"/>
              <w:rPr>
                <w:rFonts w:hint="eastAsia" w:ascii="宋体" w:hAnsi="宋体"/>
                <w:sz w:val="21"/>
                <w:szCs w:val="21"/>
              </w:rPr>
            </w:pPr>
            <w:r>
              <w:rPr>
                <w:rFonts w:ascii="宋体" w:hAnsi="宋体"/>
                <w:sz w:val="21"/>
                <w:szCs w:val="21"/>
              </w:rPr>
              <w:t>BOD</w:t>
            </w:r>
            <w:r>
              <w:rPr>
                <w:rFonts w:ascii="宋体" w:hAnsi="宋体"/>
                <w:sz w:val="21"/>
                <w:szCs w:val="21"/>
                <w:vertAlign w:val="subscript"/>
              </w:rPr>
              <w:t>5</w:t>
            </w:r>
          </w:p>
        </w:tc>
        <w:tc>
          <w:tcPr>
            <w:tcW w:w="988" w:type="dxa"/>
            <w:vAlign w:val="center"/>
          </w:tcPr>
          <w:p>
            <w:pPr>
              <w:spacing w:line="480" w:lineRule="exact"/>
              <w:jc w:val="center"/>
              <w:rPr>
                <w:rFonts w:hint="eastAsia" w:ascii="宋体" w:hAnsi="宋体"/>
                <w:sz w:val="21"/>
                <w:szCs w:val="21"/>
              </w:rPr>
            </w:pPr>
            <w:r>
              <w:rPr>
                <w:rFonts w:hint="eastAsia" w:ascii="宋体" w:hAnsi="宋体"/>
                <w:sz w:val="21"/>
                <w:szCs w:val="21"/>
              </w:rPr>
              <w:t>NH</w:t>
            </w:r>
            <w:r>
              <w:rPr>
                <w:rFonts w:hint="eastAsia" w:ascii="宋体" w:hAnsi="宋体"/>
                <w:sz w:val="21"/>
                <w:szCs w:val="21"/>
                <w:vertAlign w:val="subscript"/>
              </w:rPr>
              <w:t>3</w:t>
            </w:r>
            <w:r>
              <w:rPr>
                <w:rFonts w:hint="eastAsia" w:ascii="宋体" w:hAnsi="宋体"/>
                <w:sz w:val="21"/>
                <w:szCs w:val="21"/>
              </w:rPr>
              <w:t>-N</w:t>
            </w:r>
          </w:p>
        </w:tc>
        <w:tc>
          <w:tcPr>
            <w:tcW w:w="921" w:type="dxa"/>
            <w:vAlign w:val="center"/>
          </w:tcPr>
          <w:p>
            <w:pPr>
              <w:spacing w:line="480" w:lineRule="exact"/>
              <w:jc w:val="center"/>
              <w:rPr>
                <w:rFonts w:hint="eastAsia" w:ascii="宋体" w:hAnsi="宋体"/>
                <w:sz w:val="21"/>
                <w:szCs w:val="21"/>
              </w:rPr>
            </w:pPr>
            <w:r>
              <w:rPr>
                <w:rFonts w:hint="eastAsia" w:ascii="宋体" w:hAnsi="宋体"/>
                <w:sz w:val="21"/>
                <w:szCs w:val="21"/>
              </w:rPr>
              <w:t>TP</w:t>
            </w:r>
          </w:p>
        </w:tc>
        <w:tc>
          <w:tcPr>
            <w:tcW w:w="1095" w:type="dxa"/>
            <w:vAlign w:val="center"/>
          </w:tcPr>
          <w:p>
            <w:pPr>
              <w:spacing w:line="480" w:lineRule="exact"/>
              <w:jc w:val="center"/>
              <w:rPr>
                <w:rFonts w:hint="eastAsia" w:ascii="宋体" w:hAnsi="宋体"/>
                <w:sz w:val="21"/>
                <w:szCs w:val="21"/>
              </w:rPr>
            </w:pPr>
            <w:r>
              <w:rPr>
                <w:rFonts w:hint="eastAsia" w:ascii="宋体" w:hAnsi="宋体"/>
                <w:sz w:val="21"/>
                <w:szCs w:val="21"/>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11" w:type="dxa"/>
            <w:vAlign w:val="center"/>
          </w:tcPr>
          <w:p>
            <w:pPr>
              <w:spacing w:line="480" w:lineRule="exact"/>
              <w:jc w:val="center"/>
              <w:rPr>
                <w:rFonts w:hint="eastAsia" w:ascii="宋体" w:hAnsi="宋体"/>
                <w:sz w:val="21"/>
                <w:szCs w:val="21"/>
              </w:rPr>
            </w:pPr>
            <w:r>
              <w:rPr>
                <w:rFonts w:hint="eastAsia" w:ascii="宋体" w:hAnsi="宋体"/>
                <w:sz w:val="21"/>
                <w:szCs w:val="21"/>
              </w:rPr>
              <w:t>标准值</w:t>
            </w:r>
          </w:p>
        </w:tc>
        <w:tc>
          <w:tcPr>
            <w:tcW w:w="625" w:type="dxa"/>
            <w:vAlign w:val="center"/>
          </w:tcPr>
          <w:p>
            <w:pPr>
              <w:spacing w:line="480" w:lineRule="exact"/>
              <w:jc w:val="center"/>
              <w:rPr>
                <w:rFonts w:hint="eastAsia" w:ascii="宋体" w:hAnsi="宋体"/>
                <w:sz w:val="21"/>
                <w:szCs w:val="21"/>
              </w:rPr>
            </w:pPr>
            <w:r>
              <w:rPr>
                <w:rFonts w:hint="eastAsia" w:ascii="宋体" w:hAnsi="宋体"/>
                <w:sz w:val="21"/>
                <w:szCs w:val="21"/>
              </w:rPr>
              <w:t>≥2</w:t>
            </w:r>
          </w:p>
        </w:tc>
        <w:tc>
          <w:tcPr>
            <w:tcW w:w="703" w:type="dxa"/>
            <w:vAlign w:val="center"/>
          </w:tcPr>
          <w:p>
            <w:pPr>
              <w:spacing w:line="480" w:lineRule="exact"/>
              <w:jc w:val="center"/>
              <w:rPr>
                <w:rFonts w:hint="eastAsia" w:ascii="宋体" w:hAnsi="宋体"/>
                <w:sz w:val="21"/>
                <w:szCs w:val="21"/>
              </w:rPr>
            </w:pPr>
            <w:r>
              <w:rPr>
                <w:rFonts w:ascii="宋体" w:hAnsi="宋体"/>
                <w:sz w:val="21"/>
                <w:szCs w:val="21"/>
              </w:rPr>
              <w:t>6</w:t>
            </w:r>
            <w:r>
              <w:rPr>
                <w:rFonts w:hint="eastAsia" w:ascii="宋体" w:hAnsi="宋体"/>
                <w:sz w:val="21"/>
                <w:szCs w:val="21"/>
              </w:rPr>
              <w:t>～</w:t>
            </w:r>
            <w:r>
              <w:rPr>
                <w:rFonts w:ascii="宋体" w:hAnsi="宋体"/>
                <w:sz w:val="21"/>
                <w:szCs w:val="21"/>
              </w:rPr>
              <w:t>9</w:t>
            </w:r>
          </w:p>
        </w:tc>
        <w:tc>
          <w:tcPr>
            <w:tcW w:w="775" w:type="dxa"/>
            <w:vAlign w:val="center"/>
          </w:tcPr>
          <w:p>
            <w:pPr>
              <w:spacing w:line="480" w:lineRule="exact"/>
              <w:jc w:val="center"/>
              <w:rPr>
                <w:rFonts w:hint="eastAsia" w:ascii="宋体" w:hAnsi="宋体"/>
                <w:sz w:val="21"/>
                <w:szCs w:val="21"/>
              </w:rPr>
            </w:pPr>
            <w:r>
              <w:rPr>
                <w:rFonts w:hint="eastAsia" w:ascii="宋体" w:hAnsi="宋体"/>
                <w:sz w:val="21"/>
                <w:szCs w:val="21"/>
              </w:rPr>
              <w:t>≤40</w:t>
            </w:r>
          </w:p>
        </w:tc>
        <w:tc>
          <w:tcPr>
            <w:tcW w:w="926" w:type="dxa"/>
            <w:vAlign w:val="center"/>
          </w:tcPr>
          <w:p>
            <w:pPr>
              <w:spacing w:line="480" w:lineRule="exact"/>
              <w:jc w:val="center"/>
              <w:rPr>
                <w:rFonts w:hint="eastAsia" w:ascii="宋体" w:hAnsi="宋体"/>
                <w:sz w:val="21"/>
                <w:szCs w:val="21"/>
              </w:rPr>
            </w:pPr>
            <w:r>
              <w:rPr>
                <w:rFonts w:hint="eastAsia" w:ascii="宋体" w:hAnsi="宋体"/>
                <w:sz w:val="21"/>
                <w:szCs w:val="21"/>
              </w:rPr>
              <w:t>≤10</w:t>
            </w:r>
          </w:p>
        </w:tc>
        <w:tc>
          <w:tcPr>
            <w:tcW w:w="988" w:type="dxa"/>
            <w:vAlign w:val="center"/>
          </w:tcPr>
          <w:p>
            <w:pPr>
              <w:spacing w:line="480" w:lineRule="exact"/>
              <w:jc w:val="center"/>
              <w:rPr>
                <w:rFonts w:hint="eastAsia" w:ascii="宋体" w:hAnsi="宋体"/>
                <w:sz w:val="21"/>
                <w:szCs w:val="21"/>
              </w:rPr>
            </w:pPr>
            <w:r>
              <w:rPr>
                <w:rFonts w:hint="eastAsia" w:ascii="宋体" w:hAnsi="宋体"/>
                <w:sz w:val="21"/>
                <w:szCs w:val="21"/>
              </w:rPr>
              <w:t>≤1.5</w:t>
            </w:r>
          </w:p>
        </w:tc>
        <w:tc>
          <w:tcPr>
            <w:tcW w:w="921" w:type="dxa"/>
            <w:vAlign w:val="center"/>
          </w:tcPr>
          <w:p>
            <w:pPr>
              <w:spacing w:line="480" w:lineRule="exact"/>
              <w:jc w:val="center"/>
              <w:rPr>
                <w:rFonts w:hint="eastAsia" w:ascii="宋体" w:hAnsi="宋体"/>
                <w:sz w:val="21"/>
                <w:szCs w:val="21"/>
              </w:rPr>
            </w:pPr>
            <w:r>
              <w:rPr>
                <w:rFonts w:hint="eastAsia" w:ascii="宋体" w:hAnsi="宋体"/>
                <w:sz w:val="21"/>
                <w:szCs w:val="21"/>
              </w:rPr>
              <w:t>0.4</w:t>
            </w:r>
          </w:p>
        </w:tc>
        <w:tc>
          <w:tcPr>
            <w:tcW w:w="1095" w:type="dxa"/>
            <w:vAlign w:val="center"/>
          </w:tcPr>
          <w:p>
            <w:pPr>
              <w:spacing w:line="480" w:lineRule="exact"/>
              <w:jc w:val="center"/>
              <w:rPr>
                <w:rFonts w:hint="eastAsia" w:ascii="宋体" w:hAnsi="宋体"/>
                <w:sz w:val="21"/>
                <w:szCs w:val="21"/>
              </w:rPr>
            </w:pPr>
            <w:r>
              <w:rPr>
                <w:rFonts w:hint="eastAsia" w:ascii="宋体" w:hAnsi="宋体"/>
                <w:sz w:val="21"/>
                <w:szCs w:val="21"/>
              </w:rPr>
              <w:t>≤1.0</w:t>
            </w:r>
          </w:p>
        </w:tc>
      </w:tr>
    </w:tbl>
    <w:p>
      <w:pPr>
        <w:spacing w:line="480" w:lineRule="exact"/>
        <w:ind w:firstLine="420" w:firstLineChars="200"/>
        <w:rPr>
          <w:rFonts w:hint="eastAsia" w:ascii="宋体" w:hAnsi="宋体"/>
        </w:rPr>
      </w:pPr>
    </w:p>
    <w:p>
      <w:pPr>
        <w:spacing w:line="360" w:lineRule="auto"/>
        <w:ind w:firstLine="420" w:firstLineChars="200"/>
        <w:rPr>
          <w:rFonts w:hint="eastAsia" w:ascii="宋体" w:hAnsi="宋体"/>
        </w:rPr>
      </w:pPr>
      <w:r>
        <w:rPr>
          <w:rFonts w:hint="eastAsia" w:ascii="宋体" w:hAnsi="宋体"/>
        </w:rPr>
        <w:t>环境噪声：根据渝府发[1998]90号文规定，技改项目所在区域除319国道两侧30米范围内执行《声环境质量标准》（GB3096-2008）中4类标准（昼间为70</w:t>
      </w:r>
      <w:r>
        <w:rPr>
          <w:rFonts w:ascii="宋体" w:hAnsi="宋体"/>
        </w:rPr>
        <w:t>dB</w:t>
      </w:r>
      <w:r>
        <w:rPr>
          <w:rFonts w:hint="eastAsia" w:ascii="宋体" w:hAnsi="宋体"/>
        </w:rPr>
        <w:t>，夜间55</w:t>
      </w:r>
      <w:r>
        <w:rPr>
          <w:rFonts w:ascii="宋体" w:hAnsi="宋体"/>
        </w:rPr>
        <w:t>dB</w:t>
      </w:r>
      <w:r>
        <w:rPr>
          <w:rFonts w:hint="eastAsia" w:ascii="宋体" w:hAnsi="宋体"/>
        </w:rPr>
        <w:t>）外，其余均执行2类标准，即昼间为60</w:t>
      </w:r>
      <w:r>
        <w:rPr>
          <w:rFonts w:ascii="宋体" w:hAnsi="宋体"/>
        </w:rPr>
        <w:t>dB</w:t>
      </w:r>
      <w:r>
        <w:rPr>
          <w:rFonts w:hint="eastAsia" w:ascii="宋体" w:hAnsi="宋体"/>
        </w:rPr>
        <w:t>，夜间50</w:t>
      </w:r>
      <w:r>
        <w:rPr>
          <w:rFonts w:ascii="宋体" w:hAnsi="宋体"/>
        </w:rPr>
        <w:t>dB</w:t>
      </w:r>
      <w:r>
        <w:rPr>
          <w:rFonts w:hint="eastAsia" w:ascii="宋体" w:hAnsi="宋体"/>
        </w:rPr>
        <w:t>。</w:t>
      </w:r>
    </w:p>
    <w:p>
      <w:pPr>
        <w:spacing w:before="24" w:beforeLines="10" w:after="24" w:afterLines="10" w:line="360" w:lineRule="auto"/>
        <w:rPr>
          <w:rFonts w:hint="eastAsia"/>
          <w:b/>
        </w:rPr>
      </w:pPr>
      <w:r>
        <w:rPr>
          <w:rFonts w:hint="eastAsia"/>
          <w:b/>
        </w:rPr>
        <w:t>1</w:t>
      </w:r>
      <w:r>
        <w:rPr>
          <w:b/>
        </w:rPr>
        <w:t>.</w:t>
      </w:r>
      <w:r>
        <w:rPr>
          <w:rFonts w:hint="eastAsia"/>
          <w:b/>
        </w:rPr>
        <w:t>5</w:t>
      </w:r>
      <w:r>
        <w:rPr>
          <w:b/>
        </w:rPr>
        <w:t xml:space="preserve">.2 </w:t>
      </w:r>
      <w:r>
        <w:rPr>
          <w:rFonts w:hint="eastAsia"/>
          <w:b/>
        </w:rPr>
        <w:t>排放标准</w:t>
      </w:r>
    </w:p>
    <w:p>
      <w:pPr>
        <w:spacing w:line="360" w:lineRule="auto"/>
        <w:ind w:firstLine="420" w:firstLineChars="200"/>
        <w:rPr>
          <w:rFonts w:hint="eastAsia" w:ascii="宋体" w:hAnsi="宋体"/>
        </w:rPr>
      </w:pPr>
      <w:r>
        <w:rPr>
          <w:rFonts w:hint="eastAsia" w:ascii="宋体" w:hAnsi="宋体"/>
        </w:rPr>
        <w:t>废气：水泥生产中废气污染物有组织排放执行《重庆市水泥工业大气污染物排放标准》（DB50/251-2007）表1规定的</w:t>
      </w:r>
      <w:r>
        <w:rPr>
          <w:rFonts w:ascii="宋体" w:hAnsi="宋体"/>
        </w:rPr>
        <w:t>Ⅱ</w:t>
      </w:r>
      <w:r>
        <w:rPr>
          <w:rFonts w:hint="eastAsia" w:ascii="宋体" w:hAnsi="宋体"/>
        </w:rPr>
        <w:t>时段限值,无组织排放执行表2规定的限值，排气筒高度要求执行表3中规定，相关标准值见表1-4至表1-6。</w:t>
      </w:r>
    </w:p>
    <w:p>
      <w:pPr>
        <w:spacing w:line="480" w:lineRule="exact"/>
        <w:jc w:val="center"/>
        <w:rPr>
          <w:rFonts w:hint="eastAsia" w:ascii="宋体" w:hAnsi="宋体"/>
          <w:b/>
        </w:rPr>
      </w:pPr>
      <w:r>
        <w:rPr>
          <w:rFonts w:hint="eastAsia" w:ascii="宋体" w:hAnsi="宋体"/>
          <w:b/>
        </w:rPr>
        <w:t>表1-4  水泥工业大气污染物排放标准</w:t>
      </w:r>
    </w:p>
    <w:tbl>
      <w:tblPr>
        <w:tblStyle w:val="21"/>
        <w:tblW w:w="8666" w:type="dxa"/>
        <w:jc w:val="center"/>
        <w:tblInd w:w="-5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3"/>
        <w:gridCol w:w="1122"/>
        <w:gridCol w:w="1122"/>
        <w:gridCol w:w="1122"/>
        <w:gridCol w:w="1122"/>
        <w:gridCol w:w="1122"/>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1933" w:type="dxa"/>
            <w:vMerge w:val="restart"/>
            <w:vAlign w:val="center"/>
          </w:tcPr>
          <w:p>
            <w:pPr>
              <w:spacing w:line="300" w:lineRule="exact"/>
              <w:jc w:val="center"/>
              <w:rPr>
                <w:rFonts w:hint="eastAsia" w:ascii="宋体" w:hAnsi="宋体"/>
                <w:sz w:val="21"/>
                <w:szCs w:val="21"/>
              </w:rPr>
            </w:pPr>
            <w:r>
              <w:rPr>
                <w:rFonts w:hint="eastAsia" w:ascii="宋体" w:hAnsi="宋体"/>
                <w:sz w:val="21"/>
                <w:szCs w:val="21"/>
              </w:rPr>
              <w:t>生产设备</w:t>
            </w:r>
          </w:p>
          <w:p>
            <w:pPr>
              <w:spacing w:line="300" w:lineRule="exact"/>
              <w:jc w:val="center"/>
              <w:rPr>
                <w:rFonts w:hint="eastAsia" w:ascii="宋体" w:hAnsi="宋体"/>
                <w:sz w:val="21"/>
                <w:szCs w:val="21"/>
              </w:rPr>
            </w:pPr>
            <w:r>
              <w:rPr>
                <w:rFonts w:hint="eastAsia" w:ascii="宋体" w:hAnsi="宋体"/>
                <w:sz w:val="21"/>
                <w:szCs w:val="21"/>
              </w:rPr>
              <w:t>名称</w:t>
            </w:r>
          </w:p>
        </w:tc>
        <w:tc>
          <w:tcPr>
            <w:tcW w:w="2244" w:type="dxa"/>
            <w:gridSpan w:val="2"/>
            <w:vAlign w:val="center"/>
          </w:tcPr>
          <w:p>
            <w:pPr>
              <w:spacing w:line="300" w:lineRule="exact"/>
              <w:jc w:val="center"/>
              <w:rPr>
                <w:rFonts w:hint="eastAsia" w:ascii="宋体" w:hAnsi="宋体"/>
                <w:sz w:val="21"/>
                <w:szCs w:val="21"/>
              </w:rPr>
            </w:pPr>
            <w:r>
              <w:rPr>
                <w:rFonts w:hint="eastAsia" w:ascii="宋体" w:hAnsi="宋体"/>
                <w:sz w:val="21"/>
                <w:szCs w:val="21"/>
              </w:rPr>
              <w:t>颗粒物</w:t>
            </w:r>
          </w:p>
        </w:tc>
        <w:tc>
          <w:tcPr>
            <w:tcW w:w="2244" w:type="dxa"/>
            <w:gridSpan w:val="2"/>
            <w:vAlign w:val="center"/>
          </w:tcPr>
          <w:p>
            <w:pPr>
              <w:spacing w:line="300" w:lineRule="exact"/>
              <w:jc w:val="center"/>
              <w:rPr>
                <w:rFonts w:hint="eastAsia" w:ascii="宋体" w:hAnsi="宋体"/>
                <w:sz w:val="21"/>
                <w:szCs w:val="21"/>
              </w:rPr>
            </w:pPr>
            <w:r>
              <w:rPr>
                <w:rFonts w:hint="eastAsia" w:ascii="宋体" w:hAnsi="宋体"/>
                <w:sz w:val="21"/>
                <w:szCs w:val="21"/>
              </w:rPr>
              <w:t>SO</w:t>
            </w:r>
            <w:r>
              <w:rPr>
                <w:rFonts w:hint="eastAsia" w:ascii="宋体" w:hAnsi="宋体"/>
                <w:sz w:val="21"/>
                <w:szCs w:val="21"/>
                <w:vertAlign w:val="subscript"/>
              </w:rPr>
              <w:t>2</w:t>
            </w:r>
          </w:p>
        </w:tc>
        <w:tc>
          <w:tcPr>
            <w:tcW w:w="2245" w:type="dxa"/>
            <w:gridSpan w:val="2"/>
            <w:vAlign w:val="center"/>
          </w:tcPr>
          <w:p>
            <w:pPr>
              <w:spacing w:line="300" w:lineRule="exact"/>
              <w:jc w:val="center"/>
              <w:rPr>
                <w:rFonts w:hint="eastAsia" w:ascii="宋体" w:hAnsi="宋体"/>
                <w:sz w:val="21"/>
                <w:szCs w:val="21"/>
              </w:rPr>
            </w:pPr>
            <w:r>
              <w:rPr>
                <w:rFonts w:hint="eastAsia" w:ascii="宋体" w:hAnsi="宋体"/>
                <w:sz w:val="21"/>
                <w:szCs w:val="21"/>
              </w:rPr>
              <w:t>NO</w:t>
            </w:r>
            <w:r>
              <w:rPr>
                <w:rFonts w:hint="eastAsia" w:ascii="宋体" w:hAnsi="宋体"/>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8" w:hRule="atLeast"/>
          <w:jc w:val="center"/>
        </w:trPr>
        <w:tc>
          <w:tcPr>
            <w:tcW w:w="1933" w:type="dxa"/>
            <w:vMerge w:val="continue"/>
            <w:vAlign w:val="center"/>
          </w:tcPr>
          <w:p>
            <w:pPr>
              <w:spacing w:line="300" w:lineRule="exact"/>
              <w:jc w:val="center"/>
              <w:rPr>
                <w:rFonts w:hint="eastAsia" w:ascii="宋体" w:hAnsi="宋体"/>
                <w:sz w:val="21"/>
                <w:szCs w:val="21"/>
              </w:rPr>
            </w:pPr>
          </w:p>
        </w:tc>
        <w:tc>
          <w:tcPr>
            <w:tcW w:w="1122" w:type="dxa"/>
            <w:vAlign w:val="center"/>
          </w:tcPr>
          <w:p>
            <w:pPr>
              <w:spacing w:line="300" w:lineRule="exact"/>
              <w:jc w:val="center"/>
              <w:rPr>
                <w:rFonts w:hint="eastAsia" w:ascii="宋体" w:hAnsi="宋体"/>
                <w:sz w:val="21"/>
                <w:szCs w:val="21"/>
              </w:rPr>
            </w:pPr>
            <w:r>
              <w:rPr>
                <w:rFonts w:hint="eastAsia" w:ascii="宋体" w:hAnsi="宋体"/>
                <w:sz w:val="21"/>
                <w:szCs w:val="21"/>
              </w:rPr>
              <w:t>排放浓度</w:t>
            </w:r>
          </w:p>
          <w:p>
            <w:pPr>
              <w:spacing w:line="300" w:lineRule="exact"/>
              <w:jc w:val="center"/>
              <w:rPr>
                <w:rFonts w:hint="eastAsia" w:ascii="宋体" w:hAnsi="宋体"/>
                <w:sz w:val="21"/>
                <w:szCs w:val="21"/>
              </w:rPr>
            </w:pPr>
            <w:r>
              <w:rPr>
                <w:rFonts w:hint="eastAsia" w:ascii="宋体" w:hAnsi="宋体"/>
                <w:sz w:val="21"/>
                <w:szCs w:val="21"/>
              </w:rPr>
              <w:t>mg/m</w:t>
            </w:r>
            <w:r>
              <w:rPr>
                <w:rFonts w:hint="eastAsia" w:ascii="宋体" w:hAnsi="宋体"/>
                <w:sz w:val="21"/>
                <w:szCs w:val="21"/>
                <w:vertAlign w:val="superscript"/>
              </w:rPr>
              <w:t>3</w:t>
            </w:r>
          </w:p>
        </w:tc>
        <w:tc>
          <w:tcPr>
            <w:tcW w:w="1122" w:type="dxa"/>
            <w:vAlign w:val="center"/>
          </w:tcPr>
          <w:p>
            <w:pPr>
              <w:spacing w:line="300" w:lineRule="exact"/>
              <w:jc w:val="center"/>
              <w:rPr>
                <w:rFonts w:hint="eastAsia" w:ascii="宋体" w:hAnsi="宋体"/>
                <w:sz w:val="21"/>
                <w:szCs w:val="21"/>
              </w:rPr>
            </w:pPr>
            <w:r>
              <w:rPr>
                <w:rFonts w:hint="eastAsia" w:ascii="宋体" w:hAnsi="宋体"/>
                <w:sz w:val="21"/>
                <w:szCs w:val="21"/>
              </w:rPr>
              <w:t>单位产品排放量kg/t</w:t>
            </w:r>
          </w:p>
        </w:tc>
        <w:tc>
          <w:tcPr>
            <w:tcW w:w="1122" w:type="dxa"/>
            <w:vAlign w:val="center"/>
          </w:tcPr>
          <w:p>
            <w:pPr>
              <w:spacing w:line="300" w:lineRule="exact"/>
              <w:jc w:val="center"/>
              <w:rPr>
                <w:rFonts w:hint="eastAsia" w:ascii="宋体" w:hAnsi="宋体"/>
                <w:sz w:val="21"/>
                <w:szCs w:val="21"/>
              </w:rPr>
            </w:pPr>
            <w:r>
              <w:rPr>
                <w:rFonts w:hint="eastAsia" w:ascii="宋体" w:hAnsi="宋体"/>
                <w:sz w:val="21"/>
                <w:szCs w:val="21"/>
              </w:rPr>
              <w:t>排放浓度</w:t>
            </w:r>
          </w:p>
          <w:p>
            <w:pPr>
              <w:spacing w:line="300" w:lineRule="exact"/>
              <w:jc w:val="center"/>
              <w:rPr>
                <w:rFonts w:hint="eastAsia" w:ascii="宋体" w:hAnsi="宋体"/>
                <w:sz w:val="21"/>
                <w:szCs w:val="21"/>
              </w:rPr>
            </w:pPr>
            <w:r>
              <w:rPr>
                <w:rFonts w:hint="eastAsia" w:ascii="宋体" w:hAnsi="宋体"/>
                <w:sz w:val="21"/>
                <w:szCs w:val="21"/>
              </w:rPr>
              <w:t>mg/m</w:t>
            </w:r>
            <w:r>
              <w:rPr>
                <w:rFonts w:hint="eastAsia" w:ascii="宋体" w:hAnsi="宋体"/>
                <w:sz w:val="21"/>
                <w:szCs w:val="21"/>
                <w:vertAlign w:val="superscript"/>
              </w:rPr>
              <w:t>3</w:t>
            </w:r>
          </w:p>
        </w:tc>
        <w:tc>
          <w:tcPr>
            <w:tcW w:w="1122" w:type="dxa"/>
            <w:vAlign w:val="center"/>
          </w:tcPr>
          <w:p>
            <w:pPr>
              <w:spacing w:line="300" w:lineRule="exact"/>
              <w:jc w:val="center"/>
              <w:rPr>
                <w:rFonts w:hint="eastAsia" w:ascii="宋体" w:hAnsi="宋体"/>
                <w:sz w:val="21"/>
                <w:szCs w:val="21"/>
              </w:rPr>
            </w:pPr>
            <w:r>
              <w:rPr>
                <w:rFonts w:hint="eastAsia" w:ascii="宋体" w:hAnsi="宋体"/>
                <w:sz w:val="21"/>
                <w:szCs w:val="21"/>
              </w:rPr>
              <w:t>单位产品排放量kg/t</w:t>
            </w:r>
          </w:p>
        </w:tc>
        <w:tc>
          <w:tcPr>
            <w:tcW w:w="1122" w:type="dxa"/>
            <w:vAlign w:val="center"/>
          </w:tcPr>
          <w:p>
            <w:pPr>
              <w:spacing w:line="300" w:lineRule="exact"/>
              <w:jc w:val="center"/>
              <w:rPr>
                <w:rFonts w:hint="eastAsia" w:ascii="宋体" w:hAnsi="宋体"/>
                <w:sz w:val="21"/>
                <w:szCs w:val="21"/>
              </w:rPr>
            </w:pPr>
            <w:r>
              <w:rPr>
                <w:rFonts w:hint="eastAsia" w:ascii="宋体" w:hAnsi="宋体"/>
                <w:sz w:val="21"/>
                <w:szCs w:val="21"/>
              </w:rPr>
              <w:t>排放浓度</w:t>
            </w:r>
          </w:p>
          <w:p>
            <w:pPr>
              <w:spacing w:line="300" w:lineRule="exact"/>
              <w:jc w:val="center"/>
              <w:rPr>
                <w:rFonts w:hint="eastAsia" w:ascii="宋体" w:hAnsi="宋体"/>
                <w:sz w:val="21"/>
                <w:szCs w:val="21"/>
              </w:rPr>
            </w:pPr>
            <w:r>
              <w:rPr>
                <w:rFonts w:hint="eastAsia" w:ascii="宋体" w:hAnsi="宋体"/>
                <w:sz w:val="21"/>
                <w:szCs w:val="21"/>
              </w:rPr>
              <w:t>mg/m</w:t>
            </w:r>
            <w:r>
              <w:rPr>
                <w:rFonts w:hint="eastAsia" w:ascii="宋体" w:hAnsi="宋体"/>
                <w:sz w:val="21"/>
                <w:szCs w:val="21"/>
                <w:vertAlign w:val="superscript"/>
              </w:rPr>
              <w:t>3</w:t>
            </w:r>
          </w:p>
        </w:tc>
        <w:tc>
          <w:tcPr>
            <w:tcW w:w="1123" w:type="dxa"/>
            <w:vAlign w:val="center"/>
          </w:tcPr>
          <w:p>
            <w:pPr>
              <w:spacing w:line="300" w:lineRule="exact"/>
              <w:jc w:val="center"/>
              <w:rPr>
                <w:rFonts w:hint="eastAsia" w:ascii="宋体" w:hAnsi="宋体"/>
                <w:sz w:val="21"/>
                <w:szCs w:val="21"/>
              </w:rPr>
            </w:pPr>
            <w:r>
              <w:rPr>
                <w:rFonts w:hint="eastAsia" w:ascii="宋体" w:hAnsi="宋体"/>
                <w:sz w:val="21"/>
                <w:szCs w:val="21"/>
              </w:rPr>
              <w:t>单位产品排放量kg/t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1" w:hRule="atLeast"/>
          <w:jc w:val="center"/>
        </w:trPr>
        <w:tc>
          <w:tcPr>
            <w:tcW w:w="1933" w:type="dxa"/>
            <w:vAlign w:val="center"/>
          </w:tcPr>
          <w:p>
            <w:pPr>
              <w:spacing w:line="300" w:lineRule="exact"/>
              <w:jc w:val="center"/>
              <w:rPr>
                <w:rFonts w:hint="eastAsia" w:ascii="宋体" w:hAnsi="宋体"/>
                <w:sz w:val="21"/>
                <w:szCs w:val="21"/>
              </w:rPr>
            </w:pPr>
            <w:r>
              <w:rPr>
                <w:rFonts w:hint="eastAsia" w:ascii="宋体" w:hAnsi="宋体"/>
                <w:sz w:val="21"/>
                <w:szCs w:val="21"/>
              </w:rPr>
              <w:t>水泥窑及窑磨一体机</w:t>
            </w:r>
          </w:p>
        </w:tc>
        <w:tc>
          <w:tcPr>
            <w:tcW w:w="1122" w:type="dxa"/>
            <w:vAlign w:val="center"/>
          </w:tcPr>
          <w:p>
            <w:pPr>
              <w:spacing w:line="300" w:lineRule="exact"/>
              <w:jc w:val="center"/>
              <w:rPr>
                <w:rFonts w:hint="eastAsia" w:ascii="宋体" w:hAnsi="宋体"/>
                <w:sz w:val="21"/>
                <w:szCs w:val="21"/>
              </w:rPr>
            </w:pPr>
            <w:r>
              <w:rPr>
                <w:rFonts w:hint="eastAsia" w:ascii="宋体" w:hAnsi="宋体"/>
                <w:sz w:val="21"/>
                <w:szCs w:val="21"/>
              </w:rPr>
              <w:t>30</w:t>
            </w:r>
          </w:p>
        </w:tc>
        <w:tc>
          <w:tcPr>
            <w:tcW w:w="1122" w:type="dxa"/>
            <w:vAlign w:val="center"/>
          </w:tcPr>
          <w:p>
            <w:pPr>
              <w:spacing w:line="300" w:lineRule="exact"/>
              <w:jc w:val="center"/>
              <w:rPr>
                <w:rFonts w:hint="eastAsia" w:ascii="宋体" w:hAnsi="宋体"/>
                <w:sz w:val="21"/>
                <w:szCs w:val="21"/>
              </w:rPr>
            </w:pPr>
            <w:r>
              <w:rPr>
                <w:rFonts w:hint="eastAsia" w:ascii="宋体" w:hAnsi="宋体"/>
                <w:sz w:val="21"/>
                <w:szCs w:val="21"/>
              </w:rPr>
              <w:t>0.09</w:t>
            </w:r>
          </w:p>
        </w:tc>
        <w:tc>
          <w:tcPr>
            <w:tcW w:w="1122" w:type="dxa"/>
            <w:vAlign w:val="center"/>
          </w:tcPr>
          <w:p>
            <w:pPr>
              <w:spacing w:line="300" w:lineRule="exact"/>
              <w:jc w:val="center"/>
              <w:rPr>
                <w:rFonts w:hint="eastAsia" w:ascii="宋体" w:hAnsi="宋体"/>
                <w:sz w:val="21"/>
                <w:szCs w:val="21"/>
              </w:rPr>
            </w:pPr>
            <w:r>
              <w:rPr>
                <w:rFonts w:hint="eastAsia" w:ascii="宋体" w:hAnsi="宋体"/>
                <w:sz w:val="21"/>
                <w:szCs w:val="21"/>
              </w:rPr>
              <w:t>200</w:t>
            </w:r>
          </w:p>
        </w:tc>
        <w:tc>
          <w:tcPr>
            <w:tcW w:w="1122" w:type="dxa"/>
            <w:vAlign w:val="center"/>
          </w:tcPr>
          <w:p>
            <w:pPr>
              <w:spacing w:line="300" w:lineRule="exact"/>
              <w:jc w:val="center"/>
              <w:rPr>
                <w:rFonts w:hint="eastAsia" w:ascii="宋体" w:hAnsi="宋体"/>
                <w:sz w:val="21"/>
                <w:szCs w:val="21"/>
              </w:rPr>
            </w:pPr>
            <w:r>
              <w:rPr>
                <w:rFonts w:hint="eastAsia" w:ascii="宋体" w:hAnsi="宋体"/>
                <w:sz w:val="21"/>
                <w:szCs w:val="21"/>
              </w:rPr>
              <w:t>0.60</w:t>
            </w:r>
          </w:p>
        </w:tc>
        <w:tc>
          <w:tcPr>
            <w:tcW w:w="1122" w:type="dxa"/>
            <w:vAlign w:val="center"/>
          </w:tcPr>
          <w:p>
            <w:pPr>
              <w:spacing w:line="300" w:lineRule="exact"/>
              <w:jc w:val="center"/>
              <w:rPr>
                <w:rFonts w:hint="eastAsia" w:ascii="宋体" w:hAnsi="宋体"/>
                <w:sz w:val="21"/>
                <w:szCs w:val="21"/>
              </w:rPr>
            </w:pPr>
            <w:r>
              <w:rPr>
                <w:rFonts w:hint="eastAsia" w:ascii="宋体" w:hAnsi="宋体"/>
                <w:sz w:val="21"/>
                <w:szCs w:val="21"/>
              </w:rPr>
              <w:t>800</w:t>
            </w:r>
          </w:p>
        </w:tc>
        <w:tc>
          <w:tcPr>
            <w:tcW w:w="1123" w:type="dxa"/>
            <w:vAlign w:val="center"/>
          </w:tcPr>
          <w:p>
            <w:pPr>
              <w:spacing w:line="300" w:lineRule="exact"/>
              <w:jc w:val="center"/>
              <w:rPr>
                <w:rFonts w:hint="eastAsia" w:ascii="宋体" w:hAnsi="宋体"/>
                <w:sz w:val="21"/>
                <w:szCs w:val="21"/>
              </w:rPr>
            </w:pPr>
            <w:r>
              <w:rPr>
                <w:rFonts w:hint="eastAsia" w:ascii="宋体" w:hAnsi="宋体"/>
                <w:sz w:val="21"/>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7" w:hRule="atLeast"/>
          <w:jc w:val="center"/>
        </w:trPr>
        <w:tc>
          <w:tcPr>
            <w:tcW w:w="1933" w:type="dxa"/>
            <w:vAlign w:val="center"/>
          </w:tcPr>
          <w:p>
            <w:pPr>
              <w:spacing w:line="300" w:lineRule="exact"/>
              <w:jc w:val="center"/>
              <w:rPr>
                <w:rFonts w:hint="eastAsia" w:ascii="宋体" w:hAnsi="宋体"/>
                <w:sz w:val="21"/>
                <w:szCs w:val="21"/>
              </w:rPr>
            </w:pPr>
            <w:r>
              <w:rPr>
                <w:rFonts w:hint="eastAsia" w:ascii="宋体" w:hAnsi="宋体"/>
                <w:sz w:val="21"/>
                <w:szCs w:val="21"/>
              </w:rPr>
              <w:t>烘干机、烘干磨、煤磨及冷却机</w:t>
            </w:r>
          </w:p>
        </w:tc>
        <w:tc>
          <w:tcPr>
            <w:tcW w:w="1122" w:type="dxa"/>
            <w:vAlign w:val="center"/>
          </w:tcPr>
          <w:p>
            <w:pPr>
              <w:spacing w:line="300" w:lineRule="exact"/>
              <w:jc w:val="center"/>
              <w:rPr>
                <w:rFonts w:hint="eastAsia" w:ascii="宋体" w:hAnsi="宋体"/>
                <w:sz w:val="21"/>
                <w:szCs w:val="21"/>
              </w:rPr>
            </w:pPr>
            <w:r>
              <w:rPr>
                <w:rFonts w:hint="eastAsia" w:ascii="宋体" w:hAnsi="宋体"/>
                <w:sz w:val="21"/>
                <w:szCs w:val="21"/>
              </w:rPr>
              <w:t>30</w:t>
            </w:r>
          </w:p>
        </w:tc>
        <w:tc>
          <w:tcPr>
            <w:tcW w:w="1122" w:type="dxa"/>
            <w:vAlign w:val="center"/>
          </w:tcPr>
          <w:p>
            <w:pPr>
              <w:spacing w:line="300" w:lineRule="exact"/>
              <w:jc w:val="center"/>
              <w:rPr>
                <w:rFonts w:hint="eastAsia" w:ascii="宋体" w:hAnsi="宋体"/>
                <w:sz w:val="21"/>
                <w:szCs w:val="21"/>
              </w:rPr>
            </w:pPr>
            <w:r>
              <w:rPr>
                <w:rFonts w:hint="eastAsia" w:ascii="宋体" w:hAnsi="宋体"/>
                <w:sz w:val="21"/>
                <w:szCs w:val="21"/>
              </w:rPr>
              <w:t>0.09</w:t>
            </w:r>
          </w:p>
        </w:tc>
        <w:tc>
          <w:tcPr>
            <w:tcW w:w="1122" w:type="dxa"/>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1122" w:type="dxa"/>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1122" w:type="dxa"/>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1123" w:type="dxa"/>
            <w:vAlign w:val="center"/>
          </w:tcPr>
          <w:p>
            <w:pPr>
              <w:spacing w:line="300" w:lineRule="exact"/>
              <w:jc w:val="center"/>
              <w:rPr>
                <w:rFonts w:hint="eastAsia" w:ascii="宋体" w:hAnsi="宋体"/>
                <w:sz w:val="21"/>
                <w:szCs w:val="21"/>
              </w:rPr>
            </w:pP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04" w:hRule="atLeast"/>
          <w:jc w:val="center"/>
        </w:trPr>
        <w:tc>
          <w:tcPr>
            <w:tcW w:w="1933" w:type="dxa"/>
            <w:vAlign w:val="center"/>
          </w:tcPr>
          <w:p>
            <w:pPr>
              <w:spacing w:line="300" w:lineRule="exact"/>
              <w:jc w:val="center"/>
              <w:rPr>
                <w:rFonts w:hint="eastAsia" w:ascii="宋体" w:hAnsi="宋体"/>
                <w:sz w:val="21"/>
                <w:szCs w:val="21"/>
              </w:rPr>
            </w:pPr>
            <w:r>
              <w:rPr>
                <w:rFonts w:hint="eastAsia" w:ascii="宋体" w:hAnsi="宋体"/>
                <w:sz w:val="21"/>
                <w:szCs w:val="21"/>
              </w:rPr>
              <w:t>破碎机、磨机、包装机、及其它通风生产设备</w:t>
            </w:r>
          </w:p>
        </w:tc>
        <w:tc>
          <w:tcPr>
            <w:tcW w:w="1122" w:type="dxa"/>
            <w:vAlign w:val="center"/>
          </w:tcPr>
          <w:p>
            <w:pPr>
              <w:spacing w:line="300" w:lineRule="exact"/>
              <w:jc w:val="center"/>
              <w:rPr>
                <w:rFonts w:hint="eastAsia" w:ascii="宋体" w:hAnsi="宋体"/>
                <w:sz w:val="21"/>
                <w:szCs w:val="21"/>
              </w:rPr>
            </w:pPr>
            <w:r>
              <w:rPr>
                <w:rFonts w:hint="eastAsia" w:ascii="宋体" w:hAnsi="宋体"/>
                <w:sz w:val="21"/>
                <w:szCs w:val="21"/>
              </w:rPr>
              <w:t>30</w:t>
            </w:r>
          </w:p>
        </w:tc>
        <w:tc>
          <w:tcPr>
            <w:tcW w:w="1122" w:type="dxa"/>
            <w:vAlign w:val="center"/>
          </w:tcPr>
          <w:p>
            <w:pPr>
              <w:spacing w:line="300" w:lineRule="exact"/>
              <w:jc w:val="center"/>
              <w:rPr>
                <w:rFonts w:hint="eastAsia" w:ascii="宋体" w:hAnsi="宋体"/>
                <w:sz w:val="21"/>
                <w:szCs w:val="21"/>
              </w:rPr>
            </w:pPr>
            <w:r>
              <w:rPr>
                <w:rFonts w:hint="eastAsia" w:ascii="宋体" w:hAnsi="宋体"/>
                <w:sz w:val="21"/>
                <w:szCs w:val="21"/>
              </w:rPr>
              <w:t>0.024</w:t>
            </w:r>
          </w:p>
        </w:tc>
        <w:tc>
          <w:tcPr>
            <w:tcW w:w="1122" w:type="dxa"/>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1122" w:type="dxa"/>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1122" w:type="dxa"/>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1123" w:type="dxa"/>
            <w:vAlign w:val="center"/>
          </w:tcPr>
          <w:p>
            <w:pPr>
              <w:spacing w:line="300" w:lineRule="exact"/>
              <w:jc w:val="center"/>
              <w:rPr>
                <w:rFonts w:hint="eastAsia" w:ascii="宋体" w:hAnsi="宋体"/>
                <w:sz w:val="21"/>
                <w:szCs w:val="21"/>
              </w:rPr>
            </w:pP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5" w:hRule="atLeast"/>
          <w:jc w:val="center"/>
        </w:trPr>
        <w:tc>
          <w:tcPr>
            <w:tcW w:w="1933" w:type="dxa"/>
            <w:vAlign w:val="center"/>
          </w:tcPr>
          <w:p>
            <w:pPr>
              <w:spacing w:line="300" w:lineRule="exact"/>
              <w:jc w:val="center"/>
              <w:rPr>
                <w:rFonts w:hint="eastAsia" w:ascii="宋体" w:hAnsi="宋体"/>
                <w:sz w:val="21"/>
                <w:szCs w:val="21"/>
              </w:rPr>
            </w:pPr>
            <w:r>
              <w:rPr>
                <w:rFonts w:hint="eastAsia" w:ascii="宋体" w:hAnsi="宋体"/>
                <w:sz w:val="21"/>
                <w:szCs w:val="21"/>
              </w:rPr>
              <w:t>水泥仓及其它通风生产设备</w:t>
            </w:r>
          </w:p>
        </w:tc>
        <w:tc>
          <w:tcPr>
            <w:tcW w:w="1122" w:type="dxa"/>
            <w:vAlign w:val="center"/>
          </w:tcPr>
          <w:p>
            <w:pPr>
              <w:spacing w:line="300" w:lineRule="exact"/>
              <w:jc w:val="center"/>
              <w:rPr>
                <w:rFonts w:hint="eastAsia" w:ascii="宋体" w:hAnsi="宋体"/>
                <w:sz w:val="21"/>
                <w:szCs w:val="21"/>
              </w:rPr>
            </w:pPr>
            <w:r>
              <w:rPr>
                <w:rFonts w:hint="eastAsia" w:ascii="宋体" w:hAnsi="宋体"/>
                <w:sz w:val="21"/>
                <w:szCs w:val="21"/>
              </w:rPr>
              <w:t>30</w:t>
            </w:r>
          </w:p>
        </w:tc>
        <w:tc>
          <w:tcPr>
            <w:tcW w:w="1122" w:type="dxa"/>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1122" w:type="dxa"/>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1122" w:type="dxa"/>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1122" w:type="dxa"/>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1123" w:type="dxa"/>
            <w:vAlign w:val="center"/>
          </w:tcPr>
          <w:p>
            <w:pPr>
              <w:spacing w:line="300" w:lineRule="exact"/>
              <w:jc w:val="center"/>
              <w:rPr>
                <w:rFonts w:hint="eastAsia" w:ascii="宋体" w:hAnsi="宋体"/>
                <w:sz w:val="21"/>
                <w:szCs w:val="21"/>
              </w:rPr>
            </w:pPr>
            <w:r>
              <w:rPr>
                <w:rFonts w:hint="eastAsia" w:ascii="宋体" w:hAnsi="宋体"/>
                <w:sz w:val="21"/>
                <w:szCs w:val="21"/>
              </w:rPr>
              <w:t>–</w:t>
            </w:r>
          </w:p>
        </w:tc>
      </w:tr>
    </w:tbl>
    <w:p>
      <w:pPr>
        <w:spacing w:line="480" w:lineRule="exact"/>
        <w:jc w:val="center"/>
        <w:rPr>
          <w:rFonts w:hint="eastAsia" w:ascii="宋体" w:hAnsi="宋体"/>
          <w:b/>
        </w:rPr>
      </w:pPr>
    </w:p>
    <w:p>
      <w:pPr>
        <w:spacing w:line="480" w:lineRule="exact"/>
        <w:jc w:val="center"/>
        <w:rPr>
          <w:rFonts w:hint="eastAsia" w:ascii="宋体" w:hAnsi="宋体"/>
          <w:b/>
        </w:rPr>
      </w:pPr>
      <w:r>
        <w:rPr>
          <w:rFonts w:hint="eastAsia" w:ascii="宋体" w:hAnsi="宋体"/>
          <w:b/>
        </w:rPr>
        <w:t>表1-5  水泥厂作业场所颗粒物无阻织排放限值</w:t>
      </w:r>
    </w:p>
    <w:tbl>
      <w:tblPr>
        <w:tblStyle w:val="21"/>
        <w:tblW w:w="7817" w:type="dxa"/>
        <w:jc w:val="center"/>
        <w:tblInd w:w="2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1"/>
        <w:gridCol w:w="2568"/>
        <w:gridCol w:w="2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2681" w:type="dxa"/>
            <w:vAlign w:val="center"/>
          </w:tcPr>
          <w:p>
            <w:pPr>
              <w:spacing w:line="480" w:lineRule="exact"/>
              <w:jc w:val="center"/>
              <w:rPr>
                <w:rFonts w:hint="eastAsia" w:ascii="宋体" w:hAnsi="宋体"/>
                <w:sz w:val="21"/>
                <w:szCs w:val="21"/>
              </w:rPr>
            </w:pPr>
            <w:r>
              <w:rPr>
                <w:rFonts w:hint="eastAsia" w:ascii="宋体" w:hAnsi="宋体"/>
                <w:sz w:val="21"/>
                <w:szCs w:val="21"/>
              </w:rPr>
              <w:t>作业场所</w:t>
            </w:r>
          </w:p>
        </w:tc>
        <w:tc>
          <w:tcPr>
            <w:tcW w:w="2568" w:type="dxa"/>
            <w:vAlign w:val="center"/>
          </w:tcPr>
          <w:p>
            <w:pPr>
              <w:spacing w:line="480" w:lineRule="exact"/>
              <w:jc w:val="center"/>
              <w:rPr>
                <w:rFonts w:hint="eastAsia" w:ascii="宋体" w:hAnsi="宋体"/>
                <w:sz w:val="21"/>
                <w:szCs w:val="21"/>
              </w:rPr>
            </w:pPr>
            <w:r>
              <w:rPr>
                <w:rFonts w:hint="eastAsia" w:ascii="宋体" w:hAnsi="宋体"/>
                <w:sz w:val="21"/>
                <w:szCs w:val="21"/>
              </w:rPr>
              <w:t>颗粒物无组织排放监控点</w:t>
            </w:r>
          </w:p>
        </w:tc>
        <w:tc>
          <w:tcPr>
            <w:tcW w:w="2568" w:type="dxa"/>
            <w:vAlign w:val="center"/>
          </w:tcPr>
          <w:p>
            <w:pPr>
              <w:spacing w:line="480" w:lineRule="exact"/>
              <w:jc w:val="center"/>
              <w:rPr>
                <w:rFonts w:hint="eastAsia" w:ascii="宋体" w:hAnsi="宋体"/>
                <w:sz w:val="21"/>
                <w:szCs w:val="21"/>
              </w:rPr>
            </w:pPr>
            <w:r>
              <w:rPr>
                <w:rFonts w:hint="eastAsia" w:ascii="宋体" w:hAnsi="宋体"/>
                <w:sz w:val="21"/>
                <w:szCs w:val="21"/>
              </w:rPr>
              <w:t>浓度限值*</w:t>
            </w:r>
            <w:r>
              <w:rPr>
                <w:rFonts w:hint="eastAsia" w:ascii="宋体" w:hAnsi="宋体"/>
                <w:sz w:val="21"/>
                <w:szCs w:val="21"/>
                <w:vertAlign w:val="superscript"/>
              </w:rPr>
              <w:t>1</w:t>
            </w:r>
            <w:r>
              <w:rPr>
                <w:rFonts w:hint="eastAsia" w:ascii="宋体" w:hAnsi="宋体"/>
                <w:sz w:val="21"/>
                <w:szCs w:val="21"/>
              </w:rPr>
              <w:t>，mg/m</w:t>
            </w:r>
            <w:r>
              <w:rPr>
                <w:rFonts w:hint="eastAsia" w:ascii="宋体" w:hAnsi="宋体"/>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0" w:hRule="atLeast"/>
          <w:jc w:val="center"/>
        </w:trPr>
        <w:tc>
          <w:tcPr>
            <w:tcW w:w="2681" w:type="dxa"/>
            <w:vAlign w:val="center"/>
          </w:tcPr>
          <w:p>
            <w:pPr>
              <w:spacing w:line="480" w:lineRule="exact"/>
              <w:jc w:val="center"/>
              <w:rPr>
                <w:rFonts w:hint="eastAsia" w:ascii="宋体" w:hAnsi="宋体"/>
                <w:sz w:val="21"/>
                <w:szCs w:val="21"/>
              </w:rPr>
            </w:pPr>
            <w:r>
              <w:rPr>
                <w:rFonts w:hint="eastAsia" w:ascii="宋体" w:hAnsi="宋体"/>
                <w:sz w:val="21"/>
                <w:szCs w:val="21"/>
              </w:rPr>
              <w:t>水泥厂（含粉磨站）</w:t>
            </w:r>
          </w:p>
        </w:tc>
        <w:tc>
          <w:tcPr>
            <w:tcW w:w="2568" w:type="dxa"/>
            <w:vAlign w:val="center"/>
          </w:tcPr>
          <w:p>
            <w:pPr>
              <w:spacing w:line="480" w:lineRule="exact"/>
              <w:jc w:val="center"/>
              <w:rPr>
                <w:rFonts w:hint="eastAsia" w:ascii="宋体" w:hAnsi="宋体"/>
                <w:sz w:val="21"/>
                <w:szCs w:val="21"/>
              </w:rPr>
            </w:pPr>
            <w:r>
              <w:rPr>
                <w:rFonts w:hint="eastAsia" w:ascii="宋体" w:hAnsi="宋体"/>
                <w:sz w:val="21"/>
                <w:szCs w:val="21"/>
              </w:rPr>
              <w:t>厂界外20m处</w:t>
            </w:r>
          </w:p>
        </w:tc>
        <w:tc>
          <w:tcPr>
            <w:tcW w:w="2568" w:type="dxa"/>
            <w:vAlign w:val="center"/>
          </w:tcPr>
          <w:p>
            <w:pPr>
              <w:spacing w:line="480" w:lineRule="exact"/>
              <w:jc w:val="center"/>
              <w:rPr>
                <w:rFonts w:hint="eastAsia" w:ascii="宋体" w:hAnsi="宋体"/>
                <w:sz w:val="21"/>
                <w:szCs w:val="21"/>
              </w:rPr>
            </w:pPr>
            <w:r>
              <w:rPr>
                <w:rFonts w:hint="eastAsia" w:ascii="宋体" w:hAnsi="宋体"/>
                <w:sz w:val="21"/>
                <w:szCs w:val="21"/>
              </w:rPr>
              <w:t>1.0（扣除参考值）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jc w:val="center"/>
        </w:trPr>
        <w:tc>
          <w:tcPr>
            <w:tcW w:w="7817" w:type="dxa"/>
            <w:gridSpan w:val="3"/>
            <w:vAlign w:val="center"/>
          </w:tcPr>
          <w:p>
            <w:pPr>
              <w:spacing w:line="480" w:lineRule="exact"/>
              <w:jc w:val="center"/>
              <w:rPr>
                <w:rFonts w:hint="eastAsia" w:ascii="宋体" w:hAnsi="宋体"/>
                <w:sz w:val="21"/>
                <w:szCs w:val="21"/>
              </w:rPr>
            </w:pPr>
            <w:r>
              <w:rPr>
                <w:rFonts w:hint="eastAsia" w:ascii="宋体" w:hAnsi="宋体"/>
                <w:sz w:val="21"/>
                <w:szCs w:val="21"/>
              </w:rPr>
              <w:t>*</w:t>
            </w:r>
            <w:r>
              <w:rPr>
                <w:rFonts w:hint="eastAsia" w:ascii="宋体" w:hAnsi="宋体"/>
                <w:sz w:val="21"/>
                <w:szCs w:val="21"/>
                <w:vertAlign w:val="superscript"/>
              </w:rPr>
              <w:t>1</w:t>
            </w:r>
            <w:r>
              <w:rPr>
                <w:rFonts w:hint="eastAsia" w:ascii="宋体" w:hAnsi="宋体"/>
                <w:sz w:val="21"/>
                <w:szCs w:val="21"/>
              </w:rPr>
              <w:t>指监控点处的总悬浮颗粒物（TSP）一小时浓度值</w:t>
            </w:r>
          </w:p>
        </w:tc>
      </w:tr>
    </w:tbl>
    <w:p>
      <w:pPr>
        <w:jc w:val="center"/>
        <w:rPr>
          <w:rFonts w:hint="eastAsia" w:ascii="宋体" w:hAnsi="宋体"/>
          <w:b/>
        </w:rPr>
      </w:pPr>
    </w:p>
    <w:p>
      <w:pPr>
        <w:spacing w:line="480" w:lineRule="exact"/>
        <w:jc w:val="center"/>
        <w:rPr>
          <w:rFonts w:hint="eastAsia" w:ascii="宋体" w:hAnsi="宋体"/>
          <w:b/>
        </w:rPr>
      </w:pPr>
      <w:r>
        <w:rPr>
          <w:rFonts w:hint="eastAsia" w:ascii="宋体" w:hAnsi="宋体"/>
          <w:b/>
        </w:rPr>
        <w:t>表1-6 水泥生产设备排气筒最低允许高度</w:t>
      </w:r>
    </w:p>
    <w:tbl>
      <w:tblPr>
        <w:tblStyle w:val="21"/>
        <w:tblW w:w="84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2259"/>
        <w:gridCol w:w="1062"/>
        <w:gridCol w:w="1328"/>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2508" w:type="dxa"/>
            <w:vAlign w:val="center"/>
          </w:tcPr>
          <w:p>
            <w:pPr>
              <w:spacing w:line="460" w:lineRule="exact"/>
              <w:jc w:val="center"/>
              <w:rPr>
                <w:rFonts w:hint="eastAsia" w:ascii="宋体" w:hAnsi="宋体"/>
                <w:sz w:val="21"/>
                <w:szCs w:val="21"/>
              </w:rPr>
            </w:pPr>
            <w:r>
              <w:rPr>
                <w:rFonts w:hint="eastAsia" w:ascii="宋体" w:hAnsi="宋体"/>
                <w:sz w:val="21"/>
                <w:szCs w:val="21"/>
              </w:rPr>
              <w:t>生产设备名称</w:t>
            </w:r>
          </w:p>
        </w:tc>
        <w:tc>
          <w:tcPr>
            <w:tcW w:w="2259" w:type="dxa"/>
            <w:vAlign w:val="center"/>
          </w:tcPr>
          <w:p>
            <w:pPr>
              <w:spacing w:line="460" w:lineRule="exact"/>
              <w:jc w:val="center"/>
              <w:rPr>
                <w:rFonts w:hint="eastAsia" w:ascii="宋体" w:hAnsi="宋体"/>
                <w:sz w:val="21"/>
                <w:szCs w:val="21"/>
              </w:rPr>
            </w:pPr>
            <w:r>
              <w:rPr>
                <w:rFonts w:hint="eastAsia" w:ascii="宋体" w:hAnsi="宋体"/>
                <w:sz w:val="21"/>
                <w:szCs w:val="21"/>
              </w:rPr>
              <w:t>水泥窑及窑磨一体机</w:t>
            </w:r>
          </w:p>
        </w:tc>
        <w:tc>
          <w:tcPr>
            <w:tcW w:w="3719" w:type="dxa"/>
            <w:gridSpan w:val="3"/>
            <w:vAlign w:val="center"/>
          </w:tcPr>
          <w:p>
            <w:pPr>
              <w:spacing w:line="460" w:lineRule="exact"/>
              <w:jc w:val="center"/>
              <w:rPr>
                <w:rFonts w:hint="eastAsia" w:ascii="宋体" w:hAnsi="宋体"/>
                <w:sz w:val="21"/>
                <w:szCs w:val="21"/>
              </w:rPr>
            </w:pPr>
            <w:r>
              <w:rPr>
                <w:rFonts w:hint="eastAsia" w:ascii="宋体" w:hAnsi="宋体"/>
                <w:sz w:val="21"/>
                <w:szCs w:val="21"/>
              </w:rPr>
              <w:t>烘干机、烘干磨、煤磨及冷却机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2508" w:type="dxa"/>
            <w:vAlign w:val="center"/>
          </w:tcPr>
          <w:p>
            <w:pPr>
              <w:spacing w:line="460" w:lineRule="exact"/>
              <w:jc w:val="center"/>
              <w:rPr>
                <w:rFonts w:hint="eastAsia" w:ascii="宋体" w:hAnsi="宋体"/>
                <w:sz w:val="21"/>
                <w:szCs w:val="21"/>
              </w:rPr>
            </w:pPr>
            <w:r>
              <w:rPr>
                <w:rFonts w:hint="eastAsia" w:ascii="宋体" w:hAnsi="宋体"/>
                <w:sz w:val="21"/>
                <w:szCs w:val="21"/>
              </w:rPr>
              <w:t>单线（机）生产能力，t/d</w:t>
            </w:r>
          </w:p>
        </w:tc>
        <w:tc>
          <w:tcPr>
            <w:tcW w:w="2259" w:type="dxa"/>
            <w:vAlign w:val="center"/>
          </w:tcPr>
          <w:p>
            <w:pPr>
              <w:spacing w:line="460" w:lineRule="exact"/>
              <w:jc w:val="center"/>
              <w:rPr>
                <w:rFonts w:hint="eastAsia" w:ascii="宋体" w:hAnsi="宋体"/>
                <w:sz w:val="21"/>
                <w:szCs w:val="21"/>
              </w:rPr>
            </w:pPr>
            <w:r>
              <w:rPr>
                <w:rFonts w:hint="eastAsia" w:ascii="宋体" w:hAnsi="宋体"/>
                <w:sz w:val="21"/>
                <w:szCs w:val="21"/>
              </w:rPr>
              <w:t>＞1200</w:t>
            </w:r>
          </w:p>
        </w:tc>
        <w:tc>
          <w:tcPr>
            <w:tcW w:w="1062" w:type="dxa"/>
            <w:vAlign w:val="center"/>
          </w:tcPr>
          <w:p>
            <w:pPr>
              <w:spacing w:line="460" w:lineRule="exact"/>
              <w:jc w:val="center"/>
              <w:rPr>
                <w:rFonts w:hint="eastAsia" w:ascii="宋体" w:hAnsi="宋体"/>
                <w:sz w:val="21"/>
                <w:szCs w:val="21"/>
              </w:rPr>
            </w:pPr>
            <w:r>
              <w:rPr>
                <w:rFonts w:hint="eastAsia" w:ascii="宋体" w:hAnsi="宋体"/>
                <w:sz w:val="21"/>
                <w:szCs w:val="21"/>
              </w:rPr>
              <w:t>≤500</w:t>
            </w:r>
          </w:p>
        </w:tc>
        <w:tc>
          <w:tcPr>
            <w:tcW w:w="1328" w:type="dxa"/>
            <w:vAlign w:val="center"/>
          </w:tcPr>
          <w:p>
            <w:pPr>
              <w:spacing w:line="460" w:lineRule="exact"/>
              <w:jc w:val="center"/>
              <w:rPr>
                <w:rFonts w:hint="eastAsia" w:ascii="宋体" w:hAnsi="宋体"/>
                <w:sz w:val="21"/>
                <w:szCs w:val="21"/>
              </w:rPr>
            </w:pPr>
            <w:r>
              <w:rPr>
                <w:rFonts w:hint="eastAsia" w:ascii="宋体" w:hAnsi="宋体"/>
                <w:sz w:val="21"/>
                <w:szCs w:val="21"/>
              </w:rPr>
              <w:t>＞500～1000</w:t>
            </w:r>
          </w:p>
        </w:tc>
        <w:tc>
          <w:tcPr>
            <w:tcW w:w="1329" w:type="dxa"/>
            <w:vAlign w:val="center"/>
          </w:tcPr>
          <w:p>
            <w:pPr>
              <w:spacing w:line="460" w:lineRule="exact"/>
              <w:jc w:val="center"/>
              <w:rPr>
                <w:rFonts w:hint="eastAsia" w:ascii="宋体" w:hAnsi="宋体"/>
                <w:sz w:val="21"/>
                <w:szCs w:val="21"/>
              </w:rPr>
            </w:pPr>
            <w:r>
              <w:rPr>
                <w:rFonts w:hint="eastAsia" w:ascii="宋体" w:hAnsi="宋体"/>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jc w:val="center"/>
        </w:trPr>
        <w:tc>
          <w:tcPr>
            <w:tcW w:w="2508" w:type="dxa"/>
            <w:vAlign w:val="center"/>
          </w:tcPr>
          <w:p>
            <w:pPr>
              <w:spacing w:line="460" w:lineRule="exact"/>
              <w:jc w:val="center"/>
              <w:rPr>
                <w:rFonts w:hint="eastAsia" w:ascii="宋体" w:hAnsi="宋体"/>
                <w:sz w:val="21"/>
                <w:szCs w:val="21"/>
              </w:rPr>
            </w:pPr>
            <w:r>
              <w:rPr>
                <w:rFonts w:hint="eastAsia" w:ascii="宋体" w:hAnsi="宋体"/>
                <w:sz w:val="21"/>
                <w:szCs w:val="21"/>
              </w:rPr>
              <w:t>最低允许高度（m）</w:t>
            </w:r>
          </w:p>
        </w:tc>
        <w:tc>
          <w:tcPr>
            <w:tcW w:w="2259" w:type="dxa"/>
            <w:vAlign w:val="center"/>
          </w:tcPr>
          <w:p>
            <w:pPr>
              <w:spacing w:line="460" w:lineRule="exact"/>
              <w:jc w:val="center"/>
              <w:rPr>
                <w:rFonts w:hint="eastAsia" w:ascii="宋体" w:hAnsi="宋体"/>
                <w:sz w:val="21"/>
                <w:szCs w:val="21"/>
              </w:rPr>
            </w:pPr>
            <w:r>
              <w:rPr>
                <w:rFonts w:hint="eastAsia" w:ascii="宋体" w:hAnsi="宋体"/>
                <w:sz w:val="21"/>
                <w:szCs w:val="21"/>
              </w:rPr>
              <w:t>80</w:t>
            </w:r>
          </w:p>
        </w:tc>
        <w:tc>
          <w:tcPr>
            <w:tcW w:w="1062" w:type="dxa"/>
            <w:vAlign w:val="center"/>
          </w:tcPr>
          <w:p>
            <w:pPr>
              <w:spacing w:line="460" w:lineRule="exact"/>
              <w:jc w:val="center"/>
              <w:rPr>
                <w:rFonts w:hint="eastAsia" w:ascii="宋体" w:hAnsi="宋体"/>
                <w:sz w:val="21"/>
                <w:szCs w:val="21"/>
              </w:rPr>
            </w:pPr>
            <w:r>
              <w:rPr>
                <w:rFonts w:hint="eastAsia" w:ascii="宋体" w:hAnsi="宋体"/>
                <w:sz w:val="21"/>
                <w:szCs w:val="21"/>
              </w:rPr>
              <w:t>20</w:t>
            </w:r>
          </w:p>
        </w:tc>
        <w:tc>
          <w:tcPr>
            <w:tcW w:w="1328" w:type="dxa"/>
            <w:vAlign w:val="center"/>
          </w:tcPr>
          <w:p>
            <w:pPr>
              <w:spacing w:line="460" w:lineRule="exact"/>
              <w:jc w:val="center"/>
              <w:rPr>
                <w:rFonts w:hint="eastAsia" w:ascii="宋体" w:hAnsi="宋体"/>
                <w:sz w:val="21"/>
                <w:szCs w:val="21"/>
              </w:rPr>
            </w:pPr>
            <w:r>
              <w:rPr>
                <w:rFonts w:hint="eastAsia" w:ascii="宋体" w:hAnsi="宋体"/>
                <w:sz w:val="21"/>
                <w:szCs w:val="21"/>
              </w:rPr>
              <w:t>25</w:t>
            </w:r>
          </w:p>
        </w:tc>
        <w:tc>
          <w:tcPr>
            <w:tcW w:w="1329" w:type="dxa"/>
            <w:vAlign w:val="center"/>
          </w:tcPr>
          <w:p>
            <w:pPr>
              <w:spacing w:line="460" w:lineRule="exact"/>
              <w:jc w:val="center"/>
              <w:rPr>
                <w:rFonts w:hint="eastAsia" w:ascii="宋体" w:hAnsi="宋体"/>
                <w:sz w:val="21"/>
                <w:szCs w:val="21"/>
              </w:rPr>
            </w:pPr>
            <w:r>
              <w:rPr>
                <w:rFonts w:hint="eastAsia" w:ascii="宋体" w:hAnsi="宋体"/>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2508" w:type="dxa"/>
            <w:vAlign w:val="center"/>
          </w:tcPr>
          <w:p>
            <w:pPr>
              <w:spacing w:line="460" w:lineRule="exact"/>
              <w:jc w:val="center"/>
              <w:rPr>
                <w:rFonts w:hint="eastAsia" w:ascii="宋体" w:hAnsi="宋体"/>
                <w:sz w:val="21"/>
                <w:szCs w:val="21"/>
              </w:rPr>
            </w:pPr>
            <w:r>
              <w:rPr>
                <w:rFonts w:hint="eastAsia" w:ascii="宋体" w:hAnsi="宋体"/>
                <w:sz w:val="21"/>
                <w:szCs w:val="21"/>
              </w:rPr>
              <w:t>生产设备名称</w:t>
            </w:r>
          </w:p>
        </w:tc>
        <w:tc>
          <w:tcPr>
            <w:tcW w:w="5978" w:type="dxa"/>
            <w:gridSpan w:val="4"/>
            <w:vAlign w:val="center"/>
          </w:tcPr>
          <w:p>
            <w:pPr>
              <w:spacing w:line="460" w:lineRule="exact"/>
              <w:jc w:val="center"/>
              <w:rPr>
                <w:rFonts w:hint="eastAsia" w:ascii="宋体" w:hAnsi="宋体"/>
                <w:sz w:val="21"/>
                <w:szCs w:val="21"/>
              </w:rPr>
            </w:pPr>
            <w:r>
              <w:rPr>
                <w:rFonts w:hint="eastAsia" w:ascii="宋体" w:hAnsi="宋体"/>
                <w:sz w:val="21"/>
                <w:szCs w:val="21"/>
              </w:rPr>
              <w:t>破碎机、磨机、包装机及其它通风生产设备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 w:hRule="atLeast"/>
          <w:jc w:val="center"/>
        </w:trPr>
        <w:tc>
          <w:tcPr>
            <w:tcW w:w="2508" w:type="dxa"/>
            <w:vAlign w:val="center"/>
          </w:tcPr>
          <w:p>
            <w:pPr>
              <w:spacing w:line="460" w:lineRule="exact"/>
              <w:jc w:val="center"/>
              <w:rPr>
                <w:rFonts w:hint="eastAsia" w:ascii="宋体" w:hAnsi="宋体"/>
                <w:sz w:val="21"/>
                <w:szCs w:val="21"/>
              </w:rPr>
            </w:pPr>
            <w:r>
              <w:rPr>
                <w:rFonts w:hint="eastAsia" w:ascii="宋体" w:hAnsi="宋体"/>
                <w:sz w:val="21"/>
                <w:szCs w:val="21"/>
              </w:rPr>
              <w:t>最低允许高度</w:t>
            </w:r>
          </w:p>
        </w:tc>
        <w:tc>
          <w:tcPr>
            <w:tcW w:w="5978" w:type="dxa"/>
            <w:gridSpan w:val="4"/>
            <w:vAlign w:val="center"/>
          </w:tcPr>
          <w:p>
            <w:pPr>
              <w:spacing w:line="460" w:lineRule="exact"/>
              <w:jc w:val="center"/>
              <w:rPr>
                <w:rFonts w:hint="eastAsia" w:ascii="宋体" w:hAnsi="宋体"/>
                <w:sz w:val="21"/>
                <w:szCs w:val="21"/>
              </w:rPr>
            </w:pPr>
            <w:r>
              <w:rPr>
                <w:rFonts w:hint="eastAsia" w:ascii="宋体" w:hAnsi="宋体"/>
                <w:sz w:val="21"/>
                <w:szCs w:val="21"/>
              </w:rPr>
              <w:t>高于本体建筑物3m以上</w:t>
            </w:r>
          </w:p>
        </w:tc>
      </w:tr>
    </w:tbl>
    <w:p>
      <w:pPr>
        <w:spacing w:line="460" w:lineRule="exact"/>
        <w:ind w:firstLine="516"/>
        <w:rPr>
          <w:rFonts w:hint="eastAsia" w:ascii="宋体" w:hAnsi="宋体"/>
        </w:rPr>
      </w:pPr>
    </w:p>
    <w:p>
      <w:pPr>
        <w:spacing w:line="480" w:lineRule="exact"/>
        <w:ind w:firstLine="420" w:firstLineChars="200"/>
        <w:rPr>
          <w:rFonts w:hint="eastAsia" w:ascii="宋体" w:hAnsi="宋体"/>
        </w:rPr>
      </w:pPr>
      <w:r>
        <w:rPr>
          <w:rFonts w:hint="eastAsia" w:ascii="宋体" w:hAnsi="宋体"/>
        </w:rPr>
        <w:t>废水：技改项目排放废水执行《污水综合排放标准》（GB8978-1996，1998年1月1日后的时段）中一级排放标准。相关标准值见表1-7。</w:t>
      </w:r>
    </w:p>
    <w:p>
      <w:pPr>
        <w:spacing w:line="480" w:lineRule="exact"/>
        <w:jc w:val="center"/>
        <w:rPr>
          <w:rFonts w:hint="eastAsia" w:ascii="宋体" w:hAnsi="宋体"/>
          <w:b/>
        </w:rPr>
      </w:pPr>
      <w:r>
        <w:rPr>
          <w:rFonts w:hint="eastAsia" w:ascii="宋体" w:hAnsi="宋体"/>
          <w:b/>
        </w:rPr>
        <w:t>表1-7  污水综合排放标准（</w:t>
      </w:r>
      <w:r>
        <w:rPr>
          <w:rFonts w:ascii="宋体" w:hAnsi="宋体"/>
          <w:b/>
        </w:rPr>
        <w:t>mg/</w:t>
      </w:r>
      <w:r>
        <w:rPr>
          <w:rFonts w:hint="eastAsia" w:ascii="宋体" w:hAnsi="宋体"/>
          <w:b/>
        </w:rPr>
        <w:t xml:space="preserve">L）       </w:t>
      </w:r>
      <w:r>
        <w:rPr>
          <w:rFonts w:hint="eastAsia" w:ascii="宋体" w:hAnsi="宋体"/>
          <w:szCs w:val="21"/>
        </w:rPr>
        <w:t>单位：</w:t>
      </w:r>
      <w:r>
        <w:rPr>
          <w:rFonts w:ascii="宋体" w:hAnsi="宋体"/>
          <w:szCs w:val="21"/>
        </w:rPr>
        <w:t>mg/</w:t>
      </w:r>
      <w:r>
        <w:rPr>
          <w:rFonts w:hint="eastAsia" w:ascii="宋体" w:hAnsi="宋体"/>
          <w:szCs w:val="21"/>
        </w:rPr>
        <w:t>l</w:t>
      </w:r>
    </w:p>
    <w:tbl>
      <w:tblPr>
        <w:tblStyle w:val="21"/>
        <w:tblW w:w="7947" w:type="dxa"/>
        <w:jc w:val="center"/>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193"/>
        <w:gridCol w:w="1193"/>
        <w:gridCol w:w="1194"/>
        <w:gridCol w:w="1193"/>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1980" w:type="dxa"/>
            <w:vAlign w:val="center"/>
          </w:tcPr>
          <w:p>
            <w:pPr>
              <w:spacing w:line="480" w:lineRule="exact"/>
              <w:jc w:val="center"/>
              <w:rPr>
                <w:rFonts w:hint="eastAsia" w:ascii="宋体" w:hAnsi="宋体"/>
                <w:sz w:val="21"/>
                <w:szCs w:val="21"/>
              </w:rPr>
            </w:pPr>
            <w:r>
              <w:rPr>
                <w:rFonts w:hint="eastAsia" w:ascii="宋体" w:hAnsi="宋体"/>
                <w:sz w:val="21"/>
                <w:szCs w:val="21"/>
              </w:rPr>
              <w:t>污染物</w:t>
            </w:r>
          </w:p>
        </w:tc>
        <w:tc>
          <w:tcPr>
            <w:tcW w:w="1193" w:type="dxa"/>
            <w:vAlign w:val="center"/>
          </w:tcPr>
          <w:p>
            <w:pPr>
              <w:spacing w:line="480" w:lineRule="exact"/>
              <w:jc w:val="center"/>
              <w:rPr>
                <w:rFonts w:hint="eastAsia" w:ascii="宋体" w:hAnsi="宋体"/>
                <w:sz w:val="21"/>
                <w:szCs w:val="21"/>
              </w:rPr>
            </w:pPr>
            <w:r>
              <w:rPr>
                <w:rFonts w:hint="eastAsia" w:ascii="宋体" w:hAnsi="宋体"/>
                <w:sz w:val="21"/>
                <w:szCs w:val="21"/>
              </w:rPr>
              <w:t>pH</w:t>
            </w:r>
          </w:p>
        </w:tc>
        <w:tc>
          <w:tcPr>
            <w:tcW w:w="1193" w:type="dxa"/>
            <w:vAlign w:val="center"/>
          </w:tcPr>
          <w:p>
            <w:pPr>
              <w:spacing w:line="480" w:lineRule="exact"/>
              <w:jc w:val="center"/>
              <w:rPr>
                <w:rFonts w:hint="eastAsia" w:ascii="宋体" w:hAnsi="宋体"/>
                <w:sz w:val="21"/>
                <w:szCs w:val="21"/>
              </w:rPr>
            </w:pPr>
            <w:r>
              <w:rPr>
                <w:rFonts w:hint="eastAsia" w:ascii="宋体" w:hAnsi="宋体"/>
                <w:sz w:val="21"/>
                <w:szCs w:val="21"/>
              </w:rPr>
              <w:t>COD</w:t>
            </w:r>
          </w:p>
        </w:tc>
        <w:tc>
          <w:tcPr>
            <w:tcW w:w="1194" w:type="dxa"/>
            <w:vAlign w:val="center"/>
          </w:tcPr>
          <w:p>
            <w:pPr>
              <w:spacing w:line="480" w:lineRule="exact"/>
              <w:jc w:val="center"/>
              <w:rPr>
                <w:rFonts w:hint="eastAsia" w:ascii="宋体" w:hAnsi="宋体"/>
                <w:sz w:val="21"/>
                <w:szCs w:val="21"/>
              </w:rPr>
            </w:pPr>
            <w:r>
              <w:rPr>
                <w:rFonts w:hint="eastAsia" w:ascii="宋体" w:hAnsi="宋体"/>
                <w:sz w:val="21"/>
                <w:szCs w:val="21"/>
              </w:rPr>
              <w:t>SS</w:t>
            </w:r>
          </w:p>
        </w:tc>
        <w:tc>
          <w:tcPr>
            <w:tcW w:w="1193" w:type="dxa"/>
            <w:vAlign w:val="center"/>
          </w:tcPr>
          <w:p>
            <w:pPr>
              <w:spacing w:line="480" w:lineRule="exact"/>
              <w:jc w:val="center"/>
              <w:rPr>
                <w:rFonts w:hint="eastAsia" w:ascii="宋体" w:hAnsi="宋体"/>
                <w:sz w:val="21"/>
                <w:szCs w:val="21"/>
              </w:rPr>
            </w:pPr>
            <w:r>
              <w:rPr>
                <w:rFonts w:hint="eastAsia" w:ascii="宋体" w:hAnsi="宋体"/>
                <w:sz w:val="21"/>
                <w:szCs w:val="21"/>
              </w:rPr>
              <w:t>NH</w:t>
            </w:r>
            <w:r>
              <w:rPr>
                <w:rFonts w:hint="eastAsia" w:ascii="宋体" w:hAnsi="宋体"/>
                <w:sz w:val="21"/>
                <w:szCs w:val="21"/>
                <w:vertAlign w:val="subscript"/>
              </w:rPr>
              <w:t>3</w:t>
            </w:r>
            <w:r>
              <w:rPr>
                <w:rFonts w:hint="eastAsia" w:ascii="宋体" w:hAnsi="宋体"/>
                <w:sz w:val="21"/>
                <w:szCs w:val="21"/>
              </w:rPr>
              <w:t>-N</w:t>
            </w:r>
          </w:p>
        </w:tc>
        <w:tc>
          <w:tcPr>
            <w:tcW w:w="1194" w:type="dxa"/>
            <w:vAlign w:val="center"/>
          </w:tcPr>
          <w:p>
            <w:pPr>
              <w:spacing w:line="480" w:lineRule="exact"/>
              <w:jc w:val="center"/>
              <w:rPr>
                <w:rFonts w:hint="eastAsia" w:ascii="宋体" w:hAnsi="宋体"/>
                <w:sz w:val="21"/>
                <w:szCs w:val="21"/>
              </w:rPr>
            </w:pPr>
            <w:r>
              <w:rPr>
                <w:rFonts w:hint="eastAsia" w:ascii="宋体" w:hAnsi="宋体"/>
                <w:sz w:val="21"/>
                <w:szCs w:val="21"/>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1980" w:type="dxa"/>
            <w:vAlign w:val="center"/>
          </w:tcPr>
          <w:p>
            <w:pPr>
              <w:spacing w:line="480" w:lineRule="exact"/>
              <w:jc w:val="center"/>
              <w:rPr>
                <w:rFonts w:hint="eastAsia" w:ascii="宋体" w:hAnsi="宋体"/>
                <w:sz w:val="21"/>
                <w:szCs w:val="21"/>
              </w:rPr>
            </w:pPr>
            <w:r>
              <w:rPr>
                <w:rFonts w:hint="eastAsia" w:ascii="宋体" w:hAnsi="宋体"/>
                <w:sz w:val="21"/>
                <w:szCs w:val="21"/>
              </w:rPr>
              <w:t>最高允许排放浓度</w:t>
            </w:r>
          </w:p>
        </w:tc>
        <w:tc>
          <w:tcPr>
            <w:tcW w:w="1193" w:type="dxa"/>
            <w:vAlign w:val="center"/>
          </w:tcPr>
          <w:p>
            <w:pPr>
              <w:spacing w:line="480" w:lineRule="exact"/>
              <w:jc w:val="center"/>
              <w:rPr>
                <w:rFonts w:hint="eastAsia" w:ascii="宋体" w:hAnsi="宋体"/>
                <w:sz w:val="21"/>
                <w:szCs w:val="21"/>
              </w:rPr>
            </w:pPr>
            <w:r>
              <w:rPr>
                <w:rFonts w:hint="eastAsia" w:ascii="宋体" w:hAnsi="宋体"/>
                <w:sz w:val="21"/>
                <w:szCs w:val="21"/>
              </w:rPr>
              <w:t>6～9</w:t>
            </w:r>
          </w:p>
        </w:tc>
        <w:tc>
          <w:tcPr>
            <w:tcW w:w="1193" w:type="dxa"/>
            <w:vAlign w:val="center"/>
          </w:tcPr>
          <w:p>
            <w:pPr>
              <w:spacing w:line="480" w:lineRule="exact"/>
              <w:jc w:val="center"/>
              <w:rPr>
                <w:rFonts w:hint="eastAsia" w:ascii="宋体" w:hAnsi="宋体"/>
                <w:sz w:val="21"/>
                <w:szCs w:val="21"/>
              </w:rPr>
            </w:pPr>
            <w:r>
              <w:rPr>
                <w:rFonts w:hint="eastAsia" w:ascii="宋体" w:hAnsi="宋体"/>
                <w:sz w:val="21"/>
                <w:szCs w:val="21"/>
              </w:rPr>
              <w:t>100</w:t>
            </w:r>
          </w:p>
        </w:tc>
        <w:tc>
          <w:tcPr>
            <w:tcW w:w="1194" w:type="dxa"/>
            <w:vAlign w:val="center"/>
          </w:tcPr>
          <w:p>
            <w:pPr>
              <w:spacing w:line="480" w:lineRule="exact"/>
              <w:jc w:val="center"/>
              <w:rPr>
                <w:rFonts w:hint="eastAsia" w:ascii="宋体" w:hAnsi="宋体"/>
                <w:sz w:val="21"/>
                <w:szCs w:val="21"/>
              </w:rPr>
            </w:pPr>
            <w:r>
              <w:rPr>
                <w:rFonts w:hint="eastAsia" w:ascii="宋体" w:hAnsi="宋体"/>
                <w:sz w:val="21"/>
                <w:szCs w:val="21"/>
              </w:rPr>
              <w:t>70</w:t>
            </w:r>
          </w:p>
        </w:tc>
        <w:tc>
          <w:tcPr>
            <w:tcW w:w="1193" w:type="dxa"/>
            <w:vAlign w:val="center"/>
          </w:tcPr>
          <w:p>
            <w:pPr>
              <w:spacing w:line="480" w:lineRule="exact"/>
              <w:jc w:val="center"/>
              <w:rPr>
                <w:rFonts w:hint="eastAsia" w:ascii="宋体" w:hAnsi="宋体"/>
                <w:sz w:val="21"/>
                <w:szCs w:val="21"/>
              </w:rPr>
            </w:pPr>
            <w:r>
              <w:rPr>
                <w:rFonts w:hint="eastAsia" w:ascii="宋体" w:hAnsi="宋体"/>
                <w:sz w:val="21"/>
                <w:szCs w:val="21"/>
              </w:rPr>
              <w:t>15</w:t>
            </w:r>
          </w:p>
        </w:tc>
        <w:tc>
          <w:tcPr>
            <w:tcW w:w="1194" w:type="dxa"/>
            <w:vAlign w:val="center"/>
          </w:tcPr>
          <w:p>
            <w:pPr>
              <w:spacing w:line="480" w:lineRule="exact"/>
              <w:jc w:val="center"/>
              <w:rPr>
                <w:rFonts w:hint="eastAsia" w:ascii="宋体" w:hAnsi="宋体"/>
                <w:sz w:val="21"/>
                <w:szCs w:val="21"/>
              </w:rPr>
            </w:pPr>
            <w:r>
              <w:rPr>
                <w:rFonts w:hint="eastAsia" w:ascii="宋体" w:hAnsi="宋体"/>
                <w:sz w:val="21"/>
                <w:szCs w:val="21"/>
              </w:rPr>
              <w:t>5</w:t>
            </w:r>
          </w:p>
        </w:tc>
      </w:tr>
    </w:tbl>
    <w:p>
      <w:pPr>
        <w:spacing w:line="480" w:lineRule="exact"/>
        <w:ind w:firstLine="420" w:firstLineChars="200"/>
        <w:rPr>
          <w:rFonts w:hint="eastAsia" w:ascii="宋体" w:hAnsi="宋体"/>
        </w:rPr>
      </w:pPr>
    </w:p>
    <w:p>
      <w:pPr>
        <w:spacing w:line="480" w:lineRule="exact"/>
        <w:ind w:firstLine="420" w:firstLineChars="200"/>
        <w:rPr>
          <w:rFonts w:hint="eastAsia" w:ascii="宋体" w:hAnsi="宋体"/>
        </w:rPr>
      </w:pPr>
      <w:r>
        <w:rPr>
          <w:rFonts w:hint="eastAsia" w:ascii="宋体" w:hAnsi="宋体"/>
        </w:rPr>
        <w:t>噪声：厂界执行《工业企业厂界噪声标准》（GB12348-2008）中2类标准，即昼间60</w:t>
      </w:r>
      <w:r>
        <w:rPr>
          <w:rFonts w:ascii="宋体" w:hAnsi="宋体"/>
        </w:rPr>
        <w:t>dB</w:t>
      </w:r>
      <w:r>
        <w:rPr>
          <w:rFonts w:hint="eastAsia" w:ascii="宋体" w:hAnsi="宋体"/>
        </w:rPr>
        <w:t>，夜间50</w:t>
      </w:r>
      <w:r>
        <w:rPr>
          <w:rFonts w:ascii="宋体" w:hAnsi="宋体"/>
        </w:rPr>
        <w:t>dB</w:t>
      </w:r>
      <w:r>
        <w:rPr>
          <w:rFonts w:hint="eastAsia" w:ascii="宋体" w:hAnsi="宋体"/>
        </w:rPr>
        <w:t>。</w:t>
      </w:r>
    </w:p>
    <w:p>
      <w:pPr>
        <w:spacing w:line="480" w:lineRule="exact"/>
        <w:ind w:firstLine="420" w:firstLineChars="200"/>
        <w:rPr>
          <w:rFonts w:hint="eastAsia" w:ascii="宋体" w:hAnsi="宋体"/>
        </w:rPr>
      </w:pPr>
      <w:r>
        <w:rPr>
          <w:rFonts w:hint="eastAsia" w:ascii="宋体" w:hAnsi="宋体"/>
        </w:rPr>
        <w:t>施工噪声执行《建筑施工场界噪声限值》（GB12523-90），与技改项目相关的噪声限值见表1-8。</w:t>
      </w:r>
    </w:p>
    <w:p>
      <w:pPr>
        <w:spacing w:line="480" w:lineRule="exact"/>
        <w:ind w:firstLine="422" w:firstLineChars="200"/>
        <w:jc w:val="center"/>
        <w:rPr>
          <w:rFonts w:ascii="宋体" w:hAnsi="宋体"/>
          <w:b/>
          <w:szCs w:val="21"/>
        </w:rPr>
      </w:pPr>
      <w:r>
        <w:rPr>
          <w:rFonts w:hint="eastAsia" w:ascii="宋体" w:hAnsi="宋体"/>
          <w:b/>
        </w:rPr>
        <w:t xml:space="preserve">表1-8  建筑施工场界噪声限值   </w:t>
      </w:r>
      <w:r>
        <w:rPr>
          <w:rFonts w:ascii="宋体" w:hAnsi="宋体"/>
          <w:b/>
        </w:rPr>
        <w:t xml:space="preserve"> </w:t>
      </w:r>
      <w:r>
        <w:rPr>
          <w:rFonts w:hint="eastAsia" w:ascii="宋体" w:hAnsi="宋体"/>
          <w:b/>
        </w:rPr>
        <w:t>单位：</w:t>
      </w:r>
      <w:r>
        <w:rPr>
          <w:rFonts w:hint="eastAsia" w:ascii="宋体" w:hAnsi="宋体"/>
          <w:b/>
          <w:szCs w:val="21"/>
        </w:rPr>
        <w:t>等效声级</w:t>
      </w:r>
      <w:r>
        <w:rPr>
          <w:rFonts w:ascii="宋体" w:hAnsi="宋体"/>
          <w:b/>
          <w:szCs w:val="21"/>
        </w:rPr>
        <w:t xml:space="preserve"> dB</w:t>
      </w:r>
    </w:p>
    <w:tbl>
      <w:tblPr>
        <w:tblStyle w:val="21"/>
        <w:tblW w:w="7284" w:type="dxa"/>
        <w:jc w:val="center"/>
        <w:tblInd w:w="9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3170"/>
        <w:gridCol w:w="1103"/>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82" w:type="dxa"/>
            <w:vMerge w:val="restart"/>
            <w:vAlign w:val="center"/>
          </w:tcPr>
          <w:p>
            <w:pPr>
              <w:spacing w:line="460" w:lineRule="exact"/>
              <w:jc w:val="center"/>
              <w:rPr>
                <w:rFonts w:hint="eastAsia" w:ascii="宋体" w:hAnsi="宋体"/>
                <w:sz w:val="21"/>
                <w:szCs w:val="21"/>
              </w:rPr>
            </w:pPr>
            <w:r>
              <w:rPr>
                <w:rFonts w:hint="eastAsia" w:ascii="宋体" w:hAnsi="宋体"/>
                <w:sz w:val="21"/>
                <w:szCs w:val="21"/>
              </w:rPr>
              <w:t>施工阶段</w:t>
            </w:r>
          </w:p>
        </w:tc>
        <w:tc>
          <w:tcPr>
            <w:tcW w:w="3170" w:type="dxa"/>
            <w:vMerge w:val="restart"/>
            <w:vAlign w:val="center"/>
          </w:tcPr>
          <w:p>
            <w:pPr>
              <w:spacing w:line="460" w:lineRule="exact"/>
              <w:jc w:val="center"/>
              <w:rPr>
                <w:rFonts w:hint="eastAsia" w:ascii="宋体" w:hAnsi="宋体"/>
                <w:sz w:val="21"/>
                <w:szCs w:val="21"/>
              </w:rPr>
            </w:pPr>
            <w:r>
              <w:rPr>
                <w:rFonts w:hint="eastAsia" w:ascii="宋体" w:hAnsi="宋体"/>
                <w:sz w:val="21"/>
                <w:szCs w:val="21"/>
              </w:rPr>
              <w:t>主 要 噪 声 源</w:t>
            </w:r>
          </w:p>
        </w:tc>
        <w:tc>
          <w:tcPr>
            <w:tcW w:w="2432" w:type="dxa"/>
            <w:gridSpan w:val="2"/>
            <w:vAlign w:val="center"/>
          </w:tcPr>
          <w:p>
            <w:pPr>
              <w:spacing w:line="460" w:lineRule="exact"/>
              <w:jc w:val="center"/>
              <w:rPr>
                <w:rFonts w:hint="eastAsia" w:ascii="宋体" w:hAnsi="宋体"/>
                <w:sz w:val="21"/>
                <w:szCs w:val="21"/>
              </w:rPr>
            </w:pPr>
            <w:r>
              <w:rPr>
                <w:rFonts w:hint="eastAsia" w:ascii="宋体" w:hAnsi="宋体"/>
                <w:sz w:val="21"/>
                <w:szCs w:val="21"/>
              </w:rPr>
              <w:t>噪声限值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82" w:type="dxa"/>
            <w:vMerge w:val="continue"/>
            <w:vAlign w:val="center"/>
          </w:tcPr>
          <w:p>
            <w:pPr>
              <w:spacing w:line="460" w:lineRule="exact"/>
              <w:jc w:val="center"/>
              <w:rPr>
                <w:rFonts w:hint="eastAsia" w:ascii="宋体" w:hAnsi="宋体"/>
                <w:sz w:val="21"/>
                <w:szCs w:val="21"/>
              </w:rPr>
            </w:pPr>
          </w:p>
        </w:tc>
        <w:tc>
          <w:tcPr>
            <w:tcW w:w="3170" w:type="dxa"/>
            <w:vMerge w:val="continue"/>
            <w:vAlign w:val="center"/>
          </w:tcPr>
          <w:p>
            <w:pPr>
              <w:spacing w:line="460" w:lineRule="exact"/>
              <w:jc w:val="center"/>
              <w:rPr>
                <w:rFonts w:hint="eastAsia" w:ascii="宋体" w:hAnsi="宋体"/>
                <w:sz w:val="21"/>
                <w:szCs w:val="21"/>
              </w:rPr>
            </w:pPr>
          </w:p>
        </w:tc>
        <w:tc>
          <w:tcPr>
            <w:tcW w:w="1103" w:type="dxa"/>
            <w:vAlign w:val="center"/>
          </w:tcPr>
          <w:p>
            <w:pPr>
              <w:spacing w:line="460" w:lineRule="exact"/>
              <w:jc w:val="center"/>
              <w:rPr>
                <w:rFonts w:hint="eastAsia" w:ascii="宋体" w:hAnsi="宋体"/>
                <w:sz w:val="21"/>
                <w:szCs w:val="21"/>
              </w:rPr>
            </w:pPr>
            <w:r>
              <w:rPr>
                <w:rFonts w:hint="eastAsia" w:ascii="宋体" w:hAnsi="宋体"/>
                <w:sz w:val="21"/>
                <w:szCs w:val="21"/>
              </w:rPr>
              <w:t>昼间</w:t>
            </w:r>
          </w:p>
        </w:tc>
        <w:tc>
          <w:tcPr>
            <w:tcW w:w="1329" w:type="dxa"/>
            <w:vAlign w:val="center"/>
          </w:tcPr>
          <w:p>
            <w:pPr>
              <w:spacing w:line="460" w:lineRule="exact"/>
              <w:jc w:val="center"/>
              <w:rPr>
                <w:rFonts w:hint="eastAsia" w:ascii="宋体" w:hAnsi="宋体"/>
                <w:sz w:val="21"/>
                <w:szCs w:val="21"/>
              </w:rPr>
            </w:pPr>
            <w:r>
              <w:rPr>
                <w:rFonts w:hint="eastAsia" w:ascii="宋体" w:hAnsi="宋体"/>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2" w:type="dxa"/>
            <w:vAlign w:val="center"/>
          </w:tcPr>
          <w:p>
            <w:pPr>
              <w:spacing w:line="460" w:lineRule="exact"/>
              <w:jc w:val="center"/>
              <w:rPr>
                <w:rFonts w:hint="eastAsia" w:ascii="宋体" w:hAnsi="宋体"/>
                <w:sz w:val="21"/>
                <w:szCs w:val="21"/>
              </w:rPr>
            </w:pPr>
            <w:r>
              <w:rPr>
                <w:rFonts w:hint="eastAsia" w:ascii="宋体" w:hAnsi="宋体"/>
                <w:sz w:val="21"/>
                <w:szCs w:val="21"/>
              </w:rPr>
              <w:t>土石方</w:t>
            </w:r>
          </w:p>
        </w:tc>
        <w:tc>
          <w:tcPr>
            <w:tcW w:w="3170" w:type="dxa"/>
            <w:vAlign w:val="center"/>
          </w:tcPr>
          <w:p>
            <w:pPr>
              <w:spacing w:line="460" w:lineRule="exact"/>
              <w:jc w:val="center"/>
              <w:rPr>
                <w:rFonts w:hint="eastAsia" w:ascii="宋体" w:hAnsi="宋体"/>
                <w:sz w:val="21"/>
                <w:szCs w:val="21"/>
              </w:rPr>
            </w:pPr>
            <w:r>
              <w:rPr>
                <w:rFonts w:hint="eastAsia" w:ascii="宋体" w:hAnsi="宋体"/>
                <w:sz w:val="21"/>
                <w:szCs w:val="21"/>
              </w:rPr>
              <w:t>推土机、挖掘机、装载机等</w:t>
            </w:r>
          </w:p>
        </w:tc>
        <w:tc>
          <w:tcPr>
            <w:tcW w:w="1103" w:type="dxa"/>
            <w:vAlign w:val="center"/>
          </w:tcPr>
          <w:p>
            <w:pPr>
              <w:spacing w:line="460" w:lineRule="exact"/>
              <w:jc w:val="center"/>
              <w:rPr>
                <w:rFonts w:hint="eastAsia" w:ascii="宋体" w:hAnsi="宋体"/>
                <w:sz w:val="21"/>
                <w:szCs w:val="21"/>
              </w:rPr>
            </w:pPr>
            <w:r>
              <w:rPr>
                <w:rFonts w:hint="eastAsia" w:ascii="宋体" w:hAnsi="宋体"/>
                <w:sz w:val="21"/>
                <w:szCs w:val="21"/>
              </w:rPr>
              <w:t>75</w:t>
            </w:r>
          </w:p>
        </w:tc>
        <w:tc>
          <w:tcPr>
            <w:tcW w:w="1329" w:type="dxa"/>
            <w:vAlign w:val="center"/>
          </w:tcPr>
          <w:p>
            <w:pPr>
              <w:spacing w:line="460" w:lineRule="exact"/>
              <w:jc w:val="center"/>
              <w:rPr>
                <w:rFonts w:hint="eastAsia" w:ascii="宋体" w:hAnsi="宋体"/>
                <w:sz w:val="21"/>
                <w:szCs w:val="21"/>
              </w:rPr>
            </w:pPr>
            <w:r>
              <w:rPr>
                <w:rFonts w:hint="eastAsia" w:ascii="宋体" w:hAnsi="宋体"/>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2" w:type="dxa"/>
            <w:vAlign w:val="center"/>
          </w:tcPr>
          <w:p>
            <w:pPr>
              <w:spacing w:line="460" w:lineRule="exact"/>
              <w:jc w:val="center"/>
              <w:rPr>
                <w:rFonts w:hint="eastAsia" w:ascii="宋体" w:hAnsi="宋体"/>
                <w:sz w:val="21"/>
                <w:szCs w:val="21"/>
              </w:rPr>
            </w:pPr>
            <w:r>
              <w:rPr>
                <w:rFonts w:hint="eastAsia" w:ascii="宋体" w:hAnsi="宋体"/>
                <w:sz w:val="21"/>
                <w:szCs w:val="21"/>
              </w:rPr>
              <w:t>打  桩</w:t>
            </w:r>
          </w:p>
        </w:tc>
        <w:tc>
          <w:tcPr>
            <w:tcW w:w="3170" w:type="dxa"/>
            <w:vAlign w:val="center"/>
          </w:tcPr>
          <w:p>
            <w:pPr>
              <w:spacing w:line="460" w:lineRule="exact"/>
              <w:jc w:val="center"/>
              <w:rPr>
                <w:rFonts w:hint="eastAsia" w:ascii="宋体" w:hAnsi="宋体"/>
                <w:sz w:val="21"/>
                <w:szCs w:val="21"/>
              </w:rPr>
            </w:pPr>
            <w:r>
              <w:rPr>
                <w:rFonts w:hint="eastAsia" w:ascii="宋体" w:hAnsi="宋体"/>
                <w:sz w:val="21"/>
                <w:szCs w:val="21"/>
              </w:rPr>
              <w:t>各种打桩机等</w:t>
            </w:r>
          </w:p>
        </w:tc>
        <w:tc>
          <w:tcPr>
            <w:tcW w:w="1103" w:type="dxa"/>
            <w:vAlign w:val="center"/>
          </w:tcPr>
          <w:p>
            <w:pPr>
              <w:spacing w:line="460" w:lineRule="exact"/>
              <w:jc w:val="center"/>
              <w:rPr>
                <w:rFonts w:hint="eastAsia" w:ascii="宋体" w:hAnsi="宋体"/>
                <w:sz w:val="21"/>
                <w:szCs w:val="21"/>
              </w:rPr>
            </w:pPr>
            <w:r>
              <w:rPr>
                <w:rFonts w:hint="eastAsia" w:ascii="宋体" w:hAnsi="宋体"/>
                <w:sz w:val="21"/>
                <w:szCs w:val="21"/>
              </w:rPr>
              <w:t>85</w:t>
            </w:r>
          </w:p>
        </w:tc>
        <w:tc>
          <w:tcPr>
            <w:tcW w:w="1329" w:type="dxa"/>
            <w:vAlign w:val="center"/>
          </w:tcPr>
          <w:p>
            <w:pPr>
              <w:spacing w:line="460" w:lineRule="exact"/>
              <w:jc w:val="center"/>
              <w:rPr>
                <w:rFonts w:hint="eastAsia" w:ascii="宋体" w:hAnsi="宋体"/>
                <w:sz w:val="21"/>
                <w:szCs w:val="21"/>
              </w:rPr>
            </w:pPr>
            <w:r>
              <w:rPr>
                <w:rFonts w:hint="eastAsia" w:ascii="宋体" w:hAnsi="宋体"/>
                <w:sz w:val="21"/>
                <w:szCs w:val="21"/>
              </w:rPr>
              <w:t>禁止施工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2" w:type="dxa"/>
            <w:vAlign w:val="center"/>
          </w:tcPr>
          <w:p>
            <w:pPr>
              <w:spacing w:line="460" w:lineRule="exact"/>
              <w:jc w:val="center"/>
              <w:rPr>
                <w:rFonts w:hint="eastAsia" w:ascii="宋体" w:hAnsi="宋体"/>
                <w:sz w:val="21"/>
                <w:szCs w:val="21"/>
              </w:rPr>
            </w:pPr>
            <w:r>
              <w:rPr>
                <w:rFonts w:hint="eastAsia" w:ascii="宋体" w:hAnsi="宋体"/>
                <w:sz w:val="21"/>
                <w:szCs w:val="21"/>
              </w:rPr>
              <w:t>结  构</w:t>
            </w:r>
          </w:p>
        </w:tc>
        <w:tc>
          <w:tcPr>
            <w:tcW w:w="3170" w:type="dxa"/>
            <w:vAlign w:val="center"/>
          </w:tcPr>
          <w:p>
            <w:pPr>
              <w:spacing w:line="460" w:lineRule="exact"/>
              <w:jc w:val="center"/>
              <w:rPr>
                <w:rFonts w:hint="eastAsia" w:ascii="宋体" w:hAnsi="宋体"/>
                <w:sz w:val="21"/>
                <w:szCs w:val="21"/>
              </w:rPr>
            </w:pPr>
            <w:r>
              <w:rPr>
                <w:rFonts w:hint="eastAsia" w:ascii="宋体" w:hAnsi="宋体"/>
                <w:sz w:val="21"/>
                <w:szCs w:val="21"/>
              </w:rPr>
              <w:t>振捣棒、电锯等</w:t>
            </w:r>
          </w:p>
        </w:tc>
        <w:tc>
          <w:tcPr>
            <w:tcW w:w="1103" w:type="dxa"/>
            <w:vAlign w:val="center"/>
          </w:tcPr>
          <w:p>
            <w:pPr>
              <w:spacing w:line="460" w:lineRule="exact"/>
              <w:jc w:val="center"/>
              <w:rPr>
                <w:rFonts w:hint="eastAsia" w:ascii="宋体" w:hAnsi="宋体"/>
                <w:sz w:val="21"/>
                <w:szCs w:val="21"/>
              </w:rPr>
            </w:pPr>
            <w:r>
              <w:rPr>
                <w:rFonts w:hint="eastAsia" w:ascii="宋体" w:hAnsi="宋体"/>
                <w:sz w:val="21"/>
                <w:szCs w:val="21"/>
              </w:rPr>
              <w:t>70</w:t>
            </w:r>
          </w:p>
        </w:tc>
        <w:tc>
          <w:tcPr>
            <w:tcW w:w="1329" w:type="dxa"/>
            <w:vAlign w:val="center"/>
          </w:tcPr>
          <w:p>
            <w:pPr>
              <w:spacing w:line="460" w:lineRule="exact"/>
              <w:jc w:val="center"/>
              <w:rPr>
                <w:rFonts w:hint="eastAsia" w:ascii="宋体" w:hAnsi="宋体"/>
                <w:sz w:val="21"/>
                <w:szCs w:val="21"/>
              </w:rPr>
            </w:pPr>
            <w:r>
              <w:rPr>
                <w:rFonts w:hint="eastAsia" w:ascii="宋体" w:hAnsi="宋体"/>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2" w:type="dxa"/>
            <w:vAlign w:val="center"/>
          </w:tcPr>
          <w:p>
            <w:pPr>
              <w:spacing w:line="460" w:lineRule="exact"/>
              <w:jc w:val="center"/>
              <w:rPr>
                <w:rFonts w:hint="eastAsia" w:ascii="宋体" w:hAnsi="宋体"/>
                <w:sz w:val="21"/>
                <w:szCs w:val="21"/>
              </w:rPr>
            </w:pPr>
            <w:r>
              <w:rPr>
                <w:rFonts w:hint="eastAsia" w:ascii="宋体" w:hAnsi="宋体"/>
                <w:sz w:val="21"/>
                <w:szCs w:val="21"/>
              </w:rPr>
              <w:t>装  修</w:t>
            </w:r>
          </w:p>
        </w:tc>
        <w:tc>
          <w:tcPr>
            <w:tcW w:w="3170" w:type="dxa"/>
            <w:vAlign w:val="center"/>
          </w:tcPr>
          <w:p>
            <w:pPr>
              <w:spacing w:line="460" w:lineRule="exact"/>
              <w:jc w:val="center"/>
              <w:rPr>
                <w:rFonts w:hint="eastAsia" w:ascii="宋体" w:hAnsi="宋体"/>
                <w:sz w:val="21"/>
                <w:szCs w:val="21"/>
              </w:rPr>
            </w:pPr>
            <w:r>
              <w:rPr>
                <w:rFonts w:hint="eastAsia" w:ascii="宋体" w:hAnsi="宋体"/>
                <w:sz w:val="21"/>
                <w:szCs w:val="21"/>
              </w:rPr>
              <w:t>吊车、升降机等</w:t>
            </w:r>
          </w:p>
        </w:tc>
        <w:tc>
          <w:tcPr>
            <w:tcW w:w="1103" w:type="dxa"/>
            <w:vAlign w:val="center"/>
          </w:tcPr>
          <w:p>
            <w:pPr>
              <w:spacing w:line="460" w:lineRule="exact"/>
              <w:jc w:val="center"/>
              <w:rPr>
                <w:rFonts w:hint="eastAsia" w:ascii="宋体" w:hAnsi="宋体"/>
                <w:sz w:val="21"/>
                <w:szCs w:val="21"/>
              </w:rPr>
            </w:pPr>
            <w:r>
              <w:rPr>
                <w:rFonts w:hint="eastAsia" w:ascii="宋体" w:hAnsi="宋体"/>
                <w:sz w:val="21"/>
                <w:szCs w:val="21"/>
              </w:rPr>
              <w:t>65</w:t>
            </w:r>
          </w:p>
        </w:tc>
        <w:tc>
          <w:tcPr>
            <w:tcW w:w="1329" w:type="dxa"/>
            <w:vAlign w:val="center"/>
          </w:tcPr>
          <w:p>
            <w:pPr>
              <w:spacing w:line="460" w:lineRule="exact"/>
              <w:jc w:val="center"/>
              <w:rPr>
                <w:rFonts w:hint="eastAsia" w:ascii="宋体" w:hAnsi="宋体"/>
                <w:sz w:val="21"/>
                <w:szCs w:val="21"/>
              </w:rPr>
            </w:pPr>
            <w:r>
              <w:rPr>
                <w:rFonts w:hint="eastAsia" w:ascii="宋体" w:hAnsi="宋体"/>
                <w:sz w:val="21"/>
                <w:szCs w:val="21"/>
              </w:rPr>
              <w:t>55</w:t>
            </w:r>
          </w:p>
        </w:tc>
      </w:tr>
    </w:tbl>
    <w:p>
      <w:pPr>
        <w:spacing w:line="480" w:lineRule="exact"/>
        <w:ind w:firstLine="420" w:firstLineChars="200"/>
        <w:rPr>
          <w:rFonts w:hint="eastAsia" w:ascii="宋体" w:hAnsi="宋体"/>
        </w:rPr>
      </w:pPr>
    </w:p>
    <w:p>
      <w:pPr>
        <w:spacing w:line="480" w:lineRule="exact"/>
        <w:ind w:firstLine="420" w:firstLineChars="200"/>
        <w:rPr>
          <w:rFonts w:hint="eastAsia" w:ascii="宋体" w:hAnsi="宋体"/>
        </w:rPr>
      </w:pPr>
      <w:r>
        <w:rPr>
          <w:rFonts w:hint="eastAsia" w:ascii="宋体" w:hAnsi="宋体"/>
        </w:rPr>
        <w:t>固体废物：执行《一般工业固体废物贮存、处置场污染控制标准》（GB18599-2001）。</w:t>
      </w:r>
    </w:p>
    <w:p>
      <w:pPr>
        <w:spacing w:before="24" w:beforeLines="10" w:after="24" w:afterLines="10" w:line="360" w:lineRule="auto"/>
        <w:outlineLvl w:val="1"/>
        <w:rPr>
          <w:rFonts w:hint="eastAsia"/>
          <w:b/>
        </w:rPr>
      </w:pPr>
      <w:bookmarkStart w:id="23" w:name="_Toc189814123"/>
      <w:bookmarkStart w:id="24" w:name="_Toc473281481"/>
      <w:bookmarkStart w:id="25" w:name="_Toc175479777"/>
    </w:p>
    <w:p>
      <w:pPr>
        <w:spacing w:before="24" w:beforeLines="10" w:after="24" w:afterLines="10" w:line="360" w:lineRule="auto"/>
        <w:outlineLvl w:val="1"/>
        <w:rPr>
          <w:rFonts w:hint="eastAsia"/>
          <w:b/>
        </w:rPr>
      </w:pPr>
      <w:bookmarkStart w:id="26" w:name="_Toc276372216"/>
      <w:r>
        <w:rPr>
          <w:rFonts w:hint="eastAsia"/>
          <w:b/>
        </w:rPr>
        <w:t>1</w:t>
      </w:r>
      <w:r>
        <w:rPr>
          <w:b/>
        </w:rPr>
        <w:t>.</w:t>
      </w:r>
      <w:bookmarkEnd w:id="23"/>
      <w:bookmarkEnd w:id="24"/>
      <w:bookmarkEnd w:id="25"/>
      <w:bookmarkStart w:id="27" w:name="_Toc109139972"/>
      <w:bookmarkStart w:id="28" w:name="_Toc175479778"/>
      <w:bookmarkStart w:id="29" w:name="_Toc473281482"/>
      <w:bookmarkStart w:id="30" w:name="_Toc189814124"/>
      <w:r>
        <w:rPr>
          <w:rFonts w:hint="eastAsia"/>
          <w:b/>
        </w:rPr>
        <w:t>6 评价等级</w:t>
      </w:r>
      <w:bookmarkEnd w:id="26"/>
      <w:bookmarkEnd w:id="27"/>
      <w:bookmarkEnd w:id="28"/>
      <w:bookmarkEnd w:id="29"/>
      <w:bookmarkEnd w:id="30"/>
    </w:p>
    <w:p>
      <w:pPr>
        <w:spacing w:before="24" w:beforeLines="10" w:after="24" w:afterLines="10" w:line="360" w:lineRule="auto"/>
        <w:rPr>
          <w:rFonts w:hint="eastAsia"/>
          <w:b/>
        </w:rPr>
      </w:pPr>
      <w:r>
        <w:rPr>
          <w:rFonts w:hint="eastAsia"/>
          <w:b/>
        </w:rPr>
        <w:t>1.6.1 大气</w:t>
      </w:r>
    </w:p>
    <w:p>
      <w:pPr>
        <w:spacing w:line="360" w:lineRule="auto"/>
        <w:ind w:firstLine="420" w:firstLineChars="200"/>
        <w:rPr>
          <w:rFonts w:hint="eastAsia"/>
        </w:rPr>
      </w:pPr>
      <w:r>
        <w:t>根据《环境影响评价技术导则大气环境》（HJ/T 2.2－</w:t>
      </w:r>
      <w:r>
        <w:rPr>
          <w:rFonts w:hint="eastAsia"/>
        </w:rPr>
        <w:t>2008</w:t>
      </w:r>
      <w:r>
        <w:t>），</w:t>
      </w:r>
      <w:r>
        <w:rPr>
          <w:rFonts w:hint="eastAsia"/>
        </w:rPr>
        <w:t>大气评价等级的确定需计算</w:t>
      </w:r>
      <w:r>
        <w:t>大气污染物</w:t>
      </w:r>
      <w:r>
        <w:rPr>
          <w:rFonts w:hint="eastAsia"/>
        </w:rPr>
        <w:t>i</w:t>
      </w:r>
      <w:r>
        <w:t>的</w:t>
      </w:r>
      <w:r>
        <w:rPr>
          <w:rFonts w:hint="eastAsia"/>
        </w:rPr>
        <w:t>最大地面浓度占标率</w:t>
      </w:r>
      <w:r>
        <w:t>P</w:t>
      </w:r>
      <w:r>
        <w:rPr>
          <w:vertAlign w:val="subscript"/>
        </w:rPr>
        <w:t>i</w:t>
      </w:r>
      <w:r>
        <w:rPr>
          <w:rFonts w:hint="eastAsia"/>
        </w:rPr>
        <w:t>（第i污染物），及</w:t>
      </w:r>
      <w:r>
        <w:t>大气污染物</w:t>
      </w:r>
      <w:r>
        <w:rPr>
          <w:rFonts w:hint="eastAsia"/>
        </w:rPr>
        <w:t>i地面浓度达标准限值10%时所对应的最远距离D</w:t>
      </w:r>
      <w:r>
        <w:rPr>
          <w:rFonts w:hint="eastAsia"/>
          <w:vertAlign w:val="subscript"/>
        </w:rPr>
        <w:t>10%</w:t>
      </w:r>
      <w:r>
        <w:rPr>
          <w:rFonts w:hint="eastAsia"/>
        </w:rPr>
        <w:t>，其中</w:t>
      </w:r>
      <w:r>
        <w:t>P</w:t>
      </w:r>
      <w:r>
        <w:rPr>
          <w:vertAlign w:val="subscript"/>
        </w:rPr>
        <w:t>i</w:t>
      </w:r>
      <w:r>
        <w:t>定义如下</w:t>
      </w:r>
      <w:r>
        <w:rPr>
          <w:rFonts w:hint="eastAsia"/>
        </w:rPr>
        <w:t>：</w:t>
      </w:r>
    </w:p>
    <w:p>
      <w:pPr>
        <w:spacing w:line="360" w:lineRule="auto"/>
        <w:jc w:val="center"/>
        <w:rPr>
          <w:rFonts w:hint="eastAsia"/>
        </w:rPr>
      </w:pPr>
      <w:r>
        <w:t>P</w:t>
      </w:r>
      <w:r>
        <w:rPr>
          <w:vertAlign w:val="subscript"/>
        </w:rPr>
        <w:t>i</w:t>
      </w:r>
      <w:r>
        <w:t>=</w:t>
      </w:r>
      <w:r>
        <w:rPr>
          <w:rFonts w:hint="eastAsia"/>
        </w:rPr>
        <w:t>C</w:t>
      </w:r>
      <w:r>
        <w:rPr>
          <w:vertAlign w:val="subscript"/>
        </w:rPr>
        <w:t>i</w:t>
      </w:r>
      <w:r>
        <w:t>/C</w:t>
      </w:r>
      <w:r>
        <w:rPr>
          <w:vertAlign w:val="subscript"/>
        </w:rPr>
        <w:t>0i</w:t>
      </w:r>
      <w:r>
        <w:rPr>
          <w:rFonts w:hint="eastAsia" w:ascii="宋体" w:hAnsi="宋体"/>
        </w:rPr>
        <w:t>×</w:t>
      </w:r>
      <w:r>
        <w:t>10</w:t>
      </w:r>
      <w:r>
        <w:rPr>
          <w:rFonts w:hint="eastAsia"/>
        </w:rPr>
        <w:t>0</w:t>
      </w:r>
    </w:p>
    <w:p>
      <w:pPr>
        <w:spacing w:line="360" w:lineRule="auto"/>
        <w:ind w:firstLine="420" w:firstLineChars="200"/>
      </w:pPr>
      <w:r>
        <w:t>式中，P</w:t>
      </w:r>
      <w:r>
        <w:rPr>
          <w:vertAlign w:val="subscript"/>
        </w:rPr>
        <w:t>i</w:t>
      </w:r>
      <w:r>
        <w:t>：第i个污染物的</w:t>
      </w:r>
      <w:r>
        <w:rPr>
          <w:rFonts w:hint="eastAsia"/>
        </w:rPr>
        <w:t>最大地面浓度占标率，%</w:t>
      </w:r>
      <w:r>
        <w:t>；</w:t>
      </w:r>
    </w:p>
    <w:p>
      <w:pPr>
        <w:spacing w:line="360" w:lineRule="auto"/>
        <w:ind w:firstLine="1050" w:firstLineChars="500"/>
      </w:pPr>
      <w:r>
        <w:rPr>
          <w:rFonts w:hint="eastAsia"/>
        </w:rPr>
        <w:t>C</w:t>
      </w:r>
      <w:r>
        <w:rPr>
          <w:vertAlign w:val="subscript"/>
        </w:rPr>
        <w:t>i</w:t>
      </w:r>
      <w:r>
        <w:t>：</w:t>
      </w:r>
      <w:r>
        <w:rPr>
          <w:rFonts w:hint="eastAsia"/>
        </w:rPr>
        <w:t>采用估算模式计算出的</w:t>
      </w:r>
      <w:r>
        <w:t>第i个污染物</w:t>
      </w:r>
      <w:r>
        <w:rPr>
          <w:rFonts w:hint="eastAsia"/>
        </w:rPr>
        <w:t>的最大地面浓度</w:t>
      </w:r>
      <w:r>
        <w:t>，</w:t>
      </w:r>
      <w:r>
        <w:rPr>
          <w:rFonts w:hint="eastAsia"/>
        </w:rPr>
        <w:t>mg/m</w:t>
      </w:r>
      <w:r>
        <w:rPr>
          <w:rFonts w:hint="eastAsia"/>
          <w:vertAlign w:val="superscript"/>
        </w:rPr>
        <w:t>3</w:t>
      </w:r>
      <w:r>
        <w:t>；</w:t>
      </w:r>
    </w:p>
    <w:p>
      <w:pPr>
        <w:spacing w:line="360" w:lineRule="auto"/>
        <w:ind w:firstLine="1050" w:firstLineChars="500"/>
        <w:rPr>
          <w:rFonts w:hint="eastAsia"/>
        </w:rPr>
      </w:pPr>
      <w:r>
        <w:t>C</w:t>
      </w:r>
      <w:r>
        <w:rPr>
          <w:vertAlign w:val="subscript"/>
        </w:rPr>
        <w:t>0i</w:t>
      </w:r>
      <w:r>
        <w:t>：第i个污染物大气环境质量标准（一小时浓度值mg/m</w:t>
      </w:r>
      <w:r>
        <w:rPr>
          <w:vertAlign w:val="superscript"/>
        </w:rPr>
        <w:t>3</w:t>
      </w:r>
      <w:r>
        <w:t>）。</w:t>
      </w:r>
    </w:p>
    <w:p>
      <w:pPr>
        <w:pStyle w:val="26"/>
        <w:ind w:firstLine="480"/>
        <w:rPr>
          <w:rFonts w:hint="eastAsia"/>
        </w:rPr>
      </w:pPr>
      <w:r>
        <w:rPr>
          <w:rFonts w:hint="eastAsia"/>
        </w:rPr>
        <w:t>评价工作等级的判定依据见表1-9。</w:t>
      </w:r>
    </w:p>
    <w:p>
      <w:pPr>
        <w:pStyle w:val="26"/>
        <w:ind w:firstLine="480"/>
        <w:rPr>
          <w:rFonts w:hint="eastAsia"/>
        </w:rPr>
      </w:pPr>
    </w:p>
    <w:p>
      <w:pPr>
        <w:pStyle w:val="26"/>
        <w:ind w:firstLine="480"/>
        <w:rPr>
          <w:rFonts w:hint="eastAsia"/>
        </w:rPr>
      </w:pPr>
    </w:p>
    <w:p>
      <w:pPr>
        <w:pStyle w:val="26"/>
        <w:ind w:firstLine="480"/>
        <w:rPr>
          <w:rFonts w:hint="eastAsia"/>
        </w:rPr>
      </w:pPr>
    </w:p>
    <w:p>
      <w:pPr>
        <w:pStyle w:val="27"/>
        <w:rPr>
          <w:rFonts w:hint="eastAsia" w:ascii="宋体" w:hAnsi="宋体" w:eastAsia="宋体"/>
          <w:b/>
          <w:sz w:val="24"/>
          <w:szCs w:val="24"/>
        </w:rPr>
      </w:pPr>
      <w:r>
        <w:rPr>
          <w:rFonts w:hint="eastAsia" w:ascii="宋体" w:hAnsi="宋体" w:eastAsia="宋体"/>
          <w:b/>
          <w:sz w:val="24"/>
          <w:szCs w:val="24"/>
        </w:rPr>
        <w:t>表1-9   评价工作等级</w:t>
      </w:r>
    </w:p>
    <w:tbl>
      <w:tblPr>
        <w:tblStyle w:val="21"/>
        <w:tblW w:w="9286"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063"/>
        <w:gridCol w:w="622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3063" w:type="dxa"/>
            <w:vAlign w:val="top"/>
          </w:tcPr>
          <w:p>
            <w:pPr>
              <w:adjustRightInd w:val="0"/>
              <w:snapToGrid w:val="0"/>
              <w:ind w:firstLine="360"/>
              <w:rPr>
                <w:szCs w:val="21"/>
              </w:rPr>
            </w:pPr>
            <w:r>
              <w:rPr>
                <w:szCs w:val="21"/>
              </w:rPr>
              <w:t>评价工作等级</w:t>
            </w:r>
          </w:p>
        </w:tc>
        <w:tc>
          <w:tcPr>
            <w:tcW w:w="6223" w:type="dxa"/>
            <w:vAlign w:val="top"/>
          </w:tcPr>
          <w:p>
            <w:pPr>
              <w:adjustRightInd w:val="0"/>
              <w:snapToGrid w:val="0"/>
              <w:ind w:firstLine="360"/>
              <w:rPr>
                <w:szCs w:val="21"/>
              </w:rPr>
            </w:pPr>
            <w:r>
              <w:rPr>
                <w:szCs w:val="21"/>
              </w:rPr>
              <w:t>评价工作等级判据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3063" w:type="dxa"/>
            <w:vAlign w:val="top"/>
          </w:tcPr>
          <w:p>
            <w:pPr>
              <w:adjustRightInd w:val="0"/>
              <w:snapToGrid w:val="0"/>
              <w:ind w:firstLine="360"/>
              <w:rPr>
                <w:szCs w:val="21"/>
              </w:rPr>
            </w:pPr>
            <w:r>
              <w:rPr>
                <w:szCs w:val="21"/>
              </w:rPr>
              <w:t>一级</w:t>
            </w:r>
          </w:p>
        </w:tc>
        <w:tc>
          <w:tcPr>
            <w:tcW w:w="6223" w:type="dxa"/>
            <w:vAlign w:val="top"/>
          </w:tcPr>
          <w:p>
            <w:pPr>
              <w:adjustRightInd w:val="0"/>
              <w:snapToGrid w:val="0"/>
              <w:ind w:firstLine="360"/>
              <w:rPr>
                <w:szCs w:val="21"/>
              </w:rPr>
            </w:pPr>
            <w:r>
              <w:rPr>
                <w:szCs w:val="21"/>
              </w:rPr>
              <w:t>Pmax≥80%，且D</w:t>
            </w:r>
            <w:r>
              <w:rPr>
                <w:szCs w:val="21"/>
                <w:vertAlign w:val="subscript"/>
              </w:rPr>
              <w:t>10%</w:t>
            </w:r>
            <w:r>
              <w:rPr>
                <w:szCs w:val="21"/>
              </w:rPr>
              <w:t>≥5km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3063" w:type="dxa"/>
            <w:vAlign w:val="top"/>
          </w:tcPr>
          <w:p>
            <w:pPr>
              <w:adjustRightInd w:val="0"/>
              <w:snapToGrid w:val="0"/>
              <w:ind w:firstLine="360"/>
              <w:rPr>
                <w:szCs w:val="21"/>
              </w:rPr>
            </w:pPr>
            <w:r>
              <w:rPr>
                <w:szCs w:val="21"/>
              </w:rPr>
              <w:t>二级</w:t>
            </w:r>
          </w:p>
        </w:tc>
        <w:tc>
          <w:tcPr>
            <w:tcW w:w="6223" w:type="dxa"/>
            <w:vAlign w:val="top"/>
          </w:tcPr>
          <w:p>
            <w:pPr>
              <w:adjustRightInd w:val="0"/>
              <w:snapToGrid w:val="0"/>
              <w:ind w:firstLine="360"/>
              <w:rPr>
                <w:szCs w:val="21"/>
              </w:rPr>
            </w:pPr>
            <w:r>
              <w:rPr>
                <w:szCs w:val="21"/>
              </w:rPr>
              <w:t>其他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3063" w:type="dxa"/>
            <w:vAlign w:val="top"/>
          </w:tcPr>
          <w:p>
            <w:pPr>
              <w:adjustRightInd w:val="0"/>
              <w:snapToGrid w:val="0"/>
              <w:ind w:firstLine="360"/>
              <w:rPr>
                <w:szCs w:val="21"/>
              </w:rPr>
            </w:pPr>
            <w:r>
              <w:rPr>
                <w:szCs w:val="21"/>
              </w:rPr>
              <w:t>三级</w:t>
            </w:r>
          </w:p>
        </w:tc>
        <w:tc>
          <w:tcPr>
            <w:tcW w:w="6223" w:type="dxa"/>
            <w:vAlign w:val="top"/>
          </w:tcPr>
          <w:p>
            <w:pPr>
              <w:adjustRightInd w:val="0"/>
              <w:snapToGrid w:val="0"/>
              <w:ind w:firstLine="360"/>
              <w:rPr>
                <w:szCs w:val="21"/>
              </w:rPr>
            </w:pPr>
            <w:r>
              <w:rPr>
                <w:szCs w:val="21"/>
              </w:rPr>
              <w:t>Pmax&lt;10%或D</w:t>
            </w:r>
            <w:r>
              <w:rPr>
                <w:szCs w:val="21"/>
                <w:vertAlign w:val="subscript"/>
              </w:rPr>
              <w:t>10%</w:t>
            </w:r>
            <w:r>
              <w:rPr>
                <w:szCs w:val="21"/>
              </w:rPr>
              <w:t>&lt;污染源距厂界最近距离</w:t>
            </w:r>
          </w:p>
        </w:tc>
      </w:tr>
    </w:tbl>
    <w:p>
      <w:pPr>
        <w:pStyle w:val="26"/>
        <w:ind w:firstLine="480"/>
        <w:rPr>
          <w:rFonts w:hint="eastAsia"/>
        </w:rPr>
      </w:pPr>
    </w:p>
    <w:p>
      <w:pPr>
        <w:pStyle w:val="26"/>
        <w:ind w:firstLine="480"/>
        <w:rPr>
          <w:rFonts w:hint="eastAsia"/>
        </w:rPr>
      </w:pPr>
      <w:r>
        <w:rPr>
          <w:rFonts w:hint="eastAsia"/>
        </w:rPr>
        <w:t>搬迁项目废气主要污染物为SO</w:t>
      </w:r>
      <w:r>
        <w:rPr>
          <w:rFonts w:hint="eastAsia"/>
          <w:vertAlign w:val="subscript"/>
        </w:rPr>
        <w:t>2</w:t>
      </w:r>
      <w:r>
        <w:rPr>
          <w:rFonts w:hint="eastAsia"/>
        </w:rPr>
        <w:t>、PM</w:t>
      </w:r>
      <w:r>
        <w:rPr>
          <w:rFonts w:hint="eastAsia"/>
          <w:vertAlign w:val="subscript"/>
        </w:rPr>
        <w:t>10</w:t>
      </w:r>
      <w:r>
        <w:rPr>
          <w:rFonts w:hint="eastAsia"/>
        </w:rPr>
        <w:t>、</w:t>
      </w:r>
      <w:r>
        <w:rPr>
          <w:rFonts w:hint="eastAsia"/>
          <w:szCs w:val="21"/>
        </w:rPr>
        <w:t>NO</w:t>
      </w:r>
      <w:r>
        <w:rPr>
          <w:rFonts w:hint="eastAsia"/>
          <w:szCs w:val="21"/>
          <w:vertAlign w:val="subscript"/>
        </w:rPr>
        <w:t>X</w:t>
      </w:r>
      <w:r>
        <w:rPr>
          <w:rFonts w:hint="eastAsia"/>
          <w:szCs w:val="21"/>
        </w:rPr>
        <w:t>，</w:t>
      </w:r>
      <w:r>
        <w:rPr>
          <w:rFonts w:hint="eastAsia"/>
        </w:rPr>
        <w:t>利用</w:t>
      </w:r>
      <w:r>
        <w:t>SCREEN3</w:t>
      </w:r>
      <w:r>
        <w:rPr>
          <w:rFonts w:hint="eastAsia"/>
        </w:rPr>
        <w:t>估算模式，分别计算每一种污染物的最大地面浓度占标率Pi（第i个污染物），及第i个污染物的地面浓度达标准限值10%时所对应的最远距离D</w:t>
      </w:r>
      <w:r>
        <w:rPr>
          <w:rFonts w:hint="eastAsia"/>
          <w:vertAlign w:val="subscript"/>
        </w:rPr>
        <w:t>10%</w:t>
      </w:r>
      <w:r>
        <w:rPr>
          <w:rFonts w:hint="eastAsia"/>
        </w:rPr>
        <w:t>，估算结果见表1-10。</w:t>
      </w:r>
    </w:p>
    <w:p>
      <w:pPr>
        <w:spacing w:line="360" w:lineRule="auto"/>
        <w:ind w:firstLine="497" w:firstLineChars="237"/>
        <w:rPr>
          <w:rFonts w:hint="eastAsia"/>
        </w:rPr>
      </w:pPr>
      <w:r>
        <w:rPr>
          <w:rFonts w:hint="eastAsia"/>
        </w:rPr>
        <w:t xml:space="preserve">由表1-10可知技改项目建成后，窑尾排气筒尾气 </w:t>
      </w:r>
      <w:r>
        <w:rPr>
          <w:rFonts w:hint="eastAsia"/>
          <w:szCs w:val="21"/>
        </w:rPr>
        <w:t>NO</w:t>
      </w:r>
      <w:r>
        <w:rPr>
          <w:rFonts w:hint="eastAsia"/>
          <w:szCs w:val="21"/>
          <w:vertAlign w:val="subscript"/>
        </w:rPr>
        <w:t>X</w:t>
      </w:r>
      <w:r>
        <w:rPr>
          <w:rFonts w:hint="eastAsia"/>
        </w:rPr>
        <w:t xml:space="preserve"> Pimax 最大，为66.46%，按照评价工作等级划分，确定为二级</w:t>
      </w:r>
      <w:r>
        <w:t>。</w:t>
      </w:r>
    </w:p>
    <w:p>
      <w:pPr>
        <w:spacing w:before="24" w:beforeLines="10" w:after="24" w:afterLines="10" w:line="360" w:lineRule="auto"/>
        <w:rPr>
          <w:rFonts w:hint="eastAsia"/>
          <w:b/>
        </w:rPr>
      </w:pPr>
      <w:r>
        <w:rPr>
          <w:rFonts w:hint="eastAsia"/>
          <w:b/>
        </w:rPr>
        <w:t>1.6.2 地表水</w:t>
      </w:r>
    </w:p>
    <w:p>
      <w:pPr>
        <w:spacing w:line="360" w:lineRule="auto"/>
        <w:ind w:firstLine="420" w:firstLineChars="200"/>
        <w:rPr>
          <w:rFonts w:hint="eastAsia" w:ascii="宋体" w:hAnsi="宋体"/>
        </w:rPr>
      </w:pPr>
      <w:r>
        <w:rPr>
          <w:rFonts w:hint="eastAsia" w:ascii="宋体" w:hAnsi="宋体"/>
        </w:rPr>
        <w:t>技改项目废水排放量52.6</w:t>
      </w:r>
      <w:r>
        <w:rPr>
          <w:rFonts w:ascii="宋体" w:hAnsi="宋体"/>
        </w:rPr>
        <w:t>m</w:t>
      </w:r>
      <w:r>
        <w:rPr>
          <w:rFonts w:ascii="宋体" w:hAnsi="宋体"/>
          <w:vertAlign w:val="superscript"/>
        </w:rPr>
        <w:t>3</w:t>
      </w:r>
      <w:r>
        <w:rPr>
          <w:rFonts w:ascii="宋体" w:hAnsi="宋体"/>
        </w:rPr>
        <w:t>/</w:t>
      </w:r>
      <w:r>
        <w:rPr>
          <w:rFonts w:hint="eastAsia" w:ascii="宋体" w:hAnsi="宋体"/>
        </w:rPr>
        <w:t>d，排放量较小，污水水质复杂程度简单，经处理后达标后，从废水排放口排入厂区北侧无名小河沟，由于该河沟无水域功能，故地表水环境影响仅作定性分析。</w:t>
      </w:r>
    </w:p>
    <w:p>
      <w:pPr>
        <w:spacing w:before="24" w:beforeLines="10" w:after="24" w:afterLines="10" w:line="360" w:lineRule="auto"/>
        <w:rPr>
          <w:rFonts w:hint="eastAsia"/>
          <w:b/>
        </w:rPr>
      </w:pPr>
      <w:r>
        <w:rPr>
          <w:rFonts w:hint="eastAsia"/>
          <w:b/>
        </w:rPr>
        <w:t>1.6.3噪声</w:t>
      </w:r>
    </w:p>
    <w:p>
      <w:pPr>
        <w:pStyle w:val="8"/>
        <w:ind w:firstLine="560" w:firstLineChars="200"/>
        <w:rPr>
          <w:rFonts w:hint="eastAsia" w:ascii="宋体" w:hAnsi="宋体"/>
          <w:sz w:val="24"/>
        </w:rPr>
      </w:pPr>
      <w:r>
        <w:rPr>
          <w:rFonts w:hint="eastAsia" w:ascii="宋体" w:hAnsi="宋体"/>
        </w:rPr>
        <w:t>技改</w:t>
      </w:r>
      <w:r>
        <w:rPr>
          <w:rFonts w:hint="eastAsia" w:ascii="宋体" w:hAnsi="宋体"/>
          <w:sz w:val="24"/>
        </w:rPr>
        <w:t>项目所处的声环境功能区为2类地区，故声环境影响评价等级确定为二级。</w:t>
      </w:r>
    </w:p>
    <w:p>
      <w:pPr>
        <w:spacing w:before="24" w:beforeLines="10" w:after="24" w:afterLines="10" w:line="360" w:lineRule="auto"/>
        <w:outlineLvl w:val="1"/>
        <w:rPr>
          <w:b/>
        </w:rPr>
      </w:pPr>
      <w:bookmarkStart w:id="31" w:name="_Toc179694630"/>
      <w:bookmarkStart w:id="32" w:name="_Toc276372217"/>
      <w:bookmarkStart w:id="33" w:name="_Toc129763683"/>
      <w:bookmarkStart w:id="34" w:name="_Toc175479781"/>
      <w:bookmarkStart w:id="35" w:name="_Toc473281484"/>
      <w:bookmarkStart w:id="36" w:name="_Toc189814126"/>
      <w:bookmarkStart w:id="37" w:name="_Toc165607338"/>
      <w:r>
        <w:rPr>
          <w:b/>
        </w:rPr>
        <w:t>1.</w:t>
      </w:r>
      <w:r>
        <w:rPr>
          <w:rFonts w:hint="eastAsia"/>
          <w:b/>
        </w:rPr>
        <w:t>8</w:t>
      </w:r>
      <w:r>
        <w:rPr>
          <w:b/>
        </w:rPr>
        <w:t xml:space="preserve">  环境影响因子识别和筛选</w:t>
      </w:r>
      <w:bookmarkEnd w:id="31"/>
      <w:bookmarkEnd w:id="32"/>
    </w:p>
    <w:p>
      <w:pPr>
        <w:spacing w:before="24" w:beforeLines="10" w:after="24" w:afterLines="10" w:line="360" w:lineRule="auto"/>
        <w:rPr>
          <w:b/>
        </w:rPr>
      </w:pPr>
      <w:r>
        <w:rPr>
          <w:b/>
        </w:rPr>
        <w:t>1.</w:t>
      </w:r>
      <w:r>
        <w:rPr>
          <w:rFonts w:hint="eastAsia"/>
          <w:b/>
        </w:rPr>
        <w:t>8</w:t>
      </w:r>
      <w:r>
        <w:rPr>
          <w:b/>
        </w:rPr>
        <w:t>.1  环境影响因素分析</w:t>
      </w:r>
    </w:p>
    <w:p>
      <w:pPr>
        <w:pStyle w:val="28"/>
        <w:adjustRightInd/>
        <w:spacing w:line="360" w:lineRule="auto"/>
        <w:ind w:firstLine="480"/>
        <w:rPr>
          <w:rFonts w:ascii="宋体" w:hAnsi="宋体"/>
          <w:kern w:val="2"/>
          <w:sz w:val="24"/>
          <w:szCs w:val="24"/>
        </w:rPr>
      </w:pPr>
      <w:r>
        <w:rPr>
          <w:rFonts w:hint="eastAsia" w:ascii="宋体" w:hAnsi="宋体"/>
          <w:kern w:val="2"/>
          <w:sz w:val="24"/>
          <w:szCs w:val="24"/>
        </w:rPr>
        <w:t>（1）</w:t>
      </w:r>
      <w:r>
        <w:rPr>
          <w:rFonts w:ascii="宋体" w:hAnsi="宋体"/>
          <w:kern w:val="2"/>
          <w:sz w:val="24"/>
          <w:szCs w:val="24"/>
        </w:rPr>
        <w:t>施工期</w:t>
      </w:r>
    </w:p>
    <w:p>
      <w:pPr>
        <w:pStyle w:val="28"/>
        <w:adjustRightInd/>
        <w:spacing w:line="360" w:lineRule="auto"/>
        <w:ind w:firstLine="480"/>
        <w:rPr>
          <w:rFonts w:hint="eastAsia" w:ascii="宋体" w:hAnsi="宋体"/>
          <w:kern w:val="2"/>
          <w:sz w:val="24"/>
          <w:szCs w:val="24"/>
        </w:rPr>
      </w:pPr>
      <w:r>
        <w:rPr>
          <w:rFonts w:hint="eastAsia" w:ascii="宋体" w:hAnsi="宋体"/>
          <w:kern w:val="2"/>
          <w:sz w:val="24"/>
          <w:szCs w:val="24"/>
        </w:rPr>
        <w:t>技改</w:t>
      </w:r>
      <w:r>
        <w:rPr>
          <w:rFonts w:ascii="宋体" w:hAnsi="宋体"/>
          <w:kern w:val="2"/>
          <w:sz w:val="24"/>
          <w:szCs w:val="24"/>
        </w:rPr>
        <w:t>项目施工期主要活动是厂区建设，施工期影响大多为短期的、局部的，施工结束后大部分影响可恢复。对环境的主要影响如下：</w:t>
      </w:r>
    </w:p>
    <w:bookmarkEnd w:id="33"/>
    <w:bookmarkEnd w:id="34"/>
    <w:bookmarkEnd w:id="35"/>
    <w:bookmarkEnd w:id="36"/>
    <w:bookmarkEnd w:id="37"/>
    <w:p>
      <w:pPr>
        <w:pStyle w:val="28"/>
        <w:adjustRightInd/>
        <w:spacing w:line="360" w:lineRule="auto"/>
        <w:ind w:firstLine="540"/>
        <w:rPr>
          <w:rFonts w:ascii="宋体" w:hAnsi="宋体"/>
          <w:kern w:val="2"/>
          <w:sz w:val="24"/>
          <w:szCs w:val="24"/>
        </w:rPr>
      </w:pPr>
      <w:r>
        <w:rPr>
          <w:rFonts w:hint="eastAsia" w:ascii="宋体" w:hAnsi="宋体"/>
          <w:kern w:val="2"/>
          <w:sz w:val="24"/>
          <w:szCs w:val="24"/>
        </w:rPr>
        <w:t>①</w:t>
      </w:r>
      <w:r>
        <w:rPr>
          <w:rFonts w:ascii="宋体" w:hAnsi="宋体"/>
          <w:kern w:val="2"/>
          <w:sz w:val="24"/>
          <w:szCs w:val="24"/>
        </w:rPr>
        <w:t>自然环境影响</w:t>
      </w:r>
    </w:p>
    <w:p>
      <w:pPr>
        <w:pStyle w:val="28"/>
        <w:adjustRightInd/>
        <w:spacing w:line="360" w:lineRule="auto"/>
        <w:ind w:firstLine="540"/>
        <w:rPr>
          <w:rFonts w:ascii="宋体" w:hAnsi="宋体"/>
          <w:kern w:val="2"/>
          <w:sz w:val="24"/>
          <w:szCs w:val="24"/>
        </w:rPr>
      </w:pPr>
      <w:r>
        <w:rPr>
          <w:rFonts w:ascii="宋体" w:hAnsi="宋体"/>
          <w:kern w:val="2"/>
          <w:sz w:val="24"/>
          <w:szCs w:val="24"/>
        </w:rPr>
        <w:t>施工扬尘、施工设备噪声、民工生活废水、建筑弃碴、弃土排放等，造成环境影响。</w:t>
      </w:r>
    </w:p>
    <w:p>
      <w:pPr>
        <w:pStyle w:val="28"/>
        <w:adjustRightInd/>
        <w:spacing w:line="360" w:lineRule="auto"/>
        <w:ind w:firstLine="540"/>
        <w:rPr>
          <w:rFonts w:ascii="宋体" w:hAnsi="宋体"/>
          <w:kern w:val="2"/>
          <w:sz w:val="24"/>
          <w:szCs w:val="24"/>
        </w:rPr>
      </w:pPr>
      <w:r>
        <w:rPr>
          <w:rFonts w:hint="eastAsia" w:ascii="宋体" w:hAnsi="宋体"/>
          <w:kern w:val="2"/>
          <w:sz w:val="24"/>
          <w:szCs w:val="24"/>
        </w:rPr>
        <w:t>②</w:t>
      </w:r>
      <w:r>
        <w:rPr>
          <w:rFonts w:ascii="宋体" w:hAnsi="宋体"/>
          <w:kern w:val="2"/>
          <w:sz w:val="24"/>
          <w:szCs w:val="24"/>
        </w:rPr>
        <w:t>社会环境影响</w:t>
      </w:r>
    </w:p>
    <w:p>
      <w:pPr>
        <w:pStyle w:val="28"/>
        <w:adjustRightInd/>
        <w:spacing w:line="360" w:lineRule="auto"/>
        <w:ind w:firstLine="540"/>
        <w:rPr>
          <w:rFonts w:ascii="宋体" w:hAnsi="宋体"/>
          <w:kern w:val="2"/>
          <w:sz w:val="24"/>
          <w:szCs w:val="24"/>
        </w:rPr>
      </w:pPr>
      <w:r>
        <w:rPr>
          <w:rFonts w:ascii="宋体" w:hAnsi="宋体"/>
          <w:kern w:val="2"/>
          <w:sz w:val="24"/>
          <w:szCs w:val="24"/>
        </w:rPr>
        <w:t>交通运输带来影响。</w:t>
      </w:r>
    </w:p>
    <w:p>
      <w:pPr>
        <w:pStyle w:val="28"/>
        <w:adjustRightInd/>
        <w:spacing w:line="360" w:lineRule="auto"/>
        <w:ind w:firstLine="360" w:firstLineChars="150"/>
        <w:rPr>
          <w:rFonts w:ascii="宋体" w:hAnsi="宋体"/>
          <w:kern w:val="2"/>
          <w:sz w:val="24"/>
          <w:szCs w:val="24"/>
        </w:rPr>
      </w:pPr>
      <w:r>
        <w:rPr>
          <w:rFonts w:hint="eastAsia" w:ascii="宋体" w:hAnsi="宋体"/>
          <w:kern w:val="2"/>
          <w:sz w:val="24"/>
          <w:szCs w:val="24"/>
        </w:rPr>
        <w:t>（2）</w:t>
      </w:r>
      <w:r>
        <w:rPr>
          <w:rFonts w:ascii="宋体" w:hAnsi="宋体"/>
          <w:kern w:val="2"/>
          <w:sz w:val="24"/>
          <w:szCs w:val="24"/>
        </w:rPr>
        <w:t>营运期</w:t>
      </w:r>
    </w:p>
    <w:p>
      <w:pPr>
        <w:pStyle w:val="28"/>
        <w:adjustRightInd/>
        <w:spacing w:line="360" w:lineRule="auto"/>
        <w:ind w:firstLine="480" w:firstLineChars="200"/>
        <w:rPr>
          <w:rFonts w:ascii="宋体" w:hAnsi="宋体"/>
          <w:kern w:val="2"/>
          <w:sz w:val="24"/>
          <w:szCs w:val="24"/>
        </w:rPr>
      </w:pPr>
      <w:r>
        <w:rPr>
          <w:rFonts w:hint="eastAsia" w:ascii="宋体" w:hAnsi="宋体"/>
          <w:kern w:val="2"/>
          <w:sz w:val="24"/>
          <w:szCs w:val="24"/>
        </w:rPr>
        <w:t>①</w:t>
      </w:r>
      <w:r>
        <w:rPr>
          <w:rFonts w:ascii="宋体" w:hAnsi="宋体"/>
          <w:kern w:val="2"/>
          <w:sz w:val="24"/>
          <w:szCs w:val="24"/>
        </w:rPr>
        <w:t>自然环境影响</w:t>
      </w:r>
    </w:p>
    <w:p>
      <w:pPr>
        <w:pStyle w:val="28"/>
        <w:adjustRightInd/>
        <w:spacing w:line="360" w:lineRule="auto"/>
        <w:ind w:firstLine="540"/>
        <w:rPr>
          <w:rFonts w:ascii="宋体" w:hAnsi="宋体"/>
          <w:kern w:val="2"/>
          <w:sz w:val="24"/>
          <w:szCs w:val="24"/>
        </w:rPr>
      </w:pPr>
      <w:r>
        <w:rPr>
          <w:rFonts w:hint="eastAsia" w:ascii="宋体" w:hAnsi="宋体"/>
          <w:kern w:val="2"/>
          <w:sz w:val="24"/>
          <w:szCs w:val="24"/>
        </w:rPr>
        <w:t>◆</w:t>
      </w:r>
      <w:r>
        <w:rPr>
          <w:rFonts w:ascii="宋体" w:hAnsi="宋体"/>
          <w:kern w:val="2"/>
          <w:sz w:val="24"/>
          <w:szCs w:val="24"/>
        </w:rPr>
        <w:t>大气环境影响</w:t>
      </w:r>
    </w:p>
    <w:p>
      <w:pPr>
        <w:pStyle w:val="28"/>
        <w:adjustRightInd/>
        <w:spacing w:line="360" w:lineRule="auto"/>
        <w:ind w:firstLine="540"/>
        <w:rPr>
          <w:rFonts w:ascii="宋体" w:hAnsi="宋体"/>
          <w:kern w:val="2"/>
          <w:sz w:val="24"/>
          <w:szCs w:val="24"/>
        </w:rPr>
      </w:pPr>
      <w:r>
        <w:rPr>
          <w:rFonts w:ascii="宋体" w:hAnsi="宋体"/>
          <w:kern w:val="2"/>
          <w:sz w:val="24"/>
          <w:szCs w:val="24"/>
        </w:rPr>
        <w:t>本项目外排大气污染物包括粉尘、烟尘、SO</w:t>
      </w:r>
      <w:r>
        <w:rPr>
          <w:rFonts w:ascii="宋体" w:hAnsi="宋体"/>
          <w:kern w:val="2"/>
          <w:sz w:val="24"/>
          <w:szCs w:val="24"/>
          <w:vertAlign w:val="subscript"/>
        </w:rPr>
        <w:t>2</w:t>
      </w:r>
      <w:r>
        <w:rPr>
          <w:rFonts w:ascii="宋体" w:hAnsi="宋体"/>
          <w:kern w:val="2"/>
          <w:sz w:val="24"/>
          <w:szCs w:val="24"/>
        </w:rPr>
        <w:t>对大气环境的影响。。</w:t>
      </w:r>
    </w:p>
    <w:p>
      <w:pPr>
        <w:spacing w:line="360" w:lineRule="auto"/>
        <w:ind w:firstLine="420" w:firstLineChars="200"/>
        <w:rPr>
          <w:rFonts w:ascii="宋体" w:hAnsi="宋体"/>
        </w:rPr>
        <w:sectPr>
          <w:pgSz w:w="11906" w:h="16838"/>
          <w:pgMar w:top="1134" w:right="1418" w:bottom="1134" w:left="1418" w:header="851" w:footer="992" w:gutter="0"/>
          <w:paperSrc w:first="20070" w:other="20070"/>
          <w:cols w:space="425" w:num="1"/>
          <w:docGrid w:linePitch="312" w:charSpace="0"/>
        </w:sectPr>
      </w:pPr>
    </w:p>
    <w:p>
      <w:pPr>
        <w:jc w:val="center"/>
        <w:rPr>
          <w:rFonts w:hint="eastAsia"/>
          <w:b/>
        </w:rPr>
      </w:pPr>
      <w:r>
        <w:rPr>
          <w:rFonts w:hint="eastAsia"/>
          <w:b/>
        </w:rPr>
        <w:t>表1-10  估算模式计算结果表</w:t>
      </w:r>
    </w:p>
    <w:tbl>
      <w:tblPr>
        <w:tblStyle w:val="21"/>
        <w:tblW w:w="11879" w:type="dxa"/>
        <w:jc w:val="center"/>
        <w:tblInd w:w="-21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1325"/>
        <w:gridCol w:w="799"/>
        <w:gridCol w:w="1265"/>
        <w:gridCol w:w="799"/>
        <w:gridCol w:w="1325"/>
        <w:gridCol w:w="799"/>
        <w:gridCol w:w="1325"/>
        <w:gridCol w:w="799"/>
        <w:gridCol w:w="1265"/>
        <w:gridCol w:w="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9" w:type="dxa"/>
            <w:vAlign w:val="center"/>
          </w:tcPr>
          <w:p>
            <w:pPr>
              <w:spacing w:line="240" w:lineRule="exact"/>
              <w:rPr>
                <w:sz w:val="21"/>
                <w:szCs w:val="21"/>
              </w:rPr>
            </w:pPr>
            <w:r>
              <w:rPr>
                <w:sz w:val="21"/>
                <w:szCs w:val="21"/>
              </w:rPr>
              <w:t>产污环节</w:t>
            </w:r>
          </w:p>
        </w:tc>
        <w:tc>
          <w:tcPr>
            <w:tcW w:w="6312" w:type="dxa"/>
            <w:gridSpan w:val="6"/>
            <w:vAlign w:val="center"/>
          </w:tcPr>
          <w:p>
            <w:pPr>
              <w:spacing w:line="240" w:lineRule="exact"/>
              <w:rPr>
                <w:spacing w:val="20"/>
                <w:sz w:val="21"/>
                <w:szCs w:val="21"/>
              </w:rPr>
            </w:pPr>
            <w:r>
              <w:rPr>
                <w:spacing w:val="20"/>
                <w:sz w:val="21"/>
                <w:szCs w:val="21"/>
              </w:rPr>
              <w:t>窑尾（D=3.0m）</w:t>
            </w:r>
          </w:p>
        </w:tc>
        <w:tc>
          <w:tcPr>
            <w:tcW w:w="2124" w:type="dxa"/>
            <w:gridSpan w:val="2"/>
            <w:vAlign w:val="center"/>
          </w:tcPr>
          <w:p>
            <w:pPr>
              <w:spacing w:line="240" w:lineRule="exact"/>
              <w:rPr>
                <w:spacing w:val="20"/>
                <w:sz w:val="21"/>
                <w:szCs w:val="21"/>
              </w:rPr>
            </w:pPr>
            <w:r>
              <w:rPr>
                <w:spacing w:val="20"/>
                <w:sz w:val="21"/>
                <w:szCs w:val="21"/>
              </w:rPr>
              <w:t>窑头（D=2.5m）</w:t>
            </w:r>
          </w:p>
        </w:tc>
        <w:tc>
          <w:tcPr>
            <w:tcW w:w="2064" w:type="dxa"/>
            <w:gridSpan w:val="2"/>
            <w:vAlign w:val="center"/>
          </w:tcPr>
          <w:p>
            <w:pPr>
              <w:spacing w:line="240" w:lineRule="exact"/>
              <w:rPr>
                <w:spacing w:val="20"/>
                <w:sz w:val="21"/>
                <w:szCs w:val="21"/>
              </w:rPr>
            </w:pPr>
            <w:r>
              <w:rPr>
                <w:spacing w:val="20"/>
                <w:sz w:val="21"/>
                <w:szCs w:val="21"/>
              </w:rPr>
              <w:t>水泥磨机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379" w:type="dxa"/>
            <w:vMerge w:val="restart"/>
            <w:vAlign w:val="center"/>
          </w:tcPr>
          <w:p>
            <w:pPr>
              <w:spacing w:line="240" w:lineRule="exact"/>
              <w:rPr>
                <w:sz w:val="21"/>
                <w:szCs w:val="21"/>
              </w:rPr>
            </w:pPr>
            <w:r>
              <w:rPr>
                <w:sz w:val="21"/>
                <w:szCs w:val="21"/>
              </w:rPr>
              <w:t>距离中心下风向距离D（m）</w:t>
            </w:r>
          </w:p>
        </w:tc>
        <w:tc>
          <w:tcPr>
            <w:tcW w:w="2124" w:type="dxa"/>
            <w:gridSpan w:val="2"/>
            <w:vAlign w:val="center"/>
          </w:tcPr>
          <w:p>
            <w:pPr>
              <w:spacing w:line="240" w:lineRule="exact"/>
              <w:rPr>
                <w:sz w:val="21"/>
                <w:szCs w:val="21"/>
              </w:rPr>
            </w:pPr>
            <w:r>
              <w:rPr>
                <w:sz w:val="21"/>
                <w:szCs w:val="21"/>
              </w:rPr>
              <w:t>SO</w:t>
            </w:r>
            <w:r>
              <w:rPr>
                <w:sz w:val="21"/>
                <w:szCs w:val="21"/>
                <w:vertAlign w:val="subscript"/>
              </w:rPr>
              <w:t>2</w:t>
            </w:r>
          </w:p>
        </w:tc>
        <w:tc>
          <w:tcPr>
            <w:tcW w:w="2064" w:type="dxa"/>
            <w:gridSpan w:val="2"/>
            <w:vAlign w:val="center"/>
          </w:tcPr>
          <w:p>
            <w:pPr>
              <w:spacing w:line="240" w:lineRule="exact"/>
              <w:rPr>
                <w:sz w:val="21"/>
                <w:szCs w:val="21"/>
              </w:rPr>
            </w:pPr>
            <w:r>
              <w:rPr>
                <w:sz w:val="21"/>
                <w:szCs w:val="21"/>
              </w:rPr>
              <w:t>NO</w:t>
            </w:r>
            <w:r>
              <w:rPr>
                <w:sz w:val="21"/>
                <w:szCs w:val="21"/>
                <w:vertAlign w:val="subscript"/>
              </w:rPr>
              <w:t>2</w:t>
            </w:r>
          </w:p>
        </w:tc>
        <w:tc>
          <w:tcPr>
            <w:tcW w:w="2124" w:type="dxa"/>
            <w:gridSpan w:val="2"/>
            <w:vAlign w:val="center"/>
          </w:tcPr>
          <w:p>
            <w:pPr>
              <w:spacing w:line="240" w:lineRule="exact"/>
              <w:rPr>
                <w:sz w:val="21"/>
                <w:szCs w:val="21"/>
              </w:rPr>
            </w:pPr>
            <w:r>
              <w:rPr>
                <w:sz w:val="21"/>
                <w:szCs w:val="21"/>
              </w:rPr>
              <w:t>PM</w:t>
            </w:r>
            <w:r>
              <w:rPr>
                <w:sz w:val="21"/>
                <w:szCs w:val="21"/>
                <w:vertAlign w:val="subscript"/>
              </w:rPr>
              <w:t>10</w:t>
            </w:r>
          </w:p>
        </w:tc>
        <w:tc>
          <w:tcPr>
            <w:tcW w:w="2124" w:type="dxa"/>
            <w:gridSpan w:val="2"/>
            <w:vAlign w:val="center"/>
          </w:tcPr>
          <w:p>
            <w:pPr>
              <w:spacing w:line="240" w:lineRule="exact"/>
              <w:rPr>
                <w:sz w:val="21"/>
                <w:szCs w:val="21"/>
              </w:rPr>
            </w:pPr>
            <w:r>
              <w:rPr>
                <w:sz w:val="21"/>
                <w:szCs w:val="21"/>
              </w:rPr>
              <w:t>PM</w:t>
            </w:r>
            <w:r>
              <w:rPr>
                <w:sz w:val="21"/>
                <w:szCs w:val="21"/>
                <w:vertAlign w:val="subscript"/>
              </w:rPr>
              <w:t>10</w:t>
            </w:r>
          </w:p>
        </w:tc>
        <w:tc>
          <w:tcPr>
            <w:tcW w:w="2064" w:type="dxa"/>
            <w:gridSpan w:val="2"/>
            <w:vAlign w:val="center"/>
          </w:tcPr>
          <w:p>
            <w:pPr>
              <w:spacing w:line="240" w:lineRule="exact"/>
              <w:rPr>
                <w:sz w:val="21"/>
                <w:szCs w:val="21"/>
              </w:rPr>
            </w:pPr>
            <w:r>
              <w:rPr>
                <w:sz w:val="21"/>
                <w:szCs w:val="21"/>
              </w:rPr>
              <w:t>PM</w:t>
            </w:r>
            <w:r>
              <w:rPr>
                <w:sz w:val="21"/>
                <w:szCs w:val="21"/>
                <w:vertAlign w:val="subscrip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9" w:type="dxa"/>
            <w:vMerge w:val="continue"/>
            <w:vAlign w:val="center"/>
          </w:tcPr>
          <w:p>
            <w:pPr>
              <w:spacing w:line="240" w:lineRule="exact"/>
              <w:rPr>
                <w:sz w:val="21"/>
                <w:szCs w:val="21"/>
              </w:rPr>
            </w:pPr>
          </w:p>
        </w:tc>
        <w:tc>
          <w:tcPr>
            <w:tcW w:w="1325" w:type="dxa"/>
            <w:vAlign w:val="center"/>
          </w:tcPr>
          <w:p>
            <w:pPr>
              <w:spacing w:line="240" w:lineRule="exact"/>
              <w:rPr>
                <w:sz w:val="21"/>
                <w:szCs w:val="21"/>
              </w:rPr>
            </w:pPr>
            <w:r>
              <w:rPr>
                <w:sz w:val="21"/>
                <w:szCs w:val="21"/>
              </w:rPr>
              <w:t>下风向预测浓度C</w:t>
            </w:r>
            <w:r>
              <w:rPr>
                <w:sz w:val="21"/>
                <w:szCs w:val="21"/>
                <w:vertAlign w:val="subscript"/>
              </w:rPr>
              <w:t>il</w:t>
            </w:r>
            <w:r>
              <w:rPr>
                <w:sz w:val="21"/>
                <w:szCs w:val="21"/>
              </w:rPr>
              <w:t>(mg/m</w:t>
            </w:r>
            <w:r>
              <w:rPr>
                <w:sz w:val="21"/>
                <w:szCs w:val="21"/>
                <w:vertAlign w:val="superscript"/>
              </w:rPr>
              <w:t>3</w:t>
            </w:r>
            <w:r>
              <w:rPr>
                <w:sz w:val="21"/>
                <w:szCs w:val="21"/>
              </w:rPr>
              <w:t>)</w:t>
            </w:r>
          </w:p>
        </w:tc>
        <w:tc>
          <w:tcPr>
            <w:tcW w:w="799" w:type="dxa"/>
            <w:vAlign w:val="center"/>
          </w:tcPr>
          <w:p>
            <w:pPr>
              <w:spacing w:line="240" w:lineRule="exact"/>
              <w:rPr>
                <w:sz w:val="21"/>
                <w:szCs w:val="21"/>
              </w:rPr>
            </w:pPr>
            <w:r>
              <w:rPr>
                <w:sz w:val="21"/>
                <w:szCs w:val="21"/>
              </w:rPr>
              <w:t>浓度占标率</w:t>
            </w:r>
          </w:p>
          <w:p>
            <w:pPr>
              <w:spacing w:line="240" w:lineRule="exact"/>
              <w:rPr>
                <w:sz w:val="21"/>
                <w:szCs w:val="21"/>
              </w:rPr>
            </w:pPr>
            <w:r>
              <w:rPr>
                <w:sz w:val="21"/>
                <w:szCs w:val="21"/>
              </w:rPr>
              <w:t>P</w:t>
            </w:r>
            <w:r>
              <w:rPr>
                <w:sz w:val="21"/>
                <w:szCs w:val="21"/>
                <w:vertAlign w:val="subscript"/>
              </w:rPr>
              <w:t>il</w:t>
            </w:r>
            <w:r>
              <w:rPr>
                <w:sz w:val="21"/>
                <w:szCs w:val="21"/>
              </w:rPr>
              <w:t>(%)</w:t>
            </w:r>
          </w:p>
        </w:tc>
        <w:tc>
          <w:tcPr>
            <w:tcW w:w="1265" w:type="dxa"/>
            <w:vAlign w:val="center"/>
          </w:tcPr>
          <w:p>
            <w:pPr>
              <w:spacing w:line="240" w:lineRule="exact"/>
              <w:rPr>
                <w:sz w:val="21"/>
                <w:szCs w:val="21"/>
              </w:rPr>
            </w:pPr>
            <w:r>
              <w:rPr>
                <w:sz w:val="21"/>
                <w:szCs w:val="21"/>
              </w:rPr>
              <w:t>下风向预测浓度</w:t>
            </w:r>
          </w:p>
          <w:p>
            <w:pPr>
              <w:spacing w:line="240" w:lineRule="exact"/>
              <w:rPr>
                <w:sz w:val="21"/>
                <w:szCs w:val="21"/>
              </w:rPr>
            </w:pPr>
            <w:r>
              <w:rPr>
                <w:sz w:val="21"/>
                <w:szCs w:val="21"/>
              </w:rPr>
              <w:t>C</w:t>
            </w:r>
            <w:r>
              <w:rPr>
                <w:sz w:val="21"/>
                <w:szCs w:val="21"/>
                <w:vertAlign w:val="subscript"/>
              </w:rPr>
              <w:t>il</w:t>
            </w:r>
            <w:r>
              <w:rPr>
                <w:sz w:val="21"/>
                <w:szCs w:val="21"/>
              </w:rPr>
              <w:t>(mg/m</w:t>
            </w:r>
            <w:r>
              <w:rPr>
                <w:sz w:val="21"/>
                <w:szCs w:val="21"/>
                <w:vertAlign w:val="superscript"/>
              </w:rPr>
              <w:t>3</w:t>
            </w:r>
            <w:r>
              <w:rPr>
                <w:sz w:val="21"/>
                <w:szCs w:val="21"/>
              </w:rPr>
              <w:t>)</w:t>
            </w:r>
          </w:p>
        </w:tc>
        <w:tc>
          <w:tcPr>
            <w:tcW w:w="799" w:type="dxa"/>
            <w:vAlign w:val="center"/>
          </w:tcPr>
          <w:p>
            <w:pPr>
              <w:spacing w:line="240" w:lineRule="exact"/>
              <w:rPr>
                <w:sz w:val="21"/>
                <w:szCs w:val="21"/>
              </w:rPr>
            </w:pPr>
            <w:r>
              <w:rPr>
                <w:sz w:val="21"/>
                <w:szCs w:val="21"/>
              </w:rPr>
              <w:t>浓度占标率</w:t>
            </w:r>
          </w:p>
          <w:p>
            <w:pPr>
              <w:spacing w:line="240" w:lineRule="exact"/>
              <w:rPr>
                <w:sz w:val="21"/>
                <w:szCs w:val="21"/>
              </w:rPr>
            </w:pPr>
            <w:r>
              <w:rPr>
                <w:sz w:val="21"/>
                <w:szCs w:val="21"/>
              </w:rPr>
              <w:t>P</w:t>
            </w:r>
            <w:r>
              <w:rPr>
                <w:sz w:val="21"/>
                <w:szCs w:val="21"/>
                <w:vertAlign w:val="subscript"/>
              </w:rPr>
              <w:t>il</w:t>
            </w:r>
            <w:r>
              <w:rPr>
                <w:sz w:val="21"/>
                <w:szCs w:val="21"/>
              </w:rPr>
              <w:t>(%)</w:t>
            </w:r>
          </w:p>
        </w:tc>
        <w:tc>
          <w:tcPr>
            <w:tcW w:w="1325" w:type="dxa"/>
            <w:vAlign w:val="center"/>
          </w:tcPr>
          <w:p>
            <w:pPr>
              <w:spacing w:line="240" w:lineRule="exact"/>
              <w:rPr>
                <w:sz w:val="21"/>
                <w:szCs w:val="21"/>
              </w:rPr>
            </w:pPr>
            <w:r>
              <w:rPr>
                <w:sz w:val="21"/>
                <w:szCs w:val="21"/>
              </w:rPr>
              <w:t>下风向预测浓度C</w:t>
            </w:r>
            <w:r>
              <w:rPr>
                <w:sz w:val="21"/>
                <w:szCs w:val="21"/>
                <w:vertAlign w:val="subscript"/>
              </w:rPr>
              <w:t>il</w:t>
            </w:r>
            <w:r>
              <w:rPr>
                <w:sz w:val="21"/>
                <w:szCs w:val="21"/>
              </w:rPr>
              <w:t>(mg/m</w:t>
            </w:r>
            <w:r>
              <w:rPr>
                <w:sz w:val="21"/>
                <w:szCs w:val="21"/>
                <w:vertAlign w:val="superscript"/>
              </w:rPr>
              <w:t>3</w:t>
            </w:r>
            <w:r>
              <w:rPr>
                <w:sz w:val="21"/>
                <w:szCs w:val="21"/>
              </w:rPr>
              <w:t>)</w:t>
            </w:r>
          </w:p>
        </w:tc>
        <w:tc>
          <w:tcPr>
            <w:tcW w:w="799" w:type="dxa"/>
            <w:vAlign w:val="center"/>
          </w:tcPr>
          <w:p>
            <w:pPr>
              <w:spacing w:line="240" w:lineRule="exact"/>
              <w:rPr>
                <w:sz w:val="21"/>
                <w:szCs w:val="21"/>
              </w:rPr>
            </w:pPr>
            <w:r>
              <w:rPr>
                <w:sz w:val="21"/>
                <w:szCs w:val="21"/>
              </w:rPr>
              <w:t>浓度占标率</w:t>
            </w:r>
          </w:p>
          <w:p>
            <w:pPr>
              <w:spacing w:line="240" w:lineRule="exact"/>
              <w:rPr>
                <w:sz w:val="21"/>
                <w:szCs w:val="21"/>
              </w:rPr>
            </w:pPr>
            <w:r>
              <w:rPr>
                <w:sz w:val="21"/>
                <w:szCs w:val="21"/>
              </w:rPr>
              <w:t>P</w:t>
            </w:r>
            <w:r>
              <w:rPr>
                <w:sz w:val="21"/>
                <w:szCs w:val="21"/>
                <w:vertAlign w:val="subscript"/>
              </w:rPr>
              <w:t>il</w:t>
            </w:r>
            <w:r>
              <w:rPr>
                <w:sz w:val="21"/>
                <w:szCs w:val="21"/>
              </w:rPr>
              <w:t>(%)</w:t>
            </w:r>
          </w:p>
        </w:tc>
        <w:tc>
          <w:tcPr>
            <w:tcW w:w="1325" w:type="dxa"/>
            <w:vAlign w:val="center"/>
          </w:tcPr>
          <w:p>
            <w:pPr>
              <w:spacing w:line="240" w:lineRule="exact"/>
              <w:rPr>
                <w:sz w:val="21"/>
                <w:szCs w:val="21"/>
              </w:rPr>
            </w:pPr>
            <w:r>
              <w:rPr>
                <w:sz w:val="21"/>
                <w:szCs w:val="21"/>
              </w:rPr>
              <w:t>下风向预测浓度C</w:t>
            </w:r>
            <w:r>
              <w:rPr>
                <w:sz w:val="21"/>
                <w:szCs w:val="21"/>
                <w:vertAlign w:val="subscript"/>
              </w:rPr>
              <w:t>il</w:t>
            </w:r>
            <w:r>
              <w:rPr>
                <w:sz w:val="21"/>
                <w:szCs w:val="21"/>
              </w:rPr>
              <w:t>(mg/m</w:t>
            </w:r>
            <w:r>
              <w:rPr>
                <w:sz w:val="21"/>
                <w:szCs w:val="21"/>
                <w:vertAlign w:val="superscript"/>
              </w:rPr>
              <w:t>3</w:t>
            </w:r>
            <w:r>
              <w:rPr>
                <w:sz w:val="21"/>
                <w:szCs w:val="21"/>
              </w:rPr>
              <w:t>)</w:t>
            </w:r>
          </w:p>
        </w:tc>
        <w:tc>
          <w:tcPr>
            <w:tcW w:w="799" w:type="dxa"/>
            <w:vAlign w:val="center"/>
          </w:tcPr>
          <w:p>
            <w:pPr>
              <w:spacing w:line="240" w:lineRule="exact"/>
              <w:rPr>
                <w:sz w:val="21"/>
                <w:szCs w:val="21"/>
              </w:rPr>
            </w:pPr>
            <w:r>
              <w:rPr>
                <w:sz w:val="21"/>
                <w:szCs w:val="21"/>
              </w:rPr>
              <w:t>浓度占标率</w:t>
            </w:r>
          </w:p>
          <w:p>
            <w:pPr>
              <w:spacing w:line="240" w:lineRule="exact"/>
              <w:rPr>
                <w:sz w:val="21"/>
                <w:szCs w:val="21"/>
              </w:rPr>
            </w:pPr>
            <w:r>
              <w:rPr>
                <w:sz w:val="21"/>
                <w:szCs w:val="21"/>
              </w:rPr>
              <w:t>P</w:t>
            </w:r>
            <w:r>
              <w:rPr>
                <w:sz w:val="21"/>
                <w:szCs w:val="21"/>
                <w:vertAlign w:val="subscript"/>
              </w:rPr>
              <w:t>il</w:t>
            </w:r>
            <w:r>
              <w:rPr>
                <w:sz w:val="21"/>
                <w:szCs w:val="21"/>
              </w:rPr>
              <w:t>(%)</w:t>
            </w:r>
          </w:p>
        </w:tc>
        <w:tc>
          <w:tcPr>
            <w:tcW w:w="1265" w:type="dxa"/>
            <w:vAlign w:val="center"/>
          </w:tcPr>
          <w:p>
            <w:pPr>
              <w:spacing w:line="240" w:lineRule="exact"/>
              <w:rPr>
                <w:sz w:val="21"/>
                <w:szCs w:val="21"/>
              </w:rPr>
            </w:pPr>
            <w:r>
              <w:rPr>
                <w:sz w:val="21"/>
                <w:szCs w:val="21"/>
              </w:rPr>
              <w:t>下风向预测浓度</w:t>
            </w:r>
          </w:p>
          <w:p>
            <w:pPr>
              <w:spacing w:line="240" w:lineRule="exact"/>
              <w:rPr>
                <w:sz w:val="21"/>
                <w:szCs w:val="21"/>
              </w:rPr>
            </w:pPr>
            <w:r>
              <w:rPr>
                <w:sz w:val="21"/>
                <w:szCs w:val="21"/>
              </w:rPr>
              <w:t>C</w:t>
            </w:r>
            <w:r>
              <w:rPr>
                <w:sz w:val="21"/>
                <w:szCs w:val="21"/>
                <w:vertAlign w:val="subscript"/>
              </w:rPr>
              <w:t>il</w:t>
            </w:r>
            <w:r>
              <w:rPr>
                <w:sz w:val="21"/>
                <w:szCs w:val="21"/>
              </w:rPr>
              <w:t>(mg/m</w:t>
            </w:r>
            <w:r>
              <w:rPr>
                <w:sz w:val="21"/>
                <w:szCs w:val="21"/>
                <w:vertAlign w:val="superscript"/>
              </w:rPr>
              <w:t>3</w:t>
            </w:r>
            <w:r>
              <w:rPr>
                <w:sz w:val="21"/>
                <w:szCs w:val="21"/>
              </w:rPr>
              <w:t>)</w:t>
            </w:r>
          </w:p>
        </w:tc>
        <w:tc>
          <w:tcPr>
            <w:tcW w:w="799" w:type="dxa"/>
            <w:vAlign w:val="center"/>
          </w:tcPr>
          <w:p>
            <w:pPr>
              <w:spacing w:line="240" w:lineRule="exact"/>
              <w:rPr>
                <w:sz w:val="21"/>
                <w:szCs w:val="21"/>
              </w:rPr>
            </w:pPr>
            <w:r>
              <w:rPr>
                <w:sz w:val="21"/>
                <w:szCs w:val="21"/>
              </w:rPr>
              <w:t>浓度占标率</w:t>
            </w:r>
          </w:p>
          <w:p>
            <w:pPr>
              <w:spacing w:line="240" w:lineRule="exact"/>
              <w:rPr>
                <w:sz w:val="21"/>
                <w:szCs w:val="21"/>
              </w:rPr>
            </w:pPr>
            <w:r>
              <w:rPr>
                <w:sz w:val="21"/>
                <w:szCs w:val="21"/>
              </w:rPr>
              <w:t>P</w:t>
            </w:r>
            <w:r>
              <w:rPr>
                <w:sz w:val="21"/>
                <w:szCs w:val="21"/>
                <w:vertAlign w:val="subscript"/>
              </w:rPr>
              <w:t>il</w:t>
            </w: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9" w:type="dxa"/>
            <w:vAlign w:val="center"/>
          </w:tcPr>
          <w:p>
            <w:pPr>
              <w:rPr>
                <w:rFonts w:cs="宋体"/>
                <w:sz w:val="21"/>
                <w:szCs w:val="21"/>
              </w:rPr>
            </w:pPr>
            <w:r>
              <w:rPr>
                <w:sz w:val="21"/>
                <w:szCs w:val="21"/>
              </w:rPr>
              <w:t>500</w:t>
            </w:r>
          </w:p>
        </w:tc>
        <w:tc>
          <w:tcPr>
            <w:tcW w:w="1325" w:type="dxa"/>
            <w:vAlign w:val="center"/>
          </w:tcPr>
          <w:p>
            <w:pPr>
              <w:rPr>
                <w:rFonts w:cs="宋体"/>
                <w:sz w:val="21"/>
                <w:szCs w:val="21"/>
              </w:rPr>
            </w:pPr>
            <w:r>
              <w:rPr>
                <w:sz w:val="21"/>
                <w:szCs w:val="21"/>
              </w:rPr>
              <w:t>0.0046</w:t>
            </w:r>
          </w:p>
        </w:tc>
        <w:tc>
          <w:tcPr>
            <w:tcW w:w="799" w:type="dxa"/>
            <w:vAlign w:val="center"/>
          </w:tcPr>
          <w:p>
            <w:pPr>
              <w:rPr>
                <w:rFonts w:cs="宋体"/>
                <w:sz w:val="21"/>
                <w:szCs w:val="21"/>
              </w:rPr>
            </w:pPr>
            <w:r>
              <w:rPr>
                <w:sz w:val="21"/>
                <w:szCs w:val="21"/>
              </w:rPr>
              <w:t>0.92</w:t>
            </w:r>
          </w:p>
        </w:tc>
        <w:tc>
          <w:tcPr>
            <w:tcW w:w="1265" w:type="dxa"/>
            <w:vAlign w:val="center"/>
          </w:tcPr>
          <w:p>
            <w:pPr>
              <w:rPr>
                <w:rFonts w:cs="宋体"/>
                <w:sz w:val="21"/>
                <w:szCs w:val="21"/>
              </w:rPr>
            </w:pPr>
            <w:r>
              <w:rPr>
                <w:sz w:val="21"/>
                <w:szCs w:val="21"/>
              </w:rPr>
              <w:t>0.0305</w:t>
            </w:r>
          </w:p>
        </w:tc>
        <w:tc>
          <w:tcPr>
            <w:tcW w:w="799" w:type="dxa"/>
            <w:vAlign w:val="center"/>
          </w:tcPr>
          <w:p>
            <w:pPr>
              <w:rPr>
                <w:rFonts w:cs="宋体"/>
                <w:sz w:val="21"/>
                <w:szCs w:val="21"/>
              </w:rPr>
            </w:pPr>
            <w:r>
              <w:rPr>
                <w:sz w:val="21"/>
                <w:szCs w:val="21"/>
              </w:rPr>
              <w:t>12.71</w:t>
            </w:r>
          </w:p>
        </w:tc>
        <w:tc>
          <w:tcPr>
            <w:tcW w:w="1325" w:type="dxa"/>
            <w:vAlign w:val="center"/>
          </w:tcPr>
          <w:p>
            <w:pPr>
              <w:rPr>
                <w:rFonts w:cs="宋体"/>
                <w:sz w:val="21"/>
                <w:szCs w:val="21"/>
              </w:rPr>
            </w:pPr>
            <w:r>
              <w:rPr>
                <w:sz w:val="21"/>
                <w:szCs w:val="21"/>
              </w:rPr>
              <w:t>0.0013</w:t>
            </w:r>
          </w:p>
        </w:tc>
        <w:tc>
          <w:tcPr>
            <w:tcW w:w="799" w:type="dxa"/>
            <w:vAlign w:val="center"/>
          </w:tcPr>
          <w:p>
            <w:pPr>
              <w:rPr>
                <w:rFonts w:cs="宋体"/>
                <w:sz w:val="21"/>
                <w:szCs w:val="21"/>
              </w:rPr>
            </w:pPr>
            <w:r>
              <w:rPr>
                <w:sz w:val="21"/>
                <w:szCs w:val="21"/>
              </w:rPr>
              <w:t>0.29</w:t>
            </w:r>
          </w:p>
        </w:tc>
        <w:tc>
          <w:tcPr>
            <w:tcW w:w="1325" w:type="dxa"/>
            <w:vAlign w:val="center"/>
          </w:tcPr>
          <w:p>
            <w:pPr>
              <w:rPr>
                <w:rFonts w:cs="宋体"/>
                <w:sz w:val="21"/>
                <w:szCs w:val="21"/>
              </w:rPr>
            </w:pPr>
            <w:r>
              <w:rPr>
                <w:sz w:val="21"/>
                <w:szCs w:val="21"/>
              </w:rPr>
              <w:t>0.0036</w:t>
            </w:r>
          </w:p>
        </w:tc>
        <w:tc>
          <w:tcPr>
            <w:tcW w:w="799" w:type="dxa"/>
            <w:vAlign w:val="center"/>
          </w:tcPr>
          <w:p>
            <w:pPr>
              <w:rPr>
                <w:rFonts w:cs="宋体"/>
                <w:sz w:val="21"/>
                <w:szCs w:val="21"/>
              </w:rPr>
            </w:pPr>
            <w:r>
              <w:rPr>
                <w:sz w:val="21"/>
                <w:szCs w:val="21"/>
              </w:rPr>
              <w:t>0.80</w:t>
            </w:r>
          </w:p>
        </w:tc>
        <w:tc>
          <w:tcPr>
            <w:tcW w:w="1265" w:type="dxa"/>
            <w:vAlign w:val="center"/>
          </w:tcPr>
          <w:p>
            <w:pPr>
              <w:rPr>
                <w:rFonts w:cs="宋体"/>
                <w:sz w:val="21"/>
                <w:szCs w:val="21"/>
              </w:rPr>
            </w:pPr>
            <w:r>
              <w:rPr>
                <w:sz w:val="21"/>
                <w:szCs w:val="21"/>
              </w:rPr>
              <w:t>0.0088</w:t>
            </w:r>
          </w:p>
        </w:tc>
        <w:tc>
          <w:tcPr>
            <w:tcW w:w="799" w:type="dxa"/>
            <w:vAlign w:val="center"/>
          </w:tcPr>
          <w:p>
            <w:pPr>
              <w:rPr>
                <w:rFonts w:cs="宋体"/>
                <w:sz w:val="21"/>
                <w:szCs w:val="21"/>
              </w:rPr>
            </w:pPr>
            <w:r>
              <w:rPr>
                <w:sz w:val="21"/>
                <w:szCs w:val="21"/>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9" w:type="dxa"/>
            <w:vAlign w:val="center"/>
          </w:tcPr>
          <w:p>
            <w:pPr>
              <w:rPr>
                <w:rFonts w:cs="宋体"/>
                <w:sz w:val="21"/>
                <w:szCs w:val="21"/>
              </w:rPr>
            </w:pPr>
            <w:r>
              <w:rPr>
                <w:sz w:val="21"/>
                <w:szCs w:val="21"/>
              </w:rPr>
              <w:t>600</w:t>
            </w:r>
          </w:p>
        </w:tc>
        <w:tc>
          <w:tcPr>
            <w:tcW w:w="1325" w:type="dxa"/>
            <w:vAlign w:val="center"/>
          </w:tcPr>
          <w:p>
            <w:pPr>
              <w:rPr>
                <w:rFonts w:cs="宋体"/>
                <w:sz w:val="21"/>
                <w:szCs w:val="21"/>
              </w:rPr>
            </w:pPr>
            <w:r>
              <w:rPr>
                <w:sz w:val="21"/>
                <w:szCs w:val="21"/>
              </w:rPr>
              <w:t>0.0112</w:t>
            </w:r>
          </w:p>
        </w:tc>
        <w:tc>
          <w:tcPr>
            <w:tcW w:w="799" w:type="dxa"/>
            <w:vAlign w:val="center"/>
          </w:tcPr>
          <w:p>
            <w:pPr>
              <w:rPr>
                <w:rFonts w:cs="宋体"/>
                <w:sz w:val="21"/>
                <w:szCs w:val="21"/>
              </w:rPr>
            </w:pPr>
            <w:r>
              <w:rPr>
                <w:sz w:val="21"/>
                <w:szCs w:val="21"/>
              </w:rPr>
              <w:t>2.23</w:t>
            </w:r>
          </w:p>
        </w:tc>
        <w:tc>
          <w:tcPr>
            <w:tcW w:w="1265" w:type="dxa"/>
            <w:vAlign w:val="center"/>
          </w:tcPr>
          <w:p>
            <w:pPr>
              <w:rPr>
                <w:rFonts w:cs="宋体"/>
                <w:sz w:val="21"/>
                <w:szCs w:val="21"/>
              </w:rPr>
            </w:pPr>
            <w:r>
              <w:rPr>
                <w:sz w:val="21"/>
                <w:szCs w:val="21"/>
              </w:rPr>
              <w:t>0.0740</w:t>
            </w:r>
          </w:p>
        </w:tc>
        <w:tc>
          <w:tcPr>
            <w:tcW w:w="799" w:type="dxa"/>
            <w:vAlign w:val="center"/>
          </w:tcPr>
          <w:p>
            <w:pPr>
              <w:rPr>
                <w:rFonts w:cs="宋体"/>
                <w:sz w:val="21"/>
                <w:szCs w:val="21"/>
              </w:rPr>
            </w:pPr>
            <w:r>
              <w:rPr>
                <w:sz w:val="21"/>
                <w:szCs w:val="21"/>
              </w:rPr>
              <w:t>30.85</w:t>
            </w:r>
          </w:p>
        </w:tc>
        <w:tc>
          <w:tcPr>
            <w:tcW w:w="1325" w:type="dxa"/>
            <w:vAlign w:val="center"/>
          </w:tcPr>
          <w:p>
            <w:pPr>
              <w:rPr>
                <w:rFonts w:cs="宋体"/>
                <w:sz w:val="21"/>
                <w:szCs w:val="21"/>
              </w:rPr>
            </w:pPr>
            <w:r>
              <w:rPr>
                <w:sz w:val="21"/>
                <w:szCs w:val="21"/>
              </w:rPr>
              <w:t>0.0032</w:t>
            </w:r>
          </w:p>
        </w:tc>
        <w:tc>
          <w:tcPr>
            <w:tcW w:w="799" w:type="dxa"/>
            <w:vAlign w:val="center"/>
          </w:tcPr>
          <w:p>
            <w:pPr>
              <w:rPr>
                <w:rFonts w:cs="宋体"/>
                <w:sz w:val="21"/>
                <w:szCs w:val="21"/>
              </w:rPr>
            </w:pPr>
            <w:r>
              <w:rPr>
                <w:sz w:val="21"/>
                <w:szCs w:val="21"/>
              </w:rPr>
              <w:t>0.71</w:t>
            </w:r>
          </w:p>
        </w:tc>
        <w:tc>
          <w:tcPr>
            <w:tcW w:w="1325" w:type="dxa"/>
            <w:vAlign w:val="center"/>
          </w:tcPr>
          <w:p>
            <w:pPr>
              <w:rPr>
                <w:rFonts w:cs="宋体"/>
                <w:sz w:val="21"/>
                <w:szCs w:val="21"/>
              </w:rPr>
            </w:pPr>
            <w:r>
              <w:rPr>
                <w:sz w:val="21"/>
                <w:szCs w:val="21"/>
              </w:rPr>
              <w:t>0.0048</w:t>
            </w:r>
          </w:p>
        </w:tc>
        <w:tc>
          <w:tcPr>
            <w:tcW w:w="799" w:type="dxa"/>
            <w:vAlign w:val="center"/>
          </w:tcPr>
          <w:p>
            <w:pPr>
              <w:rPr>
                <w:rFonts w:cs="宋体"/>
                <w:sz w:val="21"/>
                <w:szCs w:val="21"/>
              </w:rPr>
            </w:pPr>
            <w:r>
              <w:rPr>
                <w:sz w:val="21"/>
                <w:szCs w:val="21"/>
              </w:rPr>
              <w:t>1.06</w:t>
            </w:r>
          </w:p>
        </w:tc>
        <w:tc>
          <w:tcPr>
            <w:tcW w:w="1265" w:type="dxa"/>
            <w:vAlign w:val="center"/>
          </w:tcPr>
          <w:p>
            <w:pPr>
              <w:rPr>
                <w:rFonts w:cs="宋体"/>
                <w:sz w:val="21"/>
                <w:szCs w:val="21"/>
              </w:rPr>
            </w:pPr>
            <w:r>
              <w:rPr>
                <w:sz w:val="21"/>
                <w:szCs w:val="21"/>
              </w:rPr>
              <w:t>0.0085</w:t>
            </w:r>
          </w:p>
        </w:tc>
        <w:tc>
          <w:tcPr>
            <w:tcW w:w="799" w:type="dxa"/>
            <w:vAlign w:val="center"/>
          </w:tcPr>
          <w:p>
            <w:pPr>
              <w:rPr>
                <w:rFonts w:cs="宋体"/>
                <w:sz w:val="21"/>
                <w:szCs w:val="21"/>
              </w:rPr>
            </w:pPr>
            <w:r>
              <w:rPr>
                <w:sz w:val="21"/>
                <w:szCs w:val="21"/>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9" w:type="dxa"/>
            <w:vAlign w:val="top"/>
          </w:tcPr>
          <w:p>
            <w:pPr>
              <w:rPr>
                <w:sz w:val="21"/>
                <w:szCs w:val="21"/>
              </w:rPr>
            </w:pPr>
            <w:r>
              <w:rPr>
                <w:sz w:val="21"/>
                <w:szCs w:val="21"/>
              </w:rPr>
              <w:t>…</w:t>
            </w:r>
          </w:p>
        </w:tc>
        <w:tc>
          <w:tcPr>
            <w:tcW w:w="1325" w:type="dxa"/>
            <w:vAlign w:val="top"/>
          </w:tcPr>
          <w:p>
            <w:pPr>
              <w:rPr>
                <w:sz w:val="21"/>
                <w:szCs w:val="21"/>
              </w:rPr>
            </w:pPr>
            <w:r>
              <w:rPr>
                <w:sz w:val="21"/>
                <w:szCs w:val="21"/>
              </w:rPr>
              <w:t>…</w:t>
            </w:r>
          </w:p>
        </w:tc>
        <w:tc>
          <w:tcPr>
            <w:tcW w:w="799" w:type="dxa"/>
            <w:vAlign w:val="top"/>
          </w:tcPr>
          <w:p>
            <w:pPr>
              <w:rPr>
                <w:sz w:val="21"/>
                <w:szCs w:val="21"/>
              </w:rPr>
            </w:pPr>
            <w:r>
              <w:rPr>
                <w:sz w:val="21"/>
                <w:szCs w:val="21"/>
              </w:rPr>
              <w:t>…</w:t>
            </w:r>
          </w:p>
        </w:tc>
        <w:tc>
          <w:tcPr>
            <w:tcW w:w="1265" w:type="dxa"/>
            <w:vAlign w:val="top"/>
          </w:tcPr>
          <w:p>
            <w:pPr>
              <w:rPr>
                <w:sz w:val="21"/>
                <w:szCs w:val="21"/>
              </w:rPr>
            </w:pPr>
            <w:r>
              <w:rPr>
                <w:sz w:val="21"/>
                <w:szCs w:val="21"/>
              </w:rPr>
              <w:t>…</w:t>
            </w:r>
          </w:p>
        </w:tc>
        <w:tc>
          <w:tcPr>
            <w:tcW w:w="799" w:type="dxa"/>
            <w:vAlign w:val="top"/>
          </w:tcPr>
          <w:p>
            <w:pPr>
              <w:rPr>
                <w:sz w:val="21"/>
                <w:szCs w:val="21"/>
              </w:rPr>
            </w:pPr>
            <w:r>
              <w:rPr>
                <w:sz w:val="21"/>
                <w:szCs w:val="21"/>
              </w:rPr>
              <w:t>…</w:t>
            </w:r>
          </w:p>
        </w:tc>
        <w:tc>
          <w:tcPr>
            <w:tcW w:w="1325" w:type="dxa"/>
            <w:vAlign w:val="top"/>
          </w:tcPr>
          <w:p>
            <w:pPr>
              <w:rPr>
                <w:sz w:val="21"/>
                <w:szCs w:val="21"/>
              </w:rPr>
            </w:pPr>
            <w:r>
              <w:rPr>
                <w:sz w:val="21"/>
                <w:szCs w:val="21"/>
              </w:rPr>
              <w:t>…</w:t>
            </w:r>
          </w:p>
        </w:tc>
        <w:tc>
          <w:tcPr>
            <w:tcW w:w="799" w:type="dxa"/>
            <w:vAlign w:val="top"/>
          </w:tcPr>
          <w:p>
            <w:pPr>
              <w:rPr>
                <w:sz w:val="21"/>
                <w:szCs w:val="21"/>
              </w:rPr>
            </w:pPr>
            <w:r>
              <w:rPr>
                <w:sz w:val="21"/>
                <w:szCs w:val="21"/>
              </w:rPr>
              <w:t>…</w:t>
            </w:r>
          </w:p>
        </w:tc>
        <w:tc>
          <w:tcPr>
            <w:tcW w:w="1325" w:type="dxa"/>
            <w:vAlign w:val="top"/>
          </w:tcPr>
          <w:p>
            <w:pPr>
              <w:rPr>
                <w:sz w:val="21"/>
                <w:szCs w:val="21"/>
              </w:rPr>
            </w:pPr>
            <w:r>
              <w:rPr>
                <w:sz w:val="21"/>
                <w:szCs w:val="21"/>
              </w:rPr>
              <w:t>…</w:t>
            </w:r>
          </w:p>
        </w:tc>
        <w:tc>
          <w:tcPr>
            <w:tcW w:w="799" w:type="dxa"/>
            <w:vAlign w:val="top"/>
          </w:tcPr>
          <w:p>
            <w:pPr>
              <w:rPr>
                <w:sz w:val="21"/>
                <w:szCs w:val="21"/>
              </w:rPr>
            </w:pPr>
            <w:r>
              <w:rPr>
                <w:sz w:val="21"/>
                <w:szCs w:val="21"/>
              </w:rPr>
              <w:t>…</w:t>
            </w:r>
          </w:p>
        </w:tc>
        <w:tc>
          <w:tcPr>
            <w:tcW w:w="1265" w:type="dxa"/>
            <w:vAlign w:val="top"/>
          </w:tcPr>
          <w:p>
            <w:pPr>
              <w:rPr>
                <w:sz w:val="21"/>
                <w:szCs w:val="21"/>
              </w:rPr>
            </w:pPr>
            <w:r>
              <w:rPr>
                <w:sz w:val="21"/>
                <w:szCs w:val="21"/>
              </w:rPr>
              <w:t>…</w:t>
            </w:r>
          </w:p>
        </w:tc>
        <w:tc>
          <w:tcPr>
            <w:tcW w:w="799" w:type="dxa"/>
            <w:vAlign w:val="top"/>
          </w:tcPr>
          <w:p>
            <w:pP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9" w:type="dxa"/>
            <w:vAlign w:val="center"/>
          </w:tcPr>
          <w:p>
            <w:pPr>
              <w:rPr>
                <w:rFonts w:cs="宋体"/>
                <w:sz w:val="21"/>
                <w:szCs w:val="21"/>
              </w:rPr>
            </w:pPr>
            <w:r>
              <w:rPr>
                <w:sz w:val="21"/>
                <w:szCs w:val="21"/>
              </w:rPr>
              <w:t>900</w:t>
            </w:r>
          </w:p>
        </w:tc>
        <w:tc>
          <w:tcPr>
            <w:tcW w:w="1325" w:type="dxa"/>
            <w:vAlign w:val="center"/>
          </w:tcPr>
          <w:p>
            <w:pPr>
              <w:rPr>
                <w:rFonts w:cs="宋体"/>
                <w:sz w:val="21"/>
                <w:szCs w:val="21"/>
              </w:rPr>
            </w:pPr>
            <w:r>
              <w:rPr>
                <w:sz w:val="21"/>
                <w:szCs w:val="21"/>
              </w:rPr>
              <w:t>0.0222</w:t>
            </w:r>
          </w:p>
        </w:tc>
        <w:tc>
          <w:tcPr>
            <w:tcW w:w="799" w:type="dxa"/>
            <w:vAlign w:val="center"/>
          </w:tcPr>
          <w:p>
            <w:pPr>
              <w:rPr>
                <w:rFonts w:cs="宋体"/>
                <w:sz w:val="21"/>
                <w:szCs w:val="21"/>
              </w:rPr>
            </w:pPr>
            <w:r>
              <w:rPr>
                <w:sz w:val="21"/>
                <w:szCs w:val="21"/>
              </w:rPr>
              <w:t>4.43</w:t>
            </w:r>
          </w:p>
        </w:tc>
        <w:tc>
          <w:tcPr>
            <w:tcW w:w="1265" w:type="dxa"/>
            <w:vAlign w:val="center"/>
          </w:tcPr>
          <w:p>
            <w:pPr>
              <w:rPr>
                <w:rFonts w:cs="宋体"/>
                <w:sz w:val="21"/>
                <w:szCs w:val="21"/>
              </w:rPr>
            </w:pPr>
            <w:r>
              <w:rPr>
                <w:sz w:val="21"/>
                <w:szCs w:val="21"/>
              </w:rPr>
              <w:t>0.1472</w:t>
            </w:r>
          </w:p>
        </w:tc>
        <w:tc>
          <w:tcPr>
            <w:tcW w:w="799" w:type="dxa"/>
            <w:vAlign w:val="center"/>
          </w:tcPr>
          <w:p>
            <w:pPr>
              <w:rPr>
                <w:rFonts w:cs="宋体"/>
                <w:sz w:val="21"/>
                <w:szCs w:val="21"/>
              </w:rPr>
            </w:pPr>
            <w:r>
              <w:rPr>
                <w:sz w:val="21"/>
                <w:szCs w:val="21"/>
              </w:rPr>
              <w:t>61.33</w:t>
            </w:r>
          </w:p>
        </w:tc>
        <w:tc>
          <w:tcPr>
            <w:tcW w:w="1325" w:type="dxa"/>
            <w:vAlign w:val="center"/>
          </w:tcPr>
          <w:p>
            <w:pPr>
              <w:rPr>
                <w:rFonts w:cs="宋体"/>
                <w:sz w:val="21"/>
                <w:szCs w:val="21"/>
              </w:rPr>
            </w:pPr>
            <w:r>
              <w:rPr>
                <w:sz w:val="21"/>
                <w:szCs w:val="21"/>
              </w:rPr>
              <w:t>0.0063</w:t>
            </w:r>
          </w:p>
        </w:tc>
        <w:tc>
          <w:tcPr>
            <w:tcW w:w="799" w:type="dxa"/>
            <w:vAlign w:val="center"/>
          </w:tcPr>
          <w:p>
            <w:pPr>
              <w:rPr>
                <w:rFonts w:cs="宋体"/>
                <w:sz w:val="21"/>
                <w:szCs w:val="21"/>
              </w:rPr>
            </w:pPr>
            <w:r>
              <w:rPr>
                <w:sz w:val="21"/>
                <w:szCs w:val="21"/>
              </w:rPr>
              <w:t>1.40</w:t>
            </w:r>
          </w:p>
        </w:tc>
        <w:tc>
          <w:tcPr>
            <w:tcW w:w="1325" w:type="dxa"/>
            <w:vAlign w:val="center"/>
          </w:tcPr>
          <w:p>
            <w:pPr>
              <w:rPr>
                <w:rFonts w:cs="宋体"/>
                <w:sz w:val="21"/>
                <w:szCs w:val="21"/>
              </w:rPr>
            </w:pPr>
            <w:r>
              <w:rPr>
                <w:sz w:val="21"/>
                <w:szCs w:val="21"/>
              </w:rPr>
              <w:t>0.0063</w:t>
            </w:r>
          </w:p>
        </w:tc>
        <w:tc>
          <w:tcPr>
            <w:tcW w:w="799" w:type="dxa"/>
            <w:vAlign w:val="center"/>
          </w:tcPr>
          <w:p>
            <w:pPr>
              <w:rPr>
                <w:rFonts w:cs="宋体"/>
                <w:sz w:val="21"/>
                <w:szCs w:val="21"/>
              </w:rPr>
            </w:pPr>
            <w:r>
              <w:rPr>
                <w:sz w:val="21"/>
                <w:szCs w:val="21"/>
              </w:rPr>
              <w:t>1.41</w:t>
            </w:r>
          </w:p>
        </w:tc>
        <w:tc>
          <w:tcPr>
            <w:tcW w:w="1265" w:type="dxa"/>
            <w:vAlign w:val="center"/>
          </w:tcPr>
          <w:p>
            <w:pPr>
              <w:rPr>
                <w:rFonts w:cs="宋体"/>
                <w:sz w:val="21"/>
                <w:szCs w:val="21"/>
              </w:rPr>
            </w:pPr>
            <w:r>
              <w:rPr>
                <w:sz w:val="21"/>
                <w:szCs w:val="21"/>
              </w:rPr>
              <w:t>0.0095</w:t>
            </w:r>
          </w:p>
        </w:tc>
        <w:tc>
          <w:tcPr>
            <w:tcW w:w="799" w:type="dxa"/>
            <w:vAlign w:val="center"/>
          </w:tcPr>
          <w:p>
            <w:pPr>
              <w:rPr>
                <w:rFonts w:cs="宋体"/>
                <w:sz w:val="21"/>
                <w:szCs w:val="21"/>
              </w:rPr>
            </w:pPr>
            <w:r>
              <w:rPr>
                <w:sz w:val="21"/>
                <w:szCs w:val="21"/>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9" w:type="dxa"/>
            <w:vAlign w:val="center"/>
          </w:tcPr>
          <w:p>
            <w:pPr>
              <w:rPr>
                <w:rFonts w:cs="宋体"/>
                <w:sz w:val="21"/>
                <w:szCs w:val="21"/>
              </w:rPr>
            </w:pPr>
            <w:r>
              <w:rPr>
                <w:sz w:val="21"/>
                <w:szCs w:val="21"/>
              </w:rPr>
              <w:t>1000</w:t>
            </w:r>
          </w:p>
        </w:tc>
        <w:tc>
          <w:tcPr>
            <w:tcW w:w="1325" w:type="dxa"/>
            <w:vAlign w:val="center"/>
          </w:tcPr>
          <w:p>
            <w:pPr>
              <w:rPr>
                <w:rFonts w:cs="宋体"/>
                <w:sz w:val="21"/>
                <w:szCs w:val="21"/>
              </w:rPr>
            </w:pPr>
            <w:r>
              <w:rPr>
                <w:sz w:val="21"/>
                <w:szCs w:val="21"/>
              </w:rPr>
              <w:t>0.0240</w:t>
            </w:r>
          </w:p>
        </w:tc>
        <w:tc>
          <w:tcPr>
            <w:tcW w:w="799" w:type="dxa"/>
            <w:vAlign w:val="center"/>
          </w:tcPr>
          <w:p>
            <w:pPr>
              <w:rPr>
                <w:rFonts w:cs="宋体"/>
                <w:sz w:val="21"/>
                <w:szCs w:val="21"/>
              </w:rPr>
            </w:pPr>
            <w:r>
              <w:rPr>
                <w:sz w:val="21"/>
                <w:szCs w:val="21"/>
              </w:rPr>
              <w:t>4.80</w:t>
            </w:r>
          </w:p>
        </w:tc>
        <w:tc>
          <w:tcPr>
            <w:tcW w:w="1265" w:type="dxa"/>
            <w:vAlign w:val="center"/>
          </w:tcPr>
          <w:p>
            <w:pPr>
              <w:rPr>
                <w:rFonts w:cs="宋体"/>
                <w:sz w:val="21"/>
                <w:szCs w:val="21"/>
              </w:rPr>
            </w:pPr>
            <w:r>
              <w:rPr>
                <w:sz w:val="21"/>
                <w:szCs w:val="21"/>
              </w:rPr>
              <w:t>0.1593</w:t>
            </w:r>
          </w:p>
        </w:tc>
        <w:tc>
          <w:tcPr>
            <w:tcW w:w="799" w:type="dxa"/>
            <w:vAlign w:val="center"/>
          </w:tcPr>
          <w:p>
            <w:pPr>
              <w:rPr>
                <w:rFonts w:cs="宋体"/>
                <w:sz w:val="21"/>
                <w:szCs w:val="21"/>
              </w:rPr>
            </w:pPr>
            <w:r>
              <w:rPr>
                <w:sz w:val="21"/>
                <w:szCs w:val="21"/>
              </w:rPr>
              <w:t>66.38</w:t>
            </w:r>
          </w:p>
        </w:tc>
        <w:tc>
          <w:tcPr>
            <w:tcW w:w="1325" w:type="dxa"/>
            <w:vAlign w:val="center"/>
          </w:tcPr>
          <w:p>
            <w:pPr>
              <w:rPr>
                <w:rFonts w:cs="宋体"/>
                <w:sz w:val="21"/>
                <w:szCs w:val="21"/>
              </w:rPr>
            </w:pPr>
            <w:r>
              <w:rPr>
                <w:sz w:val="21"/>
                <w:szCs w:val="21"/>
              </w:rPr>
              <w:t>0.0068</w:t>
            </w:r>
          </w:p>
        </w:tc>
        <w:tc>
          <w:tcPr>
            <w:tcW w:w="799" w:type="dxa"/>
            <w:vAlign w:val="center"/>
          </w:tcPr>
          <w:p>
            <w:pPr>
              <w:rPr>
                <w:rFonts w:cs="宋体"/>
                <w:sz w:val="21"/>
                <w:szCs w:val="21"/>
              </w:rPr>
            </w:pPr>
            <w:r>
              <w:rPr>
                <w:sz w:val="21"/>
                <w:szCs w:val="21"/>
              </w:rPr>
              <w:t>1.52</w:t>
            </w:r>
          </w:p>
        </w:tc>
        <w:tc>
          <w:tcPr>
            <w:tcW w:w="1325" w:type="dxa"/>
            <w:vAlign w:val="center"/>
          </w:tcPr>
          <w:p>
            <w:pPr>
              <w:rPr>
                <w:rFonts w:cs="宋体"/>
                <w:sz w:val="21"/>
                <w:szCs w:val="21"/>
              </w:rPr>
            </w:pPr>
            <w:r>
              <w:rPr>
                <w:sz w:val="21"/>
                <w:szCs w:val="21"/>
              </w:rPr>
              <w:t>0.0065</w:t>
            </w:r>
          </w:p>
        </w:tc>
        <w:tc>
          <w:tcPr>
            <w:tcW w:w="799" w:type="dxa"/>
            <w:vAlign w:val="center"/>
          </w:tcPr>
          <w:p>
            <w:pPr>
              <w:rPr>
                <w:rFonts w:cs="宋体"/>
                <w:sz w:val="21"/>
                <w:szCs w:val="21"/>
              </w:rPr>
            </w:pPr>
            <w:r>
              <w:rPr>
                <w:sz w:val="21"/>
                <w:szCs w:val="21"/>
              </w:rPr>
              <w:t>1.45</w:t>
            </w:r>
          </w:p>
        </w:tc>
        <w:tc>
          <w:tcPr>
            <w:tcW w:w="1265" w:type="dxa"/>
            <w:vAlign w:val="center"/>
          </w:tcPr>
          <w:p>
            <w:pPr>
              <w:rPr>
                <w:rFonts w:cs="宋体"/>
                <w:sz w:val="21"/>
                <w:szCs w:val="21"/>
              </w:rPr>
            </w:pPr>
            <w:r>
              <w:rPr>
                <w:sz w:val="21"/>
                <w:szCs w:val="21"/>
              </w:rPr>
              <w:t>0.0087</w:t>
            </w:r>
          </w:p>
        </w:tc>
        <w:tc>
          <w:tcPr>
            <w:tcW w:w="799" w:type="dxa"/>
            <w:vAlign w:val="center"/>
          </w:tcPr>
          <w:p>
            <w:pPr>
              <w:rPr>
                <w:rFonts w:cs="宋体"/>
                <w:sz w:val="21"/>
                <w:szCs w:val="21"/>
              </w:rPr>
            </w:pPr>
            <w:r>
              <w:rPr>
                <w:sz w:val="21"/>
                <w:szCs w:val="21"/>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9" w:type="dxa"/>
            <w:vAlign w:val="center"/>
          </w:tcPr>
          <w:p>
            <w:pPr>
              <w:rPr>
                <w:rFonts w:cs="宋体"/>
                <w:sz w:val="21"/>
                <w:szCs w:val="21"/>
              </w:rPr>
            </w:pPr>
            <w:r>
              <w:rPr>
                <w:sz w:val="21"/>
                <w:szCs w:val="21"/>
              </w:rPr>
              <w:t>1100</w:t>
            </w:r>
          </w:p>
        </w:tc>
        <w:tc>
          <w:tcPr>
            <w:tcW w:w="1325" w:type="dxa"/>
            <w:vAlign w:val="center"/>
          </w:tcPr>
          <w:p>
            <w:pPr>
              <w:rPr>
                <w:rFonts w:cs="宋体"/>
                <w:sz w:val="21"/>
                <w:szCs w:val="21"/>
              </w:rPr>
            </w:pPr>
            <w:r>
              <w:rPr>
                <w:sz w:val="21"/>
                <w:szCs w:val="21"/>
              </w:rPr>
              <w:t>0.0236</w:t>
            </w:r>
          </w:p>
        </w:tc>
        <w:tc>
          <w:tcPr>
            <w:tcW w:w="799" w:type="dxa"/>
            <w:vAlign w:val="center"/>
          </w:tcPr>
          <w:p>
            <w:pPr>
              <w:rPr>
                <w:rFonts w:cs="宋体"/>
                <w:sz w:val="21"/>
                <w:szCs w:val="21"/>
              </w:rPr>
            </w:pPr>
            <w:r>
              <w:rPr>
                <w:sz w:val="21"/>
                <w:szCs w:val="21"/>
              </w:rPr>
              <w:t>4.72</w:t>
            </w:r>
          </w:p>
        </w:tc>
        <w:tc>
          <w:tcPr>
            <w:tcW w:w="1265" w:type="dxa"/>
            <w:vAlign w:val="center"/>
          </w:tcPr>
          <w:p>
            <w:pPr>
              <w:rPr>
                <w:rFonts w:cs="宋体"/>
                <w:sz w:val="21"/>
                <w:szCs w:val="21"/>
              </w:rPr>
            </w:pPr>
            <w:r>
              <w:rPr>
                <w:sz w:val="21"/>
                <w:szCs w:val="21"/>
              </w:rPr>
              <w:t>0.1566</w:t>
            </w:r>
          </w:p>
        </w:tc>
        <w:tc>
          <w:tcPr>
            <w:tcW w:w="799" w:type="dxa"/>
            <w:vAlign w:val="center"/>
          </w:tcPr>
          <w:p>
            <w:pPr>
              <w:rPr>
                <w:rFonts w:cs="宋体"/>
                <w:sz w:val="21"/>
                <w:szCs w:val="21"/>
              </w:rPr>
            </w:pPr>
            <w:r>
              <w:rPr>
                <w:sz w:val="21"/>
                <w:szCs w:val="21"/>
              </w:rPr>
              <w:t>65.25</w:t>
            </w:r>
          </w:p>
        </w:tc>
        <w:tc>
          <w:tcPr>
            <w:tcW w:w="1325" w:type="dxa"/>
            <w:vAlign w:val="center"/>
          </w:tcPr>
          <w:p>
            <w:pPr>
              <w:rPr>
                <w:rFonts w:cs="宋体"/>
                <w:sz w:val="21"/>
                <w:szCs w:val="21"/>
              </w:rPr>
            </w:pPr>
            <w:r>
              <w:rPr>
                <w:sz w:val="21"/>
                <w:szCs w:val="21"/>
              </w:rPr>
              <w:t>0.0067</w:t>
            </w:r>
          </w:p>
        </w:tc>
        <w:tc>
          <w:tcPr>
            <w:tcW w:w="799" w:type="dxa"/>
            <w:vAlign w:val="center"/>
          </w:tcPr>
          <w:p>
            <w:pPr>
              <w:rPr>
                <w:rFonts w:cs="宋体"/>
                <w:sz w:val="21"/>
                <w:szCs w:val="21"/>
              </w:rPr>
            </w:pPr>
            <w:r>
              <w:rPr>
                <w:sz w:val="21"/>
                <w:szCs w:val="21"/>
              </w:rPr>
              <w:t>1.49</w:t>
            </w:r>
          </w:p>
        </w:tc>
        <w:tc>
          <w:tcPr>
            <w:tcW w:w="1325" w:type="dxa"/>
            <w:vAlign w:val="center"/>
          </w:tcPr>
          <w:p>
            <w:pPr>
              <w:rPr>
                <w:rFonts w:cs="宋体"/>
                <w:sz w:val="21"/>
                <w:szCs w:val="21"/>
              </w:rPr>
            </w:pPr>
            <w:r>
              <w:rPr>
                <w:sz w:val="21"/>
                <w:szCs w:val="21"/>
              </w:rPr>
              <w:t>0.0063</w:t>
            </w:r>
          </w:p>
        </w:tc>
        <w:tc>
          <w:tcPr>
            <w:tcW w:w="799" w:type="dxa"/>
            <w:vAlign w:val="center"/>
          </w:tcPr>
          <w:p>
            <w:pPr>
              <w:rPr>
                <w:rFonts w:cs="宋体"/>
                <w:sz w:val="21"/>
                <w:szCs w:val="21"/>
              </w:rPr>
            </w:pPr>
            <w:r>
              <w:rPr>
                <w:sz w:val="21"/>
                <w:szCs w:val="21"/>
              </w:rPr>
              <w:t>1.40</w:t>
            </w:r>
          </w:p>
        </w:tc>
        <w:tc>
          <w:tcPr>
            <w:tcW w:w="1265" w:type="dxa"/>
            <w:vAlign w:val="center"/>
          </w:tcPr>
          <w:p>
            <w:pPr>
              <w:rPr>
                <w:rFonts w:cs="宋体"/>
                <w:sz w:val="21"/>
                <w:szCs w:val="21"/>
              </w:rPr>
            </w:pPr>
            <w:r>
              <w:rPr>
                <w:sz w:val="21"/>
                <w:szCs w:val="21"/>
              </w:rPr>
              <w:t>0.0081</w:t>
            </w:r>
          </w:p>
        </w:tc>
        <w:tc>
          <w:tcPr>
            <w:tcW w:w="799" w:type="dxa"/>
            <w:vAlign w:val="center"/>
          </w:tcPr>
          <w:p>
            <w:pPr>
              <w:rPr>
                <w:rFonts w:cs="宋体"/>
                <w:sz w:val="21"/>
                <w:szCs w:val="21"/>
              </w:rPr>
            </w:pPr>
            <w:r>
              <w:rPr>
                <w:sz w:val="21"/>
                <w:szCs w:val="21"/>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9" w:type="dxa"/>
            <w:vAlign w:val="center"/>
          </w:tcPr>
          <w:p>
            <w:pPr>
              <w:rPr>
                <w:rFonts w:cs="宋体"/>
                <w:sz w:val="21"/>
                <w:szCs w:val="21"/>
              </w:rPr>
            </w:pPr>
            <w:r>
              <w:rPr>
                <w:sz w:val="21"/>
                <w:szCs w:val="21"/>
              </w:rPr>
              <w:t>1200</w:t>
            </w:r>
          </w:p>
        </w:tc>
        <w:tc>
          <w:tcPr>
            <w:tcW w:w="1325" w:type="dxa"/>
            <w:vAlign w:val="center"/>
          </w:tcPr>
          <w:p>
            <w:pPr>
              <w:rPr>
                <w:rFonts w:cs="宋体"/>
                <w:sz w:val="21"/>
                <w:szCs w:val="21"/>
              </w:rPr>
            </w:pPr>
            <w:r>
              <w:rPr>
                <w:sz w:val="21"/>
                <w:szCs w:val="21"/>
              </w:rPr>
              <w:t>0.0224</w:t>
            </w:r>
          </w:p>
        </w:tc>
        <w:tc>
          <w:tcPr>
            <w:tcW w:w="799" w:type="dxa"/>
            <w:vAlign w:val="center"/>
          </w:tcPr>
          <w:p>
            <w:pPr>
              <w:rPr>
                <w:rFonts w:cs="宋体"/>
                <w:sz w:val="21"/>
                <w:szCs w:val="21"/>
              </w:rPr>
            </w:pPr>
            <w:r>
              <w:rPr>
                <w:sz w:val="21"/>
                <w:szCs w:val="21"/>
              </w:rPr>
              <w:t>4.48</w:t>
            </w:r>
          </w:p>
        </w:tc>
        <w:tc>
          <w:tcPr>
            <w:tcW w:w="1265" w:type="dxa"/>
            <w:vAlign w:val="center"/>
          </w:tcPr>
          <w:p>
            <w:pPr>
              <w:rPr>
                <w:rFonts w:cs="宋体"/>
                <w:sz w:val="21"/>
                <w:szCs w:val="21"/>
              </w:rPr>
            </w:pPr>
            <w:r>
              <w:rPr>
                <w:sz w:val="21"/>
                <w:szCs w:val="21"/>
              </w:rPr>
              <w:t>0.1489</w:t>
            </w:r>
          </w:p>
        </w:tc>
        <w:tc>
          <w:tcPr>
            <w:tcW w:w="799" w:type="dxa"/>
            <w:vAlign w:val="center"/>
          </w:tcPr>
          <w:p>
            <w:pPr>
              <w:rPr>
                <w:rFonts w:cs="宋体"/>
                <w:sz w:val="21"/>
                <w:szCs w:val="21"/>
              </w:rPr>
            </w:pPr>
            <w:r>
              <w:rPr>
                <w:sz w:val="21"/>
                <w:szCs w:val="21"/>
              </w:rPr>
              <w:t>62.04</w:t>
            </w:r>
          </w:p>
        </w:tc>
        <w:tc>
          <w:tcPr>
            <w:tcW w:w="1325" w:type="dxa"/>
            <w:vAlign w:val="center"/>
          </w:tcPr>
          <w:p>
            <w:pPr>
              <w:rPr>
                <w:rFonts w:cs="宋体"/>
                <w:sz w:val="21"/>
                <w:szCs w:val="21"/>
              </w:rPr>
            </w:pPr>
            <w:r>
              <w:rPr>
                <w:sz w:val="21"/>
                <w:szCs w:val="21"/>
              </w:rPr>
              <w:t>0.0064</w:t>
            </w:r>
          </w:p>
        </w:tc>
        <w:tc>
          <w:tcPr>
            <w:tcW w:w="799" w:type="dxa"/>
            <w:vAlign w:val="center"/>
          </w:tcPr>
          <w:p>
            <w:pPr>
              <w:rPr>
                <w:rFonts w:cs="宋体"/>
                <w:sz w:val="21"/>
                <w:szCs w:val="21"/>
              </w:rPr>
            </w:pPr>
            <w:r>
              <w:rPr>
                <w:sz w:val="21"/>
                <w:szCs w:val="21"/>
              </w:rPr>
              <w:t>1.42</w:t>
            </w:r>
          </w:p>
        </w:tc>
        <w:tc>
          <w:tcPr>
            <w:tcW w:w="1325" w:type="dxa"/>
            <w:vAlign w:val="center"/>
          </w:tcPr>
          <w:p>
            <w:pPr>
              <w:rPr>
                <w:rFonts w:cs="宋体"/>
                <w:sz w:val="21"/>
                <w:szCs w:val="21"/>
              </w:rPr>
            </w:pPr>
            <w:r>
              <w:rPr>
                <w:sz w:val="21"/>
                <w:szCs w:val="21"/>
              </w:rPr>
              <w:t>0.0060</w:t>
            </w:r>
          </w:p>
        </w:tc>
        <w:tc>
          <w:tcPr>
            <w:tcW w:w="799" w:type="dxa"/>
            <w:vAlign w:val="center"/>
          </w:tcPr>
          <w:p>
            <w:pPr>
              <w:rPr>
                <w:rFonts w:cs="宋体"/>
                <w:sz w:val="21"/>
                <w:szCs w:val="21"/>
              </w:rPr>
            </w:pPr>
            <w:r>
              <w:rPr>
                <w:sz w:val="21"/>
                <w:szCs w:val="21"/>
              </w:rPr>
              <w:t>1.32</w:t>
            </w:r>
          </w:p>
        </w:tc>
        <w:tc>
          <w:tcPr>
            <w:tcW w:w="1265" w:type="dxa"/>
            <w:vAlign w:val="center"/>
          </w:tcPr>
          <w:p>
            <w:pPr>
              <w:rPr>
                <w:rFonts w:cs="宋体"/>
                <w:sz w:val="21"/>
                <w:szCs w:val="21"/>
              </w:rPr>
            </w:pPr>
            <w:r>
              <w:rPr>
                <w:sz w:val="21"/>
                <w:szCs w:val="21"/>
              </w:rPr>
              <w:t>0.0075</w:t>
            </w:r>
          </w:p>
        </w:tc>
        <w:tc>
          <w:tcPr>
            <w:tcW w:w="799" w:type="dxa"/>
            <w:vAlign w:val="center"/>
          </w:tcPr>
          <w:p>
            <w:pPr>
              <w:rPr>
                <w:rFonts w:cs="宋体"/>
                <w:sz w:val="21"/>
                <w:szCs w:val="21"/>
              </w:rPr>
            </w:pPr>
            <w:r>
              <w:rPr>
                <w:sz w:val="21"/>
                <w:szCs w:val="21"/>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9" w:type="dxa"/>
            <w:vAlign w:val="top"/>
          </w:tcPr>
          <w:p>
            <w:pPr>
              <w:rPr>
                <w:sz w:val="21"/>
                <w:szCs w:val="21"/>
              </w:rPr>
            </w:pPr>
            <w:r>
              <w:rPr>
                <w:sz w:val="21"/>
                <w:szCs w:val="21"/>
              </w:rPr>
              <w:t>…</w:t>
            </w:r>
          </w:p>
        </w:tc>
        <w:tc>
          <w:tcPr>
            <w:tcW w:w="1325" w:type="dxa"/>
            <w:vAlign w:val="top"/>
          </w:tcPr>
          <w:p>
            <w:pPr>
              <w:rPr>
                <w:sz w:val="21"/>
                <w:szCs w:val="21"/>
              </w:rPr>
            </w:pPr>
            <w:r>
              <w:rPr>
                <w:sz w:val="21"/>
                <w:szCs w:val="21"/>
              </w:rPr>
              <w:t>…</w:t>
            </w:r>
          </w:p>
        </w:tc>
        <w:tc>
          <w:tcPr>
            <w:tcW w:w="799" w:type="dxa"/>
            <w:vAlign w:val="top"/>
          </w:tcPr>
          <w:p>
            <w:pPr>
              <w:rPr>
                <w:sz w:val="21"/>
                <w:szCs w:val="21"/>
              </w:rPr>
            </w:pPr>
            <w:r>
              <w:rPr>
                <w:sz w:val="21"/>
                <w:szCs w:val="21"/>
              </w:rPr>
              <w:t>…</w:t>
            </w:r>
          </w:p>
        </w:tc>
        <w:tc>
          <w:tcPr>
            <w:tcW w:w="1265" w:type="dxa"/>
            <w:vAlign w:val="top"/>
          </w:tcPr>
          <w:p>
            <w:pPr>
              <w:rPr>
                <w:sz w:val="21"/>
                <w:szCs w:val="21"/>
              </w:rPr>
            </w:pPr>
            <w:r>
              <w:rPr>
                <w:sz w:val="21"/>
                <w:szCs w:val="21"/>
              </w:rPr>
              <w:t>…</w:t>
            </w:r>
          </w:p>
        </w:tc>
        <w:tc>
          <w:tcPr>
            <w:tcW w:w="799" w:type="dxa"/>
            <w:vAlign w:val="top"/>
          </w:tcPr>
          <w:p>
            <w:pPr>
              <w:rPr>
                <w:sz w:val="21"/>
                <w:szCs w:val="21"/>
              </w:rPr>
            </w:pPr>
            <w:r>
              <w:rPr>
                <w:sz w:val="21"/>
                <w:szCs w:val="21"/>
              </w:rPr>
              <w:t>…</w:t>
            </w:r>
          </w:p>
        </w:tc>
        <w:tc>
          <w:tcPr>
            <w:tcW w:w="1325" w:type="dxa"/>
            <w:vAlign w:val="top"/>
          </w:tcPr>
          <w:p>
            <w:pPr>
              <w:rPr>
                <w:sz w:val="21"/>
                <w:szCs w:val="21"/>
              </w:rPr>
            </w:pPr>
            <w:r>
              <w:rPr>
                <w:sz w:val="21"/>
                <w:szCs w:val="21"/>
              </w:rPr>
              <w:t>…</w:t>
            </w:r>
          </w:p>
        </w:tc>
        <w:tc>
          <w:tcPr>
            <w:tcW w:w="799" w:type="dxa"/>
            <w:vAlign w:val="top"/>
          </w:tcPr>
          <w:p>
            <w:pPr>
              <w:rPr>
                <w:sz w:val="21"/>
                <w:szCs w:val="21"/>
              </w:rPr>
            </w:pPr>
            <w:r>
              <w:rPr>
                <w:sz w:val="21"/>
                <w:szCs w:val="21"/>
              </w:rPr>
              <w:t>…</w:t>
            </w:r>
          </w:p>
        </w:tc>
        <w:tc>
          <w:tcPr>
            <w:tcW w:w="1325" w:type="dxa"/>
            <w:vAlign w:val="top"/>
          </w:tcPr>
          <w:p>
            <w:pPr>
              <w:rPr>
                <w:sz w:val="21"/>
                <w:szCs w:val="21"/>
              </w:rPr>
            </w:pPr>
            <w:r>
              <w:rPr>
                <w:sz w:val="21"/>
                <w:szCs w:val="21"/>
              </w:rPr>
              <w:t>…</w:t>
            </w:r>
          </w:p>
        </w:tc>
        <w:tc>
          <w:tcPr>
            <w:tcW w:w="799" w:type="dxa"/>
            <w:vAlign w:val="top"/>
          </w:tcPr>
          <w:p>
            <w:pPr>
              <w:rPr>
                <w:sz w:val="21"/>
                <w:szCs w:val="21"/>
              </w:rPr>
            </w:pPr>
            <w:r>
              <w:rPr>
                <w:sz w:val="21"/>
                <w:szCs w:val="21"/>
              </w:rPr>
              <w:t>…</w:t>
            </w:r>
          </w:p>
        </w:tc>
        <w:tc>
          <w:tcPr>
            <w:tcW w:w="1265" w:type="dxa"/>
            <w:vAlign w:val="top"/>
          </w:tcPr>
          <w:p>
            <w:pPr>
              <w:rPr>
                <w:sz w:val="21"/>
                <w:szCs w:val="21"/>
              </w:rPr>
            </w:pPr>
            <w:r>
              <w:rPr>
                <w:sz w:val="21"/>
                <w:szCs w:val="21"/>
              </w:rPr>
              <w:t>…</w:t>
            </w:r>
          </w:p>
        </w:tc>
        <w:tc>
          <w:tcPr>
            <w:tcW w:w="799" w:type="dxa"/>
            <w:vAlign w:val="top"/>
          </w:tcPr>
          <w:p>
            <w:pP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9" w:type="dxa"/>
            <w:vAlign w:val="center"/>
          </w:tcPr>
          <w:p>
            <w:pPr>
              <w:rPr>
                <w:rFonts w:cs="宋体"/>
                <w:sz w:val="21"/>
                <w:szCs w:val="21"/>
              </w:rPr>
            </w:pPr>
            <w:r>
              <w:rPr>
                <w:sz w:val="21"/>
                <w:szCs w:val="21"/>
              </w:rPr>
              <w:t>4500</w:t>
            </w:r>
          </w:p>
        </w:tc>
        <w:tc>
          <w:tcPr>
            <w:tcW w:w="1325" w:type="dxa"/>
            <w:vAlign w:val="center"/>
          </w:tcPr>
          <w:p>
            <w:pPr>
              <w:rPr>
                <w:rFonts w:cs="宋体"/>
                <w:sz w:val="21"/>
                <w:szCs w:val="21"/>
              </w:rPr>
            </w:pPr>
            <w:r>
              <w:rPr>
                <w:sz w:val="21"/>
                <w:szCs w:val="21"/>
              </w:rPr>
              <w:t>0.0103</w:t>
            </w:r>
          </w:p>
        </w:tc>
        <w:tc>
          <w:tcPr>
            <w:tcW w:w="799" w:type="dxa"/>
            <w:vAlign w:val="center"/>
          </w:tcPr>
          <w:p>
            <w:pPr>
              <w:rPr>
                <w:rFonts w:cs="宋体"/>
                <w:sz w:val="21"/>
                <w:szCs w:val="21"/>
              </w:rPr>
            </w:pPr>
            <w:r>
              <w:rPr>
                <w:sz w:val="21"/>
                <w:szCs w:val="21"/>
              </w:rPr>
              <w:t>2.05</w:t>
            </w:r>
          </w:p>
        </w:tc>
        <w:tc>
          <w:tcPr>
            <w:tcW w:w="1265" w:type="dxa"/>
            <w:vAlign w:val="center"/>
          </w:tcPr>
          <w:p>
            <w:pPr>
              <w:rPr>
                <w:rFonts w:cs="宋体"/>
                <w:sz w:val="21"/>
                <w:szCs w:val="21"/>
              </w:rPr>
            </w:pPr>
            <w:r>
              <w:rPr>
                <w:sz w:val="21"/>
                <w:szCs w:val="21"/>
              </w:rPr>
              <w:t>0.0681</w:t>
            </w:r>
          </w:p>
        </w:tc>
        <w:tc>
          <w:tcPr>
            <w:tcW w:w="799" w:type="dxa"/>
            <w:vAlign w:val="center"/>
          </w:tcPr>
          <w:p>
            <w:pPr>
              <w:rPr>
                <w:rFonts w:cs="宋体"/>
                <w:sz w:val="21"/>
                <w:szCs w:val="21"/>
              </w:rPr>
            </w:pPr>
            <w:r>
              <w:rPr>
                <w:sz w:val="21"/>
                <w:szCs w:val="21"/>
              </w:rPr>
              <w:t>28.38</w:t>
            </w:r>
          </w:p>
        </w:tc>
        <w:tc>
          <w:tcPr>
            <w:tcW w:w="1325" w:type="dxa"/>
            <w:vAlign w:val="center"/>
          </w:tcPr>
          <w:p>
            <w:pPr>
              <w:rPr>
                <w:rFonts w:cs="宋体"/>
                <w:sz w:val="21"/>
                <w:szCs w:val="21"/>
              </w:rPr>
            </w:pPr>
            <w:r>
              <w:rPr>
                <w:sz w:val="21"/>
                <w:szCs w:val="21"/>
              </w:rPr>
              <w:t>0.0029</w:t>
            </w:r>
          </w:p>
        </w:tc>
        <w:tc>
          <w:tcPr>
            <w:tcW w:w="799" w:type="dxa"/>
            <w:vAlign w:val="center"/>
          </w:tcPr>
          <w:p>
            <w:pPr>
              <w:rPr>
                <w:rFonts w:cs="宋体"/>
                <w:sz w:val="21"/>
                <w:szCs w:val="21"/>
              </w:rPr>
            </w:pPr>
            <w:r>
              <w:rPr>
                <w:sz w:val="21"/>
                <w:szCs w:val="21"/>
              </w:rPr>
              <w:t>0.65</w:t>
            </w:r>
          </w:p>
        </w:tc>
        <w:tc>
          <w:tcPr>
            <w:tcW w:w="1325" w:type="dxa"/>
            <w:vAlign w:val="center"/>
          </w:tcPr>
          <w:p>
            <w:pPr>
              <w:rPr>
                <w:rFonts w:cs="宋体"/>
                <w:sz w:val="21"/>
                <w:szCs w:val="21"/>
              </w:rPr>
            </w:pPr>
            <w:r>
              <w:rPr>
                <w:sz w:val="21"/>
                <w:szCs w:val="21"/>
              </w:rPr>
              <w:t>0.0028</w:t>
            </w:r>
          </w:p>
        </w:tc>
        <w:tc>
          <w:tcPr>
            <w:tcW w:w="799" w:type="dxa"/>
            <w:vAlign w:val="center"/>
          </w:tcPr>
          <w:p>
            <w:pPr>
              <w:rPr>
                <w:rFonts w:cs="宋体"/>
                <w:sz w:val="21"/>
                <w:szCs w:val="21"/>
              </w:rPr>
            </w:pPr>
            <w:r>
              <w:rPr>
                <w:sz w:val="21"/>
                <w:szCs w:val="21"/>
              </w:rPr>
              <w:t>0.61</w:t>
            </w:r>
          </w:p>
        </w:tc>
        <w:tc>
          <w:tcPr>
            <w:tcW w:w="1265" w:type="dxa"/>
            <w:vAlign w:val="center"/>
          </w:tcPr>
          <w:p>
            <w:pPr>
              <w:rPr>
                <w:rFonts w:cs="宋体"/>
                <w:sz w:val="21"/>
                <w:szCs w:val="21"/>
              </w:rPr>
            </w:pPr>
            <w:r>
              <w:rPr>
                <w:sz w:val="21"/>
                <w:szCs w:val="21"/>
              </w:rPr>
              <w:t>0.0044</w:t>
            </w:r>
          </w:p>
        </w:tc>
        <w:tc>
          <w:tcPr>
            <w:tcW w:w="799" w:type="dxa"/>
            <w:vAlign w:val="center"/>
          </w:tcPr>
          <w:p>
            <w:pPr>
              <w:rPr>
                <w:rFonts w:cs="宋体"/>
                <w:sz w:val="21"/>
                <w:szCs w:val="21"/>
              </w:rPr>
            </w:pPr>
            <w:r>
              <w:rPr>
                <w:sz w:val="21"/>
                <w:szCs w:val="21"/>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9" w:type="dxa"/>
            <w:vAlign w:val="center"/>
          </w:tcPr>
          <w:p>
            <w:pPr>
              <w:rPr>
                <w:rFonts w:cs="宋体"/>
                <w:sz w:val="21"/>
                <w:szCs w:val="21"/>
              </w:rPr>
            </w:pPr>
            <w:r>
              <w:rPr>
                <w:sz w:val="21"/>
                <w:szCs w:val="21"/>
              </w:rPr>
              <w:t>5000</w:t>
            </w:r>
          </w:p>
        </w:tc>
        <w:tc>
          <w:tcPr>
            <w:tcW w:w="1325" w:type="dxa"/>
            <w:vAlign w:val="center"/>
          </w:tcPr>
          <w:p>
            <w:pPr>
              <w:rPr>
                <w:rFonts w:cs="宋体"/>
                <w:sz w:val="21"/>
                <w:szCs w:val="21"/>
              </w:rPr>
            </w:pPr>
            <w:r>
              <w:rPr>
                <w:sz w:val="21"/>
                <w:szCs w:val="21"/>
              </w:rPr>
              <w:t>0.0094</w:t>
            </w:r>
          </w:p>
        </w:tc>
        <w:tc>
          <w:tcPr>
            <w:tcW w:w="799" w:type="dxa"/>
            <w:vAlign w:val="center"/>
          </w:tcPr>
          <w:p>
            <w:pPr>
              <w:rPr>
                <w:rFonts w:cs="宋体"/>
                <w:sz w:val="21"/>
                <w:szCs w:val="21"/>
              </w:rPr>
            </w:pPr>
            <w:r>
              <w:rPr>
                <w:sz w:val="21"/>
                <w:szCs w:val="21"/>
              </w:rPr>
              <w:t>1.89</w:t>
            </w:r>
          </w:p>
        </w:tc>
        <w:tc>
          <w:tcPr>
            <w:tcW w:w="1265" w:type="dxa"/>
            <w:vAlign w:val="center"/>
          </w:tcPr>
          <w:p>
            <w:pPr>
              <w:rPr>
                <w:rFonts w:cs="宋体"/>
                <w:sz w:val="21"/>
                <w:szCs w:val="21"/>
              </w:rPr>
            </w:pPr>
            <w:r>
              <w:rPr>
                <w:sz w:val="21"/>
                <w:szCs w:val="21"/>
              </w:rPr>
              <w:t>0.0627</w:t>
            </w:r>
          </w:p>
        </w:tc>
        <w:tc>
          <w:tcPr>
            <w:tcW w:w="799" w:type="dxa"/>
            <w:vAlign w:val="center"/>
          </w:tcPr>
          <w:p>
            <w:pPr>
              <w:rPr>
                <w:rFonts w:cs="宋体"/>
                <w:sz w:val="21"/>
                <w:szCs w:val="21"/>
              </w:rPr>
            </w:pPr>
            <w:r>
              <w:rPr>
                <w:sz w:val="21"/>
                <w:szCs w:val="21"/>
              </w:rPr>
              <w:t>26.13</w:t>
            </w:r>
          </w:p>
        </w:tc>
        <w:tc>
          <w:tcPr>
            <w:tcW w:w="1325" w:type="dxa"/>
            <w:vAlign w:val="center"/>
          </w:tcPr>
          <w:p>
            <w:pPr>
              <w:rPr>
                <w:rFonts w:cs="宋体"/>
                <w:sz w:val="21"/>
                <w:szCs w:val="21"/>
              </w:rPr>
            </w:pPr>
            <w:r>
              <w:rPr>
                <w:sz w:val="21"/>
                <w:szCs w:val="21"/>
              </w:rPr>
              <w:t>0.0027</w:t>
            </w:r>
          </w:p>
        </w:tc>
        <w:tc>
          <w:tcPr>
            <w:tcW w:w="799" w:type="dxa"/>
            <w:vAlign w:val="center"/>
          </w:tcPr>
          <w:p>
            <w:pPr>
              <w:rPr>
                <w:rFonts w:cs="宋体"/>
                <w:sz w:val="21"/>
                <w:szCs w:val="21"/>
              </w:rPr>
            </w:pPr>
            <w:r>
              <w:rPr>
                <w:sz w:val="21"/>
                <w:szCs w:val="21"/>
              </w:rPr>
              <w:t>0.60</w:t>
            </w:r>
          </w:p>
        </w:tc>
        <w:tc>
          <w:tcPr>
            <w:tcW w:w="1325" w:type="dxa"/>
            <w:vAlign w:val="center"/>
          </w:tcPr>
          <w:p>
            <w:pPr>
              <w:rPr>
                <w:rFonts w:cs="宋体"/>
                <w:sz w:val="21"/>
                <w:szCs w:val="21"/>
              </w:rPr>
            </w:pPr>
            <w:r>
              <w:rPr>
                <w:sz w:val="21"/>
                <w:szCs w:val="21"/>
              </w:rPr>
              <w:t>0.0025</w:t>
            </w:r>
          </w:p>
        </w:tc>
        <w:tc>
          <w:tcPr>
            <w:tcW w:w="799" w:type="dxa"/>
            <w:vAlign w:val="center"/>
          </w:tcPr>
          <w:p>
            <w:pPr>
              <w:rPr>
                <w:rFonts w:cs="宋体"/>
                <w:sz w:val="21"/>
                <w:szCs w:val="21"/>
              </w:rPr>
            </w:pPr>
            <w:r>
              <w:rPr>
                <w:sz w:val="21"/>
                <w:szCs w:val="21"/>
              </w:rPr>
              <w:t>0.56</w:t>
            </w:r>
          </w:p>
        </w:tc>
        <w:tc>
          <w:tcPr>
            <w:tcW w:w="1265" w:type="dxa"/>
            <w:vAlign w:val="center"/>
          </w:tcPr>
          <w:p>
            <w:pPr>
              <w:rPr>
                <w:rFonts w:cs="宋体"/>
                <w:sz w:val="21"/>
                <w:szCs w:val="21"/>
              </w:rPr>
            </w:pPr>
            <w:r>
              <w:rPr>
                <w:sz w:val="21"/>
                <w:szCs w:val="21"/>
              </w:rPr>
              <w:t>0.0045</w:t>
            </w:r>
          </w:p>
        </w:tc>
        <w:tc>
          <w:tcPr>
            <w:tcW w:w="799" w:type="dxa"/>
            <w:vAlign w:val="center"/>
          </w:tcPr>
          <w:p>
            <w:pPr>
              <w:rPr>
                <w:rFonts w:cs="宋体"/>
                <w:sz w:val="21"/>
                <w:szCs w:val="21"/>
              </w:rPr>
            </w:pPr>
            <w:r>
              <w:rPr>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9" w:type="dxa"/>
            <w:vAlign w:val="center"/>
          </w:tcPr>
          <w:p>
            <w:pPr>
              <w:rPr>
                <w:rFonts w:cs="宋体"/>
                <w:sz w:val="21"/>
                <w:szCs w:val="21"/>
              </w:rPr>
            </w:pPr>
            <w:r>
              <w:rPr>
                <w:rFonts w:cs="宋体"/>
                <w:sz w:val="21"/>
                <w:szCs w:val="21"/>
              </w:rPr>
              <w:t>…</w:t>
            </w:r>
          </w:p>
        </w:tc>
        <w:tc>
          <w:tcPr>
            <w:tcW w:w="1325" w:type="dxa"/>
            <w:vAlign w:val="center"/>
          </w:tcPr>
          <w:p>
            <w:pPr>
              <w:rPr>
                <w:rFonts w:cs="宋体"/>
                <w:sz w:val="21"/>
                <w:szCs w:val="21"/>
              </w:rPr>
            </w:pPr>
            <w:r>
              <w:rPr>
                <w:rFonts w:cs="宋体"/>
                <w:sz w:val="21"/>
                <w:szCs w:val="21"/>
              </w:rPr>
              <w:t>…</w:t>
            </w:r>
          </w:p>
        </w:tc>
        <w:tc>
          <w:tcPr>
            <w:tcW w:w="799" w:type="dxa"/>
            <w:vAlign w:val="center"/>
          </w:tcPr>
          <w:p>
            <w:pPr>
              <w:rPr>
                <w:rFonts w:cs="宋体"/>
                <w:sz w:val="21"/>
                <w:szCs w:val="21"/>
              </w:rPr>
            </w:pPr>
            <w:r>
              <w:rPr>
                <w:rFonts w:cs="宋体"/>
                <w:sz w:val="21"/>
                <w:szCs w:val="21"/>
              </w:rPr>
              <w:t>…</w:t>
            </w:r>
          </w:p>
        </w:tc>
        <w:tc>
          <w:tcPr>
            <w:tcW w:w="1265" w:type="dxa"/>
            <w:vAlign w:val="center"/>
          </w:tcPr>
          <w:p>
            <w:pPr>
              <w:spacing w:line="240" w:lineRule="exact"/>
              <w:rPr>
                <w:sz w:val="21"/>
                <w:szCs w:val="21"/>
              </w:rPr>
            </w:pPr>
            <w:r>
              <w:rPr>
                <w:rFonts w:cs="宋体"/>
                <w:sz w:val="21"/>
                <w:szCs w:val="21"/>
              </w:rPr>
              <w:t>…</w:t>
            </w:r>
          </w:p>
        </w:tc>
        <w:tc>
          <w:tcPr>
            <w:tcW w:w="799" w:type="dxa"/>
            <w:vAlign w:val="center"/>
          </w:tcPr>
          <w:p>
            <w:pPr>
              <w:spacing w:line="240" w:lineRule="exact"/>
              <w:rPr>
                <w:sz w:val="21"/>
                <w:szCs w:val="21"/>
              </w:rPr>
            </w:pPr>
            <w:r>
              <w:rPr>
                <w:rFonts w:cs="宋体"/>
                <w:sz w:val="21"/>
                <w:szCs w:val="21"/>
              </w:rPr>
              <w:t>…</w:t>
            </w:r>
          </w:p>
        </w:tc>
        <w:tc>
          <w:tcPr>
            <w:tcW w:w="1325" w:type="dxa"/>
            <w:vAlign w:val="center"/>
          </w:tcPr>
          <w:p>
            <w:pPr>
              <w:spacing w:line="240" w:lineRule="exact"/>
              <w:rPr>
                <w:sz w:val="21"/>
                <w:szCs w:val="21"/>
              </w:rPr>
            </w:pPr>
            <w:r>
              <w:rPr>
                <w:rFonts w:cs="宋体"/>
                <w:sz w:val="21"/>
                <w:szCs w:val="21"/>
              </w:rPr>
              <w:t>…</w:t>
            </w:r>
          </w:p>
        </w:tc>
        <w:tc>
          <w:tcPr>
            <w:tcW w:w="799" w:type="dxa"/>
            <w:vAlign w:val="center"/>
          </w:tcPr>
          <w:p>
            <w:pPr>
              <w:spacing w:line="240" w:lineRule="exact"/>
              <w:rPr>
                <w:sz w:val="21"/>
                <w:szCs w:val="21"/>
              </w:rPr>
            </w:pPr>
            <w:r>
              <w:rPr>
                <w:rFonts w:cs="宋体"/>
                <w:sz w:val="21"/>
                <w:szCs w:val="21"/>
              </w:rPr>
              <w:t>…</w:t>
            </w:r>
          </w:p>
        </w:tc>
        <w:tc>
          <w:tcPr>
            <w:tcW w:w="1325" w:type="dxa"/>
            <w:vAlign w:val="center"/>
          </w:tcPr>
          <w:p>
            <w:pPr>
              <w:spacing w:line="240" w:lineRule="exact"/>
              <w:rPr>
                <w:sz w:val="21"/>
                <w:szCs w:val="21"/>
              </w:rPr>
            </w:pPr>
            <w:r>
              <w:rPr>
                <w:rFonts w:cs="宋体"/>
                <w:sz w:val="21"/>
                <w:szCs w:val="21"/>
              </w:rPr>
              <w:t>…</w:t>
            </w:r>
          </w:p>
        </w:tc>
        <w:tc>
          <w:tcPr>
            <w:tcW w:w="799" w:type="dxa"/>
            <w:vAlign w:val="center"/>
          </w:tcPr>
          <w:p>
            <w:pPr>
              <w:spacing w:line="240" w:lineRule="exact"/>
              <w:rPr>
                <w:sz w:val="21"/>
                <w:szCs w:val="21"/>
              </w:rPr>
            </w:pPr>
            <w:r>
              <w:rPr>
                <w:rFonts w:cs="宋体"/>
                <w:sz w:val="21"/>
                <w:szCs w:val="21"/>
              </w:rPr>
              <w:t>…</w:t>
            </w:r>
          </w:p>
        </w:tc>
        <w:tc>
          <w:tcPr>
            <w:tcW w:w="1265" w:type="dxa"/>
            <w:vAlign w:val="center"/>
          </w:tcPr>
          <w:p>
            <w:pPr>
              <w:spacing w:line="240" w:lineRule="exact"/>
              <w:rPr>
                <w:sz w:val="21"/>
                <w:szCs w:val="21"/>
              </w:rPr>
            </w:pPr>
            <w:r>
              <w:rPr>
                <w:rFonts w:cs="宋体"/>
                <w:sz w:val="21"/>
                <w:szCs w:val="21"/>
              </w:rPr>
              <w:t>…</w:t>
            </w:r>
          </w:p>
        </w:tc>
        <w:tc>
          <w:tcPr>
            <w:tcW w:w="799" w:type="dxa"/>
            <w:vAlign w:val="center"/>
          </w:tcPr>
          <w:p>
            <w:pPr>
              <w:spacing w:line="240" w:lineRule="exact"/>
              <w:rPr>
                <w:sz w:val="21"/>
                <w:szCs w:val="21"/>
              </w:rPr>
            </w:pPr>
            <w:r>
              <w:rPr>
                <w:rFonts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9" w:type="dxa"/>
            <w:vAlign w:val="center"/>
          </w:tcPr>
          <w:p>
            <w:pPr>
              <w:rPr>
                <w:rFonts w:cs="宋体"/>
                <w:sz w:val="21"/>
                <w:szCs w:val="21"/>
              </w:rPr>
            </w:pPr>
            <w:r>
              <w:rPr>
                <w:sz w:val="21"/>
                <w:szCs w:val="21"/>
              </w:rPr>
              <w:t>15000</w:t>
            </w:r>
          </w:p>
        </w:tc>
        <w:tc>
          <w:tcPr>
            <w:tcW w:w="1325" w:type="dxa"/>
            <w:vAlign w:val="center"/>
          </w:tcPr>
          <w:p>
            <w:pPr>
              <w:rPr>
                <w:rFonts w:cs="宋体"/>
                <w:sz w:val="21"/>
                <w:szCs w:val="21"/>
              </w:rPr>
            </w:pPr>
            <w:r>
              <w:rPr>
                <w:rFonts w:cs="宋体"/>
                <w:sz w:val="21"/>
                <w:szCs w:val="21"/>
              </w:rPr>
              <w:t>/</w:t>
            </w:r>
          </w:p>
        </w:tc>
        <w:tc>
          <w:tcPr>
            <w:tcW w:w="799" w:type="dxa"/>
            <w:vAlign w:val="center"/>
          </w:tcPr>
          <w:p>
            <w:pPr>
              <w:rPr>
                <w:rFonts w:cs="宋体"/>
                <w:sz w:val="21"/>
                <w:szCs w:val="21"/>
              </w:rPr>
            </w:pPr>
            <w:r>
              <w:rPr>
                <w:rFonts w:cs="宋体"/>
                <w:sz w:val="21"/>
                <w:szCs w:val="21"/>
              </w:rPr>
              <w:t>/</w:t>
            </w:r>
          </w:p>
        </w:tc>
        <w:tc>
          <w:tcPr>
            <w:tcW w:w="1265" w:type="dxa"/>
            <w:vAlign w:val="center"/>
          </w:tcPr>
          <w:p>
            <w:pPr>
              <w:rPr>
                <w:rFonts w:cs="宋体"/>
                <w:sz w:val="21"/>
                <w:szCs w:val="21"/>
              </w:rPr>
            </w:pPr>
            <w:r>
              <w:rPr>
                <w:sz w:val="21"/>
                <w:szCs w:val="21"/>
              </w:rPr>
              <w:t>0.0343</w:t>
            </w:r>
          </w:p>
        </w:tc>
        <w:tc>
          <w:tcPr>
            <w:tcW w:w="799" w:type="dxa"/>
            <w:vAlign w:val="center"/>
          </w:tcPr>
          <w:p>
            <w:pPr>
              <w:rPr>
                <w:rFonts w:cs="宋体"/>
                <w:sz w:val="21"/>
                <w:szCs w:val="21"/>
              </w:rPr>
            </w:pPr>
            <w:r>
              <w:rPr>
                <w:sz w:val="21"/>
                <w:szCs w:val="21"/>
              </w:rPr>
              <w:t>14.28</w:t>
            </w:r>
          </w:p>
        </w:tc>
        <w:tc>
          <w:tcPr>
            <w:tcW w:w="1325" w:type="dxa"/>
            <w:vAlign w:val="center"/>
          </w:tcPr>
          <w:p>
            <w:pPr>
              <w:rPr>
                <w:rFonts w:cs="宋体"/>
                <w:sz w:val="21"/>
                <w:szCs w:val="21"/>
              </w:rPr>
            </w:pPr>
            <w:r>
              <w:rPr>
                <w:rFonts w:cs="宋体"/>
                <w:sz w:val="21"/>
                <w:szCs w:val="21"/>
              </w:rPr>
              <w:t>/</w:t>
            </w:r>
          </w:p>
        </w:tc>
        <w:tc>
          <w:tcPr>
            <w:tcW w:w="799" w:type="dxa"/>
            <w:vAlign w:val="center"/>
          </w:tcPr>
          <w:p>
            <w:pPr>
              <w:rPr>
                <w:rFonts w:cs="宋体"/>
                <w:sz w:val="21"/>
                <w:szCs w:val="21"/>
              </w:rPr>
            </w:pPr>
            <w:r>
              <w:rPr>
                <w:rFonts w:cs="宋体"/>
                <w:sz w:val="21"/>
                <w:szCs w:val="21"/>
              </w:rPr>
              <w:t>/</w:t>
            </w:r>
          </w:p>
        </w:tc>
        <w:tc>
          <w:tcPr>
            <w:tcW w:w="1325" w:type="dxa"/>
            <w:vAlign w:val="center"/>
          </w:tcPr>
          <w:p>
            <w:pPr>
              <w:rPr>
                <w:rFonts w:cs="宋体"/>
                <w:sz w:val="21"/>
                <w:szCs w:val="21"/>
              </w:rPr>
            </w:pPr>
            <w:r>
              <w:rPr>
                <w:rFonts w:cs="宋体"/>
                <w:sz w:val="21"/>
                <w:szCs w:val="21"/>
              </w:rPr>
              <w:t>/</w:t>
            </w:r>
          </w:p>
        </w:tc>
        <w:tc>
          <w:tcPr>
            <w:tcW w:w="799" w:type="dxa"/>
            <w:vAlign w:val="center"/>
          </w:tcPr>
          <w:p>
            <w:pPr>
              <w:rPr>
                <w:rFonts w:cs="宋体"/>
                <w:sz w:val="21"/>
                <w:szCs w:val="21"/>
              </w:rPr>
            </w:pPr>
            <w:r>
              <w:rPr>
                <w:rFonts w:cs="宋体"/>
                <w:sz w:val="21"/>
                <w:szCs w:val="21"/>
              </w:rPr>
              <w:t>/</w:t>
            </w:r>
          </w:p>
        </w:tc>
        <w:tc>
          <w:tcPr>
            <w:tcW w:w="1265" w:type="dxa"/>
            <w:vAlign w:val="center"/>
          </w:tcPr>
          <w:p>
            <w:pPr>
              <w:rPr>
                <w:rFonts w:cs="宋体"/>
                <w:sz w:val="21"/>
                <w:szCs w:val="21"/>
              </w:rPr>
            </w:pPr>
            <w:r>
              <w:rPr>
                <w:rFonts w:cs="宋体"/>
                <w:sz w:val="21"/>
                <w:szCs w:val="21"/>
              </w:rPr>
              <w:t>/</w:t>
            </w:r>
          </w:p>
        </w:tc>
        <w:tc>
          <w:tcPr>
            <w:tcW w:w="799" w:type="dxa"/>
            <w:vAlign w:val="center"/>
          </w:tcPr>
          <w:p>
            <w:pPr>
              <w:rPr>
                <w:rFonts w:cs="宋体"/>
                <w:sz w:val="21"/>
                <w:szCs w:val="21"/>
              </w:rPr>
            </w:pPr>
            <w:r>
              <w:rPr>
                <w:rFonts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9" w:type="dxa"/>
            <w:vAlign w:val="center"/>
          </w:tcPr>
          <w:p>
            <w:pPr>
              <w:rPr>
                <w:rFonts w:cs="宋体"/>
                <w:sz w:val="21"/>
                <w:szCs w:val="21"/>
              </w:rPr>
            </w:pPr>
            <w:r>
              <w:rPr>
                <w:sz w:val="21"/>
                <w:szCs w:val="21"/>
              </w:rPr>
              <w:t>20000</w:t>
            </w:r>
          </w:p>
        </w:tc>
        <w:tc>
          <w:tcPr>
            <w:tcW w:w="1325" w:type="dxa"/>
            <w:vAlign w:val="center"/>
          </w:tcPr>
          <w:p>
            <w:pPr>
              <w:rPr>
                <w:rFonts w:cs="宋体"/>
                <w:sz w:val="21"/>
                <w:szCs w:val="21"/>
              </w:rPr>
            </w:pPr>
            <w:r>
              <w:rPr>
                <w:rFonts w:cs="宋体"/>
                <w:sz w:val="21"/>
                <w:szCs w:val="21"/>
              </w:rPr>
              <w:t>/</w:t>
            </w:r>
          </w:p>
        </w:tc>
        <w:tc>
          <w:tcPr>
            <w:tcW w:w="799" w:type="dxa"/>
            <w:vAlign w:val="center"/>
          </w:tcPr>
          <w:p>
            <w:pPr>
              <w:rPr>
                <w:rFonts w:cs="宋体"/>
                <w:sz w:val="21"/>
                <w:szCs w:val="21"/>
              </w:rPr>
            </w:pPr>
            <w:r>
              <w:rPr>
                <w:rFonts w:cs="宋体"/>
                <w:sz w:val="21"/>
                <w:szCs w:val="21"/>
              </w:rPr>
              <w:t>/</w:t>
            </w:r>
          </w:p>
        </w:tc>
        <w:tc>
          <w:tcPr>
            <w:tcW w:w="1265" w:type="dxa"/>
            <w:vAlign w:val="center"/>
          </w:tcPr>
          <w:p>
            <w:pPr>
              <w:rPr>
                <w:rFonts w:cs="宋体"/>
                <w:sz w:val="21"/>
                <w:szCs w:val="21"/>
              </w:rPr>
            </w:pPr>
            <w:r>
              <w:rPr>
                <w:sz w:val="21"/>
                <w:szCs w:val="21"/>
              </w:rPr>
              <w:t>0.0266</w:t>
            </w:r>
          </w:p>
        </w:tc>
        <w:tc>
          <w:tcPr>
            <w:tcW w:w="799" w:type="dxa"/>
            <w:vAlign w:val="center"/>
          </w:tcPr>
          <w:p>
            <w:pPr>
              <w:rPr>
                <w:rFonts w:cs="宋体"/>
                <w:sz w:val="21"/>
                <w:szCs w:val="21"/>
              </w:rPr>
            </w:pPr>
            <w:r>
              <w:rPr>
                <w:sz w:val="21"/>
                <w:szCs w:val="21"/>
              </w:rPr>
              <w:t>11.10</w:t>
            </w:r>
          </w:p>
        </w:tc>
        <w:tc>
          <w:tcPr>
            <w:tcW w:w="1325" w:type="dxa"/>
            <w:vAlign w:val="center"/>
          </w:tcPr>
          <w:p>
            <w:pPr>
              <w:rPr>
                <w:rFonts w:cs="宋体"/>
                <w:sz w:val="21"/>
                <w:szCs w:val="21"/>
              </w:rPr>
            </w:pPr>
            <w:r>
              <w:rPr>
                <w:rFonts w:cs="宋体"/>
                <w:sz w:val="21"/>
                <w:szCs w:val="21"/>
              </w:rPr>
              <w:t>/</w:t>
            </w:r>
          </w:p>
        </w:tc>
        <w:tc>
          <w:tcPr>
            <w:tcW w:w="799" w:type="dxa"/>
            <w:vAlign w:val="center"/>
          </w:tcPr>
          <w:p>
            <w:pPr>
              <w:rPr>
                <w:rFonts w:cs="宋体"/>
                <w:sz w:val="21"/>
                <w:szCs w:val="21"/>
              </w:rPr>
            </w:pPr>
            <w:r>
              <w:rPr>
                <w:rFonts w:cs="宋体"/>
                <w:sz w:val="21"/>
                <w:szCs w:val="21"/>
              </w:rPr>
              <w:t>/</w:t>
            </w:r>
          </w:p>
        </w:tc>
        <w:tc>
          <w:tcPr>
            <w:tcW w:w="1325" w:type="dxa"/>
            <w:vAlign w:val="center"/>
          </w:tcPr>
          <w:p>
            <w:pPr>
              <w:rPr>
                <w:rFonts w:cs="宋体"/>
                <w:sz w:val="21"/>
                <w:szCs w:val="21"/>
              </w:rPr>
            </w:pPr>
            <w:r>
              <w:rPr>
                <w:rFonts w:cs="宋体"/>
                <w:sz w:val="21"/>
                <w:szCs w:val="21"/>
              </w:rPr>
              <w:t>/</w:t>
            </w:r>
          </w:p>
        </w:tc>
        <w:tc>
          <w:tcPr>
            <w:tcW w:w="799" w:type="dxa"/>
            <w:vAlign w:val="center"/>
          </w:tcPr>
          <w:p>
            <w:pPr>
              <w:rPr>
                <w:rFonts w:cs="宋体"/>
                <w:sz w:val="21"/>
                <w:szCs w:val="21"/>
              </w:rPr>
            </w:pPr>
            <w:r>
              <w:rPr>
                <w:rFonts w:cs="宋体"/>
                <w:sz w:val="21"/>
                <w:szCs w:val="21"/>
              </w:rPr>
              <w:t>/</w:t>
            </w:r>
          </w:p>
        </w:tc>
        <w:tc>
          <w:tcPr>
            <w:tcW w:w="1265" w:type="dxa"/>
            <w:vAlign w:val="center"/>
          </w:tcPr>
          <w:p>
            <w:pPr>
              <w:rPr>
                <w:rFonts w:cs="宋体"/>
                <w:sz w:val="21"/>
                <w:szCs w:val="21"/>
              </w:rPr>
            </w:pPr>
            <w:r>
              <w:rPr>
                <w:rFonts w:cs="宋体"/>
                <w:sz w:val="21"/>
                <w:szCs w:val="21"/>
              </w:rPr>
              <w:t>/</w:t>
            </w:r>
          </w:p>
        </w:tc>
        <w:tc>
          <w:tcPr>
            <w:tcW w:w="799" w:type="dxa"/>
            <w:vAlign w:val="center"/>
          </w:tcPr>
          <w:p>
            <w:pPr>
              <w:rPr>
                <w:rFonts w:cs="宋体"/>
                <w:sz w:val="21"/>
                <w:szCs w:val="21"/>
              </w:rPr>
            </w:pPr>
            <w:r>
              <w:rPr>
                <w:rFonts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9" w:type="dxa"/>
            <w:vAlign w:val="center"/>
          </w:tcPr>
          <w:p>
            <w:pPr>
              <w:rPr>
                <w:rFonts w:cs="宋体"/>
                <w:sz w:val="21"/>
                <w:szCs w:val="21"/>
              </w:rPr>
            </w:pPr>
            <w:r>
              <w:rPr>
                <w:sz w:val="21"/>
                <w:szCs w:val="21"/>
              </w:rPr>
              <w:t>25000</w:t>
            </w:r>
          </w:p>
        </w:tc>
        <w:tc>
          <w:tcPr>
            <w:tcW w:w="1325" w:type="dxa"/>
            <w:vAlign w:val="center"/>
          </w:tcPr>
          <w:p>
            <w:pPr>
              <w:rPr>
                <w:rFonts w:cs="宋体"/>
                <w:sz w:val="21"/>
                <w:szCs w:val="21"/>
              </w:rPr>
            </w:pPr>
            <w:r>
              <w:rPr>
                <w:rFonts w:cs="宋体"/>
                <w:sz w:val="21"/>
                <w:szCs w:val="21"/>
              </w:rPr>
              <w:t>/</w:t>
            </w:r>
          </w:p>
        </w:tc>
        <w:tc>
          <w:tcPr>
            <w:tcW w:w="799" w:type="dxa"/>
            <w:vAlign w:val="center"/>
          </w:tcPr>
          <w:p>
            <w:pPr>
              <w:rPr>
                <w:rFonts w:cs="宋体"/>
                <w:sz w:val="21"/>
                <w:szCs w:val="21"/>
              </w:rPr>
            </w:pPr>
            <w:r>
              <w:rPr>
                <w:rFonts w:cs="宋体"/>
                <w:sz w:val="21"/>
                <w:szCs w:val="21"/>
              </w:rPr>
              <w:t>/</w:t>
            </w:r>
          </w:p>
        </w:tc>
        <w:tc>
          <w:tcPr>
            <w:tcW w:w="1265" w:type="dxa"/>
            <w:vAlign w:val="center"/>
          </w:tcPr>
          <w:p>
            <w:pPr>
              <w:rPr>
                <w:rFonts w:cs="宋体"/>
                <w:sz w:val="21"/>
                <w:szCs w:val="21"/>
              </w:rPr>
            </w:pPr>
            <w:r>
              <w:rPr>
                <w:sz w:val="21"/>
                <w:szCs w:val="21"/>
              </w:rPr>
              <w:t>0.0219</w:t>
            </w:r>
          </w:p>
        </w:tc>
        <w:tc>
          <w:tcPr>
            <w:tcW w:w="799" w:type="dxa"/>
            <w:vAlign w:val="center"/>
          </w:tcPr>
          <w:p>
            <w:pPr>
              <w:rPr>
                <w:rFonts w:cs="宋体"/>
                <w:sz w:val="21"/>
                <w:szCs w:val="21"/>
              </w:rPr>
            </w:pPr>
            <w:r>
              <w:rPr>
                <w:sz w:val="21"/>
                <w:szCs w:val="21"/>
              </w:rPr>
              <w:t>9.13</w:t>
            </w:r>
          </w:p>
        </w:tc>
        <w:tc>
          <w:tcPr>
            <w:tcW w:w="1325" w:type="dxa"/>
            <w:vAlign w:val="center"/>
          </w:tcPr>
          <w:p>
            <w:pPr>
              <w:rPr>
                <w:rFonts w:cs="宋体"/>
                <w:sz w:val="21"/>
                <w:szCs w:val="21"/>
              </w:rPr>
            </w:pPr>
            <w:r>
              <w:rPr>
                <w:rFonts w:cs="宋体"/>
                <w:sz w:val="21"/>
                <w:szCs w:val="21"/>
              </w:rPr>
              <w:t>/</w:t>
            </w:r>
          </w:p>
        </w:tc>
        <w:tc>
          <w:tcPr>
            <w:tcW w:w="799" w:type="dxa"/>
            <w:vAlign w:val="center"/>
          </w:tcPr>
          <w:p>
            <w:pPr>
              <w:rPr>
                <w:rFonts w:cs="宋体"/>
                <w:sz w:val="21"/>
                <w:szCs w:val="21"/>
              </w:rPr>
            </w:pPr>
            <w:r>
              <w:rPr>
                <w:rFonts w:cs="宋体"/>
                <w:sz w:val="21"/>
                <w:szCs w:val="21"/>
              </w:rPr>
              <w:t>/</w:t>
            </w:r>
          </w:p>
        </w:tc>
        <w:tc>
          <w:tcPr>
            <w:tcW w:w="1325" w:type="dxa"/>
            <w:vAlign w:val="center"/>
          </w:tcPr>
          <w:p>
            <w:pPr>
              <w:rPr>
                <w:rFonts w:cs="宋体"/>
                <w:sz w:val="21"/>
                <w:szCs w:val="21"/>
              </w:rPr>
            </w:pPr>
            <w:r>
              <w:rPr>
                <w:rFonts w:cs="宋体"/>
                <w:sz w:val="21"/>
                <w:szCs w:val="21"/>
              </w:rPr>
              <w:t>/</w:t>
            </w:r>
          </w:p>
        </w:tc>
        <w:tc>
          <w:tcPr>
            <w:tcW w:w="799" w:type="dxa"/>
            <w:vAlign w:val="center"/>
          </w:tcPr>
          <w:p>
            <w:pPr>
              <w:rPr>
                <w:rFonts w:cs="宋体"/>
                <w:sz w:val="21"/>
                <w:szCs w:val="21"/>
              </w:rPr>
            </w:pPr>
            <w:r>
              <w:rPr>
                <w:rFonts w:cs="宋体"/>
                <w:sz w:val="21"/>
                <w:szCs w:val="21"/>
              </w:rPr>
              <w:t>/</w:t>
            </w:r>
          </w:p>
        </w:tc>
        <w:tc>
          <w:tcPr>
            <w:tcW w:w="1265" w:type="dxa"/>
            <w:vAlign w:val="center"/>
          </w:tcPr>
          <w:p>
            <w:pPr>
              <w:rPr>
                <w:rFonts w:cs="宋体"/>
                <w:sz w:val="21"/>
                <w:szCs w:val="21"/>
              </w:rPr>
            </w:pPr>
            <w:r>
              <w:rPr>
                <w:rFonts w:cs="宋体"/>
                <w:sz w:val="21"/>
                <w:szCs w:val="21"/>
              </w:rPr>
              <w:t>/</w:t>
            </w:r>
          </w:p>
        </w:tc>
        <w:tc>
          <w:tcPr>
            <w:tcW w:w="799" w:type="dxa"/>
            <w:vAlign w:val="center"/>
          </w:tcPr>
          <w:p>
            <w:pPr>
              <w:rPr>
                <w:rFonts w:cs="宋体"/>
                <w:sz w:val="21"/>
                <w:szCs w:val="21"/>
              </w:rPr>
            </w:pPr>
            <w:r>
              <w:rPr>
                <w:rFonts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9" w:type="dxa"/>
            <w:vAlign w:val="center"/>
          </w:tcPr>
          <w:p>
            <w:pPr>
              <w:spacing w:line="240" w:lineRule="exact"/>
              <w:rPr>
                <w:sz w:val="21"/>
                <w:szCs w:val="21"/>
              </w:rPr>
            </w:pPr>
            <w:r>
              <w:rPr>
                <w:sz w:val="21"/>
                <w:szCs w:val="21"/>
              </w:rPr>
              <w:t>下风向最大浓度</w:t>
            </w:r>
          </w:p>
        </w:tc>
        <w:tc>
          <w:tcPr>
            <w:tcW w:w="1325" w:type="dxa"/>
            <w:vAlign w:val="center"/>
          </w:tcPr>
          <w:p>
            <w:pPr>
              <w:spacing w:line="240" w:lineRule="exact"/>
              <w:rPr>
                <w:sz w:val="21"/>
                <w:szCs w:val="21"/>
              </w:rPr>
            </w:pPr>
            <w:r>
              <w:rPr>
                <w:sz w:val="21"/>
                <w:szCs w:val="21"/>
              </w:rPr>
              <w:t>0.024</w:t>
            </w:r>
          </w:p>
        </w:tc>
        <w:tc>
          <w:tcPr>
            <w:tcW w:w="799" w:type="dxa"/>
            <w:vAlign w:val="center"/>
          </w:tcPr>
          <w:p>
            <w:pPr>
              <w:spacing w:line="240" w:lineRule="exact"/>
              <w:rPr>
                <w:sz w:val="21"/>
                <w:szCs w:val="21"/>
              </w:rPr>
            </w:pPr>
            <w:r>
              <w:rPr>
                <w:sz w:val="21"/>
                <w:szCs w:val="21"/>
              </w:rPr>
              <w:t>4.8%</w:t>
            </w:r>
          </w:p>
        </w:tc>
        <w:tc>
          <w:tcPr>
            <w:tcW w:w="1265" w:type="dxa"/>
            <w:vAlign w:val="center"/>
          </w:tcPr>
          <w:p>
            <w:pPr>
              <w:spacing w:line="240" w:lineRule="exact"/>
              <w:rPr>
                <w:sz w:val="21"/>
                <w:szCs w:val="21"/>
              </w:rPr>
            </w:pPr>
            <w:r>
              <w:rPr>
                <w:sz w:val="21"/>
                <w:szCs w:val="21"/>
              </w:rPr>
              <w:t>0.1595</w:t>
            </w:r>
          </w:p>
        </w:tc>
        <w:tc>
          <w:tcPr>
            <w:tcW w:w="799" w:type="dxa"/>
            <w:vAlign w:val="center"/>
          </w:tcPr>
          <w:p>
            <w:pPr>
              <w:spacing w:line="240" w:lineRule="exact"/>
              <w:rPr>
                <w:sz w:val="21"/>
                <w:szCs w:val="21"/>
              </w:rPr>
            </w:pPr>
            <w:r>
              <w:rPr>
                <w:sz w:val="21"/>
                <w:szCs w:val="21"/>
              </w:rPr>
              <w:t>66.46</w:t>
            </w:r>
          </w:p>
        </w:tc>
        <w:tc>
          <w:tcPr>
            <w:tcW w:w="1325" w:type="dxa"/>
            <w:vAlign w:val="center"/>
          </w:tcPr>
          <w:p>
            <w:pPr>
              <w:spacing w:line="240" w:lineRule="exact"/>
              <w:rPr>
                <w:sz w:val="21"/>
                <w:szCs w:val="21"/>
              </w:rPr>
            </w:pPr>
            <w:r>
              <w:rPr>
                <w:sz w:val="21"/>
                <w:szCs w:val="21"/>
              </w:rPr>
              <w:t>0.0068</w:t>
            </w:r>
          </w:p>
        </w:tc>
        <w:tc>
          <w:tcPr>
            <w:tcW w:w="799" w:type="dxa"/>
            <w:vAlign w:val="center"/>
          </w:tcPr>
          <w:p>
            <w:pPr>
              <w:spacing w:line="240" w:lineRule="exact"/>
              <w:rPr>
                <w:sz w:val="21"/>
                <w:szCs w:val="21"/>
              </w:rPr>
            </w:pPr>
            <w:r>
              <w:rPr>
                <w:sz w:val="21"/>
                <w:szCs w:val="21"/>
              </w:rPr>
              <w:t>1.51</w:t>
            </w:r>
          </w:p>
        </w:tc>
        <w:tc>
          <w:tcPr>
            <w:tcW w:w="1325" w:type="dxa"/>
            <w:vAlign w:val="center"/>
          </w:tcPr>
          <w:p>
            <w:pPr>
              <w:spacing w:line="240" w:lineRule="exact"/>
              <w:rPr>
                <w:sz w:val="21"/>
                <w:szCs w:val="21"/>
              </w:rPr>
            </w:pPr>
            <w:r>
              <w:rPr>
                <w:sz w:val="21"/>
                <w:szCs w:val="21"/>
              </w:rPr>
              <w:t>0.0065</w:t>
            </w:r>
          </w:p>
        </w:tc>
        <w:tc>
          <w:tcPr>
            <w:tcW w:w="799" w:type="dxa"/>
            <w:vAlign w:val="center"/>
          </w:tcPr>
          <w:p>
            <w:pPr>
              <w:spacing w:line="240" w:lineRule="exact"/>
              <w:rPr>
                <w:sz w:val="21"/>
                <w:szCs w:val="21"/>
              </w:rPr>
            </w:pPr>
            <w:r>
              <w:rPr>
                <w:sz w:val="21"/>
                <w:szCs w:val="21"/>
              </w:rPr>
              <w:t>1.44</w:t>
            </w:r>
          </w:p>
        </w:tc>
        <w:tc>
          <w:tcPr>
            <w:tcW w:w="1265" w:type="dxa"/>
            <w:vAlign w:val="center"/>
          </w:tcPr>
          <w:p>
            <w:pPr>
              <w:spacing w:line="240" w:lineRule="exact"/>
              <w:rPr>
                <w:sz w:val="21"/>
                <w:szCs w:val="21"/>
              </w:rPr>
            </w:pPr>
            <w:r>
              <w:rPr>
                <w:sz w:val="21"/>
                <w:szCs w:val="21"/>
              </w:rPr>
              <w:t>0.0104</w:t>
            </w:r>
          </w:p>
        </w:tc>
        <w:tc>
          <w:tcPr>
            <w:tcW w:w="799" w:type="dxa"/>
            <w:vAlign w:val="center"/>
          </w:tcPr>
          <w:p>
            <w:pPr>
              <w:spacing w:line="240" w:lineRule="exact"/>
              <w:rPr>
                <w:sz w:val="21"/>
                <w:szCs w:val="21"/>
              </w:rPr>
            </w:pPr>
            <w:r>
              <w:rPr>
                <w:sz w:val="21"/>
                <w:szCs w:val="21"/>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9" w:type="dxa"/>
            <w:vAlign w:val="center"/>
          </w:tcPr>
          <w:p>
            <w:pPr>
              <w:spacing w:line="240" w:lineRule="exact"/>
              <w:rPr>
                <w:sz w:val="21"/>
                <w:szCs w:val="21"/>
              </w:rPr>
            </w:pPr>
            <w:r>
              <w:rPr>
                <w:sz w:val="21"/>
                <w:szCs w:val="21"/>
              </w:rPr>
              <w:t>浓度占标准10%距源最远距离D</w:t>
            </w:r>
            <w:r>
              <w:rPr>
                <w:sz w:val="21"/>
                <w:szCs w:val="21"/>
                <w:vertAlign w:val="subscript"/>
              </w:rPr>
              <w:t>10%</w:t>
            </w:r>
            <w:r>
              <w:rPr>
                <w:sz w:val="21"/>
                <w:szCs w:val="21"/>
              </w:rPr>
              <w:t>（Km）</w:t>
            </w:r>
          </w:p>
        </w:tc>
        <w:tc>
          <w:tcPr>
            <w:tcW w:w="2124" w:type="dxa"/>
            <w:gridSpan w:val="2"/>
            <w:vAlign w:val="center"/>
          </w:tcPr>
          <w:p>
            <w:pPr>
              <w:spacing w:line="240" w:lineRule="exact"/>
              <w:rPr>
                <w:sz w:val="21"/>
                <w:szCs w:val="21"/>
              </w:rPr>
            </w:pPr>
            <w:r>
              <w:rPr>
                <w:sz w:val="21"/>
                <w:szCs w:val="21"/>
              </w:rPr>
              <w:t>/</w:t>
            </w:r>
          </w:p>
        </w:tc>
        <w:tc>
          <w:tcPr>
            <w:tcW w:w="2064" w:type="dxa"/>
            <w:gridSpan w:val="2"/>
            <w:vAlign w:val="center"/>
          </w:tcPr>
          <w:p>
            <w:pPr>
              <w:spacing w:line="240" w:lineRule="exact"/>
              <w:rPr>
                <w:sz w:val="21"/>
                <w:szCs w:val="21"/>
              </w:rPr>
            </w:pPr>
            <w:r>
              <w:rPr>
                <w:sz w:val="21"/>
                <w:szCs w:val="21"/>
              </w:rPr>
              <w:t>23</w:t>
            </w:r>
          </w:p>
        </w:tc>
        <w:tc>
          <w:tcPr>
            <w:tcW w:w="2124" w:type="dxa"/>
            <w:gridSpan w:val="2"/>
            <w:vAlign w:val="center"/>
          </w:tcPr>
          <w:p>
            <w:pPr>
              <w:spacing w:line="240" w:lineRule="exact"/>
              <w:rPr>
                <w:sz w:val="21"/>
                <w:szCs w:val="21"/>
              </w:rPr>
            </w:pPr>
            <w:r>
              <w:rPr>
                <w:sz w:val="21"/>
                <w:szCs w:val="21"/>
              </w:rPr>
              <w:t>/</w:t>
            </w:r>
          </w:p>
        </w:tc>
        <w:tc>
          <w:tcPr>
            <w:tcW w:w="2124" w:type="dxa"/>
            <w:gridSpan w:val="2"/>
            <w:vAlign w:val="center"/>
          </w:tcPr>
          <w:p>
            <w:pPr>
              <w:spacing w:line="240" w:lineRule="exact"/>
              <w:rPr>
                <w:sz w:val="21"/>
                <w:szCs w:val="21"/>
              </w:rPr>
            </w:pPr>
            <w:r>
              <w:rPr>
                <w:sz w:val="21"/>
                <w:szCs w:val="21"/>
              </w:rPr>
              <w:t>/</w:t>
            </w:r>
          </w:p>
        </w:tc>
        <w:tc>
          <w:tcPr>
            <w:tcW w:w="2064" w:type="dxa"/>
            <w:gridSpan w:val="2"/>
            <w:vAlign w:val="center"/>
          </w:tcPr>
          <w:p>
            <w:pPr>
              <w:spacing w:line="240" w:lineRule="exact"/>
              <w:rPr>
                <w:sz w:val="21"/>
                <w:szCs w:val="21"/>
              </w:rPr>
            </w:pPr>
            <w:r>
              <w:rPr>
                <w:sz w:val="21"/>
                <w:szCs w:val="21"/>
              </w:rPr>
              <w:t>/</w:t>
            </w:r>
          </w:p>
        </w:tc>
      </w:tr>
    </w:tbl>
    <w:p>
      <w:pPr>
        <w:rPr>
          <w:rFonts w:hint="eastAsia"/>
        </w:rPr>
      </w:pPr>
    </w:p>
    <w:p>
      <w:pPr>
        <w:spacing w:line="480" w:lineRule="exact"/>
        <w:ind w:firstLine="420" w:firstLineChars="200"/>
        <w:rPr>
          <w:rFonts w:hint="eastAsia" w:ascii="宋体" w:hAnsi="宋体"/>
        </w:rPr>
      </w:pPr>
    </w:p>
    <w:p>
      <w:pPr>
        <w:spacing w:line="480" w:lineRule="exact"/>
        <w:ind w:firstLine="420" w:firstLineChars="200"/>
        <w:rPr>
          <w:rFonts w:hint="eastAsia" w:ascii="宋体" w:hAnsi="宋体"/>
        </w:rPr>
      </w:pPr>
    </w:p>
    <w:p>
      <w:pPr>
        <w:spacing w:line="480" w:lineRule="exact"/>
        <w:ind w:firstLine="420" w:firstLineChars="200"/>
        <w:rPr>
          <w:rFonts w:ascii="宋体" w:hAnsi="宋体"/>
        </w:rPr>
        <w:sectPr>
          <w:pgSz w:w="16838" w:h="11906" w:orient="landscape"/>
          <w:pgMar w:top="1134" w:right="1418" w:bottom="1418" w:left="1418" w:header="851" w:footer="992" w:gutter="0"/>
          <w:paperSrc w:first="20070" w:other="20070"/>
          <w:cols w:space="425" w:num="1"/>
          <w:docGrid w:linePitch="312" w:charSpace="0"/>
        </w:sectPr>
      </w:pPr>
    </w:p>
    <w:p>
      <w:pPr>
        <w:pStyle w:val="28"/>
        <w:adjustRightInd/>
        <w:spacing w:line="360" w:lineRule="auto"/>
        <w:ind w:firstLine="480" w:firstLineChars="200"/>
        <w:rPr>
          <w:rFonts w:ascii="宋体" w:hAnsi="宋体"/>
          <w:kern w:val="2"/>
          <w:sz w:val="24"/>
          <w:szCs w:val="24"/>
        </w:rPr>
      </w:pPr>
      <w:r>
        <w:rPr>
          <w:rFonts w:hint="eastAsia" w:ascii="宋体" w:hAnsi="宋体"/>
          <w:kern w:val="2"/>
          <w:sz w:val="24"/>
          <w:szCs w:val="24"/>
        </w:rPr>
        <w:t>◆技改</w:t>
      </w:r>
      <w:r>
        <w:rPr>
          <w:rFonts w:ascii="宋体" w:hAnsi="宋体"/>
          <w:kern w:val="2"/>
          <w:sz w:val="24"/>
          <w:szCs w:val="24"/>
        </w:rPr>
        <w:t>项目外排废水</w:t>
      </w:r>
      <w:r>
        <w:rPr>
          <w:rFonts w:hint="eastAsia" w:ascii="宋体" w:hAnsi="宋体"/>
          <w:kern w:val="2"/>
          <w:sz w:val="24"/>
          <w:szCs w:val="24"/>
        </w:rPr>
        <w:t>主要为生活辅助设施废水</w:t>
      </w:r>
      <w:r>
        <w:rPr>
          <w:rFonts w:ascii="宋体" w:hAnsi="宋体"/>
          <w:kern w:val="2"/>
          <w:sz w:val="24"/>
          <w:szCs w:val="24"/>
        </w:rPr>
        <w:t>，</w:t>
      </w:r>
      <w:r>
        <w:rPr>
          <w:rFonts w:hint="eastAsia" w:ascii="宋体" w:hAnsi="宋体"/>
          <w:kern w:val="2"/>
          <w:sz w:val="24"/>
          <w:szCs w:val="24"/>
        </w:rPr>
        <w:t>对区域地表水不会造成影响</w:t>
      </w:r>
      <w:r>
        <w:rPr>
          <w:rFonts w:ascii="宋体" w:hAnsi="宋体"/>
          <w:kern w:val="2"/>
          <w:sz w:val="24"/>
          <w:szCs w:val="24"/>
        </w:rPr>
        <w:t>。</w:t>
      </w:r>
    </w:p>
    <w:p>
      <w:pPr>
        <w:pStyle w:val="28"/>
        <w:adjustRightInd/>
        <w:spacing w:line="360" w:lineRule="auto"/>
        <w:ind w:firstLine="480" w:firstLineChars="200"/>
        <w:rPr>
          <w:rFonts w:hint="eastAsia" w:ascii="宋体" w:hAnsi="宋体"/>
          <w:kern w:val="2"/>
          <w:sz w:val="24"/>
          <w:szCs w:val="24"/>
        </w:rPr>
      </w:pPr>
      <w:r>
        <w:rPr>
          <w:rFonts w:hint="eastAsia" w:ascii="宋体" w:hAnsi="宋体"/>
          <w:kern w:val="2"/>
          <w:sz w:val="24"/>
          <w:szCs w:val="24"/>
        </w:rPr>
        <w:t>◆技改</w:t>
      </w:r>
      <w:r>
        <w:rPr>
          <w:rFonts w:ascii="宋体" w:hAnsi="宋体"/>
          <w:kern w:val="2"/>
          <w:sz w:val="24"/>
          <w:szCs w:val="24"/>
        </w:rPr>
        <w:t>项目磨机、风机、破碎机、空压机等噪声设备对厂区周围声环境的影响</w:t>
      </w:r>
    </w:p>
    <w:p>
      <w:pPr>
        <w:pStyle w:val="28"/>
        <w:adjustRightInd/>
        <w:spacing w:line="360" w:lineRule="auto"/>
        <w:ind w:firstLine="480" w:firstLineChars="200"/>
        <w:rPr>
          <w:rFonts w:ascii="宋体" w:hAnsi="宋体"/>
          <w:kern w:val="2"/>
          <w:sz w:val="24"/>
          <w:szCs w:val="24"/>
        </w:rPr>
      </w:pPr>
      <w:r>
        <w:rPr>
          <w:rFonts w:hint="eastAsia" w:ascii="宋体" w:hAnsi="宋体"/>
          <w:kern w:val="2"/>
          <w:sz w:val="24"/>
          <w:szCs w:val="24"/>
        </w:rPr>
        <w:t>②</w:t>
      </w:r>
      <w:r>
        <w:rPr>
          <w:rFonts w:ascii="宋体" w:hAnsi="宋体"/>
          <w:kern w:val="2"/>
          <w:sz w:val="24"/>
          <w:szCs w:val="24"/>
        </w:rPr>
        <w:t>生态环境影响</w:t>
      </w:r>
    </w:p>
    <w:p>
      <w:pPr>
        <w:pStyle w:val="28"/>
        <w:adjustRightInd/>
        <w:spacing w:line="360" w:lineRule="auto"/>
        <w:ind w:firstLine="540"/>
        <w:rPr>
          <w:rFonts w:hint="eastAsia" w:ascii="宋体" w:hAnsi="宋体"/>
          <w:kern w:val="2"/>
          <w:sz w:val="24"/>
          <w:szCs w:val="24"/>
        </w:rPr>
      </w:pPr>
      <w:r>
        <w:rPr>
          <w:rFonts w:ascii="宋体" w:hAnsi="宋体"/>
          <w:kern w:val="2"/>
          <w:sz w:val="24"/>
          <w:szCs w:val="24"/>
        </w:rPr>
        <w:t>生态环境影响主要表现在</w:t>
      </w:r>
      <w:r>
        <w:rPr>
          <w:rFonts w:hint="eastAsia" w:ascii="宋体" w:hAnsi="宋体"/>
          <w:kern w:val="2"/>
          <w:sz w:val="24"/>
          <w:szCs w:val="24"/>
        </w:rPr>
        <w:t>SO</w:t>
      </w:r>
      <w:r>
        <w:rPr>
          <w:rFonts w:hint="eastAsia" w:ascii="宋体" w:hAnsi="宋体"/>
          <w:kern w:val="2"/>
          <w:sz w:val="24"/>
          <w:szCs w:val="24"/>
          <w:vertAlign w:val="subscript"/>
        </w:rPr>
        <w:t>2</w:t>
      </w:r>
      <w:r>
        <w:rPr>
          <w:rFonts w:hint="eastAsia" w:ascii="宋体" w:hAnsi="宋体"/>
          <w:kern w:val="2"/>
          <w:sz w:val="24"/>
          <w:szCs w:val="24"/>
        </w:rPr>
        <w:t>对周边</w:t>
      </w:r>
      <w:r>
        <w:rPr>
          <w:rFonts w:ascii="宋体" w:hAnsi="宋体"/>
          <w:kern w:val="2"/>
          <w:sz w:val="24"/>
          <w:szCs w:val="24"/>
        </w:rPr>
        <w:t>植被和</w:t>
      </w:r>
      <w:r>
        <w:rPr>
          <w:rFonts w:hint="eastAsia" w:ascii="宋体" w:hAnsi="宋体"/>
          <w:kern w:val="2"/>
          <w:sz w:val="24"/>
          <w:szCs w:val="24"/>
        </w:rPr>
        <w:t>农作物的影响、区域景观的影响。</w:t>
      </w:r>
    </w:p>
    <w:p>
      <w:pPr>
        <w:pStyle w:val="28"/>
        <w:adjustRightInd/>
        <w:spacing w:line="360" w:lineRule="auto"/>
        <w:ind w:firstLine="540"/>
        <w:rPr>
          <w:rFonts w:ascii="宋体" w:hAnsi="宋体"/>
          <w:kern w:val="2"/>
          <w:sz w:val="24"/>
          <w:szCs w:val="24"/>
        </w:rPr>
      </w:pPr>
      <w:r>
        <w:rPr>
          <w:rFonts w:hint="eastAsia" w:ascii="宋体" w:hAnsi="宋体"/>
          <w:kern w:val="2"/>
          <w:sz w:val="24"/>
          <w:szCs w:val="24"/>
        </w:rPr>
        <w:t>③</w:t>
      </w:r>
      <w:r>
        <w:rPr>
          <w:rFonts w:ascii="宋体" w:hAnsi="宋体"/>
          <w:kern w:val="2"/>
          <w:sz w:val="24"/>
          <w:szCs w:val="24"/>
        </w:rPr>
        <w:t>社会环境影响</w:t>
      </w:r>
    </w:p>
    <w:p>
      <w:pPr>
        <w:pStyle w:val="28"/>
        <w:adjustRightInd/>
        <w:spacing w:line="360" w:lineRule="auto"/>
        <w:ind w:firstLine="540"/>
        <w:rPr>
          <w:rFonts w:ascii="宋体" w:hAnsi="宋体"/>
          <w:kern w:val="2"/>
          <w:sz w:val="24"/>
          <w:szCs w:val="24"/>
        </w:rPr>
      </w:pPr>
      <w:r>
        <w:rPr>
          <w:rFonts w:ascii="宋体" w:hAnsi="宋体"/>
          <w:kern w:val="2"/>
          <w:sz w:val="24"/>
          <w:szCs w:val="24"/>
        </w:rPr>
        <w:t>项目建成后，</w:t>
      </w:r>
      <w:r>
        <w:rPr>
          <w:rFonts w:hint="eastAsia" w:ascii="宋体" w:hAnsi="宋体"/>
          <w:kern w:val="2"/>
          <w:sz w:val="24"/>
          <w:szCs w:val="24"/>
        </w:rPr>
        <w:t>区域经济发展、就业、居民收入等</w:t>
      </w:r>
      <w:r>
        <w:rPr>
          <w:rFonts w:ascii="宋体" w:hAnsi="宋体"/>
          <w:kern w:val="2"/>
          <w:sz w:val="24"/>
          <w:szCs w:val="24"/>
        </w:rPr>
        <w:t>。</w:t>
      </w:r>
    </w:p>
    <w:p>
      <w:pPr>
        <w:spacing w:before="24" w:beforeLines="10" w:after="24" w:afterLines="10" w:line="360" w:lineRule="auto"/>
        <w:rPr>
          <w:b/>
        </w:rPr>
      </w:pPr>
      <w:r>
        <w:rPr>
          <w:b/>
        </w:rPr>
        <w:t>1.</w:t>
      </w:r>
      <w:r>
        <w:rPr>
          <w:rFonts w:hint="eastAsia"/>
          <w:b/>
        </w:rPr>
        <w:t>8</w:t>
      </w:r>
      <w:r>
        <w:rPr>
          <w:b/>
        </w:rPr>
        <w:t>.2  环境影响因子识别和筛选</w:t>
      </w:r>
    </w:p>
    <w:p>
      <w:pPr>
        <w:pStyle w:val="28"/>
        <w:adjustRightInd/>
        <w:spacing w:line="360" w:lineRule="auto"/>
        <w:ind w:firstLine="420"/>
        <w:rPr>
          <w:rFonts w:ascii="宋体" w:hAnsi="宋体"/>
          <w:kern w:val="2"/>
          <w:sz w:val="24"/>
          <w:szCs w:val="24"/>
        </w:rPr>
      </w:pPr>
      <w:r>
        <w:rPr>
          <w:rFonts w:ascii="宋体" w:hAnsi="宋体"/>
          <w:kern w:val="2"/>
          <w:sz w:val="24"/>
          <w:szCs w:val="24"/>
        </w:rPr>
        <w:t>环境影响因子识别和筛选见表1-</w:t>
      </w:r>
      <w:r>
        <w:rPr>
          <w:rFonts w:hint="eastAsia" w:ascii="宋体" w:hAnsi="宋体"/>
          <w:kern w:val="2"/>
          <w:sz w:val="24"/>
          <w:szCs w:val="24"/>
        </w:rPr>
        <w:t>11</w:t>
      </w:r>
      <w:r>
        <w:rPr>
          <w:rFonts w:ascii="宋体" w:hAnsi="宋体"/>
          <w:kern w:val="2"/>
          <w:sz w:val="24"/>
          <w:szCs w:val="24"/>
        </w:rPr>
        <w:t>。</w:t>
      </w:r>
    </w:p>
    <w:p>
      <w:pPr>
        <w:jc w:val="center"/>
        <w:rPr>
          <w:b/>
        </w:rPr>
      </w:pPr>
      <w:r>
        <w:rPr>
          <w:rFonts w:hint="eastAsia"/>
          <w:b/>
        </w:rPr>
        <w:t>表1-11  环境影响因子识别筛选表</w:t>
      </w:r>
    </w:p>
    <w:tbl>
      <w:tblPr>
        <w:tblStyle w:val="21"/>
        <w:tblW w:w="928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7"/>
        <w:gridCol w:w="2673"/>
        <w:gridCol w:w="663"/>
        <w:gridCol w:w="550"/>
        <w:gridCol w:w="618"/>
        <w:gridCol w:w="600"/>
        <w:gridCol w:w="533"/>
        <w:gridCol w:w="550"/>
        <w:gridCol w:w="553"/>
        <w:gridCol w:w="618"/>
        <w:gridCol w:w="533"/>
        <w:gridCol w:w="6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77" w:type="dxa"/>
            <w:vMerge w:val="restart"/>
            <w:tcBorders>
              <w:top w:val="single" w:color="auto" w:sz="4" w:space="0"/>
              <w:left w:val="single" w:color="auto" w:sz="4" w:space="0"/>
            </w:tcBorders>
            <w:vAlign w:val="center"/>
          </w:tcPr>
          <w:p>
            <w:pPr>
              <w:pStyle w:val="28"/>
              <w:spacing w:line="400" w:lineRule="atLeast"/>
              <w:ind w:left="-63" w:leftChars="-30" w:right="-63" w:rightChars="-30"/>
              <w:rPr>
                <w:sz w:val="21"/>
                <w:szCs w:val="21"/>
              </w:rPr>
            </w:pPr>
            <w:r>
              <w:rPr>
                <w:rFonts w:hint="eastAsia"/>
                <w:sz w:val="21"/>
                <w:szCs w:val="21"/>
              </w:rPr>
              <w:t>时段</w:t>
            </w:r>
          </w:p>
        </w:tc>
        <w:tc>
          <w:tcPr>
            <w:tcW w:w="2673" w:type="dxa"/>
            <w:vMerge w:val="restart"/>
            <w:tcBorders>
              <w:top w:val="single" w:color="auto" w:sz="4" w:space="0"/>
              <w:tl2br w:val="single" w:color="auto" w:sz="4" w:space="0"/>
            </w:tcBorders>
            <w:vAlign w:val="top"/>
          </w:tcPr>
          <w:p>
            <w:pPr>
              <w:pStyle w:val="28"/>
              <w:spacing w:line="400" w:lineRule="atLeast"/>
              <w:ind w:left="-63" w:leftChars="-30" w:right="-63" w:rightChars="-30" w:firstLine="420"/>
              <w:jc w:val="right"/>
              <w:rPr>
                <w:sz w:val="21"/>
                <w:szCs w:val="21"/>
              </w:rPr>
            </w:pPr>
            <w:r>
              <w:rPr>
                <w:rFonts w:hint="eastAsia"/>
                <w:sz w:val="21"/>
                <w:szCs w:val="21"/>
              </w:rPr>
              <w:t>环境因子</w:t>
            </w:r>
          </w:p>
          <w:p>
            <w:pPr>
              <w:pStyle w:val="28"/>
              <w:spacing w:line="400" w:lineRule="atLeast"/>
              <w:ind w:left="-63" w:leftChars="-30" w:right="-63" w:rightChars="-30" w:firstLine="420"/>
              <w:rPr>
                <w:sz w:val="21"/>
                <w:szCs w:val="21"/>
              </w:rPr>
            </w:pPr>
          </w:p>
          <w:p>
            <w:pPr>
              <w:pStyle w:val="28"/>
              <w:spacing w:line="400" w:lineRule="atLeast"/>
              <w:ind w:left="-63" w:leftChars="-30" w:right="-63" w:rightChars="-30" w:firstLine="420"/>
              <w:rPr>
                <w:sz w:val="21"/>
                <w:szCs w:val="21"/>
              </w:rPr>
            </w:pPr>
            <w:r>
              <w:rPr>
                <w:rFonts w:hint="eastAsia"/>
                <w:sz w:val="21"/>
                <w:szCs w:val="21"/>
              </w:rPr>
              <w:t>设施</w:t>
            </w:r>
          </w:p>
        </w:tc>
        <w:tc>
          <w:tcPr>
            <w:tcW w:w="1831" w:type="dxa"/>
            <w:gridSpan w:val="3"/>
            <w:tcBorders>
              <w:top w:val="single" w:color="auto" w:sz="4" w:space="0"/>
            </w:tcBorders>
            <w:vAlign w:val="center"/>
          </w:tcPr>
          <w:p>
            <w:pPr>
              <w:pStyle w:val="28"/>
              <w:spacing w:line="400" w:lineRule="atLeast"/>
              <w:ind w:left="-63" w:leftChars="-30" w:right="-63" w:rightChars="-30" w:firstLine="420"/>
              <w:jc w:val="center"/>
              <w:rPr>
                <w:sz w:val="21"/>
                <w:szCs w:val="21"/>
              </w:rPr>
            </w:pPr>
            <w:r>
              <w:rPr>
                <w:rFonts w:hint="eastAsia"/>
                <w:sz w:val="21"/>
                <w:szCs w:val="21"/>
              </w:rPr>
              <w:t>生态环境</w:t>
            </w:r>
          </w:p>
        </w:tc>
        <w:tc>
          <w:tcPr>
            <w:tcW w:w="2236" w:type="dxa"/>
            <w:gridSpan w:val="4"/>
            <w:tcBorders>
              <w:top w:val="single" w:color="auto" w:sz="4" w:space="0"/>
            </w:tcBorders>
            <w:vAlign w:val="center"/>
          </w:tcPr>
          <w:p>
            <w:pPr>
              <w:pStyle w:val="28"/>
              <w:spacing w:line="400" w:lineRule="atLeast"/>
              <w:ind w:left="-63" w:leftChars="-30" w:right="-63" w:rightChars="-30" w:firstLine="420"/>
              <w:jc w:val="center"/>
              <w:rPr>
                <w:sz w:val="21"/>
                <w:szCs w:val="21"/>
              </w:rPr>
            </w:pPr>
            <w:r>
              <w:rPr>
                <w:rFonts w:hint="eastAsia"/>
                <w:sz w:val="21"/>
                <w:szCs w:val="21"/>
              </w:rPr>
              <w:t>自然环境</w:t>
            </w:r>
          </w:p>
        </w:tc>
        <w:tc>
          <w:tcPr>
            <w:tcW w:w="1769" w:type="dxa"/>
            <w:gridSpan w:val="3"/>
            <w:tcBorders>
              <w:top w:val="single" w:color="auto" w:sz="4" w:space="0"/>
              <w:right w:val="single" w:color="auto" w:sz="4" w:space="0"/>
            </w:tcBorders>
            <w:vAlign w:val="center"/>
          </w:tcPr>
          <w:p>
            <w:pPr>
              <w:pStyle w:val="28"/>
              <w:spacing w:line="400" w:lineRule="atLeast"/>
              <w:ind w:left="-63" w:leftChars="-30" w:right="-63" w:rightChars="-30" w:firstLine="420"/>
              <w:jc w:val="center"/>
              <w:rPr>
                <w:sz w:val="21"/>
                <w:szCs w:val="21"/>
              </w:rPr>
            </w:pPr>
            <w:r>
              <w:rPr>
                <w:rFonts w:hint="eastAsia"/>
                <w:sz w:val="21"/>
                <w:szCs w:val="21"/>
              </w:rPr>
              <w:t>社会经济环境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77" w:type="dxa"/>
            <w:vMerge w:val="continue"/>
            <w:tcBorders>
              <w:left w:val="single" w:color="auto" w:sz="4" w:space="0"/>
            </w:tcBorders>
            <w:vAlign w:val="top"/>
          </w:tcPr>
          <w:p>
            <w:pPr>
              <w:pStyle w:val="28"/>
              <w:spacing w:line="400" w:lineRule="atLeast"/>
              <w:ind w:left="-63" w:leftChars="-30" w:right="-63" w:rightChars="-30" w:firstLine="420"/>
              <w:rPr>
                <w:sz w:val="21"/>
                <w:szCs w:val="21"/>
              </w:rPr>
            </w:pPr>
          </w:p>
        </w:tc>
        <w:tc>
          <w:tcPr>
            <w:tcW w:w="2673" w:type="dxa"/>
            <w:vMerge w:val="continue"/>
            <w:tcBorders>
              <w:tl2br w:val="single" w:color="auto" w:sz="4" w:space="0"/>
            </w:tcBorders>
            <w:vAlign w:val="top"/>
          </w:tcPr>
          <w:p>
            <w:pPr>
              <w:pStyle w:val="28"/>
              <w:spacing w:line="400" w:lineRule="atLeast"/>
              <w:ind w:left="-63" w:leftChars="-30" w:right="-63" w:rightChars="-30" w:firstLine="420"/>
              <w:rPr>
                <w:sz w:val="21"/>
                <w:szCs w:val="21"/>
              </w:rPr>
            </w:pPr>
          </w:p>
        </w:tc>
        <w:tc>
          <w:tcPr>
            <w:tcW w:w="663" w:type="dxa"/>
            <w:vAlign w:val="center"/>
          </w:tcPr>
          <w:p>
            <w:pPr>
              <w:pStyle w:val="28"/>
              <w:spacing w:line="0" w:lineRule="atLeast"/>
              <w:ind w:left="-30" w:right="-63" w:rightChars="-30"/>
              <w:jc w:val="center"/>
              <w:rPr>
                <w:sz w:val="21"/>
                <w:szCs w:val="21"/>
              </w:rPr>
            </w:pPr>
            <w:r>
              <w:rPr>
                <w:rFonts w:hint="eastAsia"/>
                <w:sz w:val="21"/>
                <w:szCs w:val="21"/>
              </w:rPr>
              <w:t>植</w:t>
            </w:r>
          </w:p>
          <w:p>
            <w:pPr>
              <w:pStyle w:val="28"/>
              <w:spacing w:line="0" w:lineRule="atLeast"/>
              <w:ind w:left="-63" w:leftChars="-30" w:right="-63" w:rightChars="-30" w:firstLine="105" w:firstLineChars="50"/>
              <w:jc w:val="center"/>
              <w:rPr>
                <w:sz w:val="21"/>
                <w:szCs w:val="21"/>
              </w:rPr>
            </w:pPr>
            <w:r>
              <w:rPr>
                <w:rFonts w:hint="eastAsia"/>
                <w:sz w:val="21"/>
                <w:szCs w:val="21"/>
              </w:rPr>
              <w:t>物</w:t>
            </w:r>
          </w:p>
        </w:tc>
        <w:tc>
          <w:tcPr>
            <w:tcW w:w="550" w:type="dxa"/>
            <w:vAlign w:val="center"/>
          </w:tcPr>
          <w:p>
            <w:pPr>
              <w:pStyle w:val="28"/>
              <w:spacing w:line="0" w:lineRule="atLeast"/>
              <w:ind w:left="-63" w:leftChars="-30" w:right="-63" w:rightChars="-30"/>
              <w:jc w:val="center"/>
              <w:rPr>
                <w:sz w:val="21"/>
                <w:szCs w:val="21"/>
              </w:rPr>
            </w:pPr>
            <w:r>
              <w:rPr>
                <w:rFonts w:hint="eastAsia"/>
                <w:sz w:val="21"/>
                <w:szCs w:val="21"/>
              </w:rPr>
              <w:t>水</w:t>
            </w:r>
          </w:p>
          <w:p>
            <w:pPr>
              <w:pStyle w:val="28"/>
              <w:spacing w:line="0" w:lineRule="atLeast"/>
              <w:ind w:left="-63" w:leftChars="-30" w:right="-63" w:rightChars="-30"/>
              <w:jc w:val="center"/>
              <w:rPr>
                <w:sz w:val="21"/>
                <w:szCs w:val="21"/>
              </w:rPr>
            </w:pPr>
            <w:r>
              <w:rPr>
                <w:rFonts w:hint="eastAsia"/>
                <w:sz w:val="21"/>
                <w:szCs w:val="21"/>
              </w:rPr>
              <w:t>土</w:t>
            </w:r>
          </w:p>
          <w:p>
            <w:pPr>
              <w:pStyle w:val="28"/>
              <w:spacing w:line="0" w:lineRule="atLeast"/>
              <w:ind w:left="-63" w:leftChars="-30" w:right="-63" w:rightChars="-30"/>
              <w:jc w:val="center"/>
              <w:rPr>
                <w:sz w:val="21"/>
                <w:szCs w:val="21"/>
              </w:rPr>
            </w:pPr>
            <w:r>
              <w:rPr>
                <w:rFonts w:hint="eastAsia"/>
                <w:sz w:val="21"/>
                <w:szCs w:val="21"/>
              </w:rPr>
              <w:t>流</w:t>
            </w:r>
          </w:p>
          <w:p>
            <w:pPr>
              <w:pStyle w:val="28"/>
              <w:spacing w:line="0" w:lineRule="atLeast"/>
              <w:ind w:left="-63" w:leftChars="-30" w:right="-63" w:rightChars="-30"/>
              <w:jc w:val="center"/>
              <w:rPr>
                <w:sz w:val="21"/>
                <w:szCs w:val="21"/>
              </w:rPr>
            </w:pPr>
            <w:r>
              <w:rPr>
                <w:rFonts w:hint="eastAsia"/>
                <w:sz w:val="21"/>
                <w:szCs w:val="21"/>
              </w:rPr>
              <w:t>失</w:t>
            </w:r>
          </w:p>
        </w:tc>
        <w:tc>
          <w:tcPr>
            <w:tcW w:w="618" w:type="dxa"/>
            <w:vAlign w:val="center"/>
          </w:tcPr>
          <w:p>
            <w:pPr>
              <w:pStyle w:val="28"/>
              <w:spacing w:line="0" w:lineRule="atLeast"/>
              <w:ind w:left="-63" w:leftChars="-30" w:right="-63" w:rightChars="-30"/>
              <w:jc w:val="center"/>
              <w:rPr>
                <w:sz w:val="21"/>
                <w:szCs w:val="21"/>
              </w:rPr>
            </w:pPr>
            <w:r>
              <w:rPr>
                <w:rFonts w:hint="eastAsia"/>
                <w:sz w:val="21"/>
                <w:szCs w:val="21"/>
              </w:rPr>
              <w:t>景</w:t>
            </w:r>
          </w:p>
          <w:p>
            <w:pPr>
              <w:pStyle w:val="28"/>
              <w:spacing w:line="0" w:lineRule="atLeast"/>
              <w:ind w:left="-63" w:leftChars="-30" w:right="-63" w:rightChars="-30"/>
              <w:jc w:val="center"/>
              <w:rPr>
                <w:sz w:val="21"/>
                <w:szCs w:val="21"/>
              </w:rPr>
            </w:pPr>
            <w:r>
              <w:rPr>
                <w:rFonts w:hint="eastAsia"/>
                <w:sz w:val="21"/>
                <w:szCs w:val="21"/>
              </w:rPr>
              <w:t>观</w:t>
            </w:r>
          </w:p>
        </w:tc>
        <w:tc>
          <w:tcPr>
            <w:tcW w:w="600" w:type="dxa"/>
            <w:vAlign w:val="center"/>
          </w:tcPr>
          <w:p>
            <w:pPr>
              <w:pStyle w:val="28"/>
              <w:spacing w:line="0" w:lineRule="atLeast"/>
              <w:ind w:left="-63" w:leftChars="-30" w:right="-63" w:rightChars="-30"/>
              <w:jc w:val="center"/>
              <w:rPr>
                <w:sz w:val="21"/>
                <w:szCs w:val="21"/>
              </w:rPr>
            </w:pPr>
            <w:r>
              <w:rPr>
                <w:rFonts w:hint="eastAsia"/>
                <w:sz w:val="21"/>
                <w:szCs w:val="21"/>
              </w:rPr>
              <w:t>噪</w:t>
            </w:r>
          </w:p>
          <w:p>
            <w:pPr>
              <w:pStyle w:val="28"/>
              <w:spacing w:line="0" w:lineRule="atLeast"/>
              <w:ind w:left="-63" w:leftChars="-30" w:right="-63" w:rightChars="-30"/>
              <w:jc w:val="center"/>
              <w:rPr>
                <w:sz w:val="21"/>
                <w:szCs w:val="21"/>
              </w:rPr>
            </w:pPr>
            <w:r>
              <w:rPr>
                <w:rFonts w:hint="eastAsia"/>
                <w:sz w:val="21"/>
                <w:szCs w:val="21"/>
              </w:rPr>
              <w:t>声</w:t>
            </w:r>
          </w:p>
        </w:tc>
        <w:tc>
          <w:tcPr>
            <w:tcW w:w="533" w:type="dxa"/>
            <w:vAlign w:val="center"/>
          </w:tcPr>
          <w:p>
            <w:pPr>
              <w:pStyle w:val="28"/>
              <w:spacing w:line="0" w:lineRule="atLeast"/>
              <w:ind w:left="-63" w:leftChars="-30" w:right="-63" w:rightChars="-30"/>
              <w:jc w:val="center"/>
              <w:rPr>
                <w:sz w:val="21"/>
                <w:szCs w:val="21"/>
              </w:rPr>
            </w:pPr>
            <w:r>
              <w:rPr>
                <w:rFonts w:hint="eastAsia"/>
                <w:sz w:val="21"/>
                <w:szCs w:val="21"/>
              </w:rPr>
              <w:t>水</w:t>
            </w:r>
          </w:p>
          <w:p>
            <w:pPr>
              <w:pStyle w:val="28"/>
              <w:spacing w:line="0" w:lineRule="atLeast"/>
              <w:ind w:left="-63" w:leftChars="-30" w:right="-63" w:rightChars="-30"/>
              <w:jc w:val="center"/>
              <w:rPr>
                <w:sz w:val="21"/>
                <w:szCs w:val="21"/>
              </w:rPr>
            </w:pPr>
            <w:r>
              <w:rPr>
                <w:rFonts w:hint="eastAsia"/>
                <w:sz w:val="21"/>
                <w:szCs w:val="21"/>
              </w:rPr>
              <w:t>体</w:t>
            </w:r>
          </w:p>
        </w:tc>
        <w:tc>
          <w:tcPr>
            <w:tcW w:w="550" w:type="dxa"/>
            <w:vAlign w:val="center"/>
          </w:tcPr>
          <w:p>
            <w:pPr>
              <w:pStyle w:val="28"/>
              <w:spacing w:line="0" w:lineRule="atLeast"/>
              <w:ind w:left="-63" w:leftChars="-30" w:right="-63" w:rightChars="-30"/>
              <w:jc w:val="center"/>
              <w:rPr>
                <w:sz w:val="21"/>
                <w:szCs w:val="21"/>
              </w:rPr>
            </w:pPr>
            <w:r>
              <w:rPr>
                <w:rFonts w:hint="eastAsia"/>
                <w:sz w:val="21"/>
                <w:szCs w:val="21"/>
              </w:rPr>
              <w:t>大</w:t>
            </w:r>
          </w:p>
          <w:p>
            <w:pPr>
              <w:pStyle w:val="28"/>
              <w:spacing w:line="0" w:lineRule="atLeast"/>
              <w:ind w:left="-63" w:leftChars="-30" w:right="-63" w:rightChars="-30"/>
              <w:jc w:val="center"/>
              <w:rPr>
                <w:sz w:val="21"/>
                <w:szCs w:val="21"/>
              </w:rPr>
            </w:pPr>
            <w:r>
              <w:rPr>
                <w:rFonts w:hint="eastAsia"/>
                <w:sz w:val="21"/>
                <w:szCs w:val="21"/>
              </w:rPr>
              <w:t>气</w:t>
            </w:r>
          </w:p>
        </w:tc>
        <w:tc>
          <w:tcPr>
            <w:tcW w:w="553" w:type="dxa"/>
            <w:vAlign w:val="center"/>
          </w:tcPr>
          <w:p>
            <w:pPr>
              <w:pStyle w:val="28"/>
              <w:spacing w:line="0" w:lineRule="atLeast"/>
              <w:ind w:left="-63" w:leftChars="-30" w:right="-63" w:rightChars="-30"/>
              <w:jc w:val="center"/>
              <w:rPr>
                <w:sz w:val="21"/>
                <w:szCs w:val="21"/>
              </w:rPr>
            </w:pPr>
            <w:r>
              <w:rPr>
                <w:rFonts w:hint="eastAsia"/>
                <w:sz w:val="21"/>
                <w:szCs w:val="21"/>
              </w:rPr>
              <w:t>固</w:t>
            </w:r>
          </w:p>
          <w:p>
            <w:pPr>
              <w:pStyle w:val="28"/>
              <w:spacing w:line="0" w:lineRule="atLeast"/>
              <w:ind w:left="-63" w:leftChars="-30" w:right="-63" w:rightChars="-30"/>
              <w:jc w:val="center"/>
              <w:rPr>
                <w:sz w:val="21"/>
                <w:szCs w:val="21"/>
              </w:rPr>
            </w:pPr>
            <w:r>
              <w:rPr>
                <w:rFonts w:hint="eastAsia"/>
                <w:sz w:val="21"/>
                <w:szCs w:val="21"/>
              </w:rPr>
              <w:t>废</w:t>
            </w:r>
          </w:p>
          <w:p>
            <w:pPr>
              <w:pStyle w:val="28"/>
              <w:spacing w:line="0" w:lineRule="atLeast"/>
              <w:ind w:left="-63" w:leftChars="-30" w:right="-63" w:rightChars="-30"/>
              <w:jc w:val="center"/>
              <w:rPr>
                <w:sz w:val="21"/>
                <w:szCs w:val="21"/>
              </w:rPr>
            </w:pPr>
            <w:r>
              <w:rPr>
                <w:rFonts w:hint="eastAsia"/>
                <w:sz w:val="21"/>
                <w:szCs w:val="21"/>
              </w:rPr>
              <w:t>物</w:t>
            </w:r>
          </w:p>
        </w:tc>
        <w:tc>
          <w:tcPr>
            <w:tcW w:w="618" w:type="dxa"/>
            <w:vAlign w:val="center"/>
          </w:tcPr>
          <w:p>
            <w:pPr>
              <w:pStyle w:val="28"/>
              <w:spacing w:line="0" w:lineRule="atLeast"/>
              <w:ind w:left="-63" w:leftChars="-30" w:right="-63" w:rightChars="-30"/>
              <w:jc w:val="center"/>
              <w:rPr>
                <w:sz w:val="21"/>
                <w:szCs w:val="21"/>
              </w:rPr>
            </w:pPr>
            <w:r>
              <w:rPr>
                <w:rFonts w:hint="eastAsia"/>
                <w:sz w:val="21"/>
                <w:szCs w:val="21"/>
              </w:rPr>
              <w:t>工</w:t>
            </w:r>
          </w:p>
          <w:p>
            <w:pPr>
              <w:pStyle w:val="28"/>
              <w:spacing w:line="0" w:lineRule="atLeast"/>
              <w:ind w:left="-63" w:leftChars="-30" w:right="-63" w:rightChars="-30"/>
              <w:jc w:val="center"/>
              <w:rPr>
                <w:sz w:val="21"/>
                <w:szCs w:val="21"/>
              </w:rPr>
            </w:pPr>
            <w:r>
              <w:rPr>
                <w:rFonts w:hint="eastAsia"/>
                <w:sz w:val="21"/>
                <w:szCs w:val="21"/>
              </w:rPr>
              <w:t>业</w:t>
            </w:r>
          </w:p>
        </w:tc>
        <w:tc>
          <w:tcPr>
            <w:tcW w:w="533" w:type="dxa"/>
            <w:vAlign w:val="center"/>
          </w:tcPr>
          <w:p>
            <w:pPr>
              <w:pStyle w:val="28"/>
              <w:spacing w:line="0" w:lineRule="atLeast"/>
              <w:ind w:left="-63" w:leftChars="-30" w:right="-63" w:rightChars="-30"/>
              <w:jc w:val="center"/>
              <w:rPr>
                <w:sz w:val="21"/>
                <w:szCs w:val="21"/>
              </w:rPr>
            </w:pPr>
            <w:r>
              <w:rPr>
                <w:rFonts w:hint="eastAsia"/>
                <w:sz w:val="21"/>
                <w:szCs w:val="21"/>
              </w:rPr>
              <w:t>农</w:t>
            </w:r>
          </w:p>
          <w:p>
            <w:pPr>
              <w:pStyle w:val="28"/>
              <w:spacing w:line="0" w:lineRule="atLeast"/>
              <w:ind w:left="-63" w:leftChars="-30" w:right="-63" w:rightChars="-30"/>
              <w:jc w:val="center"/>
              <w:rPr>
                <w:sz w:val="21"/>
                <w:szCs w:val="21"/>
              </w:rPr>
            </w:pPr>
            <w:r>
              <w:rPr>
                <w:rFonts w:hint="eastAsia"/>
                <w:sz w:val="21"/>
                <w:szCs w:val="21"/>
              </w:rPr>
              <w:t>业</w:t>
            </w:r>
          </w:p>
        </w:tc>
        <w:tc>
          <w:tcPr>
            <w:tcW w:w="618" w:type="dxa"/>
            <w:tcBorders>
              <w:right w:val="single" w:color="auto" w:sz="4" w:space="0"/>
            </w:tcBorders>
            <w:vAlign w:val="center"/>
          </w:tcPr>
          <w:p>
            <w:pPr>
              <w:pStyle w:val="28"/>
              <w:spacing w:line="0" w:lineRule="atLeast"/>
              <w:ind w:left="-63" w:leftChars="-30" w:right="-63" w:rightChars="-30"/>
              <w:jc w:val="center"/>
              <w:rPr>
                <w:sz w:val="21"/>
                <w:szCs w:val="21"/>
              </w:rPr>
            </w:pPr>
            <w:r>
              <w:rPr>
                <w:rFonts w:hint="eastAsia"/>
                <w:sz w:val="21"/>
                <w:szCs w:val="21"/>
              </w:rPr>
              <w:t>人均收入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77" w:type="dxa"/>
            <w:tcBorders>
              <w:left w:val="single" w:color="auto" w:sz="4" w:space="0"/>
            </w:tcBorders>
            <w:vAlign w:val="center"/>
          </w:tcPr>
          <w:p>
            <w:pPr>
              <w:pStyle w:val="28"/>
              <w:spacing w:line="400" w:lineRule="atLeast"/>
              <w:ind w:left="-63" w:leftChars="-30" w:right="-63" w:rightChars="-30"/>
              <w:jc w:val="center"/>
              <w:rPr>
                <w:sz w:val="21"/>
                <w:szCs w:val="21"/>
              </w:rPr>
            </w:pPr>
            <w:r>
              <w:rPr>
                <w:rFonts w:hint="eastAsia"/>
                <w:sz w:val="21"/>
                <w:szCs w:val="21"/>
              </w:rPr>
              <w:t>施工期</w:t>
            </w:r>
          </w:p>
        </w:tc>
        <w:tc>
          <w:tcPr>
            <w:tcW w:w="2673" w:type="dxa"/>
            <w:vAlign w:val="center"/>
          </w:tcPr>
          <w:p>
            <w:pPr>
              <w:pStyle w:val="28"/>
              <w:spacing w:line="400" w:lineRule="atLeast"/>
              <w:ind w:left="-63" w:leftChars="-30" w:right="-63" w:rightChars="-30"/>
              <w:jc w:val="center"/>
              <w:rPr>
                <w:sz w:val="21"/>
                <w:szCs w:val="21"/>
              </w:rPr>
            </w:pPr>
            <w:r>
              <w:rPr>
                <w:rFonts w:hint="eastAsia"/>
                <w:sz w:val="21"/>
                <w:szCs w:val="21"/>
              </w:rPr>
              <w:t>厂区及其它设施建设</w:t>
            </w:r>
          </w:p>
        </w:tc>
        <w:tc>
          <w:tcPr>
            <w:tcW w:w="663" w:type="dxa"/>
            <w:vAlign w:val="center"/>
          </w:tcPr>
          <w:p>
            <w:pPr>
              <w:pStyle w:val="28"/>
              <w:spacing w:line="400" w:lineRule="atLeast"/>
              <w:ind w:left="-63" w:leftChars="-30" w:right="-63" w:rightChars="-30"/>
              <w:jc w:val="center"/>
              <w:rPr>
                <w:sz w:val="21"/>
                <w:szCs w:val="21"/>
              </w:rPr>
            </w:pPr>
            <w:r>
              <w:rPr>
                <w:rFonts w:hint="eastAsia"/>
                <w:sz w:val="21"/>
                <w:szCs w:val="21"/>
              </w:rPr>
              <w:t>-1L</w:t>
            </w:r>
          </w:p>
        </w:tc>
        <w:tc>
          <w:tcPr>
            <w:tcW w:w="550" w:type="dxa"/>
            <w:vAlign w:val="center"/>
          </w:tcPr>
          <w:p>
            <w:pPr>
              <w:pStyle w:val="28"/>
              <w:spacing w:line="400" w:lineRule="atLeast"/>
              <w:ind w:left="-63" w:leftChars="-30" w:right="-63" w:rightChars="-30"/>
              <w:jc w:val="center"/>
              <w:rPr>
                <w:sz w:val="21"/>
                <w:szCs w:val="21"/>
              </w:rPr>
            </w:pPr>
            <w:r>
              <w:rPr>
                <w:rFonts w:hint="eastAsia"/>
                <w:sz w:val="21"/>
                <w:szCs w:val="21"/>
              </w:rPr>
              <w:t>-1R</w:t>
            </w:r>
          </w:p>
        </w:tc>
        <w:tc>
          <w:tcPr>
            <w:tcW w:w="618" w:type="dxa"/>
            <w:vAlign w:val="center"/>
          </w:tcPr>
          <w:p>
            <w:pPr>
              <w:pStyle w:val="28"/>
              <w:spacing w:line="400" w:lineRule="atLeast"/>
              <w:ind w:left="-63" w:leftChars="-30" w:right="-63" w:rightChars="-30"/>
              <w:jc w:val="center"/>
              <w:rPr>
                <w:sz w:val="21"/>
                <w:szCs w:val="21"/>
              </w:rPr>
            </w:pPr>
            <w:r>
              <w:rPr>
                <w:rFonts w:hint="eastAsia"/>
                <w:sz w:val="21"/>
                <w:szCs w:val="21"/>
              </w:rPr>
              <w:t>+2R</w:t>
            </w:r>
          </w:p>
        </w:tc>
        <w:tc>
          <w:tcPr>
            <w:tcW w:w="600" w:type="dxa"/>
            <w:vAlign w:val="center"/>
          </w:tcPr>
          <w:p>
            <w:pPr>
              <w:pStyle w:val="28"/>
              <w:spacing w:line="400" w:lineRule="atLeast"/>
              <w:ind w:left="-63" w:leftChars="-30" w:right="-63" w:rightChars="-30"/>
              <w:jc w:val="center"/>
              <w:rPr>
                <w:sz w:val="21"/>
                <w:szCs w:val="21"/>
              </w:rPr>
            </w:pPr>
            <w:r>
              <w:rPr>
                <w:rFonts w:hint="eastAsia"/>
                <w:sz w:val="21"/>
                <w:szCs w:val="21"/>
              </w:rPr>
              <w:t>-3R</w:t>
            </w:r>
          </w:p>
        </w:tc>
        <w:tc>
          <w:tcPr>
            <w:tcW w:w="533" w:type="dxa"/>
            <w:vAlign w:val="center"/>
          </w:tcPr>
          <w:p>
            <w:pPr>
              <w:pStyle w:val="28"/>
              <w:spacing w:line="400" w:lineRule="atLeast"/>
              <w:ind w:left="-63" w:leftChars="-30" w:right="-63" w:rightChars="-30"/>
              <w:jc w:val="center"/>
              <w:rPr>
                <w:sz w:val="21"/>
                <w:szCs w:val="21"/>
              </w:rPr>
            </w:pPr>
            <w:r>
              <w:rPr>
                <w:rFonts w:hint="eastAsia"/>
                <w:sz w:val="21"/>
                <w:szCs w:val="21"/>
              </w:rPr>
              <w:t>-1L</w:t>
            </w:r>
          </w:p>
        </w:tc>
        <w:tc>
          <w:tcPr>
            <w:tcW w:w="550" w:type="dxa"/>
            <w:vAlign w:val="center"/>
          </w:tcPr>
          <w:p>
            <w:pPr>
              <w:pStyle w:val="28"/>
              <w:spacing w:line="400" w:lineRule="atLeast"/>
              <w:ind w:left="-63" w:leftChars="-30" w:right="-63" w:rightChars="-30"/>
              <w:jc w:val="center"/>
              <w:rPr>
                <w:sz w:val="21"/>
                <w:szCs w:val="21"/>
              </w:rPr>
            </w:pPr>
            <w:r>
              <w:rPr>
                <w:rFonts w:hint="eastAsia"/>
                <w:sz w:val="21"/>
                <w:szCs w:val="21"/>
              </w:rPr>
              <w:t>-2L</w:t>
            </w:r>
          </w:p>
        </w:tc>
        <w:tc>
          <w:tcPr>
            <w:tcW w:w="553" w:type="dxa"/>
            <w:vAlign w:val="center"/>
          </w:tcPr>
          <w:p>
            <w:pPr>
              <w:pStyle w:val="28"/>
              <w:spacing w:line="400" w:lineRule="atLeast"/>
              <w:ind w:left="-63" w:leftChars="-30" w:right="-63" w:rightChars="-30"/>
              <w:jc w:val="center"/>
              <w:rPr>
                <w:sz w:val="21"/>
                <w:szCs w:val="21"/>
              </w:rPr>
            </w:pPr>
            <w:r>
              <w:rPr>
                <w:rFonts w:hint="eastAsia"/>
                <w:sz w:val="21"/>
                <w:szCs w:val="21"/>
              </w:rPr>
              <w:t>-1L</w:t>
            </w:r>
          </w:p>
        </w:tc>
        <w:tc>
          <w:tcPr>
            <w:tcW w:w="618" w:type="dxa"/>
            <w:vAlign w:val="center"/>
          </w:tcPr>
          <w:p>
            <w:pPr>
              <w:pStyle w:val="28"/>
              <w:spacing w:line="400" w:lineRule="atLeast"/>
              <w:ind w:left="-63" w:leftChars="-30" w:right="-63" w:rightChars="-30"/>
              <w:jc w:val="center"/>
              <w:rPr>
                <w:sz w:val="21"/>
                <w:szCs w:val="21"/>
              </w:rPr>
            </w:pPr>
            <w:r>
              <w:rPr>
                <w:rFonts w:hint="eastAsia"/>
                <w:sz w:val="21"/>
                <w:szCs w:val="21"/>
              </w:rPr>
              <w:t>+3R</w:t>
            </w:r>
          </w:p>
        </w:tc>
        <w:tc>
          <w:tcPr>
            <w:tcW w:w="533" w:type="dxa"/>
            <w:vAlign w:val="center"/>
          </w:tcPr>
          <w:p>
            <w:pPr>
              <w:pStyle w:val="28"/>
              <w:spacing w:line="400" w:lineRule="atLeast"/>
              <w:ind w:left="-63" w:leftChars="-30" w:right="-63" w:rightChars="-30"/>
              <w:jc w:val="center"/>
              <w:rPr>
                <w:sz w:val="21"/>
                <w:szCs w:val="21"/>
              </w:rPr>
            </w:pPr>
            <w:r>
              <w:rPr>
                <w:rFonts w:hint="eastAsia"/>
                <w:sz w:val="21"/>
                <w:szCs w:val="21"/>
              </w:rPr>
              <w:t>-3L</w:t>
            </w:r>
          </w:p>
        </w:tc>
        <w:tc>
          <w:tcPr>
            <w:tcW w:w="618" w:type="dxa"/>
            <w:tcBorders>
              <w:right w:val="single" w:color="auto" w:sz="4" w:space="0"/>
            </w:tcBorders>
            <w:vAlign w:val="center"/>
          </w:tcPr>
          <w:p>
            <w:pPr>
              <w:pStyle w:val="28"/>
              <w:spacing w:line="400" w:lineRule="atLeast"/>
              <w:ind w:left="-63" w:leftChars="-30" w:right="-63" w:rightChars="-30"/>
              <w:jc w:val="center"/>
              <w:rPr>
                <w:sz w:val="21"/>
                <w:szCs w:val="21"/>
              </w:rPr>
            </w:pPr>
            <w:r>
              <w:rPr>
                <w:rFonts w:hint="eastAsia"/>
                <w:sz w:val="21"/>
                <w:szCs w:val="21"/>
              </w:rPr>
              <w:t>+3R</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77" w:type="dxa"/>
            <w:vMerge w:val="restart"/>
            <w:tcBorders>
              <w:left w:val="single" w:color="auto" w:sz="4" w:space="0"/>
            </w:tcBorders>
            <w:vAlign w:val="center"/>
          </w:tcPr>
          <w:p>
            <w:pPr>
              <w:pStyle w:val="28"/>
              <w:spacing w:line="400" w:lineRule="atLeast"/>
              <w:ind w:left="-63" w:leftChars="-30" w:right="-63" w:rightChars="-30"/>
              <w:jc w:val="center"/>
              <w:rPr>
                <w:sz w:val="21"/>
                <w:szCs w:val="21"/>
              </w:rPr>
            </w:pPr>
            <w:r>
              <w:rPr>
                <w:rFonts w:hint="eastAsia"/>
                <w:sz w:val="21"/>
                <w:szCs w:val="21"/>
              </w:rPr>
              <w:t>营运期</w:t>
            </w:r>
          </w:p>
        </w:tc>
        <w:tc>
          <w:tcPr>
            <w:tcW w:w="2673" w:type="dxa"/>
            <w:vAlign w:val="center"/>
          </w:tcPr>
          <w:p>
            <w:pPr>
              <w:pStyle w:val="28"/>
              <w:spacing w:line="400" w:lineRule="atLeast"/>
              <w:ind w:left="-63" w:leftChars="-30" w:right="-63" w:rightChars="-30"/>
              <w:jc w:val="center"/>
              <w:rPr>
                <w:sz w:val="21"/>
                <w:szCs w:val="21"/>
              </w:rPr>
            </w:pPr>
            <w:r>
              <w:rPr>
                <w:rFonts w:hint="eastAsia"/>
                <w:sz w:val="21"/>
                <w:szCs w:val="21"/>
              </w:rPr>
              <w:t>水泥熟料生产线</w:t>
            </w:r>
          </w:p>
        </w:tc>
        <w:tc>
          <w:tcPr>
            <w:tcW w:w="663" w:type="dxa"/>
            <w:vAlign w:val="center"/>
          </w:tcPr>
          <w:p>
            <w:pPr>
              <w:pStyle w:val="28"/>
              <w:spacing w:line="400" w:lineRule="atLeast"/>
              <w:ind w:left="-63" w:leftChars="-30" w:right="-63" w:rightChars="-30"/>
              <w:jc w:val="center"/>
              <w:rPr>
                <w:sz w:val="21"/>
                <w:szCs w:val="21"/>
              </w:rPr>
            </w:pPr>
          </w:p>
        </w:tc>
        <w:tc>
          <w:tcPr>
            <w:tcW w:w="550" w:type="dxa"/>
            <w:vAlign w:val="center"/>
          </w:tcPr>
          <w:p>
            <w:pPr>
              <w:pStyle w:val="28"/>
              <w:spacing w:line="400" w:lineRule="atLeast"/>
              <w:ind w:left="-63" w:leftChars="-30" w:right="-63" w:rightChars="-30"/>
              <w:jc w:val="center"/>
              <w:rPr>
                <w:sz w:val="21"/>
                <w:szCs w:val="21"/>
              </w:rPr>
            </w:pPr>
          </w:p>
        </w:tc>
        <w:tc>
          <w:tcPr>
            <w:tcW w:w="618" w:type="dxa"/>
            <w:vAlign w:val="center"/>
          </w:tcPr>
          <w:p>
            <w:pPr>
              <w:pStyle w:val="28"/>
              <w:spacing w:line="400" w:lineRule="atLeast"/>
              <w:ind w:left="-63" w:leftChars="-30" w:right="-63" w:rightChars="-30"/>
              <w:jc w:val="center"/>
              <w:rPr>
                <w:sz w:val="21"/>
                <w:szCs w:val="21"/>
              </w:rPr>
            </w:pPr>
            <w:r>
              <w:rPr>
                <w:rFonts w:hint="eastAsia"/>
                <w:sz w:val="21"/>
                <w:szCs w:val="21"/>
              </w:rPr>
              <w:t>-1L</w:t>
            </w:r>
          </w:p>
        </w:tc>
        <w:tc>
          <w:tcPr>
            <w:tcW w:w="600" w:type="dxa"/>
            <w:vAlign w:val="center"/>
          </w:tcPr>
          <w:p>
            <w:pPr>
              <w:pStyle w:val="28"/>
              <w:spacing w:line="400" w:lineRule="atLeast"/>
              <w:ind w:left="-63" w:leftChars="-30" w:right="-63" w:rightChars="-30"/>
              <w:jc w:val="center"/>
              <w:rPr>
                <w:sz w:val="21"/>
                <w:szCs w:val="21"/>
              </w:rPr>
            </w:pPr>
            <w:r>
              <w:rPr>
                <w:rFonts w:hint="eastAsia"/>
                <w:sz w:val="21"/>
                <w:szCs w:val="21"/>
              </w:rPr>
              <w:t>-1L</w:t>
            </w:r>
          </w:p>
        </w:tc>
        <w:tc>
          <w:tcPr>
            <w:tcW w:w="533" w:type="dxa"/>
            <w:vAlign w:val="center"/>
          </w:tcPr>
          <w:p>
            <w:pPr>
              <w:pStyle w:val="28"/>
              <w:spacing w:line="400" w:lineRule="atLeast"/>
              <w:ind w:left="-63" w:leftChars="-30" w:right="-63" w:rightChars="-30"/>
              <w:jc w:val="center"/>
              <w:rPr>
                <w:sz w:val="21"/>
                <w:szCs w:val="21"/>
              </w:rPr>
            </w:pPr>
            <w:r>
              <w:rPr>
                <w:rFonts w:hint="eastAsia"/>
                <w:sz w:val="21"/>
                <w:szCs w:val="21"/>
              </w:rPr>
              <w:t>-3L</w:t>
            </w:r>
          </w:p>
        </w:tc>
        <w:tc>
          <w:tcPr>
            <w:tcW w:w="550" w:type="dxa"/>
            <w:vAlign w:val="center"/>
          </w:tcPr>
          <w:p>
            <w:pPr>
              <w:pStyle w:val="28"/>
              <w:spacing w:line="400" w:lineRule="atLeast"/>
              <w:ind w:left="-63" w:leftChars="-30" w:right="-63" w:rightChars="-30"/>
              <w:jc w:val="center"/>
              <w:rPr>
                <w:sz w:val="21"/>
                <w:szCs w:val="21"/>
              </w:rPr>
            </w:pPr>
            <w:r>
              <w:rPr>
                <w:rFonts w:hint="eastAsia"/>
                <w:sz w:val="21"/>
                <w:szCs w:val="21"/>
              </w:rPr>
              <w:t>-2L</w:t>
            </w:r>
          </w:p>
        </w:tc>
        <w:tc>
          <w:tcPr>
            <w:tcW w:w="553" w:type="dxa"/>
            <w:vAlign w:val="center"/>
          </w:tcPr>
          <w:p>
            <w:pPr>
              <w:pStyle w:val="28"/>
              <w:spacing w:line="400" w:lineRule="atLeast"/>
              <w:ind w:left="-63" w:leftChars="-30" w:right="-63" w:rightChars="-30"/>
              <w:jc w:val="center"/>
              <w:rPr>
                <w:sz w:val="21"/>
                <w:szCs w:val="21"/>
              </w:rPr>
            </w:pPr>
            <w:r>
              <w:rPr>
                <w:rFonts w:hint="eastAsia"/>
                <w:sz w:val="21"/>
                <w:szCs w:val="21"/>
              </w:rPr>
              <w:t>-2L</w:t>
            </w:r>
          </w:p>
        </w:tc>
        <w:tc>
          <w:tcPr>
            <w:tcW w:w="618" w:type="dxa"/>
            <w:vAlign w:val="center"/>
          </w:tcPr>
          <w:p>
            <w:pPr>
              <w:pStyle w:val="28"/>
              <w:spacing w:line="400" w:lineRule="atLeast"/>
              <w:ind w:left="-63" w:leftChars="-30" w:right="-63" w:rightChars="-30"/>
              <w:jc w:val="center"/>
              <w:rPr>
                <w:sz w:val="21"/>
                <w:szCs w:val="21"/>
              </w:rPr>
            </w:pPr>
            <w:r>
              <w:rPr>
                <w:rFonts w:hint="eastAsia"/>
                <w:sz w:val="21"/>
                <w:szCs w:val="21"/>
              </w:rPr>
              <w:t>+3L</w:t>
            </w:r>
          </w:p>
        </w:tc>
        <w:tc>
          <w:tcPr>
            <w:tcW w:w="533" w:type="dxa"/>
            <w:vAlign w:val="center"/>
          </w:tcPr>
          <w:p>
            <w:pPr>
              <w:pStyle w:val="28"/>
              <w:spacing w:line="400" w:lineRule="atLeast"/>
              <w:ind w:left="-63" w:leftChars="-30" w:right="-63" w:rightChars="-30"/>
              <w:jc w:val="center"/>
              <w:rPr>
                <w:sz w:val="21"/>
                <w:szCs w:val="21"/>
              </w:rPr>
            </w:pPr>
          </w:p>
        </w:tc>
        <w:tc>
          <w:tcPr>
            <w:tcW w:w="618" w:type="dxa"/>
            <w:tcBorders>
              <w:right w:val="single" w:color="auto" w:sz="4" w:space="0"/>
            </w:tcBorders>
            <w:vAlign w:val="center"/>
          </w:tcPr>
          <w:p>
            <w:pPr>
              <w:pStyle w:val="28"/>
              <w:spacing w:line="400" w:lineRule="atLeast"/>
              <w:ind w:left="-63" w:leftChars="-30" w:right="-63" w:rightChars="-30"/>
              <w:jc w:val="center"/>
              <w:rPr>
                <w:sz w:val="21"/>
                <w:szCs w:val="21"/>
              </w:rPr>
            </w:pPr>
            <w:r>
              <w:rPr>
                <w:rFonts w:hint="eastAsia"/>
                <w:sz w:val="21"/>
                <w:szCs w:val="21"/>
              </w:rPr>
              <w:t>+3L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77" w:type="dxa"/>
            <w:vMerge w:val="continue"/>
            <w:tcBorders>
              <w:left w:val="single" w:color="auto" w:sz="4" w:space="0"/>
            </w:tcBorders>
            <w:vAlign w:val="center"/>
          </w:tcPr>
          <w:p>
            <w:pPr>
              <w:pStyle w:val="28"/>
              <w:spacing w:line="400" w:lineRule="atLeast"/>
              <w:ind w:left="-63" w:leftChars="-30" w:right="-63" w:rightChars="-30"/>
              <w:jc w:val="center"/>
              <w:rPr>
                <w:sz w:val="21"/>
                <w:szCs w:val="21"/>
              </w:rPr>
            </w:pPr>
          </w:p>
        </w:tc>
        <w:tc>
          <w:tcPr>
            <w:tcW w:w="2673" w:type="dxa"/>
            <w:vAlign w:val="center"/>
          </w:tcPr>
          <w:p>
            <w:pPr>
              <w:pStyle w:val="28"/>
              <w:spacing w:line="400" w:lineRule="atLeast"/>
              <w:ind w:left="-63" w:leftChars="-30" w:right="-63" w:rightChars="-30"/>
              <w:jc w:val="center"/>
              <w:rPr>
                <w:sz w:val="21"/>
                <w:szCs w:val="21"/>
              </w:rPr>
            </w:pPr>
            <w:r>
              <w:rPr>
                <w:rFonts w:hint="eastAsia"/>
                <w:sz w:val="21"/>
                <w:szCs w:val="21"/>
              </w:rPr>
              <w:t>磨机、泵房等辅助工程</w:t>
            </w:r>
          </w:p>
        </w:tc>
        <w:tc>
          <w:tcPr>
            <w:tcW w:w="663" w:type="dxa"/>
            <w:vAlign w:val="center"/>
          </w:tcPr>
          <w:p>
            <w:pPr>
              <w:pStyle w:val="28"/>
              <w:spacing w:line="400" w:lineRule="atLeast"/>
              <w:ind w:left="-63" w:leftChars="-30" w:right="-63" w:rightChars="-30"/>
              <w:jc w:val="center"/>
              <w:rPr>
                <w:sz w:val="21"/>
                <w:szCs w:val="21"/>
              </w:rPr>
            </w:pPr>
          </w:p>
        </w:tc>
        <w:tc>
          <w:tcPr>
            <w:tcW w:w="550" w:type="dxa"/>
            <w:vAlign w:val="center"/>
          </w:tcPr>
          <w:p>
            <w:pPr>
              <w:pStyle w:val="28"/>
              <w:spacing w:line="400" w:lineRule="atLeast"/>
              <w:ind w:left="-63" w:leftChars="-30" w:right="-63" w:rightChars="-30"/>
              <w:jc w:val="center"/>
              <w:rPr>
                <w:sz w:val="21"/>
                <w:szCs w:val="21"/>
              </w:rPr>
            </w:pPr>
          </w:p>
        </w:tc>
        <w:tc>
          <w:tcPr>
            <w:tcW w:w="618" w:type="dxa"/>
            <w:vAlign w:val="center"/>
          </w:tcPr>
          <w:p>
            <w:pPr>
              <w:pStyle w:val="28"/>
              <w:spacing w:line="400" w:lineRule="atLeast"/>
              <w:ind w:left="-63" w:leftChars="-30" w:right="-63" w:rightChars="-30"/>
              <w:jc w:val="center"/>
              <w:rPr>
                <w:sz w:val="21"/>
                <w:szCs w:val="21"/>
              </w:rPr>
            </w:pPr>
            <w:r>
              <w:rPr>
                <w:rFonts w:hint="eastAsia"/>
                <w:sz w:val="21"/>
                <w:szCs w:val="21"/>
              </w:rPr>
              <w:t>-1L</w:t>
            </w:r>
          </w:p>
        </w:tc>
        <w:tc>
          <w:tcPr>
            <w:tcW w:w="600" w:type="dxa"/>
            <w:vAlign w:val="center"/>
          </w:tcPr>
          <w:p>
            <w:pPr>
              <w:pStyle w:val="28"/>
              <w:spacing w:line="400" w:lineRule="atLeast"/>
              <w:ind w:left="-63" w:leftChars="-30" w:right="-63" w:rightChars="-30"/>
              <w:jc w:val="center"/>
              <w:rPr>
                <w:sz w:val="21"/>
                <w:szCs w:val="21"/>
              </w:rPr>
            </w:pPr>
            <w:r>
              <w:rPr>
                <w:rFonts w:hint="eastAsia"/>
                <w:sz w:val="21"/>
                <w:szCs w:val="21"/>
              </w:rPr>
              <w:t>-3L</w:t>
            </w:r>
          </w:p>
        </w:tc>
        <w:tc>
          <w:tcPr>
            <w:tcW w:w="533" w:type="dxa"/>
            <w:vAlign w:val="center"/>
          </w:tcPr>
          <w:p>
            <w:pPr>
              <w:pStyle w:val="28"/>
              <w:spacing w:line="400" w:lineRule="atLeast"/>
              <w:ind w:left="-63" w:leftChars="-30" w:right="-63" w:rightChars="-30"/>
              <w:jc w:val="center"/>
              <w:rPr>
                <w:sz w:val="21"/>
                <w:szCs w:val="21"/>
              </w:rPr>
            </w:pPr>
            <w:r>
              <w:rPr>
                <w:rFonts w:hint="eastAsia"/>
                <w:sz w:val="21"/>
                <w:szCs w:val="21"/>
              </w:rPr>
              <w:t>-1L</w:t>
            </w:r>
          </w:p>
        </w:tc>
        <w:tc>
          <w:tcPr>
            <w:tcW w:w="550" w:type="dxa"/>
            <w:vAlign w:val="center"/>
          </w:tcPr>
          <w:p>
            <w:pPr>
              <w:pStyle w:val="28"/>
              <w:spacing w:line="400" w:lineRule="atLeast"/>
              <w:ind w:left="-63" w:leftChars="-30" w:right="-63" w:rightChars="-30"/>
              <w:jc w:val="center"/>
              <w:rPr>
                <w:sz w:val="21"/>
                <w:szCs w:val="21"/>
              </w:rPr>
            </w:pPr>
            <w:r>
              <w:rPr>
                <w:rFonts w:hint="eastAsia"/>
                <w:sz w:val="21"/>
                <w:szCs w:val="21"/>
              </w:rPr>
              <w:t>-3L</w:t>
            </w:r>
          </w:p>
        </w:tc>
        <w:tc>
          <w:tcPr>
            <w:tcW w:w="553" w:type="dxa"/>
            <w:vAlign w:val="center"/>
          </w:tcPr>
          <w:p>
            <w:pPr>
              <w:pStyle w:val="28"/>
              <w:spacing w:line="400" w:lineRule="atLeast"/>
              <w:ind w:left="-63" w:leftChars="-30" w:right="-63" w:rightChars="-30"/>
              <w:jc w:val="center"/>
              <w:rPr>
                <w:sz w:val="21"/>
                <w:szCs w:val="21"/>
              </w:rPr>
            </w:pPr>
          </w:p>
        </w:tc>
        <w:tc>
          <w:tcPr>
            <w:tcW w:w="618" w:type="dxa"/>
            <w:vAlign w:val="center"/>
          </w:tcPr>
          <w:p>
            <w:pPr>
              <w:pStyle w:val="28"/>
              <w:spacing w:line="400" w:lineRule="atLeast"/>
              <w:ind w:left="-63" w:leftChars="-30" w:right="-63" w:rightChars="-30"/>
              <w:jc w:val="center"/>
              <w:rPr>
                <w:sz w:val="21"/>
                <w:szCs w:val="21"/>
              </w:rPr>
            </w:pPr>
            <w:r>
              <w:rPr>
                <w:rFonts w:hint="eastAsia"/>
                <w:sz w:val="21"/>
                <w:szCs w:val="21"/>
              </w:rPr>
              <w:t>+3L</w:t>
            </w:r>
          </w:p>
        </w:tc>
        <w:tc>
          <w:tcPr>
            <w:tcW w:w="533" w:type="dxa"/>
            <w:vAlign w:val="center"/>
          </w:tcPr>
          <w:p>
            <w:pPr>
              <w:pStyle w:val="28"/>
              <w:spacing w:line="400" w:lineRule="atLeast"/>
              <w:ind w:left="-63" w:leftChars="-30" w:right="-63" w:rightChars="-30"/>
              <w:jc w:val="center"/>
              <w:rPr>
                <w:sz w:val="21"/>
                <w:szCs w:val="21"/>
              </w:rPr>
            </w:pPr>
          </w:p>
        </w:tc>
        <w:tc>
          <w:tcPr>
            <w:tcW w:w="618" w:type="dxa"/>
            <w:tcBorders>
              <w:right w:val="single" w:color="auto" w:sz="4" w:space="0"/>
            </w:tcBorders>
            <w:vAlign w:val="center"/>
          </w:tcPr>
          <w:p>
            <w:pPr>
              <w:pStyle w:val="28"/>
              <w:spacing w:line="400" w:lineRule="atLeast"/>
              <w:ind w:left="-63" w:leftChars="-30" w:right="-63" w:rightChars="-30"/>
              <w:jc w:val="center"/>
              <w:rPr>
                <w:sz w:val="21"/>
                <w:szCs w:val="21"/>
              </w:rPr>
            </w:pPr>
            <w:r>
              <w:rPr>
                <w:rFonts w:hint="eastAsia"/>
                <w:sz w:val="21"/>
                <w:szCs w:val="21"/>
              </w:rPr>
              <w:t>+3L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77" w:type="dxa"/>
            <w:vMerge w:val="continue"/>
            <w:tcBorders>
              <w:left w:val="single" w:color="auto" w:sz="4" w:space="0"/>
            </w:tcBorders>
            <w:vAlign w:val="center"/>
          </w:tcPr>
          <w:p>
            <w:pPr>
              <w:pStyle w:val="28"/>
              <w:spacing w:line="400" w:lineRule="atLeast"/>
              <w:ind w:left="-63" w:leftChars="-30" w:right="-63" w:rightChars="-30"/>
              <w:jc w:val="center"/>
              <w:rPr>
                <w:sz w:val="21"/>
                <w:szCs w:val="21"/>
              </w:rPr>
            </w:pPr>
          </w:p>
        </w:tc>
        <w:tc>
          <w:tcPr>
            <w:tcW w:w="2673" w:type="dxa"/>
            <w:vAlign w:val="center"/>
          </w:tcPr>
          <w:p>
            <w:pPr>
              <w:pStyle w:val="28"/>
              <w:spacing w:line="400" w:lineRule="atLeast"/>
              <w:ind w:left="-63" w:leftChars="-30" w:right="-63" w:rightChars="-30"/>
              <w:jc w:val="center"/>
              <w:rPr>
                <w:sz w:val="21"/>
                <w:szCs w:val="21"/>
              </w:rPr>
            </w:pPr>
            <w:r>
              <w:rPr>
                <w:rFonts w:hint="eastAsia"/>
                <w:sz w:val="21"/>
                <w:szCs w:val="21"/>
              </w:rPr>
              <w:t>供水、供电、供气设施</w:t>
            </w:r>
          </w:p>
        </w:tc>
        <w:tc>
          <w:tcPr>
            <w:tcW w:w="663" w:type="dxa"/>
            <w:vAlign w:val="center"/>
          </w:tcPr>
          <w:p>
            <w:pPr>
              <w:pStyle w:val="28"/>
              <w:spacing w:line="400" w:lineRule="atLeast"/>
              <w:ind w:left="-63" w:leftChars="-30" w:right="-63" w:rightChars="-30"/>
              <w:jc w:val="center"/>
              <w:rPr>
                <w:sz w:val="21"/>
                <w:szCs w:val="21"/>
              </w:rPr>
            </w:pPr>
          </w:p>
        </w:tc>
        <w:tc>
          <w:tcPr>
            <w:tcW w:w="550" w:type="dxa"/>
            <w:vAlign w:val="center"/>
          </w:tcPr>
          <w:p>
            <w:pPr>
              <w:pStyle w:val="28"/>
              <w:spacing w:line="400" w:lineRule="atLeast"/>
              <w:ind w:left="-63" w:leftChars="-30" w:right="-63" w:rightChars="-30"/>
              <w:jc w:val="center"/>
              <w:rPr>
                <w:sz w:val="21"/>
                <w:szCs w:val="21"/>
              </w:rPr>
            </w:pPr>
          </w:p>
        </w:tc>
        <w:tc>
          <w:tcPr>
            <w:tcW w:w="618" w:type="dxa"/>
            <w:vAlign w:val="center"/>
          </w:tcPr>
          <w:p>
            <w:pPr>
              <w:pStyle w:val="28"/>
              <w:spacing w:line="400" w:lineRule="atLeast"/>
              <w:ind w:left="-63" w:leftChars="-30" w:right="-63" w:rightChars="-30"/>
              <w:jc w:val="center"/>
              <w:rPr>
                <w:sz w:val="21"/>
                <w:szCs w:val="21"/>
              </w:rPr>
            </w:pPr>
            <w:r>
              <w:rPr>
                <w:rFonts w:hint="eastAsia"/>
                <w:sz w:val="21"/>
                <w:szCs w:val="21"/>
              </w:rPr>
              <w:t>-1L</w:t>
            </w:r>
          </w:p>
        </w:tc>
        <w:tc>
          <w:tcPr>
            <w:tcW w:w="600" w:type="dxa"/>
            <w:vAlign w:val="center"/>
          </w:tcPr>
          <w:p>
            <w:pPr>
              <w:pStyle w:val="28"/>
              <w:spacing w:line="400" w:lineRule="atLeast"/>
              <w:ind w:left="-63" w:leftChars="-30" w:right="-63" w:rightChars="-30"/>
              <w:jc w:val="center"/>
              <w:rPr>
                <w:sz w:val="21"/>
                <w:szCs w:val="21"/>
              </w:rPr>
            </w:pPr>
            <w:r>
              <w:rPr>
                <w:rFonts w:hint="eastAsia"/>
                <w:sz w:val="21"/>
                <w:szCs w:val="21"/>
              </w:rPr>
              <w:t>+3L</w:t>
            </w:r>
          </w:p>
        </w:tc>
        <w:tc>
          <w:tcPr>
            <w:tcW w:w="533" w:type="dxa"/>
            <w:vAlign w:val="center"/>
          </w:tcPr>
          <w:p>
            <w:pPr>
              <w:pStyle w:val="28"/>
              <w:spacing w:line="400" w:lineRule="atLeast"/>
              <w:ind w:left="-63" w:leftChars="-30" w:right="-63" w:rightChars="-30"/>
              <w:jc w:val="center"/>
              <w:rPr>
                <w:sz w:val="21"/>
                <w:szCs w:val="21"/>
              </w:rPr>
            </w:pPr>
            <w:r>
              <w:rPr>
                <w:rFonts w:hint="eastAsia"/>
                <w:sz w:val="21"/>
                <w:szCs w:val="21"/>
              </w:rPr>
              <w:t>-1L</w:t>
            </w:r>
          </w:p>
        </w:tc>
        <w:tc>
          <w:tcPr>
            <w:tcW w:w="550" w:type="dxa"/>
            <w:vAlign w:val="center"/>
          </w:tcPr>
          <w:p>
            <w:pPr>
              <w:pStyle w:val="28"/>
              <w:spacing w:line="400" w:lineRule="atLeast"/>
              <w:ind w:left="-63" w:leftChars="-30" w:right="-63" w:rightChars="-30"/>
              <w:jc w:val="center"/>
              <w:rPr>
                <w:sz w:val="21"/>
                <w:szCs w:val="21"/>
              </w:rPr>
            </w:pPr>
          </w:p>
        </w:tc>
        <w:tc>
          <w:tcPr>
            <w:tcW w:w="553" w:type="dxa"/>
            <w:vAlign w:val="center"/>
          </w:tcPr>
          <w:p>
            <w:pPr>
              <w:pStyle w:val="28"/>
              <w:spacing w:line="400" w:lineRule="atLeast"/>
              <w:ind w:left="-63" w:leftChars="-30" w:right="-63" w:rightChars="-30"/>
              <w:jc w:val="center"/>
              <w:rPr>
                <w:sz w:val="21"/>
                <w:szCs w:val="21"/>
              </w:rPr>
            </w:pPr>
          </w:p>
        </w:tc>
        <w:tc>
          <w:tcPr>
            <w:tcW w:w="618" w:type="dxa"/>
            <w:vAlign w:val="center"/>
          </w:tcPr>
          <w:p>
            <w:pPr>
              <w:pStyle w:val="28"/>
              <w:spacing w:line="400" w:lineRule="atLeast"/>
              <w:ind w:left="-63" w:leftChars="-30" w:right="-63" w:rightChars="-30"/>
              <w:jc w:val="center"/>
              <w:rPr>
                <w:sz w:val="21"/>
                <w:szCs w:val="21"/>
              </w:rPr>
            </w:pPr>
            <w:r>
              <w:rPr>
                <w:rFonts w:hint="eastAsia"/>
                <w:sz w:val="21"/>
                <w:szCs w:val="21"/>
              </w:rPr>
              <w:t>+3L</w:t>
            </w:r>
          </w:p>
        </w:tc>
        <w:tc>
          <w:tcPr>
            <w:tcW w:w="533" w:type="dxa"/>
            <w:vAlign w:val="center"/>
          </w:tcPr>
          <w:p>
            <w:pPr>
              <w:pStyle w:val="28"/>
              <w:spacing w:line="400" w:lineRule="atLeast"/>
              <w:ind w:left="-63" w:leftChars="-30" w:right="-63" w:rightChars="-30"/>
              <w:jc w:val="center"/>
              <w:rPr>
                <w:sz w:val="21"/>
                <w:szCs w:val="21"/>
              </w:rPr>
            </w:pPr>
          </w:p>
        </w:tc>
        <w:tc>
          <w:tcPr>
            <w:tcW w:w="618" w:type="dxa"/>
            <w:tcBorders>
              <w:right w:val="single" w:color="auto" w:sz="4" w:space="0"/>
            </w:tcBorders>
            <w:vAlign w:val="center"/>
          </w:tcPr>
          <w:p>
            <w:pPr>
              <w:pStyle w:val="28"/>
              <w:spacing w:line="400" w:lineRule="atLeast"/>
              <w:ind w:left="-63" w:leftChars="-30" w:right="-63" w:rightChars="-30"/>
              <w:jc w:val="center"/>
              <w:rPr>
                <w:sz w:val="21"/>
                <w:szCs w:val="21"/>
              </w:rPr>
            </w:pPr>
            <w:r>
              <w:rPr>
                <w:rFonts w:hint="eastAsia"/>
                <w:sz w:val="21"/>
                <w:szCs w:val="21"/>
              </w:rPr>
              <w:t>+3L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77" w:type="dxa"/>
            <w:vMerge w:val="continue"/>
            <w:tcBorders>
              <w:left w:val="single" w:color="auto" w:sz="4" w:space="0"/>
              <w:bottom w:val="single" w:color="auto" w:sz="4" w:space="0"/>
            </w:tcBorders>
            <w:vAlign w:val="center"/>
          </w:tcPr>
          <w:p>
            <w:pPr>
              <w:pStyle w:val="28"/>
              <w:spacing w:line="400" w:lineRule="atLeast"/>
              <w:ind w:left="-63" w:leftChars="-30" w:right="-63" w:rightChars="-30"/>
              <w:jc w:val="center"/>
              <w:rPr>
                <w:sz w:val="21"/>
                <w:szCs w:val="21"/>
              </w:rPr>
            </w:pPr>
          </w:p>
        </w:tc>
        <w:tc>
          <w:tcPr>
            <w:tcW w:w="2673" w:type="dxa"/>
            <w:tcBorders>
              <w:bottom w:val="single" w:color="auto" w:sz="4" w:space="0"/>
            </w:tcBorders>
            <w:vAlign w:val="center"/>
          </w:tcPr>
          <w:p>
            <w:pPr>
              <w:pStyle w:val="28"/>
              <w:spacing w:line="400" w:lineRule="atLeast"/>
              <w:ind w:left="-63" w:leftChars="-30" w:right="-63" w:rightChars="-30"/>
              <w:jc w:val="center"/>
              <w:rPr>
                <w:sz w:val="21"/>
                <w:szCs w:val="21"/>
              </w:rPr>
            </w:pPr>
            <w:r>
              <w:rPr>
                <w:rFonts w:hint="eastAsia"/>
                <w:sz w:val="21"/>
                <w:szCs w:val="21"/>
              </w:rPr>
              <w:t>储运设施</w:t>
            </w:r>
          </w:p>
        </w:tc>
        <w:tc>
          <w:tcPr>
            <w:tcW w:w="663" w:type="dxa"/>
            <w:tcBorders>
              <w:bottom w:val="single" w:color="auto" w:sz="4" w:space="0"/>
            </w:tcBorders>
            <w:vAlign w:val="center"/>
          </w:tcPr>
          <w:p>
            <w:pPr>
              <w:pStyle w:val="28"/>
              <w:spacing w:line="400" w:lineRule="atLeast"/>
              <w:ind w:left="-63" w:leftChars="-30" w:right="-63" w:rightChars="-30"/>
              <w:jc w:val="center"/>
              <w:rPr>
                <w:sz w:val="21"/>
                <w:szCs w:val="21"/>
              </w:rPr>
            </w:pPr>
          </w:p>
        </w:tc>
        <w:tc>
          <w:tcPr>
            <w:tcW w:w="550" w:type="dxa"/>
            <w:tcBorders>
              <w:bottom w:val="single" w:color="auto" w:sz="4" w:space="0"/>
            </w:tcBorders>
            <w:vAlign w:val="center"/>
          </w:tcPr>
          <w:p>
            <w:pPr>
              <w:pStyle w:val="28"/>
              <w:spacing w:line="400" w:lineRule="atLeast"/>
              <w:ind w:left="-63" w:leftChars="-30" w:right="-63" w:rightChars="-30"/>
              <w:jc w:val="center"/>
              <w:rPr>
                <w:sz w:val="21"/>
                <w:szCs w:val="21"/>
              </w:rPr>
            </w:pPr>
          </w:p>
        </w:tc>
        <w:tc>
          <w:tcPr>
            <w:tcW w:w="618" w:type="dxa"/>
            <w:tcBorders>
              <w:bottom w:val="single" w:color="auto" w:sz="4" w:space="0"/>
            </w:tcBorders>
            <w:vAlign w:val="center"/>
          </w:tcPr>
          <w:p>
            <w:pPr>
              <w:pStyle w:val="28"/>
              <w:spacing w:line="400" w:lineRule="atLeast"/>
              <w:ind w:left="-63" w:leftChars="-30" w:right="-63" w:rightChars="-30"/>
              <w:jc w:val="center"/>
              <w:rPr>
                <w:sz w:val="21"/>
                <w:szCs w:val="21"/>
              </w:rPr>
            </w:pPr>
            <w:r>
              <w:rPr>
                <w:rFonts w:hint="eastAsia"/>
                <w:sz w:val="21"/>
                <w:szCs w:val="21"/>
              </w:rPr>
              <w:t>-1L</w:t>
            </w:r>
          </w:p>
        </w:tc>
        <w:tc>
          <w:tcPr>
            <w:tcW w:w="600" w:type="dxa"/>
            <w:tcBorders>
              <w:bottom w:val="single" w:color="auto" w:sz="4" w:space="0"/>
            </w:tcBorders>
            <w:vAlign w:val="center"/>
          </w:tcPr>
          <w:p>
            <w:pPr>
              <w:pStyle w:val="28"/>
              <w:spacing w:line="400" w:lineRule="atLeast"/>
              <w:ind w:left="-63" w:leftChars="-30" w:right="-63" w:rightChars="-30"/>
              <w:jc w:val="center"/>
              <w:rPr>
                <w:sz w:val="21"/>
                <w:szCs w:val="21"/>
              </w:rPr>
            </w:pPr>
            <w:r>
              <w:rPr>
                <w:rFonts w:hint="eastAsia"/>
                <w:sz w:val="21"/>
                <w:szCs w:val="21"/>
              </w:rPr>
              <w:t>-3R</w:t>
            </w:r>
          </w:p>
        </w:tc>
        <w:tc>
          <w:tcPr>
            <w:tcW w:w="533" w:type="dxa"/>
            <w:tcBorders>
              <w:bottom w:val="single" w:color="auto" w:sz="4" w:space="0"/>
            </w:tcBorders>
            <w:vAlign w:val="center"/>
          </w:tcPr>
          <w:p>
            <w:pPr>
              <w:pStyle w:val="28"/>
              <w:spacing w:line="400" w:lineRule="atLeast"/>
              <w:ind w:left="-63" w:leftChars="-30" w:right="-63" w:rightChars="-30"/>
              <w:jc w:val="center"/>
              <w:rPr>
                <w:sz w:val="21"/>
                <w:szCs w:val="21"/>
              </w:rPr>
            </w:pPr>
            <w:r>
              <w:rPr>
                <w:rFonts w:hint="eastAsia"/>
                <w:sz w:val="21"/>
                <w:szCs w:val="21"/>
              </w:rPr>
              <w:t>-1L</w:t>
            </w:r>
          </w:p>
        </w:tc>
        <w:tc>
          <w:tcPr>
            <w:tcW w:w="550" w:type="dxa"/>
            <w:tcBorders>
              <w:bottom w:val="single" w:color="auto" w:sz="4" w:space="0"/>
            </w:tcBorders>
            <w:vAlign w:val="center"/>
          </w:tcPr>
          <w:p>
            <w:pPr>
              <w:pStyle w:val="28"/>
              <w:spacing w:line="400" w:lineRule="atLeast"/>
              <w:ind w:left="-63" w:leftChars="-30" w:right="-63" w:rightChars="-30"/>
              <w:jc w:val="center"/>
              <w:rPr>
                <w:sz w:val="21"/>
                <w:szCs w:val="21"/>
              </w:rPr>
            </w:pPr>
            <w:r>
              <w:rPr>
                <w:rFonts w:hint="eastAsia"/>
                <w:sz w:val="21"/>
                <w:szCs w:val="21"/>
              </w:rPr>
              <w:t>-1R</w:t>
            </w:r>
          </w:p>
        </w:tc>
        <w:tc>
          <w:tcPr>
            <w:tcW w:w="553" w:type="dxa"/>
            <w:tcBorders>
              <w:bottom w:val="single" w:color="auto" w:sz="4" w:space="0"/>
            </w:tcBorders>
            <w:vAlign w:val="center"/>
          </w:tcPr>
          <w:p>
            <w:pPr>
              <w:pStyle w:val="28"/>
              <w:spacing w:line="400" w:lineRule="atLeast"/>
              <w:ind w:left="-63" w:leftChars="-30" w:right="-63" w:rightChars="-30"/>
              <w:jc w:val="center"/>
              <w:rPr>
                <w:sz w:val="21"/>
                <w:szCs w:val="21"/>
              </w:rPr>
            </w:pPr>
            <w:r>
              <w:rPr>
                <w:rFonts w:hint="eastAsia"/>
                <w:sz w:val="21"/>
                <w:szCs w:val="21"/>
              </w:rPr>
              <w:t>-1R</w:t>
            </w:r>
          </w:p>
        </w:tc>
        <w:tc>
          <w:tcPr>
            <w:tcW w:w="618" w:type="dxa"/>
            <w:tcBorders>
              <w:bottom w:val="single" w:color="auto" w:sz="4" w:space="0"/>
            </w:tcBorders>
            <w:vAlign w:val="center"/>
          </w:tcPr>
          <w:p>
            <w:pPr>
              <w:pStyle w:val="28"/>
              <w:spacing w:line="400" w:lineRule="atLeast"/>
              <w:ind w:left="-63" w:leftChars="-30" w:right="-63" w:rightChars="-30"/>
              <w:jc w:val="center"/>
              <w:rPr>
                <w:sz w:val="21"/>
                <w:szCs w:val="21"/>
              </w:rPr>
            </w:pPr>
            <w:r>
              <w:rPr>
                <w:rFonts w:hint="eastAsia"/>
                <w:sz w:val="21"/>
                <w:szCs w:val="21"/>
              </w:rPr>
              <w:t>+3L</w:t>
            </w:r>
          </w:p>
        </w:tc>
        <w:tc>
          <w:tcPr>
            <w:tcW w:w="533" w:type="dxa"/>
            <w:tcBorders>
              <w:bottom w:val="single" w:color="auto" w:sz="4" w:space="0"/>
            </w:tcBorders>
            <w:vAlign w:val="center"/>
          </w:tcPr>
          <w:p>
            <w:pPr>
              <w:pStyle w:val="28"/>
              <w:spacing w:line="400" w:lineRule="atLeast"/>
              <w:ind w:left="-63" w:leftChars="-30" w:right="-63" w:rightChars="-30"/>
              <w:jc w:val="center"/>
              <w:rPr>
                <w:sz w:val="21"/>
                <w:szCs w:val="21"/>
              </w:rPr>
            </w:pPr>
          </w:p>
        </w:tc>
        <w:tc>
          <w:tcPr>
            <w:tcW w:w="618" w:type="dxa"/>
            <w:tcBorders>
              <w:bottom w:val="single" w:color="auto" w:sz="4" w:space="0"/>
              <w:right w:val="single" w:color="auto" w:sz="4" w:space="0"/>
            </w:tcBorders>
            <w:vAlign w:val="center"/>
          </w:tcPr>
          <w:p>
            <w:pPr>
              <w:pStyle w:val="28"/>
              <w:spacing w:line="400" w:lineRule="atLeast"/>
              <w:ind w:left="-63" w:leftChars="-30" w:right="-63" w:rightChars="-30"/>
              <w:jc w:val="center"/>
              <w:rPr>
                <w:sz w:val="21"/>
                <w:szCs w:val="21"/>
              </w:rPr>
            </w:pPr>
            <w:r>
              <w:rPr>
                <w:rFonts w:hint="eastAsia"/>
                <w:sz w:val="21"/>
                <w:szCs w:val="21"/>
              </w:rPr>
              <w:t>+3L</w:t>
            </w:r>
          </w:p>
        </w:tc>
      </w:tr>
    </w:tbl>
    <w:p>
      <w:pPr>
        <w:pStyle w:val="28"/>
        <w:adjustRightInd/>
        <w:spacing w:line="300" w:lineRule="atLeast"/>
        <w:ind w:firstLine="420"/>
        <w:rPr>
          <w:rFonts w:hint="eastAsia"/>
          <w:sz w:val="21"/>
        </w:rPr>
      </w:pPr>
      <w:r>
        <w:rPr>
          <w:rFonts w:hint="eastAsia"/>
          <w:sz w:val="21"/>
        </w:rPr>
        <w:t>注：表中1、2、3表示影响程度大、中、小，R、L表示可逆或不可逆，+、-表示有利或不利影响。</w:t>
      </w:r>
    </w:p>
    <w:p>
      <w:pPr>
        <w:pStyle w:val="28"/>
        <w:adjustRightInd/>
        <w:spacing w:line="300" w:lineRule="atLeast"/>
        <w:ind w:firstLine="420"/>
        <w:rPr>
          <w:sz w:val="21"/>
        </w:rPr>
      </w:pPr>
    </w:p>
    <w:p>
      <w:pPr>
        <w:spacing w:before="24" w:beforeLines="10" w:after="24" w:afterLines="10" w:line="360" w:lineRule="auto"/>
        <w:outlineLvl w:val="1"/>
        <w:rPr>
          <w:b/>
        </w:rPr>
      </w:pPr>
      <w:bookmarkStart w:id="38" w:name="_Toc179694631"/>
      <w:bookmarkStart w:id="39" w:name="_Toc276372218"/>
      <w:r>
        <w:rPr>
          <w:b/>
        </w:rPr>
        <w:t>1.</w:t>
      </w:r>
      <w:r>
        <w:rPr>
          <w:rFonts w:hint="eastAsia"/>
          <w:b/>
        </w:rPr>
        <w:t>9</w:t>
      </w:r>
      <w:r>
        <w:rPr>
          <w:b/>
        </w:rPr>
        <w:t xml:space="preserve"> 评价范围、评价时段及评价因子</w:t>
      </w:r>
      <w:bookmarkEnd w:id="38"/>
      <w:bookmarkEnd w:id="39"/>
    </w:p>
    <w:p>
      <w:pPr>
        <w:spacing w:before="24" w:beforeLines="10" w:after="24" w:afterLines="10" w:line="360" w:lineRule="auto"/>
        <w:rPr>
          <w:rFonts w:hint="eastAsia"/>
          <w:b/>
        </w:rPr>
      </w:pPr>
      <w:r>
        <w:rPr>
          <w:b/>
        </w:rPr>
        <w:t>1.</w:t>
      </w:r>
      <w:r>
        <w:rPr>
          <w:rFonts w:hint="eastAsia"/>
          <w:b/>
        </w:rPr>
        <w:t>9</w:t>
      </w:r>
      <w:r>
        <w:rPr>
          <w:b/>
        </w:rPr>
        <w:t xml:space="preserve">.1 </w:t>
      </w:r>
      <w:r>
        <w:rPr>
          <w:rFonts w:hint="eastAsia"/>
          <w:b/>
        </w:rPr>
        <w:t>评价范围</w:t>
      </w:r>
    </w:p>
    <w:p>
      <w:pPr>
        <w:pStyle w:val="8"/>
        <w:ind w:firstLine="480" w:firstLineChars="200"/>
        <w:rPr>
          <w:rFonts w:hint="eastAsia" w:ascii="宋体" w:hAnsi="宋体"/>
          <w:sz w:val="24"/>
        </w:rPr>
      </w:pPr>
      <w:r>
        <w:rPr>
          <w:rFonts w:hint="eastAsia" w:ascii="宋体" w:hAnsi="宋体"/>
          <w:sz w:val="24"/>
        </w:rPr>
        <w:t>（1）环境空气：水泥厂区以水泥装置窑尾排气筒为中心，主导风向为主轴的17</w:t>
      </w:r>
      <w:r>
        <w:rPr>
          <w:rFonts w:ascii="宋体" w:hAnsi="宋体"/>
          <w:sz w:val="24"/>
        </w:rPr>
        <w:t>km×</w:t>
      </w:r>
      <w:r>
        <w:rPr>
          <w:rFonts w:hint="eastAsia" w:ascii="宋体" w:hAnsi="宋体"/>
          <w:sz w:val="24"/>
        </w:rPr>
        <w:t>14</w:t>
      </w:r>
      <w:r>
        <w:rPr>
          <w:rFonts w:ascii="宋体" w:hAnsi="宋体"/>
          <w:sz w:val="24"/>
        </w:rPr>
        <w:t>km</w:t>
      </w:r>
      <w:r>
        <w:rPr>
          <w:rFonts w:hint="eastAsia" w:ascii="宋体" w:hAnsi="宋体"/>
          <w:sz w:val="24"/>
        </w:rPr>
        <w:t>矩形区域，详见图1.1。</w:t>
      </w:r>
    </w:p>
    <w:p>
      <w:pPr>
        <w:pStyle w:val="8"/>
        <w:ind w:firstLine="480" w:firstLineChars="200"/>
        <w:rPr>
          <w:rFonts w:hint="eastAsia" w:ascii="宋体" w:hAnsi="宋体"/>
          <w:sz w:val="24"/>
        </w:rPr>
      </w:pPr>
      <w:r>
        <w:rPr>
          <w:rFonts w:hint="eastAsia" w:ascii="宋体" w:hAnsi="宋体"/>
          <w:sz w:val="24"/>
        </w:rPr>
        <w:t>（2）地表水：排污口处至无名小河沟下游1000</w:t>
      </w:r>
      <w:r>
        <w:rPr>
          <w:rFonts w:ascii="宋体" w:hAnsi="宋体"/>
          <w:sz w:val="24"/>
        </w:rPr>
        <w:t>m</w:t>
      </w:r>
      <w:r>
        <w:rPr>
          <w:rFonts w:hint="eastAsia" w:ascii="宋体" w:hAnsi="宋体"/>
          <w:sz w:val="24"/>
        </w:rPr>
        <w:t>的河段。</w:t>
      </w:r>
    </w:p>
    <w:p>
      <w:pPr>
        <w:spacing w:line="360" w:lineRule="auto"/>
        <w:ind w:firstLine="420" w:firstLineChars="200"/>
        <w:outlineLvl w:val="2"/>
        <w:rPr>
          <w:rFonts w:hint="eastAsia" w:eastAsia="黑体"/>
          <w:sz w:val="28"/>
        </w:rPr>
      </w:pPr>
      <w:r>
        <w:rPr>
          <w:rFonts w:hint="eastAsia" w:ascii="宋体" w:hAnsi="宋体"/>
        </w:rPr>
        <w:t>（3）噪 声：水泥厂区厂界及厂界外200</w:t>
      </w:r>
      <w:r>
        <w:rPr>
          <w:rFonts w:ascii="宋体" w:hAnsi="宋体"/>
        </w:rPr>
        <w:t>m</w:t>
      </w:r>
      <w:r>
        <w:rPr>
          <w:rFonts w:hint="eastAsia" w:ascii="宋体" w:hAnsi="宋体"/>
        </w:rPr>
        <w:t>。</w:t>
      </w:r>
    </w:p>
    <w:p>
      <w:pPr>
        <w:spacing w:before="24" w:beforeLines="10" w:after="24" w:afterLines="10" w:line="360" w:lineRule="auto"/>
        <w:rPr>
          <w:b/>
        </w:rPr>
      </w:pPr>
      <w:r>
        <w:rPr>
          <w:rFonts w:hint="eastAsia"/>
          <w:b/>
        </w:rPr>
        <w:t>1.9.2</w:t>
      </w:r>
      <w:r>
        <w:rPr>
          <w:b/>
        </w:rPr>
        <w:t>评价时段</w:t>
      </w:r>
    </w:p>
    <w:p>
      <w:pPr>
        <w:spacing w:line="360" w:lineRule="auto"/>
        <w:ind w:firstLine="420" w:firstLineChars="200"/>
        <w:rPr>
          <w:rFonts w:ascii="宋体" w:hAnsi="宋体"/>
        </w:rPr>
      </w:pPr>
      <w:r>
        <w:rPr>
          <w:rFonts w:ascii="宋体" w:hAnsi="宋体"/>
        </w:rPr>
        <w:t>评价时段分为施工期和营运期。</w:t>
      </w:r>
    </w:p>
    <w:p>
      <w:pPr>
        <w:spacing w:before="24" w:beforeLines="10" w:after="24" w:afterLines="10" w:line="360" w:lineRule="auto"/>
        <w:rPr>
          <w:b/>
        </w:rPr>
      </w:pPr>
      <w:r>
        <w:rPr>
          <w:rFonts w:hint="eastAsia"/>
          <w:b/>
        </w:rPr>
        <w:t xml:space="preserve">1.9.3 </w:t>
      </w:r>
      <w:r>
        <w:rPr>
          <w:b/>
        </w:rPr>
        <w:t xml:space="preserve">评价因子  </w:t>
      </w:r>
    </w:p>
    <w:p>
      <w:pPr>
        <w:spacing w:line="360" w:lineRule="auto"/>
        <w:ind w:firstLine="420" w:firstLineChars="200"/>
        <w:rPr>
          <w:rFonts w:hint="eastAsia" w:ascii="宋体" w:hAnsi="宋体"/>
        </w:rPr>
      </w:pPr>
      <w:r>
        <w:rPr>
          <w:rFonts w:hint="eastAsia" w:ascii="宋体" w:hAnsi="宋体"/>
        </w:rPr>
        <w:t>（1）现状评价因子</w:t>
      </w:r>
    </w:p>
    <w:p>
      <w:pPr>
        <w:spacing w:line="360" w:lineRule="auto"/>
        <w:ind w:firstLine="420" w:firstLineChars="200"/>
        <w:rPr>
          <w:rFonts w:hint="eastAsia" w:ascii="宋体" w:hAnsi="宋体"/>
        </w:rPr>
      </w:pPr>
      <w:r>
        <w:rPr>
          <w:rFonts w:hint="eastAsia" w:ascii="宋体" w:hAnsi="宋体"/>
        </w:rPr>
        <w:t>环境空气： PM</w:t>
      </w:r>
      <w:r>
        <w:rPr>
          <w:rFonts w:hint="eastAsia" w:ascii="宋体" w:hAnsi="宋体"/>
          <w:vertAlign w:val="subscript"/>
        </w:rPr>
        <w:t>10</w:t>
      </w:r>
      <w:r>
        <w:rPr>
          <w:rFonts w:hint="eastAsia" w:ascii="宋体" w:hAnsi="宋体"/>
        </w:rPr>
        <w:t>、TSP、SO</w:t>
      </w:r>
      <w:r>
        <w:rPr>
          <w:rFonts w:hint="eastAsia" w:ascii="宋体" w:hAnsi="宋体"/>
          <w:vertAlign w:val="subscript"/>
        </w:rPr>
        <w:t>2</w:t>
      </w:r>
      <w:r>
        <w:rPr>
          <w:rFonts w:hint="eastAsia" w:ascii="宋体" w:hAnsi="宋体"/>
        </w:rPr>
        <w:t>、NO</w:t>
      </w:r>
      <w:r>
        <w:rPr>
          <w:rFonts w:hint="eastAsia" w:ascii="宋体" w:hAnsi="宋体"/>
          <w:vertAlign w:val="subscript"/>
        </w:rPr>
        <w:t>2</w:t>
      </w:r>
      <w:r>
        <w:rPr>
          <w:rFonts w:hint="eastAsia" w:ascii="宋体" w:hAnsi="宋体"/>
        </w:rPr>
        <w:t>。</w:t>
      </w:r>
    </w:p>
    <w:p>
      <w:pPr>
        <w:spacing w:line="360" w:lineRule="auto"/>
        <w:ind w:firstLine="420" w:firstLineChars="200"/>
        <w:rPr>
          <w:rFonts w:hint="eastAsia" w:ascii="宋体" w:hAnsi="宋体"/>
        </w:rPr>
      </w:pPr>
      <w:r>
        <w:rPr>
          <w:rFonts w:hint="eastAsia" w:ascii="宋体" w:hAnsi="宋体"/>
        </w:rPr>
        <w:t>地表水：</w:t>
      </w:r>
      <w:r>
        <w:rPr>
          <w:rFonts w:ascii="宋体" w:hAnsi="宋体"/>
        </w:rPr>
        <w:t>pH</w:t>
      </w:r>
      <w:r>
        <w:rPr>
          <w:rFonts w:hint="eastAsia" w:ascii="宋体" w:hAnsi="宋体"/>
        </w:rPr>
        <w:t>、</w:t>
      </w:r>
      <w:r>
        <w:rPr>
          <w:rFonts w:ascii="宋体" w:hAnsi="宋体"/>
        </w:rPr>
        <w:t>DO</w:t>
      </w:r>
      <w:r>
        <w:rPr>
          <w:rFonts w:hint="eastAsia" w:ascii="宋体" w:hAnsi="宋体"/>
        </w:rPr>
        <w:t>、</w:t>
      </w:r>
      <w:r>
        <w:rPr>
          <w:rFonts w:ascii="宋体" w:hAnsi="宋体"/>
        </w:rPr>
        <w:t>COD</w:t>
      </w:r>
      <w:r>
        <w:rPr>
          <w:rFonts w:hint="eastAsia" w:ascii="宋体" w:hAnsi="宋体"/>
        </w:rPr>
        <w:t>、</w:t>
      </w:r>
      <w:r>
        <w:rPr>
          <w:rFonts w:ascii="宋体" w:hAnsi="宋体"/>
        </w:rPr>
        <w:t>BOD</w:t>
      </w:r>
      <w:r>
        <w:rPr>
          <w:rFonts w:ascii="宋体" w:hAnsi="宋体"/>
          <w:vertAlign w:val="subscript"/>
        </w:rPr>
        <w:t>5</w:t>
      </w:r>
      <w:r>
        <w:rPr>
          <w:rFonts w:hint="eastAsia" w:ascii="宋体" w:hAnsi="宋体"/>
        </w:rPr>
        <w:t>、NH</w:t>
      </w:r>
      <w:r>
        <w:rPr>
          <w:rFonts w:hint="eastAsia" w:ascii="宋体" w:hAnsi="宋体"/>
          <w:vertAlign w:val="subscript"/>
        </w:rPr>
        <w:t>3</w:t>
      </w:r>
      <w:r>
        <w:rPr>
          <w:rFonts w:hint="eastAsia" w:ascii="宋体" w:hAnsi="宋体"/>
        </w:rPr>
        <w:t>-N、TP、石油类。</w:t>
      </w:r>
    </w:p>
    <w:p>
      <w:pPr>
        <w:spacing w:line="360" w:lineRule="auto"/>
        <w:ind w:firstLine="420" w:firstLineChars="200"/>
        <w:rPr>
          <w:rFonts w:hint="eastAsia" w:ascii="宋体" w:hAnsi="宋体"/>
        </w:rPr>
      </w:pPr>
      <w:r>
        <w:rPr>
          <w:rFonts w:hint="eastAsia" w:ascii="宋体" w:hAnsi="宋体"/>
        </w:rPr>
        <w:t>声环境：噪声等效</w:t>
      </w:r>
      <w:r>
        <w:rPr>
          <w:rFonts w:ascii="宋体" w:hAnsi="宋体"/>
        </w:rPr>
        <w:t>A</w:t>
      </w:r>
      <w:r>
        <w:rPr>
          <w:rFonts w:hint="eastAsia" w:ascii="宋体" w:hAnsi="宋体"/>
        </w:rPr>
        <w:t>声级。</w:t>
      </w:r>
    </w:p>
    <w:p>
      <w:pPr>
        <w:spacing w:line="360" w:lineRule="auto"/>
        <w:ind w:firstLine="315" w:firstLineChars="150"/>
        <w:rPr>
          <w:rFonts w:ascii="宋体" w:hAnsi="宋体"/>
        </w:rPr>
      </w:pPr>
      <w:r>
        <w:rPr>
          <w:rFonts w:hint="eastAsia" w:ascii="宋体" w:hAnsi="宋体"/>
        </w:rPr>
        <w:t>（2）</w:t>
      </w:r>
      <w:r>
        <w:rPr>
          <w:rFonts w:ascii="宋体" w:hAnsi="宋体"/>
        </w:rPr>
        <w:t>影响评价因子</w:t>
      </w:r>
    </w:p>
    <w:p>
      <w:pPr>
        <w:spacing w:line="360" w:lineRule="auto"/>
        <w:ind w:firstLine="420" w:firstLineChars="200"/>
        <w:rPr>
          <w:rFonts w:ascii="宋体" w:hAnsi="宋体"/>
        </w:rPr>
      </w:pPr>
      <w:r>
        <w:rPr>
          <w:rFonts w:ascii="宋体" w:hAnsi="宋体"/>
        </w:rPr>
        <w:t>空气环境：PM</w:t>
      </w:r>
      <w:r>
        <w:rPr>
          <w:rFonts w:ascii="宋体" w:hAnsi="宋体"/>
          <w:vertAlign w:val="subscript"/>
        </w:rPr>
        <w:t>10</w:t>
      </w:r>
      <w:r>
        <w:rPr>
          <w:rFonts w:hint="eastAsia" w:ascii="宋体" w:hAnsi="宋体"/>
        </w:rPr>
        <w:t>、NO</w:t>
      </w:r>
      <w:r>
        <w:rPr>
          <w:rFonts w:hint="eastAsia" w:ascii="宋体" w:hAnsi="宋体"/>
          <w:vertAlign w:val="subscript"/>
        </w:rPr>
        <w:t>2</w:t>
      </w:r>
      <w:r>
        <w:rPr>
          <w:rFonts w:hint="eastAsia" w:ascii="宋体" w:hAnsi="宋体"/>
        </w:rPr>
        <w:t>、</w:t>
      </w:r>
      <w:r>
        <w:rPr>
          <w:rFonts w:ascii="宋体" w:hAnsi="宋体"/>
        </w:rPr>
        <w:t>TSP、SO</w:t>
      </w:r>
      <w:r>
        <w:rPr>
          <w:rFonts w:ascii="宋体" w:hAnsi="宋体"/>
          <w:vertAlign w:val="subscript"/>
        </w:rPr>
        <w:t>2</w:t>
      </w:r>
    </w:p>
    <w:p>
      <w:pPr>
        <w:spacing w:line="360" w:lineRule="auto"/>
        <w:ind w:firstLine="420" w:firstLineChars="200"/>
        <w:rPr>
          <w:rFonts w:ascii="宋体" w:hAnsi="宋体"/>
        </w:rPr>
      </w:pPr>
      <w:r>
        <w:rPr>
          <w:rFonts w:ascii="宋体" w:hAnsi="宋体"/>
        </w:rPr>
        <w:t>地</w:t>
      </w:r>
      <w:r>
        <w:rPr>
          <w:rFonts w:hint="eastAsia" w:ascii="宋体" w:hAnsi="宋体"/>
        </w:rPr>
        <w:t>表</w:t>
      </w:r>
      <w:r>
        <w:rPr>
          <w:rFonts w:ascii="宋体" w:hAnsi="宋体"/>
        </w:rPr>
        <w:t>水环境：COD</w:t>
      </w:r>
      <w:r>
        <w:rPr>
          <w:rFonts w:hint="eastAsia" w:ascii="宋体" w:hAnsi="宋体"/>
        </w:rPr>
        <w:t>cr</w:t>
      </w:r>
    </w:p>
    <w:p>
      <w:pPr>
        <w:spacing w:line="360" w:lineRule="auto"/>
        <w:ind w:firstLine="420" w:firstLineChars="200"/>
        <w:rPr>
          <w:rFonts w:ascii="宋体" w:hAnsi="宋体"/>
        </w:rPr>
      </w:pPr>
      <w:r>
        <w:rPr>
          <w:rFonts w:ascii="宋体" w:hAnsi="宋体"/>
        </w:rPr>
        <w:t>声环境：厂界噪声、敏感点环境噪声</w:t>
      </w:r>
    </w:p>
    <w:p>
      <w:pPr>
        <w:pStyle w:val="28"/>
        <w:adjustRightInd/>
        <w:spacing w:line="360" w:lineRule="auto"/>
        <w:ind w:firstLine="480"/>
        <w:rPr>
          <w:rFonts w:ascii="宋体" w:hAnsi="宋体"/>
          <w:kern w:val="2"/>
          <w:sz w:val="24"/>
          <w:szCs w:val="24"/>
        </w:rPr>
      </w:pPr>
      <w:r>
        <w:rPr>
          <w:rFonts w:ascii="宋体" w:hAnsi="宋体"/>
          <w:kern w:val="2"/>
          <w:sz w:val="24"/>
          <w:szCs w:val="24"/>
        </w:rPr>
        <w:t>生态环境：</w:t>
      </w:r>
      <w:r>
        <w:rPr>
          <w:rFonts w:hint="eastAsia" w:ascii="宋体" w:hAnsi="宋体"/>
          <w:kern w:val="2"/>
          <w:sz w:val="24"/>
          <w:szCs w:val="24"/>
        </w:rPr>
        <w:t>水泥生产对周边农作物</w:t>
      </w:r>
      <w:r>
        <w:rPr>
          <w:rFonts w:ascii="宋体" w:hAnsi="宋体"/>
          <w:kern w:val="2"/>
          <w:sz w:val="24"/>
          <w:szCs w:val="24"/>
        </w:rPr>
        <w:t>的影响。</w:t>
      </w:r>
    </w:p>
    <w:p>
      <w:pPr>
        <w:spacing w:line="360" w:lineRule="auto"/>
        <w:ind w:firstLine="420" w:firstLineChars="200"/>
        <w:rPr>
          <w:rFonts w:hint="eastAsia" w:ascii="宋体" w:hAnsi="宋体"/>
        </w:rPr>
      </w:pPr>
      <w:r>
        <w:rPr>
          <w:rFonts w:hint="eastAsia" w:ascii="宋体" w:hAnsi="宋体"/>
        </w:rPr>
        <w:t>固体废物：废水处理污泥、生活垃圾、除尘灰。</w:t>
      </w:r>
    </w:p>
    <w:p>
      <w:pPr>
        <w:spacing w:before="24" w:beforeLines="10" w:after="24" w:afterLines="10" w:line="360" w:lineRule="auto"/>
        <w:outlineLvl w:val="1"/>
        <w:rPr>
          <w:rFonts w:hint="eastAsia"/>
          <w:b/>
        </w:rPr>
      </w:pPr>
      <w:bookmarkStart w:id="40" w:name="_Toc155859711"/>
      <w:bookmarkStart w:id="41" w:name="_Toc174241338"/>
      <w:bookmarkStart w:id="42" w:name="_Toc150759609"/>
      <w:bookmarkStart w:id="43" w:name="_Toc473281485"/>
      <w:bookmarkStart w:id="44" w:name="_Toc189814127"/>
      <w:bookmarkStart w:id="45" w:name="_Toc276372219"/>
      <w:r>
        <w:rPr>
          <w:b/>
        </w:rPr>
        <w:t>1.</w:t>
      </w:r>
      <w:r>
        <w:rPr>
          <w:rFonts w:hint="eastAsia"/>
          <w:b/>
        </w:rPr>
        <w:t>10污染控制目标及环境</w:t>
      </w:r>
      <w:bookmarkEnd w:id="40"/>
      <w:bookmarkEnd w:id="41"/>
      <w:bookmarkEnd w:id="42"/>
      <w:r>
        <w:rPr>
          <w:rFonts w:hint="eastAsia"/>
          <w:b/>
        </w:rPr>
        <w:t>敏感点</w:t>
      </w:r>
      <w:bookmarkEnd w:id="43"/>
      <w:bookmarkEnd w:id="44"/>
      <w:bookmarkEnd w:id="45"/>
    </w:p>
    <w:p>
      <w:pPr>
        <w:spacing w:line="360" w:lineRule="auto"/>
        <w:rPr>
          <w:rFonts w:hint="eastAsia"/>
          <w:b/>
          <w:bCs/>
          <w:szCs w:val="20"/>
        </w:rPr>
      </w:pPr>
      <w:bookmarkStart w:id="46" w:name="_Toc155859712"/>
      <w:bookmarkStart w:id="47" w:name="_Toc150759610"/>
      <w:r>
        <w:rPr>
          <w:rFonts w:hint="eastAsia"/>
          <w:b/>
          <w:bCs/>
          <w:szCs w:val="20"/>
        </w:rPr>
        <w:t>1.10.1污染控制目标</w:t>
      </w:r>
      <w:bookmarkEnd w:id="46"/>
      <w:bookmarkEnd w:id="47"/>
    </w:p>
    <w:p>
      <w:pPr>
        <w:spacing w:line="360" w:lineRule="auto"/>
        <w:ind w:firstLine="420" w:firstLineChars="200"/>
        <w:rPr>
          <w:rFonts w:hint="eastAsia" w:ascii="宋体" w:hAnsi="宋体"/>
        </w:rPr>
      </w:pPr>
      <w:r>
        <w:rPr>
          <w:rFonts w:hint="eastAsia" w:ascii="宋体" w:hAnsi="宋体"/>
        </w:rPr>
        <w:t>（1）污染物实现达标排放（废气、废水、厂界噪声、粉尘），符合“总量控制”要求。</w:t>
      </w:r>
    </w:p>
    <w:p>
      <w:pPr>
        <w:spacing w:line="360" w:lineRule="auto"/>
        <w:ind w:firstLine="420" w:firstLineChars="200"/>
        <w:rPr>
          <w:rFonts w:hint="eastAsia" w:ascii="宋体" w:hAnsi="宋体"/>
        </w:rPr>
      </w:pPr>
      <w:r>
        <w:rPr>
          <w:rFonts w:hint="eastAsia" w:ascii="宋体" w:hAnsi="宋体"/>
        </w:rPr>
        <w:t>（2）技改项目建成后环境空气、环境噪声、地表水质量维持在现状水平的基础上，能有所改善。</w:t>
      </w:r>
    </w:p>
    <w:p>
      <w:pPr>
        <w:spacing w:line="360" w:lineRule="auto"/>
        <w:ind w:firstLine="420" w:firstLineChars="200"/>
        <w:rPr>
          <w:rFonts w:hint="eastAsia" w:ascii="宋体" w:hAnsi="宋体"/>
        </w:rPr>
      </w:pPr>
      <w:r>
        <w:rPr>
          <w:rFonts w:hint="eastAsia" w:ascii="宋体" w:hAnsi="宋体"/>
        </w:rPr>
        <w:t>（3）坚持清洁生产和循环经济的原则，符合清洁生产的总体要求。</w:t>
      </w:r>
    </w:p>
    <w:p>
      <w:pPr>
        <w:spacing w:line="360" w:lineRule="auto"/>
        <w:ind w:firstLine="420" w:firstLineChars="200"/>
        <w:rPr>
          <w:rFonts w:hint="eastAsia" w:ascii="宋体" w:hAnsi="宋体"/>
        </w:rPr>
      </w:pPr>
      <w:r>
        <w:rPr>
          <w:rFonts w:hint="eastAsia" w:ascii="宋体" w:hAnsi="宋体"/>
        </w:rPr>
        <w:t>（4）非正常工况时，不对周围农作物产生危害等恶性事故。</w:t>
      </w:r>
    </w:p>
    <w:p>
      <w:pPr>
        <w:spacing w:line="360" w:lineRule="auto"/>
        <w:rPr>
          <w:rFonts w:hint="eastAsia"/>
          <w:b/>
          <w:bCs/>
          <w:szCs w:val="20"/>
        </w:rPr>
      </w:pPr>
      <w:bookmarkStart w:id="48" w:name="_Toc150759611"/>
      <w:bookmarkStart w:id="49" w:name="_Toc155859713"/>
      <w:r>
        <w:rPr>
          <w:rFonts w:hint="eastAsia"/>
          <w:b/>
          <w:bCs/>
          <w:szCs w:val="20"/>
        </w:rPr>
        <w:t>1.10.2 环境保护目标</w:t>
      </w:r>
      <w:bookmarkEnd w:id="48"/>
      <w:bookmarkEnd w:id="49"/>
    </w:p>
    <w:p>
      <w:pPr>
        <w:spacing w:line="360" w:lineRule="auto"/>
        <w:ind w:firstLine="420" w:firstLineChars="200"/>
        <w:rPr>
          <w:rFonts w:hint="eastAsia" w:ascii="宋体" w:hAnsi="宋体"/>
        </w:rPr>
      </w:pPr>
      <w:r>
        <w:rPr>
          <w:rFonts w:hint="eastAsia" w:ascii="宋体" w:hAnsi="宋体"/>
        </w:rPr>
        <w:t>评价区域内无风景名胜区、自然保护区、野生珍稀动植物等环境敏感区域。</w:t>
      </w:r>
    </w:p>
    <w:p>
      <w:pPr>
        <w:spacing w:line="360" w:lineRule="auto"/>
        <w:ind w:firstLine="420" w:firstLineChars="200"/>
        <w:rPr>
          <w:rFonts w:hint="eastAsia" w:ascii="宋体" w:hAnsi="宋体"/>
        </w:rPr>
      </w:pPr>
      <w:r>
        <w:rPr>
          <w:rFonts w:hint="eastAsia" w:ascii="宋体" w:hAnsi="宋体"/>
        </w:rPr>
        <w:t>以评价区域内的文物保护单位、学校、医院、居民、农户及周围农作物等为主要保护目标，环境敏感目标见表1-12和图1.1。</w:t>
      </w:r>
    </w:p>
    <w:p>
      <w:pPr>
        <w:pStyle w:val="29"/>
        <w:spacing w:line="480" w:lineRule="exact"/>
        <w:ind w:firstLine="0" w:firstLineChars="0"/>
        <w:jc w:val="center"/>
        <w:rPr>
          <w:rFonts w:hint="eastAsia"/>
          <w:b/>
          <w:color w:val="auto"/>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11"/>
        <w:rPr>
          <w:rFonts w:hint="eastAsia"/>
        </w:rPr>
      </w:pPr>
    </w:p>
    <w:p>
      <w:pPr>
        <w:pStyle w:val="29"/>
        <w:spacing w:line="480" w:lineRule="exact"/>
        <w:ind w:firstLine="0" w:firstLineChars="0"/>
        <w:jc w:val="center"/>
        <w:rPr>
          <w:rFonts w:hint="eastAsia"/>
          <w:b/>
          <w:color w:val="auto"/>
        </w:rPr>
      </w:pPr>
    </w:p>
    <w:p>
      <w:pPr>
        <w:pStyle w:val="29"/>
        <w:spacing w:line="480" w:lineRule="exact"/>
        <w:ind w:firstLine="0" w:firstLineChars="0"/>
        <w:jc w:val="center"/>
        <w:rPr>
          <w:rFonts w:hint="eastAsia"/>
          <w:b/>
          <w:color w:val="auto"/>
        </w:rPr>
      </w:pPr>
      <w:r>
        <w:rPr>
          <w:rFonts w:hint="eastAsia"/>
          <w:b/>
          <w:color w:val="auto"/>
        </w:rPr>
        <w:t xml:space="preserve">表1-12  </w:t>
      </w:r>
      <w:r>
        <w:rPr>
          <w:b/>
          <w:color w:val="auto"/>
        </w:rPr>
        <w:t xml:space="preserve"> </w:t>
      </w:r>
      <w:r>
        <w:rPr>
          <w:rFonts w:hint="eastAsia"/>
          <w:b/>
          <w:color w:val="auto"/>
        </w:rPr>
        <w:t>技改项目环境保护目标</w:t>
      </w:r>
    </w:p>
    <w:tbl>
      <w:tblPr>
        <w:tblStyle w:val="21"/>
        <w:tblW w:w="912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34"/>
        <w:gridCol w:w="3127"/>
        <w:gridCol w:w="982"/>
        <w:gridCol w:w="1656"/>
        <w:gridCol w:w="1456"/>
        <w:gridCol w:w="14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jc w:val="center"/>
        </w:trPr>
        <w:tc>
          <w:tcPr>
            <w:tcW w:w="434" w:type="dxa"/>
            <w:tcBorders>
              <w:top w:val="single" w:color="auto" w:sz="4" w:space="0"/>
              <w:left w:val="single" w:color="auto" w:sz="4" w:space="0"/>
              <w:bottom w:val="single" w:color="auto" w:sz="4" w:space="0"/>
            </w:tcBorders>
            <w:vAlign w:val="center"/>
          </w:tcPr>
          <w:p>
            <w:pPr>
              <w:jc w:val="center"/>
              <w:rPr>
                <w:sz w:val="21"/>
                <w:szCs w:val="21"/>
              </w:rPr>
            </w:pPr>
            <w:r>
              <w:rPr>
                <w:sz w:val="21"/>
                <w:szCs w:val="21"/>
              </w:rPr>
              <w:t>序号</w:t>
            </w:r>
          </w:p>
        </w:tc>
        <w:tc>
          <w:tcPr>
            <w:tcW w:w="3127" w:type="dxa"/>
            <w:tcBorders>
              <w:top w:val="single" w:color="auto" w:sz="4" w:space="0"/>
              <w:bottom w:val="single" w:color="auto" w:sz="4" w:space="0"/>
            </w:tcBorders>
            <w:vAlign w:val="center"/>
          </w:tcPr>
          <w:p>
            <w:pPr>
              <w:jc w:val="center"/>
              <w:rPr>
                <w:rFonts w:hint="eastAsia"/>
                <w:sz w:val="21"/>
                <w:szCs w:val="21"/>
              </w:rPr>
            </w:pPr>
            <w:r>
              <w:rPr>
                <w:sz w:val="21"/>
                <w:szCs w:val="21"/>
              </w:rPr>
              <w:t>敏感点</w:t>
            </w:r>
            <w:r>
              <w:rPr>
                <w:rFonts w:hint="eastAsia"/>
                <w:sz w:val="21"/>
                <w:szCs w:val="21"/>
              </w:rPr>
              <w:t>/关心点</w:t>
            </w:r>
          </w:p>
        </w:tc>
        <w:tc>
          <w:tcPr>
            <w:tcW w:w="982" w:type="dxa"/>
            <w:tcBorders>
              <w:top w:val="single" w:color="auto" w:sz="4" w:space="0"/>
              <w:bottom w:val="single" w:color="auto" w:sz="4" w:space="0"/>
            </w:tcBorders>
            <w:vAlign w:val="center"/>
          </w:tcPr>
          <w:p>
            <w:pPr>
              <w:jc w:val="center"/>
              <w:rPr>
                <w:sz w:val="21"/>
                <w:szCs w:val="21"/>
              </w:rPr>
            </w:pPr>
            <w:r>
              <w:rPr>
                <w:sz w:val="21"/>
                <w:szCs w:val="21"/>
              </w:rPr>
              <w:t>保护要素</w:t>
            </w:r>
          </w:p>
        </w:tc>
        <w:tc>
          <w:tcPr>
            <w:tcW w:w="1656" w:type="dxa"/>
            <w:tcBorders>
              <w:top w:val="single" w:color="auto" w:sz="4" w:space="0"/>
              <w:bottom w:val="single" w:color="auto" w:sz="4" w:space="0"/>
              <w:right w:val="single" w:color="auto" w:sz="4" w:space="0"/>
            </w:tcBorders>
            <w:vAlign w:val="center"/>
          </w:tcPr>
          <w:p>
            <w:pPr>
              <w:jc w:val="center"/>
              <w:rPr>
                <w:sz w:val="21"/>
                <w:szCs w:val="21"/>
              </w:rPr>
            </w:pPr>
            <w:r>
              <w:rPr>
                <w:sz w:val="21"/>
                <w:szCs w:val="21"/>
              </w:rPr>
              <w:t>敏感点特性</w:t>
            </w:r>
          </w:p>
        </w:tc>
        <w:tc>
          <w:tcPr>
            <w:tcW w:w="1456" w:type="dxa"/>
            <w:tcBorders>
              <w:top w:val="single" w:color="auto" w:sz="4" w:space="0"/>
              <w:bottom w:val="single" w:color="auto" w:sz="4" w:space="0"/>
              <w:right w:val="single" w:color="auto" w:sz="4" w:space="0"/>
            </w:tcBorders>
            <w:vAlign w:val="center"/>
          </w:tcPr>
          <w:p>
            <w:pPr>
              <w:jc w:val="center"/>
              <w:rPr>
                <w:sz w:val="21"/>
                <w:szCs w:val="21"/>
              </w:rPr>
            </w:pPr>
            <w:r>
              <w:rPr>
                <w:sz w:val="21"/>
                <w:szCs w:val="21"/>
              </w:rPr>
              <w:t>方位</w:t>
            </w:r>
          </w:p>
        </w:tc>
        <w:tc>
          <w:tcPr>
            <w:tcW w:w="1471" w:type="dxa"/>
            <w:tcBorders>
              <w:top w:val="single" w:color="auto" w:sz="4" w:space="0"/>
              <w:bottom w:val="single" w:color="auto" w:sz="4" w:space="0"/>
            </w:tcBorders>
            <w:vAlign w:val="center"/>
          </w:tcPr>
          <w:p>
            <w:pPr>
              <w:jc w:val="center"/>
              <w:rPr>
                <w:sz w:val="21"/>
                <w:szCs w:val="21"/>
              </w:rPr>
            </w:pPr>
            <w:r>
              <w:rPr>
                <w:sz w:val="21"/>
                <w:szCs w:val="21"/>
              </w:rPr>
              <w:t>距离最近厂界，m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jc w:val="center"/>
        </w:trPr>
        <w:tc>
          <w:tcPr>
            <w:tcW w:w="434" w:type="dxa"/>
            <w:tcBorders>
              <w:top w:val="single" w:color="auto" w:sz="4" w:space="0"/>
              <w:left w:val="single" w:color="auto" w:sz="4" w:space="0"/>
              <w:bottom w:val="single" w:color="000000" w:sz="4" w:space="0"/>
            </w:tcBorders>
            <w:vAlign w:val="center"/>
          </w:tcPr>
          <w:p>
            <w:pPr>
              <w:jc w:val="center"/>
              <w:rPr>
                <w:sz w:val="21"/>
                <w:szCs w:val="21"/>
              </w:rPr>
            </w:pPr>
            <w:r>
              <w:rPr>
                <w:sz w:val="21"/>
                <w:szCs w:val="21"/>
              </w:rPr>
              <w:t>1</w:t>
            </w:r>
          </w:p>
        </w:tc>
        <w:tc>
          <w:tcPr>
            <w:tcW w:w="3127" w:type="dxa"/>
            <w:tcBorders>
              <w:top w:val="single" w:color="auto" w:sz="4" w:space="0"/>
              <w:bottom w:val="single" w:color="000000" w:sz="4" w:space="0"/>
            </w:tcBorders>
            <w:vAlign w:val="center"/>
          </w:tcPr>
          <w:p>
            <w:pPr>
              <w:ind w:firstLine="480"/>
              <w:jc w:val="center"/>
              <w:rPr>
                <w:rFonts w:ascii="宋体" w:hAnsi="宋体" w:cs="宋体"/>
                <w:sz w:val="21"/>
                <w:szCs w:val="21"/>
              </w:rPr>
            </w:pPr>
            <w:r>
              <w:rPr>
                <w:rFonts w:hint="eastAsia"/>
                <w:sz w:val="21"/>
                <w:szCs w:val="21"/>
              </w:rPr>
              <w:t>大路镇</w:t>
            </w:r>
          </w:p>
        </w:tc>
        <w:tc>
          <w:tcPr>
            <w:tcW w:w="982" w:type="dxa"/>
            <w:tcBorders>
              <w:top w:val="single" w:color="auto" w:sz="4" w:space="0"/>
              <w:bottom w:val="single" w:color="000000" w:sz="4" w:space="0"/>
            </w:tcBorders>
            <w:vAlign w:val="center"/>
          </w:tcPr>
          <w:p>
            <w:pPr>
              <w:jc w:val="center"/>
              <w:rPr>
                <w:sz w:val="21"/>
                <w:szCs w:val="21"/>
              </w:rPr>
            </w:pPr>
            <w:r>
              <w:rPr>
                <w:sz w:val="21"/>
                <w:szCs w:val="21"/>
              </w:rPr>
              <w:t>空气</w:t>
            </w:r>
          </w:p>
        </w:tc>
        <w:tc>
          <w:tcPr>
            <w:tcW w:w="1656" w:type="dxa"/>
            <w:tcBorders>
              <w:top w:val="single" w:color="auto" w:sz="4" w:space="0"/>
              <w:bottom w:val="single" w:color="000000" w:sz="4" w:space="0"/>
              <w:right w:val="single" w:color="auto" w:sz="4" w:space="0"/>
            </w:tcBorders>
            <w:vAlign w:val="center"/>
          </w:tcPr>
          <w:p>
            <w:pPr>
              <w:jc w:val="center"/>
              <w:rPr>
                <w:rFonts w:hint="eastAsia"/>
                <w:sz w:val="21"/>
                <w:szCs w:val="21"/>
              </w:rPr>
            </w:pPr>
            <w:r>
              <w:rPr>
                <w:sz w:val="21"/>
                <w:szCs w:val="21"/>
              </w:rPr>
              <w:t>居民区</w:t>
            </w:r>
            <w:r>
              <w:rPr>
                <w:rFonts w:hint="eastAsia"/>
                <w:sz w:val="21"/>
                <w:szCs w:val="21"/>
              </w:rPr>
              <w:t>、学校、医院</w:t>
            </w:r>
          </w:p>
        </w:tc>
        <w:tc>
          <w:tcPr>
            <w:tcW w:w="1456" w:type="dxa"/>
            <w:tcBorders>
              <w:top w:val="single" w:color="auto" w:sz="4" w:space="0"/>
              <w:bottom w:val="single" w:color="000000" w:sz="4" w:space="0"/>
              <w:right w:val="single" w:color="auto" w:sz="4" w:space="0"/>
            </w:tcBorders>
            <w:vAlign w:val="center"/>
          </w:tcPr>
          <w:p>
            <w:pPr>
              <w:jc w:val="center"/>
              <w:rPr>
                <w:rFonts w:hint="eastAsia"/>
                <w:sz w:val="21"/>
                <w:szCs w:val="21"/>
              </w:rPr>
            </w:pPr>
            <w:r>
              <w:rPr>
                <w:rFonts w:hint="eastAsia" w:ascii="宋体" w:hAnsi="宋体"/>
                <w:sz w:val="21"/>
                <w:szCs w:val="21"/>
              </w:rPr>
              <w:t>NW面，侧上风向</w:t>
            </w:r>
          </w:p>
        </w:tc>
        <w:tc>
          <w:tcPr>
            <w:tcW w:w="1471" w:type="dxa"/>
            <w:tcBorders>
              <w:top w:val="single" w:color="auto" w:sz="4" w:space="0"/>
              <w:bottom w:val="single" w:color="000000" w:sz="4" w:space="0"/>
            </w:tcBorders>
            <w:vAlign w:val="center"/>
          </w:tcPr>
          <w:p>
            <w:pPr>
              <w:jc w:val="center"/>
              <w:rPr>
                <w:rFonts w:hint="eastAsia"/>
                <w:sz w:val="21"/>
                <w:szCs w:val="21"/>
              </w:rPr>
            </w:pPr>
            <w:r>
              <w:rPr>
                <w:rFonts w:hint="eastAsia"/>
                <w:sz w:val="21"/>
                <w:szCs w:val="21"/>
              </w:rPr>
              <w:t>8500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tcBorders>
            <w:vAlign w:val="center"/>
          </w:tcPr>
          <w:p>
            <w:pPr>
              <w:jc w:val="center"/>
              <w:rPr>
                <w:rFonts w:hint="eastAsia"/>
                <w:sz w:val="21"/>
                <w:szCs w:val="21"/>
              </w:rPr>
            </w:pPr>
            <w:r>
              <w:rPr>
                <w:rFonts w:hint="eastAsia"/>
                <w:sz w:val="21"/>
                <w:szCs w:val="21"/>
              </w:rPr>
              <w:t>2</w:t>
            </w:r>
          </w:p>
        </w:tc>
        <w:tc>
          <w:tcPr>
            <w:tcW w:w="3127" w:type="dxa"/>
            <w:tcBorders>
              <w:top w:val="single" w:color="000000" w:sz="4" w:space="0"/>
            </w:tcBorders>
            <w:vAlign w:val="center"/>
          </w:tcPr>
          <w:p>
            <w:pPr>
              <w:ind w:firstLine="480"/>
              <w:jc w:val="center"/>
              <w:rPr>
                <w:rFonts w:hint="eastAsia" w:ascii="宋体" w:hAnsi="宋体" w:cs="宋体"/>
                <w:sz w:val="21"/>
                <w:szCs w:val="21"/>
              </w:rPr>
            </w:pPr>
            <w:r>
              <w:rPr>
                <w:rFonts w:hint="eastAsia" w:ascii="宋体" w:hAnsi="宋体" w:cs="宋体"/>
                <w:sz w:val="21"/>
                <w:szCs w:val="21"/>
              </w:rPr>
              <w:t>六塘镇</w:t>
            </w:r>
          </w:p>
        </w:tc>
        <w:tc>
          <w:tcPr>
            <w:tcW w:w="982" w:type="dxa"/>
            <w:tcBorders>
              <w:top w:val="single" w:color="000000" w:sz="4" w:space="0"/>
            </w:tcBorders>
            <w:vAlign w:val="center"/>
          </w:tcPr>
          <w:p>
            <w:pPr>
              <w:jc w:val="center"/>
              <w:rPr>
                <w:rFonts w:hint="eastAsia"/>
                <w:sz w:val="21"/>
                <w:szCs w:val="21"/>
              </w:rPr>
            </w:pPr>
            <w:r>
              <w:rPr>
                <w:sz w:val="21"/>
                <w:szCs w:val="21"/>
              </w:rPr>
              <w:t>空气</w:t>
            </w:r>
          </w:p>
        </w:tc>
        <w:tc>
          <w:tcPr>
            <w:tcW w:w="1656" w:type="dxa"/>
            <w:tcBorders>
              <w:top w:val="single" w:color="000000" w:sz="4" w:space="0"/>
              <w:right w:val="single" w:color="auto" w:sz="4" w:space="0"/>
            </w:tcBorders>
            <w:vAlign w:val="top"/>
          </w:tcPr>
          <w:p>
            <w:pPr>
              <w:jc w:val="center"/>
              <w:rPr>
                <w:sz w:val="21"/>
                <w:szCs w:val="21"/>
              </w:rPr>
            </w:pPr>
            <w:r>
              <w:rPr>
                <w:sz w:val="21"/>
                <w:szCs w:val="21"/>
              </w:rPr>
              <w:t>居民区</w:t>
            </w:r>
            <w:r>
              <w:rPr>
                <w:rFonts w:hint="eastAsia"/>
                <w:sz w:val="21"/>
                <w:szCs w:val="21"/>
              </w:rPr>
              <w:t>、学校、医院</w:t>
            </w:r>
          </w:p>
        </w:tc>
        <w:tc>
          <w:tcPr>
            <w:tcW w:w="1456" w:type="dxa"/>
            <w:tcBorders>
              <w:top w:val="single" w:color="000000" w:sz="4" w:space="0"/>
              <w:right w:val="single" w:color="auto" w:sz="4" w:space="0"/>
            </w:tcBorders>
            <w:vAlign w:val="center"/>
          </w:tcPr>
          <w:p>
            <w:pPr>
              <w:jc w:val="center"/>
              <w:rPr>
                <w:rFonts w:hint="eastAsia"/>
                <w:sz w:val="21"/>
                <w:szCs w:val="21"/>
              </w:rPr>
            </w:pPr>
            <w:r>
              <w:rPr>
                <w:rFonts w:hint="eastAsia" w:ascii="宋体" w:hAnsi="宋体"/>
                <w:sz w:val="21"/>
                <w:szCs w:val="21"/>
              </w:rPr>
              <w:t>NNW面，侧上风向</w:t>
            </w:r>
          </w:p>
        </w:tc>
        <w:tc>
          <w:tcPr>
            <w:tcW w:w="1471" w:type="dxa"/>
            <w:tcBorders>
              <w:top w:val="single" w:color="000000" w:sz="4" w:space="0"/>
            </w:tcBorders>
            <w:vAlign w:val="center"/>
          </w:tcPr>
          <w:p>
            <w:pPr>
              <w:jc w:val="center"/>
              <w:rPr>
                <w:rFonts w:hint="eastAsia"/>
                <w:sz w:val="21"/>
                <w:szCs w:val="21"/>
              </w:rPr>
            </w:pPr>
            <w:r>
              <w:rPr>
                <w:rFonts w:hint="eastAsia"/>
                <w:sz w:val="21"/>
                <w:szCs w:val="21"/>
              </w:rPr>
              <w:t>5800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jc w:val="center"/>
        </w:trPr>
        <w:tc>
          <w:tcPr>
            <w:tcW w:w="434" w:type="dxa"/>
            <w:tcBorders>
              <w:top w:val="nil"/>
              <w:left w:val="single" w:color="auto" w:sz="4" w:space="0"/>
              <w:bottom w:val="single" w:color="000000" w:sz="4" w:space="0"/>
            </w:tcBorders>
            <w:vAlign w:val="center"/>
          </w:tcPr>
          <w:p>
            <w:pPr>
              <w:jc w:val="center"/>
              <w:rPr>
                <w:rFonts w:hint="eastAsia"/>
                <w:sz w:val="21"/>
                <w:szCs w:val="21"/>
              </w:rPr>
            </w:pPr>
            <w:r>
              <w:rPr>
                <w:rFonts w:hint="eastAsia"/>
                <w:sz w:val="21"/>
                <w:szCs w:val="21"/>
              </w:rPr>
              <w:t>3</w:t>
            </w:r>
          </w:p>
        </w:tc>
        <w:tc>
          <w:tcPr>
            <w:tcW w:w="3127" w:type="dxa"/>
            <w:tcBorders>
              <w:top w:val="nil"/>
              <w:bottom w:val="single" w:color="000000" w:sz="4" w:space="0"/>
            </w:tcBorders>
            <w:vAlign w:val="center"/>
          </w:tcPr>
          <w:p>
            <w:pPr>
              <w:ind w:firstLine="480"/>
              <w:jc w:val="center"/>
              <w:rPr>
                <w:rFonts w:ascii="宋体" w:hAnsi="宋体" w:cs="宋体"/>
                <w:sz w:val="21"/>
                <w:szCs w:val="21"/>
              </w:rPr>
            </w:pPr>
            <w:r>
              <w:rPr>
                <w:rFonts w:hint="eastAsia" w:ascii="宋体" w:hAnsi="宋体" w:cs="宋体"/>
                <w:sz w:val="21"/>
                <w:szCs w:val="21"/>
              </w:rPr>
              <w:t>接龙镇</w:t>
            </w:r>
          </w:p>
        </w:tc>
        <w:tc>
          <w:tcPr>
            <w:tcW w:w="982" w:type="dxa"/>
            <w:tcBorders>
              <w:top w:val="nil"/>
              <w:bottom w:val="single" w:color="000000" w:sz="4" w:space="0"/>
            </w:tcBorders>
            <w:vAlign w:val="center"/>
          </w:tcPr>
          <w:p>
            <w:pPr>
              <w:jc w:val="center"/>
              <w:rPr>
                <w:sz w:val="21"/>
                <w:szCs w:val="21"/>
              </w:rPr>
            </w:pPr>
            <w:r>
              <w:rPr>
                <w:sz w:val="21"/>
                <w:szCs w:val="21"/>
              </w:rPr>
              <w:t>空气</w:t>
            </w:r>
          </w:p>
        </w:tc>
        <w:tc>
          <w:tcPr>
            <w:tcW w:w="1656" w:type="dxa"/>
            <w:tcBorders>
              <w:top w:val="nil"/>
              <w:bottom w:val="single" w:color="000000" w:sz="4" w:space="0"/>
              <w:right w:val="single" w:color="auto" w:sz="4" w:space="0"/>
            </w:tcBorders>
            <w:vAlign w:val="top"/>
          </w:tcPr>
          <w:p>
            <w:pPr>
              <w:jc w:val="center"/>
              <w:rPr>
                <w:sz w:val="21"/>
                <w:szCs w:val="21"/>
              </w:rPr>
            </w:pPr>
            <w:r>
              <w:rPr>
                <w:sz w:val="21"/>
                <w:szCs w:val="21"/>
              </w:rPr>
              <w:t>居民区</w:t>
            </w:r>
            <w:r>
              <w:rPr>
                <w:rFonts w:hint="eastAsia"/>
                <w:sz w:val="21"/>
                <w:szCs w:val="21"/>
              </w:rPr>
              <w:t>、学校、医院</w:t>
            </w:r>
          </w:p>
        </w:tc>
        <w:tc>
          <w:tcPr>
            <w:tcW w:w="1456" w:type="dxa"/>
            <w:tcBorders>
              <w:top w:val="nil"/>
              <w:bottom w:val="single" w:color="000000" w:sz="4" w:space="0"/>
              <w:right w:val="single" w:color="auto" w:sz="4" w:space="0"/>
            </w:tcBorders>
            <w:vAlign w:val="center"/>
          </w:tcPr>
          <w:p>
            <w:pPr>
              <w:jc w:val="center"/>
              <w:rPr>
                <w:rFonts w:hint="eastAsia"/>
                <w:sz w:val="21"/>
                <w:szCs w:val="21"/>
              </w:rPr>
            </w:pPr>
            <w:r>
              <w:rPr>
                <w:rFonts w:hint="eastAsia" w:ascii="宋体" w:hAnsi="宋体"/>
                <w:sz w:val="21"/>
                <w:szCs w:val="21"/>
              </w:rPr>
              <w:t>NW面，侧上风向</w:t>
            </w:r>
          </w:p>
        </w:tc>
        <w:tc>
          <w:tcPr>
            <w:tcW w:w="1471" w:type="dxa"/>
            <w:tcBorders>
              <w:top w:val="nil"/>
              <w:bottom w:val="single" w:color="000000" w:sz="4" w:space="0"/>
            </w:tcBorders>
            <w:vAlign w:val="center"/>
          </w:tcPr>
          <w:p>
            <w:pPr>
              <w:jc w:val="center"/>
              <w:rPr>
                <w:rFonts w:hint="eastAsia"/>
                <w:sz w:val="21"/>
                <w:szCs w:val="21"/>
              </w:rPr>
            </w:pPr>
            <w:r>
              <w:rPr>
                <w:rFonts w:hint="eastAsia"/>
                <w:sz w:val="21"/>
                <w:szCs w:val="21"/>
              </w:rPr>
              <w:t>3300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jc w:val="center"/>
        </w:trPr>
        <w:tc>
          <w:tcPr>
            <w:tcW w:w="434" w:type="dxa"/>
            <w:tcBorders>
              <w:top w:val="nil"/>
              <w:left w:val="single" w:color="auto" w:sz="4" w:space="0"/>
              <w:bottom w:val="single" w:color="000000" w:sz="4" w:space="0"/>
            </w:tcBorders>
            <w:vAlign w:val="center"/>
          </w:tcPr>
          <w:p>
            <w:pPr>
              <w:jc w:val="center"/>
              <w:rPr>
                <w:rFonts w:hint="eastAsia"/>
                <w:sz w:val="21"/>
                <w:szCs w:val="21"/>
              </w:rPr>
            </w:pPr>
            <w:r>
              <w:rPr>
                <w:rFonts w:hint="eastAsia"/>
                <w:sz w:val="21"/>
                <w:szCs w:val="21"/>
              </w:rPr>
              <w:t>4</w:t>
            </w:r>
          </w:p>
        </w:tc>
        <w:tc>
          <w:tcPr>
            <w:tcW w:w="3127" w:type="dxa"/>
            <w:tcBorders>
              <w:top w:val="nil"/>
              <w:bottom w:val="single" w:color="000000" w:sz="4" w:space="0"/>
            </w:tcBorders>
            <w:vAlign w:val="center"/>
          </w:tcPr>
          <w:p>
            <w:pPr>
              <w:ind w:firstLine="480"/>
              <w:jc w:val="center"/>
              <w:rPr>
                <w:rFonts w:hint="eastAsia" w:ascii="宋体" w:hAnsi="宋体" w:cs="宋体"/>
                <w:sz w:val="21"/>
                <w:szCs w:val="21"/>
              </w:rPr>
            </w:pPr>
            <w:r>
              <w:rPr>
                <w:rFonts w:hint="eastAsia" w:ascii="宋体" w:hAnsi="宋体" w:cs="宋体"/>
                <w:sz w:val="21"/>
                <w:szCs w:val="21"/>
              </w:rPr>
              <w:t>福里树</w:t>
            </w:r>
          </w:p>
        </w:tc>
        <w:tc>
          <w:tcPr>
            <w:tcW w:w="982" w:type="dxa"/>
            <w:tcBorders>
              <w:top w:val="nil"/>
              <w:bottom w:val="single" w:color="000000" w:sz="4" w:space="0"/>
            </w:tcBorders>
            <w:vAlign w:val="center"/>
          </w:tcPr>
          <w:p>
            <w:pPr>
              <w:jc w:val="center"/>
              <w:rPr>
                <w:rFonts w:hint="eastAsia"/>
                <w:sz w:val="21"/>
                <w:szCs w:val="21"/>
              </w:rPr>
            </w:pPr>
            <w:r>
              <w:rPr>
                <w:sz w:val="21"/>
                <w:szCs w:val="21"/>
              </w:rPr>
              <w:t>空气</w:t>
            </w:r>
          </w:p>
        </w:tc>
        <w:tc>
          <w:tcPr>
            <w:tcW w:w="1656" w:type="dxa"/>
            <w:tcBorders>
              <w:top w:val="nil"/>
              <w:bottom w:val="single" w:color="000000" w:sz="4" w:space="0"/>
              <w:right w:val="single" w:color="auto" w:sz="4" w:space="0"/>
            </w:tcBorders>
            <w:vAlign w:val="center"/>
          </w:tcPr>
          <w:p>
            <w:pPr>
              <w:jc w:val="center"/>
              <w:rPr>
                <w:sz w:val="21"/>
                <w:szCs w:val="21"/>
              </w:rPr>
            </w:pPr>
            <w:r>
              <w:rPr>
                <w:sz w:val="21"/>
                <w:szCs w:val="21"/>
              </w:rPr>
              <w:t>居民</w:t>
            </w:r>
            <w:r>
              <w:rPr>
                <w:rFonts w:hint="eastAsia"/>
                <w:sz w:val="21"/>
                <w:szCs w:val="21"/>
              </w:rPr>
              <w:t>点</w:t>
            </w:r>
          </w:p>
        </w:tc>
        <w:tc>
          <w:tcPr>
            <w:tcW w:w="1456" w:type="dxa"/>
            <w:tcBorders>
              <w:top w:val="nil"/>
              <w:bottom w:val="single" w:color="000000" w:sz="4" w:space="0"/>
              <w:right w:val="single" w:color="auto" w:sz="4" w:space="0"/>
            </w:tcBorders>
            <w:vAlign w:val="center"/>
          </w:tcPr>
          <w:p>
            <w:pPr>
              <w:jc w:val="center"/>
              <w:rPr>
                <w:rFonts w:hint="eastAsia"/>
                <w:sz w:val="21"/>
                <w:szCs w:val="21"/>
              </w:rPr>
            </w:pPr>
            <w:r>
              <w:rPr>
                <w:rFonts w:hint="eastAsia" w:ascii="宋体" w:hAnsi="宋体"/>
                <w:sz w:val="21"/>
                <w:szCs w:val="21"/>
              </w:rPr>
              <w:t>W面，侧风向</w:t>
            </w:r>
          </w:p>
        </w:tc>
        <w:tc>
          <w:tcPr>
            <w:tcW w:w="1471" w:type="dxa"/>
            <w:tcBorders>
              <w:top w:val="nil"/>
              <w:bottom w:val="single" w:color="000000" w:sz="4" w:space="0"/>
            </w:tcBorders>
            <w:vAlign w:val="center"/>
          </w:tcPr>
          <w:p>
            <w:pPr>
              <w:jc w:val="center"/>
              <w:rPr>
                <w:rFonts w:hint="eastAsia"/>
                <w:sz w:val="21"/>
                <w:szCs w:val="21"/>
              </w:rPr>
            </w:pPr>
            <w:r>
              <w:rPr>
                <w:rFonts w:hint="eastAsia"/>
                <w:sz w:val="21"/>
                <w:szCs w:val="21"/>
              </w:rPr>
              <w:t>1200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bottom w:val="single" w:color="000000" w:sz="4" w:space="0"/>
            </w:tcBorders>
            <w:vAlign w:val="center"/>
          </w:tcPr>
          <w:p>
            <w:pPr>
              <w:jc w:val="center"/>
              <w:rPr>
                <w:rFonts w:hint="eastAsia"/>
                <w:sz w:val="21"/>
                <w:szCs w:val="21"/>
              </w:rPr>
            </w:pPr>
            <w:r>
              <w:rPr>
                <w:rFonts w:hint="eastAsia"/>
                <w:sz w:val="21"/>
                <w:szCs w:val="21"/>
              </w:rPr>
              <w:t>5</w:t>
            </w:r>
          </w:p>
        </w:tc>
        <w:tc>
          <w:tcPr>
            <w:tcW w:w="3127" w:type="dxa"/>
            <w:tcBorders>
              <w:top w:val="single" w:color="000000" w:sz="4" w:space="0"/>
              <w:bottom w:val="single" w:color="000000" w:sz="4" w:space="0"/>
            </w:tcBorders>
            <w:vAlign w:val="center"/>
          </w:tcPr>
          <w:p>
            <w:pPr>
              <w:jc w:val="center"/>
              <w:rPr>
                <w:rFonts w:hint="eastAsia" w:ascii="宋体" w:hAnsi="宋体" w:cs="宋体"/>
                <w:sz w:val="21"/>
                <w:szCs w:val="21"/>
              </w:rPr>
            </w:pPr>
            <w:r>
              <w:rPr>
                <w:rFonts w:hint="eastAsia" w:ascii="宋体" w:hAnsi="宋体" w:cs="宋体"/>
                <w:sz w:val="21"/>
                <w:szCs w:val="21"/>
              </w:rPr>
              <w:t>殷家老院子</w:t>
            </w:r>
          </w:p>
        </w:tc>
        <w:tc>
          <w:tcPr>
            <w:tcW w:w="982" w:type="dxa"/>
            <w:tcBorders>
              <w:top w:val="single" w:color="000000" w:sz="4" w:space="0"/>
              <w:bottom w:val="single" w:color="000000" w:sz="4" w:space="0"/>
            </w:tcBorders>
            <w:vAlign w:val="center"/>
          </w:tcPr>
          <w:p>
            <w:pPr>
              <w:jc w:val="center"/>
              <w:rPr>
                <w:sz w:val="21"/>
                <w:szCs w:val="21"/>
              </w:rPr>
            </w:pPr>
            <w:r>
              <w:rPr>
                <w:sz w:val="21"/>
                <w:szCs w:val="21"/>
              </w:rPr>
              <w:t>空气</w:t>
            </w:r>
          </w:p>
        </w:tc>
        <w:tc>
          <w:tcPr>
            <w:tcW w:w="1656" w:type="dxa"/>
            <w:tcBorders>
              <w:top w:val="single" w:color="000000" w:sz="4" w:space="0"/>
              <w:bottom w:val="single" w:color="000000" w:sz="4" w:space="0"/>
              <w:right w:val="single" w:color="auto" w:sz="4" w:space="0"/>
            </w:tcBorders>
            <w:vAlign w:val="center"/>
          </w:tcPr>
          <w:p>
            <w:pPr>
              <w:jc w:val="center"/>
              <w:rPr>
                <w:sz w:val="21"/>
                <w:szCs w:val="21"/>
              </w:rPr>
            </w:pPr>
            <w:r>
              <w:rPr>
                <w:rFonts w:hint="eastAsia"/>
                <w:sz w:val="21"/>
                <w:szCs w:val="21"/>
              </w:rPr>
              <w:t>居民点</w:t>
            </w:r>
          </w:p>
        </w:tc>
        <w:tc>
          <w:tcPr>
            <w:tcW w:w="1456" w:type="dxa"/>
            <w:tcBorders>
              <w:top w:val="single" w:color="000000" w:sz="4" w:space="0"/>
              <w:bottom w:val="single" w:color="000000" w:sz="4" w:space="0"/>
              <w:right w:val="single" w:color="auto" w:sz="4" w:space="0"/>
            </w:tcBorders>
            <w:vAlign w:val="center"/>
          </w:tcPr>
          <w:p>
            <w:pPr>
              <w:jc w:val="center"/>
              <w:rPr>
                <w:rFonts w:hint="eastAsia"/>
                <w:sz w:val="21"/>
                <w:szCs w:val="21"/>
              </w:rPr>
            </w:pPr>
            <w:r>
              <w:rPr>
                <w:rFonts w:hint="eastAsia"/>
                <w:sz w:val="21"/>
                <w:szCs w:val="21"/>
              </w:rPr>
              <w:t>SW</w:t>
            </w:r>
            <w:r>
              <w:rPr>
                <w:rFonts w:hint="eastAsia" w:ascii="宋体" w:hAnsi="宋体"/>
                <w:sz w:val="21"/>
                <w:szCs w:val="21"/>
              </w:rPr>
              <w:t>面，侧下风向</w:t>
            </w:r>
          </w:p>
        </w:tc>
        <w:tc>
          <w:tcPr>
            <w:tcW w:w="1471" w:type="dxa"/>
            <w:tcBorders>
              <w:top w:val="single" w:color="000000" w:sz="4" w:space="0"/>
              <w:bottom w:val="single" w:color="000000" w:sz="4" w:space="0"/>
            </w:tcBorders>
            <w:vAlign w:val="center"/>
          </w:tcPr>
          <w:p>
            <w:pPr>
              <w:jc w:val="center"/>
              <w:rPr>
                <w:rFonts w:hint="eastAsia"/>
                <w:sz w:val="21"/>
                <w:szCs w:val="21"/>
              </w:rPr>
            </w:pPr>
            <w:r>
              <w:rPr>
                <w:rFonts w:hint="eastAsia"/>
                <w:sz w:val="21"/>
                <w:szCs w:val="21"/>
              </w:rPr>
              <w:t>2600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bottom w:val="single" w:color="000000" w:sz="4" w:space="0"/>
            </w:tcBorders>
            <w:vAlign w:val="center"/>
          </w:tcPr>
          <w:p>
            <w:pPr>
              <w:jc w:val="center"/>
              <w:rPr>
                <w:rFonts w:hint="eastAsia"/>
                <w:sz w:val="21"/>
                <w:szCs w:val="21"/>
              </w:rPr>
            </w:pPr>
            <w:r>
              <w:rPr>
                <w:rFonts w:hint="eastAsia"/>
                <w:sz w:val="21"/>
                <w:szCs w:val="21"/>
              </w:rPr>
              <w:t>6</w:t>
            </w:r>
          </w:p>
        </w:tc>
        <w:tc>
          <w:tcPr>
            <w:tcW w:w="3127" w:type="dxa"/>
            <w:tcBorders>
              <w:top w:val="single" w:color="000000" w:sz="4" w:space="0"/>
              <w:bottom w:val="single" w:color="000000" w:sz="4" w:space="0"/>
            </w:tcBorders>
            <w:vAlign w:val="center"/>
          </w:tcPr>
          <w:p>
            <w:pPr>
              <w:ind w:firstLine="480"/>
              <w:jc w:val="center"/>
              <w:rPr>
                <w:rFonts w:hint="eastAsia" w:ascii="宋体" w:hAnsi="宋体" w:cs="宋体"/>
                <w:sz w:val="21"/>
                <w:szCs w:val="21"/>
              </w:rPr>
            </w:pPr>
            <w:r>
              <w:rPr>
                <w:rFonts w:hint="eastAsia" w:ascii="宋体" w:hAnsi="宋体" w:cs="宋体"/>
                <w:sz w:val="21"/>
                <w:szCs w:val="21"/>
              </w:rPr>
              <w:t>璧山县</w:t>
            </w:r>
          </w:p>
        </w:tc>
        <w:tc>
          <w:tcPr>
            <w:tcW w:w="982" w:type="dxa"/>
            <w:tcBorders>
              <w:top w:val="single" w:color="000000" w:sz="4" w:space="0"/>
              <w:bottom w:val="single" w:color="000000" w:sz="4" w:space="0"/>
            </w:tcBorders>
            <w:vAlign w:val="center"/>
          </w:tcPr>
          <w:p>
            <w:pPr>
              <w:jc w:val="center"/>
              <w:rPr>
                <w:sz w:val="21"/>
                <w:szCs w:val="21"/>
              </w:rPr>
            </w:pPr>
            <w:r>
              <w:rPr>
                <w:sz w:val="21"/>
                <w:szCs w:val="21"/>
              </w:rPr>
              <w:t>空气</w:t>
            </w:r>
          </w:p>
        </w:tc>
        <w:tc>
          <w:tcPr>
            <w:tcW w:w="1656" w:type="dxa"/>
            <w:tcBorders>
              <w:top w:val="single" w:color="000000" w:sz="4" w:space="0"/>
              <w:bottom w:val="single" w:color="000000" w:sz="4" w:space="0"/>
              <w:right w:val="single" w:color="auto" w:sz="4" w:space="0"/>
            </w:tcBorders>
            <w:vAlign w:val="center"/>
          </w:tcPr>
          <w:p>
            <w:pPr>
              <w:jc w:val="center"/>
              <w:rPr>
                <w:rFonts w:hint="eastAsia"/>
                <w:sz w:val="21"/>
                <w:szCs w:val="21"/>
              </w:rPr>
            </w:pPr>
            <w:r>
              <w:rPr>
                <w:sz w:val="21"/>
                <w:szCs w:val="21"/>
              </w:rPr>
              <w:t>居民区</w:t>
            </w:r>
            <w:r>
              <w:rPr>
                <w:rFonts w:hint="eastAsia"/>
                <w:sz w:val="21"/>
                <w:szCs w:val="21"/>
              </w:rPr>
              <w:t>、学校、医院</w:t>
            </w:r>
          </w:p>
        </w:tc>
        <w:tc>
          <w:tcPr>
            <w:tcW w:w="1456" w:type="dxa"/>
            <w:tcBorders>
              <w:top w:val="single" w:color="000000" w:sz="4" w:space="0"/>
              <w:bottom w:val="single" w:color="000000" w:sz="4" w:space="0"/>
              <w:right w:val="single" w:color="auto" w:sz="4" w:space="0"/>
            </w:tcBorders>
            <w:vAlign w:val="center"/>
          </w:tcPr>
          <w:p>
            <w:pPr>
              <w:jc w:val="center"/>
              <w:rPr>
                <w:rFonts w:hint="eastAsia"/>
                <w:sz w:val="21"/>
                <w:szCs w:val="21"/>
              </w:rPr>
            </w:pPr>
            <w:r>
              <w:rPr>
                <w:rFonts w:hint="eastAsia"/>
                <w:sz w:val="21"/>
                <w:szCs w:val="21"/>
              </w:rPr>
              <w:t>SW</w:t>
            </w:r>
            <w:r>
              <w:rPr>
                <w:rFonts w:hint="eastAsia" w:ascii="宋体" w:hAnsi="宋体"/>
                <w:sz w:val="21"/>
                <w:szCs w:val="21"/>
              </w:rPr>
              <w:t>面，侧下风向</w:t>
            </w:r>
          </w:p>
        </w:tc>
        <w:tc>
          <w:tcPr>
            <w:tcW w:w="1471" w:type="dxa"/>
            <w:tcBorders>
              <w:top w:val="single" w:color="000000" w:sz="4" w:space="0"/>
              <w:bottom w:val="single" w:color="000000" w:sz="4" w:space="0"/>
            </w:tcBorders>
            <w:vAlign w:val="center"/>
          </w:tcPr>
          <w:p>
            <w:pPr>
              <w:jc w:val="center"/>
              <w:rPr>
                <w:rFonts w:hint="eastAsia"/>
                <w:sz w:val="21"/>
                <w:szCs w:val="21"/>
              </w:rPr>
            </w:pPr>
            <w:r>
              <w:rPr>
                <w:rFonts w:hint="eastAsia"/>
                <w:sz w:val="21"/>
                <w:szCs w:val="21"/>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bottom w:val="single" w:color="000000" w:sz="4" w:space="0"/>
            </w:tcBorders>
            <w:vAlign w:val="center"/>
          </w:tcPr>
          <w:p>
            <w:pPr>
              <w:jc w:val="center"/>
              <w:rPr>
                <w:rFonts w:hint="eastAsia"/>
                <w:sz w:val="21"/>
                <w:szCs w:val="21"/>
              </w:rPr>
            </w:pPr>
            <w:r>
              <w:rPr>
                <w:rFonts w:hint="eastAsia"/>
                <w:sz w:val="21"/>
                <w:szCs w:val="21"/>
              </w:rPr>
              <w:t>7</w:t>
            </w:r>
          </w:p>
        </w:tc>
        <w:tc>
          <w:tcPr>
            <w:tcW w:w="3127" w:type="dxa"/>
            <w:tcBorders>
              <w:top w:val="single" w:color="000000" w:sz="4" w:space="0"/>
              <w:bottom w:val="single" w:color="000000" w:sz="4" w:space="0"/>
            </w:tcBorders>
            <w:vAlign w:val="center"/>
          </w:tcPr>
          <w:p>
            <w:pPr>
              <w:ind w:firstLine="480"/>
              <w:jc w:val="center"/>
              <w:rPr>
                <w:rFonts w:hint="eastAsia" w:ascii="宋体" w:hAnsi="宋体" w:cs="宋体"/>
                <w:sz w:val="21"/>
                <w:szCs w:val="21"/>
              </w:rPr>
            </w:pPr>
            <w:r>
              <w:rPr>
                <w:rFonts w:hint="eastAsia"/>
                <w:sz w:val="21"/>
                <w:szCs w:val="21"/>
              </w:rPr>
              <w:t>国立音乐学院旧址</w:t>
            </w:r>
          </w:p>
        </w:tc>
        <w:tc>
          <w:tcPr>
            <w:tcW w:w="982" w:type="dxa"/>
            <w:tcBorders>
              <w:top w:val="single" w:color="000000" w:sz="4" w:space="0"/>
              <w:bottom w:val="single" w:color="000000" w:sz="4" w:space="0"/>
            </w:tcBorders>
            <w:vAlign w:val="center"/>
          </w:tcPr>
          <w:p>
            <w:pPr>
              <w:jc w:val="center"/>
              <w:rPr>
                <w:sz w:val="21"/>
                <w:szCs w:val="21"/>
              </w:rPr>
            </w:pPr>
            <w:r>
              <w:rPr>
                <w:sz w:val="21"/>
                <w:szCs w:val="21"/>
              </w:rPr>
              <w:t>空气</w:t>
            </w:r>
          </w:p>
        </w:tc>
        <w:tc>
          <w:tcPr>
            <w:tcW w:w="1656" w:type="dxa"/>
            <w:tcBorders>
              <w:top w:val="single" w:color="000000" w:sz="4" w:space="0"/>
              <w:bottom w:val="single" w:color="000000" w:sz="4" w:space="0"/>
              <w:right w:val="single" w:color="auto" w:sz="4" w:space="0"/>
            </w:tcBorders>
            <w:vAlign w:val="center"/>
          </w:tcPr>
          <w:p>
            <w:pPr>
              <w:jc w:val="center"/>
              <w:rPr>
                <w:sz w:val="21"/>
                <w:szCs w:val="21"/>
              </w:rPr>
            </w:pPr>
            <w:r>
              <w:rPr>
                <w:rFonts w:hint="eastAsia"/>
                <w:sz w:val="21"/>
                <w:szCs w:val="21"/>
              </w:rPr>
              <w:t>市级文物保护单位</w:t>
            </w:r>
          </w:p>
        </w:tc>
        <w:tc>
          <w:tcPr>
            <w:tcW w:w="1456" w:type="dxa"/>
            <w:tcBorders>
              <w:top w:val="single" w:color="000000" w:sz="4" w:space="0"/>
              <w:bottom w:val="single" w:color="000000" w:sz="4" w:space="0"/>
              <w:right w:val="single" w:color="auto" w:sz="4" w:space="0"/>
            </w:tcBorders>
            <w:vAlign w:val="center"/>
          </w:tcPr>
          <w:p>
            <w:pPr>
              <w:jc w:val="center"/>
              <w:rPr>
                <w:rFonts w:hint="eastAsia"/>
                <w:sz w:val="21"/>
                <w:szCs w:val="21"/>
              </w:rPr>
            </w:pPr>
            <w:r>
              <w:rPr>
                <w:rFonts w:hint="eastAsia" w:ascii="宋体" w:hAnsi="宋体"/>
                <w:sz w:val="21"/>
                <w:szCs w:val="21"/>
              </w:rPr>
              <w:t>NNW面，侧上风向</w:t>
            </w:r>
          </w:p>
        </w:tc>
        <w:tc>
          <w:tcPr>
            <w:tcW w:w="1471" w:type="dxa"/>
            <w:tcBorders>
              <w:top w:val="single" w:color="000000" w:sz="4" w:space="0"/>
              <w:bottom w:val="single" w:color="000000" w:sz="4" w:space="0"/>
            </w:tcBorders>
            <w:vAlign w:val="center"/>
          </w:tcPr>
          <w:p>
            <w:pPr>
              <w:jc w:val="center"/>
              <w:rPr>
                <w:rFonts w:hint="eastAsia"/>
                <w:sz w:val="21"/>
                <w:szCs w:val="21"/>
              </w:rPr>
            </w:pPr>
            <w:r>
              <w:rPr>
                <w:rFonts w:hint="eastAsia"/>
                <w:sz w:val="21"/>
                <w:szCs w:val="21"/>
              </w:rPr>
              <w:t>230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bottom w:val="single" w:color="000000" w:sz="4" w:space="0"/>
            </w:tcBorders>
            <w:vAlign w:val="center"/>
          </w:tcPr>
          <w:p>
            <w:pPr>
              <w:jc w:val="center"/>
              <w:rPr>
                <w:rFonts w:hint="eastAsia"/>
                <w:sz w:val="21"/>
                <w:szCs w:val="21"/>
              </w:rPr>
            </w:pPr>
            <w:r>
              <w:rPr>
                <w:rFonts w:hint="eastAsia"/>
                <w:sz w:val="21"/>
                <w:szCs w:val="21"/>
              </w:rPr>
              <w:t>8</w:t>
            </w:r>
          </w:p>
        </w:tc>
        <w:tc>
          <w:tcPr>
            <w:tcW w:w="3127" w:type="dxa"/>
            <w:tcBorders>
              <w:top w:val="single" w:color="000000" w:sz="4" w:space="0"/>
              <w:bottom w:val="single" w:color="000000" w:sz="4" w:space="0"/>
            </w:tcBorders>
            <w:vAlign w:val="center"/>
          </w:tcPr>
          <w:p>
            <w:pPr>
              <w:ind w:firstLine="480"/>
              <w:jc w:val="center"/>
              <w:rPr>
                <w:rFonts w:hint="eastAsia"/>
                <w:sz w:val="21"/>
                <w:szCs w:val="21"/>
              </w:rPr>
            </w:pPr>
            <w:r>
              <w:rPr>
                <w:rFonts w:hint="eastAsia"/>
                <w:sz w:val="21"/>
                <w:szCs w:val="21"/>
              </w:rPr>
              <w:t>关口村</w:t>
            </w:r>
          </w:p>
        </w:tc>
        <w:tc>
          <w:tcPr>
            <w:tcW w:w="982" w:type="dxa"/>
            <w:tcBorders>
              <w:top w:val="single" w:color="000000" w:sz="4" w:space="0"/>
              <w:bottom w:val="single" w:color="000000" w:sz="4" w:space="0"/>
            </w:tcBorders>
            <w:vAlign w:val="center"/>
          </w:tcPr>
          <w:p>
            <w:pPr>
              <w:jc w:val="center"/>
              <w:rPr>
                <w:rFonts w:hint="eastAsia"/>
                <w:sz w:val="21"/>
                <w:szCs w:val="21"/>
              </w:rPr>
            </w:pPr>
            <w:r>
              <w:rPr>
                <w:rFonts w:hint="eastAsia"/>
                <w:sz w:val="21"/>
                <w:szCs w:val="21"/>
              </w:rPr>
              <w:t>空气、噪声</w:t>
            </w:r>
          </w:p>
        </w:tc>
        <w:tc>
          <w:tcPr>
            <w:tcW w:w="1656" w:type="dxa"/>
            <w:tcBorders>
              <w:top w:val="single" w:color="000000" w:sz="4" w:space="0"/>
              <w:bottom w:val="single" w:color="000000" w:sz="4" w:space="0"/>
              <w:right w:val="single" w:color="auto" w:sz="4" w:space="0"/>
            </w:tcBorders>
            <w:vAlign w:val="center"/>
          </w:tcPr>
          <w:p>
            <w:pPr>
              <w:jc w:val="center"/>
              <w:rPr>
                <w:rFonts w:hint="eastAsia"/>
                <w:sz w:val="21"/>
                <w:szCs w:val="21"/>
              </w:rPr>
            </w:pPr>
            <w:r>
              <w:rPr>
                <w:rFonts w:hint="eastAsia"/>
                <w:sz w:val="21"/>
                <w:szCs w:val="21"/>
              </w:rPr>
              <w:t>居民点</w:t>
            </w:r>
          </w:p>
        </w:tc>
        <w:tc>
          <w:tcPr>
            <w:tcW w:w="1456" w:type="dxa"/>
            <w:tcBorders>
              <w:top w:val="single" w:color="000000" w:sz="4" w:space="0"/>
              <w:bottom w:val="single" w:color="000000" w:sz="4" w:space="0"/>
              <w:right w:val="single" w:color="auto" w:sz="4" w:space="0"/>
            </w:tcBorders>
            <w:vAlign w:val="center"/>
          </w:tcPr>
          <w:p>
            <w:pPr>
              <w:jc w:val="center"/>
              <w:rPr>
                <w:rFonts w:hint="eastAsia"/>
                <w:sz w:val="21"/>
                <w:szCs w:val="21"/>
              </w:rPr>
            </w:pPr>
            <w:r>
              <w:rPr>
                <w:rFonts w:hint="eastAsia"/>
                <w:sz w:val="21"/>
                <w:szCs w:val="21"/>
              </w:rPr>
              <w:t>N</w:t>
            </w:r>
            <w:r>
              <w:rPr>
                <w:rFonts w:hint="eastAsia" w:ascii="宋体" w:hAnsi="宋体"/>
                <w:sz w:val="21"/>
                <w:szCs w:val="21"/>
              </w:rPr>
              <w:t>面，上风向</w:t>
            </w:r>
          </w:p>
        </w:tc>
        <w:tc>
          <w:tcPr>
            <w:tcW w:w="1471" w:type="dxa"/>
            <w:tcBorders>
              <w:top w:val="single" w:color="000000" w:sz="4" w:space="0"/>
              <w:bottom w:val="single" w:color="000000" w:sz="4" w:space="0"/>
            </w:tcBorders>
            <w:vAlign w:val="center"/>
          </w:tcPr>
          <w:p>
            <w:pPr>
              <w:jc w:val="center"/>
              <w:rPr>
                <w:rFonts w:hint="eastAsia"/>
                <w:sz w:val="21"/>
                <w:szCs w:val="21"/>
              </w:rPr>
            </w:pPr>
            <w:r>
              <w:rPr>
                <w:rFonts w:hint="eastAsia"/>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bottom w:val="single" w:color="000000" w:sz="4" w:space="0"/>
            </w:tcBorders>
            <w:vAlign w:val="center"/>
          </w:tcPr>
          <w:p>
            <w:pPr>
              <w:jc w:val="center"/>
              <w:rPr>
                <w:rFonts w:hint="eastAsia"/>
                <w:sz w:val="21"/>
                <w:szCs w:val="21"/>
              </w:rPr>
            </w:pPr>
            <w:r>
              <w:rPr>
                <w:rFonts w:hint="eastAsia"/>
                <w:sz w:val="21"/>
                <w:szCs w:val="21"/>
              </w:rPr>
              <w:t>9</w:t>
            </w:r>
          </w:p>
        </w:tc>
        <w:tc>
          <w:tcPr>
            <w:tcW w:w="3127" w:type="dxa"/>
            <w:tcBorders>
              <w:top w:val="single" w:color="000000" w:sz="4" w:space="0"/>
              <w:bottom w:val="single" w:color="000000" w:sz="4" w:space="0"/>
            </w:tcBorders>
            <w:vAlign w:val="center"/>
          </w:tcPr>
          <w:p>
            <w:pPr>
              <w:ind w:firstLine="480"/>
              <w:jc w:val="center"/>
              <w:rPr>
                <w:rFonts w:hint="eastAsia" w:ascii="宋体" w:hAnsi="宋体" w:cs="宋体"/>
                <w:sz w:val="21"/>
                <w:szCs w:val="21"/>
              </w:rPr>
            </w:pPr>
            <w:r>
              <w:rPr>
                <w:rFonts w:hint="eastAsia"/>
                <w:sz w:val="21"/>
                <w:szCs w:val="21"/>
              </w:rPr>
              <w:t>重庆永荣青鹏煤业有限公司家属区</w:t>
            </w:r>
          </w:p>
        </w:tc>
        <w:tc>
          <w:tcPr>
            <w:tcW w:w="982" w:type="dxa"/>
            <w:tcBorders>
              <w:top w:val="single" w:color="000000" w:sz="4" w:space="0"/>
              <w:bottom w:val="single" w:color="000000" w:sz="4" w:space="0"/>
            </w:tcBorders>
            <w:vAlign w:val="center"/>
          </w:tcPr>
          <w:p>
            <w:pPr>
              <w:jc w:val="center"/>
              <w:rPr>
                <w:rFonts w:hint="eastAsia"/>
                <w:sz w:val="21"/>
                <w:szCs w:val="21"/>
              </w:rPr>
            </w:pPr>
            <w:r>
              <w:rPr>
                <w:sz w:val="21"/>
                <w:szCs w:val="21"/>
              </w:rPr>
              <w:t>空气</w:t>
            </w:r>
          </w:p>
        </w:tc>
        <w:tc>
          <w:tcPr>
            <w:tcW w:w="1656" w:type="dxa"/>
            <w:tcBorders>
              <w:top w:val="single" w:color="000000" w:sz="4" w:space="0"/>
              <w:bottom w:val="single" w:color="000000" w:sz="4" w:space="0"/>
              <w:right w:val="single" w:color="auto" w:sz="4" w:space="0"/>
            </w:tcBorders>
            <w:vAlign w:val="center"/>
          </w:tcPr>
          <w:p>
            <w:pPr>
              <w:jc w:val="center"/>
              <w:rPr>
                <w:rFonts w:hint="eastAsia"/>
                <w:sz w:val="21"/>
                <w:szCs w:val="21"/>
              </w:rPr>
            </w:pPr>
            <w:r>
              <w:rPr>
                <w:rFonts w:hint="eastAsia"/>
                <w:sz w:val="21"/>
                <w:szCs w:val="21"/>
              </w:rPr>
              <w:t>居民点</w:t>
            </w:r>
          </w:p>
        </w:tc>
        <w:tc>
          <w:tcPr>
            <w:tcW w:w="1456" w:type="dxa"/>
            <w:tcBorders>
              <w:top w:val="single" w:color="000000" w:sz="4" w:space="0"/>
              <w:bottom w:val="single" w:color="000000" w:sz="4" w:space="0"/>
              <w:right w:val="single" w:color="auto" w:sz="4" w:space="0"/>
            </w:tcBorders>
            <w:vAlign w:val="center"/>
          </w:tcPr>
          <w:p>
            <w:pPr>
              <w:jc w:val="center"/>
              <w:rPr>
                <w:rFonts w:hint="eastAsia"/>
                <w:sz w:val="21"/>
                <w:szCs w:val="21"/>
              </w:rPr>
            </w:pPr>
            <w:r>
              <w:rPr>
                <w:rFonts w:hint="eastAsia"/>
                <w:sz w:val="21"/>
                <w:szCs w:val="21"/>
              </w:rPr>
              <w:t>N</w:t>
            </w:r>
            <w:r>
              <w:rPr>
                <w:rFonts w:hint="eastAsia" w:ascii="宋体" w:hAnsi="宋体"/>
                <w:sz w:val="21"/>
                <w:szCs w:val="21"/>
              </w:rPr>
              <w:t>面，上风向</w:t>
            </w:r>
          </w:p>
        </w:tc>
        <w:tc>
          <w:tcPr>
            <w:tcW w:w="1471" w:type="dxa"/>
            <w:tcBorders>
              <w:top w:val="single" w:color="000000" w:sz="4" w:space="0"/>
              <w:bottom w:val="single" w:color="000000" w:sz="4" w:space="0"/>
            </w:tcBorders>
            <w:vAlign w:val="center"/>
          </w:tcPr>
          <w:p>
            <w:pPr>
              <w:jc w:val="center"/>
              <w:rPr>
                <w:rFonts w:hint="eastAsia"/>
                <w:sz w:val="21"/>
                <w:szCs w:val="21"/>
              </w:rPr>
            </w:pPr>
            <w:r>
              <w:rPr>
                <w:rFonts w:hint="eastAsia"/>
                <w:sz w:val="21"/>
                <w:szCs w:val="21"/>
              </w:rPr>
              <w:t>170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bottom w:val="single" w:color="000000" w:sz="4" w:space="0"/>
            </w:tcBorders>
            <w:vAlign w:val="center"/>
          </w:tcPr>
          <w:p>
            <w:pPr>
              <w:jc w:val="center"/>
              <w:rPr>
                <w:rFonts w:hint="eastAsia"/>
                <w:sz w:val="21"/>
                <w:szCs w:val="21"/>
              </w:rPr>
            </w:pPr>
            <w:r>
              <w:rPr>
                <w:rFonts w:hint="eastAsia"/>
                <w:sz w:val="21"/>
                <w:szCs w:val="21"/>
              </w:rPr>
              <w:t>10</w:t>
            </w:r>
          </w:p>
        </w:tc>
        <w:tc>
          <w:tcPr>
            <w:tcW w:w="3127" w:type="dxa"/>
            <w:tcBorders>
              <w:top w:val="single" w:color="000000" w:sz="4" w:space="0"/>
              <w:bottom w:val="single" w:color="000000" w:sz="4" w:space="0"/>
            </w:tcBorders>
            <w:vAlign w:val="center"/>
          </w:tcPr>
          <w:p>
            <w:pPr>
              <w:ind w:firstLine="480"/>
              <w:jc w:val="center"/>
              <w:rPr>
                <w:rFonts w:hint="eastAsia" w:ascii="宋体" w:hAnsi="宋体" w:cs="宋体"/>
                <w:sz w:val="21"/>
                <w:szCs w:val="21"/>
              </w:rPr>
            </w:pPr>
            <w:r>
              <w:rPr>
                <w:rFonts w:hint="eastAsia" w:ascii="宋体" w:hAnsi="宋体" w:cs="宋体"/>
                <w:sz w:val="21"/>
                <w:szCs w:val="21"/>
              </w:rPr>
              <w:t>青木关镇</w:t>
            </w:r>
          </w:p>
        </w:tc>
        <w:tc>
          <w:tcPr>
            <w:tcW w:w="982" w:type="dxa"/>
            <w:tcBorders>
              <w:top w:val="single" w:color="000000" w:sz="4" w:space="0"/>
              <w:bottom w:val="single" w:color="000000" w:sz="4" w:space="0"/>
            </w:tcBorders>
            <w:vAlign w:val="center"/>
          </w:tcPr>
          <w:p>
            <w:pPr>
              <w:jc w:val="center"/>
              <w:rPr>
                <w:rFonts w:hint="eastAsia"/>
                <w:sz w:val="21"/>
                <w:szCs w:val="21"/>
              </w:rPr>
            </w:pPr>
            <w:r>
              <w:rPr>
                <w:sz w:val="21"/>
                <w:szCs w:val="21"/>
              </w:rPr>
              <w:t>空气</w:t>
            </w:r>
          </w:p>
        </w:tc>
        <w:tc>
          <w:tcPr>
            <w:tcW w:w="1656" w:type="dxa"/>
            <w:tcBorders>
              <w:top w:val="single" w:color="000000" w:sz="4" w:space="0"/>
              <w:bottom w:val="single" w:color="000000" w:sz="4" w:space="0"/>
              <w:right w:val="single" w:color="auto" w:sz="4" w:space="0"/>
            </w:tcBorders>
            <w:vAlign w:val="center"/>
          </w:tcPr>
          <w:p>
            <w:pPr>
              <w:jc w:val="center"/>
              <w:rPr>
                <w:rFonts w:hint="eastAsia"/>
                <w:sz w:val="21"/>
                <w:szCs w:val="21"/>
              </w:rPr>
            </w:pPr>
            <w:r>
              <w:rPr>
                <w:sz w:val="21"/>
                <w:szCs w:val="21"/>
              </w:rPr>
              <w:t>居民区</w:t>
            </w:r>
            <w:r>
              <w:rPr>
                <w:rFonts w:hint="eastAsia"/>
                <w:sz w:val="21"/>
                <w:szCs w:val="21"/>
              </w:rPr>
              <w:t>、学校、医院</w:t>
            </w:r>
          </w:p>
        </w:tc>
        <w:tc>
          <w:tcPr>
            <w:tcW w:w="1456" w:type="dxa"/>
            <w:tcBorders>
              <w:top w:val="single" w:color="000000" w:sz="4" w:space="0"/>
              <w:bottom w:val="single" w:color="000000" w:sz="4" w:space="0"/>
              <w:right w:val="single" w:color="auto" w:sz="4" w:space="0"/>
            </w:tcBorders>
            <w:vAlign w:val="center"/>
          </w:tcPr>
          <w:p>
            <w:pPr>
              <w:jc w:val="center"/>
              <w:rPr>
                <w:rFonts w:hint="eastAsia"/>
                <w:sz w:val="21"/>
                <w:szCs w:val="21"/>
              </w:rPr>
            </w:pPr>
            <w:r>
              <w:rPr>
                <w:rFonts w:hint="eastAsia"/>
                <w:sz w:val="21"/>
                <w:szCs w:val="21"/>
              </w:rPr>
              <w:t>E</w:t>
            </w:r>
            <w:r>
              <w:rPr>
                <w:rFonts w:hint="eastAsia" w:ascii="宋体" w:hAnsi="宋体"/>
                <w:sz w:val="21"/>
                <w:szCs w:val="21"/>
              </w:rPr>
              <w:t>面，侧风向</w:t>
            </w:r>
          </w:p>
        </w:tc>
        <w:tc>
          <w:tcPr>
            <w:tcW w:w="1471" w:type="dxa"/>
            <w:tcBorders>
              <w:top w:val="single" w:color="000000" w:sz="4" w:space="0"/>
              <w:bottom w:val="single" w:color="000000" w:sz="4" w:space="0"/>
            </w:tcBorders>
            <w:vAlign w:val="center"/>
          </w:tcPr>
          <w:p>
            <w:pPr>
              <w:jc w:val="center"/>
              <w:rPr>
                <w:rFonts w:hint="eastAsia"/>
                <w:sz w:val="21"/>
                <w:szCs w:val="21"/>
              </w:rPr>
            </w:pPr>
            <w:r>
              <w:rPr>
                <w:rFonts w:hint="eastAsia"/>
                <w:sz w:val="21"/>
                <w:szCs w:val="21"/>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bottom w:val="single" w:color="000000" w:sz="4" w:space="0"/>
            </w:tcBorders>
            <w:vAlign w:val="center"/>
          </w:tcPr>
          <w:p>
            <w:pPr>
              <w:jc w:val="center"/>
              <w:rPr>
                <w:rFonts w:hint="eastAsia"/>
                <w:sz w:val="21"/>
                <w:szCs w:val="21"/>
              </w:rPr>
            </w:pPr>
            <w:r>
              <w:rPr>
                <w:rFonts w:hint="eastAsia"/>
                <w:sz w:val="21"/>
                <w:szCs w:val="21"/>
              </w:rPr>
              <w:t>11</w:t>
            </w:r>
          </w:p>
        </w:tc>
        <w:tc>
          <w:tcPr>
            <w:tcW w:w="3127" w:type="dxa"/>
            <w:tcBorders>
              <w:top w:val="single" w:color="000000" w:sz="4" w:space="0"/>
              <w:bottom w:val="single" w:color="000000" w:sz="4" w:space="0"/>
            </w:tcBorders>
            <w:vAlign w:val="center"/>
          </w:tcPr>
          <w:p>
            <w:pPr>
              <w:ind w:firstLine="480"/>
              <w:jc w:val="center"/>
              <w:rPr>
                <w:rFonts w:hint="eastAsia" w:ascii="宋体" w:hAnsi="宋体" w:cs="宋体"/>
                <w:sz w:val="21"/>
                <w:szCs w:val="21"/>
              </w:rPr>
            </w:pPr>
            <w:r>
              <w:rPr>
                <w:rFonts w:hint="eastAsia" w:ascii="宋体" w:hAnsi="宋体" w:cs="宋体"/>
                <w:sz w:val="21"/>
                <w:szCs w:val="21"/>
              </w:rPr>
              <w:t>凤凰镇</w:t>
            </w:r>
          </w:p>
        </w:tc>
        <w:tc>
          <w:tcPr>
            <w:tcW w:w="982" w:type="dxa"/>
            <w:tcBorders>
              <w:top w:val="single" w:color="000000" w:sz="4" w:space="0"/>
              <w:bottom w:val="single" w:color="000000" w:sz="4" w:space="0"/>
            </w:tcBorders>
            <w:vAlign w:val="center"/>
          </w:tcPr>
          <w:p>
            <w:pPr>
              <w:jc w:val="center"/>
              <w:rPr>
                <w:sz w:val="21"/>
                <w:szCs w:val="21"/>
              </w:rPr>
            </w:pPr>
            <w:r>
              <w:rPr>
                <w:sz w:val="21"/>
                <w:szCs w:val="21"/>
              </w:rPr>
              <w:t>空气</w:t>
            </w:r>
          </w:p>
        </w:tc>
        <w:tc>
          <w:tcPr>
            <w:tcW w:w="1656" w:type="dxa"/>
            <w:tcBorders>
              <w:top w:val="single" w:color="000000" w:sz="4" w:space="0"/>
              <w:bottom w:val="single" w:color="000000" w:sz="4" w:space="0"/>
              <w:right w:val="single" w:color="auto" w:sz="4" w:space="0"/>
            </w:tcBorders>
            <w:vAlign w:val="center"/>
          </w:tcPr>
          <w:p>
            <w:pPr>
              <w:jc w:val="center"/>
              <w:rPr>
                <w:rFonts w:hint="eastAsia"/>
                <w:sz w:val="21"/>
                <w:szCs w:val="21"/>
              </w:rPr>
            </w:pPr>
            <w:r>
              <w:rPr>
                <w:sz w:val="21"/>
                <w:szCs w:val="21"/>
              </w:rPr>
              <w:t>居民区</w:t>
            </w:r>
            <w:r>
              <w:rPr>
                <w:rFonts w:hint="eastAsia"/>
                <w:sz w:val="21"/>
                <w:szCs w:val="21"/>
              </w:rPr>
              <w:t>、学校、医院</w:t>
            </w:r>
          </w:p>
        </w:tc>
        <w:tc>
          <w:tcPr>
            <w:tcW w:w="1456" w:type="dxa"/>
            <w:tcBorders>
              <w:top w:val="single" w:color="000000" w:sz="4" w:space="0"/>
              <w:bottom w:val="single" w:color="000000" w:sz="4" w:space="0"/>
              <w:right w:val="single" w:color="auto" w:sz="4" w:space="0"/>
            </w:tcBorders>
            <w:vAlign w:val="center"/>
          </w:tcPr>
          <w:p>
            <w:pPr>
              <w:jc w:val="center"/>
              <w:rPr>
                <w:rFonts w:hint="eastAsia"/>
                <w:sz w:val="21"/>
                <w:szCs w:val="21"/>
              </w:rPr>
            </w:pPr>
            <w:r>
              <w:rPr>
                <w:rFonts w:hint="eastAsia"/>
                <w:sz w:val="21"/>
                <w:szCs w:val="21"/>
              </w:rPr>
              <w:t>NE</w:t>
            </w:r>
            <w:r>
              <w:rPr>
                <w:rFonts w:hint="eastAsia" w:ascii="宋体" w:hAnsi="宋体"/>
                <w:sz w:val="21"/>
                <w:szCs w:val="21"/>
              </w:rPr>
              <w:t>面，侧上风向</w:t>
            </w:r>
          </w:p>
        </w:tc>
        <w:tc>
          <w:tcPr>
            <w:tcW w:w="1471" w:type="dxa"/>
            <w:tcBorders>
              <w:top w:val="single" w:color="000000" w:sz="4" w:space="0"/>
              <w:bottom w:val="single" w:color="000000" w:sz="4" w:space="0"/>
            </w:tcBorders>
            <w:vAlign w:val="center"/>
          </w:tcPr>
          <w:p>
            <w:pPr>
              <w:jc w:val="center"/>
              <w:rPr>
                <w:rFonts w:hint="eastAsia"/>
                <w:sz w:val="21"/>
                <w:szCs w:val="21"/>
              </w:rPr>
            </w:pPr>
            <w:r>
              <w:rPr>
                <w:rFonts w:hint="eastAsia"/>
                <w:sz w:val="21"/>
                <w:szCs w:val="21"/>
              </w:rPr>
              <w:t>5300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bottom w:val="single" w:color="000000" w:sz="4" w:space="0"/>
            </w:tcBorders>
            <w:vAlign w:val="center"/>
          </w:tcPr>
          <w:p>
            <w:pPr>
              <w:jc w:val="center"/>
              <w:rPr>
                <w:rFonts w:hint="eastAsia"/>
                <w:sz w:val="21"/>
                <w:szCs w:val="21"/>
              </w:rPr>
            </w:pPr>
            <w:r>
              <w:rPr>
                <w:rFonts w:hint="eastAsia"/>
                <w:sz w:val="21"/>
                <w:szCs w:val="21"/>
              </w:rPr>
              <w:t>12</w:t>
            </w:r>
          </w:p>
        </w:tc>
        <w:tc>
          <w:tcPr>
            <w:tcW w:w="3127" w:type="dxa"/>
            <w:tcBorders>
              <w:top w:val="single" w:color="000000" w:sz="4" w:space="0"/>
              <w:bottom w:val="single" w:color="000000" w:sz="4" w:space="0"/>
            </w:tcBorders>
            <w:vAlign w:val="center"/>
          </w:tcPr>
          <w:p>
            <w:pPr>
              <w:ind w:firstLine="480"/>
              <w:jc w:val="center"/>
              <w:rPr>
                <w:rFonts w:hint="eastAsia" w:ascii="宋体" w:hAnsi="宋体" w:cs="宋体"/>
                <w:sz w:val="21"/>
                <w:szCs w:val="21"/>
              </w:rPr>
            </w:pPr>
            <w:r>
              <w:rPr>
                <w:rFonts w:hint="eastAsia" w:ascii="宋体" w:hAnsi="宋体" w:cs="宋体"/>
                <w:sz w:val="21"/>
                <w:szCs w:val="21"/>
              </w:rPr>
              <w:t>管家桥</w:t>
            </w:r>
          </w:p>
        </w:tc>
        <w:tc>
          <w:tcPr>
            <w:tcW w:w="982" w:type="dxa"/>
            <w:tcBorders>
              <w:top w:val="single" w:color="000000" w:sz="4" w:space="0"/>
              <w:bottom w:val="single" w:color="000000" w:sz="4" w:space="0"/>
            </w:tcBorders>
            <w:vAlign w:val="center"/>
          </w:tcPr>
          <w:p>
            <w:pPr>
              <w:jc w:val="center"/>
              <w:rPr>
                <w:rFonts w:hint="eastAsia"/>
                <w:sz w:val="21"/>
                <w:szCs w:val="21"/>
              </w:rPr>
            </w:pPr>
            <w:r>
              <w:rPr>
                <w:sz w:val="21"/>
                <w:szCs w:val="21"/>
              </w:rPr>
              <w:t>空气</w:t>
            </w:r>
          </w:p>
        </w:tc>
        <w:tc>
          <w:tcPr>
            <w:tcW w:w="1656" w:type="dxa"/>
            <w:tcBorders>
              <w:top w:val="single" w:color="000000" w:sz="4" w:space="0"/>
              <w:bottom w:val="single" w:color="000000" w:sz="4" w:space="0"/>
              <w:right w:val="single" w:color="auto" w:sz="4" w:space="0"/>
            </w:tcBorders>
            <w:vAlign w:val="center"/>
          </w:tcPr>
          <w:p>
            <w:pPr>
              <w:jc w:val="center"/>
              <w:rPr>
                <w:rFonts w:hint="eastAsia"/>
                <w:sz w:val="21"/>
                <w:szCs w:val="21"/>
              </w:rPr>
            </w:pPr>
            <w:r>
              <w:rPr>
                <w:sz w:val="21"/>
                <w:szCs w:val="21"/>
              </w:rPr>
              <w:t>居民</w:t>
            </w:r>
            <w:r>
              <w:rPr>
                <w:rFonts w:hint="eastAsia"/>
                <w:sz w:val="21"/>
                <w:szCs w:val="21"/>
              </w:rPr>
              <w:t>点</w:t>
            </w:r>
          </w:p>
        </w:tc>
        <w:tc>
          <w:tcPr>
            <w:tcW w:w="1456" w:type="dxa"/>
            <w:tcBorders>
              <w:top w:val="single" w:color="000000" w:sz="4" w:space="0"/>
              <w:bottom w:val="single" w:color="000000" w:sz="4" w:space="0"/>
              <w:right w:val="single" w:color="auto" w:sz="4" w:space="0"/>
            </w:tcBorders>
            <w:vAlign w:val="center"/>
          </w:tcPr>
          <w:p>
            <w:pPr>
              <w:jc w:val="center"/>
              <w:rPr>
                <w:rFonts w:hint="eastAsia"/>
                <w:sz w:val="21"/>
                <w:szCs w:val="21"/>
              </w:rPr>
            </w:pPr>
            <w:r>
              <w:rPr>
                <w:rFonts w:hint="eastAsia"/>
                <w:sz w:val="21"/>
                <w:szCs w:val="21"/>
              </w:rPr>
              <w:t>SE</w:t>
            </w:r>
            <w:r>
              <w:rPr>
                <w:rFonts w:hint="eastAsia" w:ascii="宋体" w:hAnsi="宋体"/>
                <w:sz w:val="21"/>
                <w:szCs w:val="21"/>
              </w:rPr>
              <w:t>面，侧下风向</w:t>
            </w:r>
          </w:p>
        </w:tc>
        <w:tc>
          <w:tcPr>
            <w:tcW w:w="1471" w:type="dxa"/>
            <w:tcBorders>
              <w:top w:val="single" w:color="000000" w:sz="4" w:space="0"/>
              <w:bottom w:val="single" w:color="000000" w:sz="4" w:space="0"/>
            </w:tcBorders>
            <w:vAlign w:val="center"/>
          </w:tcPr>
          <w:p>
            <w:pPr>
              <w:jc w:val="center"/>
              <w:rPr>
                <w:rFonts w:hint="eastAsia"/>
                <w:sz w:val="21"/>
                <w:szCs w:val="21"/>
              </w:rPr>
            </w:pPr>
            <w:r>
              <w:rPr>
                <w:rFonts w:hint="eastAsia"/>
                <w:sz w:val="21"/>
                <w:szCs w:val="21"/>
              </w:rPr>
              <w:t>3800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bottom w:val="single" w:color="000000" w:sz="4" w:space="0"/>
            </w:tcBorders>
            <w:vAlign w:val="center"/>
          </w:tcPr>
          <w:p>
            <w:pPr>
              <w:jc w:val="center"/>
              <w:rPr>
                <w:rFonts w:hint="eastAsia"/>
                <w:sz w:val="21"/>
                <w:szCs w:val="21"/>
              </w:rPr>
            </w:pPr>
            <w:r>
              <w:rPr>
                <w:rFonts w:hint="eastAsia"/>
                <w:sz w:val="21"/>
                <w:szCs w:val="21"/>
              </w:rPr>
              <w:t>13</w:t>
            </w:r>
          </w:p>
        </w:tc>
        <w:tc>
          <w:tcPr>
            <w:tcW w:w="3127" w:type="dxa"/>
            <w:tcBorders>
              <w:top w:val="single" w:color="000000" w:sz="4" w:space="0"/>
              <w:bottom w:val="single" w:color="000000" w:sz="4" w:space="0"/>
            </w:tcBorders>
            <w:vAlign w:val="center"/>
          </w:tcPr>
          <w:p>
            <w:pPr>
              <w:ind w:firstLine="480"/>
              <w:jc w:val="center"/>
              <w:rPr>
                <w:rFonts w:hint="eastAsia" w:ascii="宋体" w:hAnsi="宋体" w:cs="宋体"/>
                <w:sz w:val="21"/>
                <w:szCs w:val="21"/>
              </w:rPr>
            </w:pPr>
            <w:r>
              <w:rPr>
                <w:rFonts w:hint="eastAsia" w:ascii="宋体" w:hAnsi="宋体" w:cs="宋体"/>
                <w:sz w:val="21"/>
                <w:szCs w:val="21"/>
              </w:rPr>
              <w:t>陈家桥镇</w:t>
            </w:r>
          </w:p>
        </w:tc>
        <w:tc>
          <w:tcPr>
            <w:tcW w:w="982" w:type="dxa"/>
            <w:tcBorders>
              <w:top w:val="single" w:color="000000" w:sz="4" w:space="0"/>
              <w:bottom w:val="single" w:color="000000" w:sz="4" w:space="0"/>
            </w:tcBorders>
            <w:vAlign w:val="center"/>
          </w:tcPr>
          <w:p>
            <w:pPr>
              <w:jc w:val="center"/>
              <w:rPr>
                <w:sz w:val="21"/>
                <w:szCs w:val="21"/>
              </w:rPr>
            </w:pPr>
            <w:r>
              <w:rPr>
                <w:sz w:val="21"/>
                <w:szCs w:val="21"/>
              </w:rPr>
              <w:t>空气</w:t>
            </w:r>
          </w:p>
        </w:tc>
        <w:tc>
          <w:tcPr>
            <w:tcW w:w="1656" w:type="dxa"/>
            <w:tcBorders>
              <w:top w:val="single" w:color="000000" w:sz="4" w:space="0"/>
              <w:bottom w:val="single" w:color="000000" w:sz="4" w:space="0"/>
              <w:right w:val="single" w:color="auto" w:sz="4" w:space="0"/>
            </w:tcBorders>
            <w:vAlign w:val="center"/>
          </w:tcPr>
          <w:p>
            <w:pPr>
              <w:jc w:val="center"/>
              <w:rPr>
                <w:rFonts w:hint="eastAsia"/>
                <w:sz w:val="21"/>
                <w:szCs w:val="21"/>
              </w:rPr>
            </w:pPr>
            <w:r>
              <w:rPr>
                <w:sz w:val="21"/>
                <w:szCs w:val="21"/>
              </w:rPr>
              <w:t>居民区</w:t>
            </w:r>
            <w:r>
              <w:rPr>
                <w:rFonts w:hint="eastAsia"/>
                <w:sz w:val="21"/>
                <w:szCs w:val="21"/>
              </w:rPr>
              <w:t>、学校、医院</w:t>
            </w:r>
          </w:p>
        </w:tc>
        <w:tc>
          <w:tcPr>
            <w:tcW w:w="1456" w:type="dxa"/>
            <w:tcBorders>
              <w:top w:val="single" w:color="000000" w:sz="4" w:space="0"/>
              <w:bottom w:val="single" w:color="000000" w:sz="4" w:space="0"/>
              <w:right w:val="single" w:color="auto" w:sz="4" w:space="0"/>
            </w:tcBorders>
            <w:vAlign w:val="center"/>
          </w:tcPr>
          <w:p>
            <w:pPr>
              <w:jc w:val="center"/>
              <w:rPr>
                <w:rFonts w:hint="eastAsia"/>
                <w:sz w:val="21"/>
                <w:szCs w:val="21"/>
              </w:rPr>
            </w:pPr>
            <w:r>
              <w:rPr>
                <w:rFonts w:hint="eastAsia"/>
                <w:sz w:val="21"/>
                <w:szCs w:val="21"/>
              </w:rPr>
              <w:t>SE</w:t>
            </w:r>
            <w:r>
              <w:rPr>
                <w:rFonts w:hint="eastAsia" w:ascii="宋体" w:hAnsi="宋体"/>
                <w:sz w:val="21"/>
                <w:szCs w:val="21"/>
              </w:rPr>
              <w:t>面，侧下风向</w:t>
            </w:r>
          </w:p>
        </w:tc>
        <w:tc>
          <w:tcPr>
            <w:tcW w:w="1471" w:type="dxa"/>
            <w:tcBorders>
              <w:top w:val="single" w:color="000000" w:sz="4" w:space="0"/>
              <w:bottom w:val="single" w:color="000000" w:sz="4" w:space="0"/>
            </w:tcBorders>
            <w:vAlign w:val="center"/>
          </w:tcPr>
          <w:p>
            <w:pPr>
              <w:jc w:val="center"/>
              <w:rPr>
                <w:rFonts w:hint="eastAsia"/>
                <w:sz w:val="21"/>
                <w:szCs w:val="21"/>
              </w:rPr>
            </w:pPr>
            <w:r>
              <w:rPr>
                <w:rFonts w:hint="eastAsia"/>
                <w:sz w:val="21"/>
                <w:szCs w:val="21"/>
              </w:rPr>
              <w:t>7500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bottom w:val="single" w:color="000000" w:sz="4" w:space="0"/>
            </w:tcBorders>
            <w:vAlign w:val="center"/>
          </w:tcPr>
          <w:p>
            <w:pPr>
              <w:jc w:val="center"/>
              <w:rPr>
                <w:rFonts w:hint="eastAsia"/>
                <w:sz w:val="21"/>
                <w:szCs w:val="21"/>
              </w:rPr>
            </w:pPr>
            <w:r>
              <w:rPr>
                <w:rFonts w:hint="eastAsia"/>
                <w:sz w:val="21"/>
                <w:szCs w:val="21"/>
              </w:rPr>
              <w:t>14</w:t>
            </w:r>
          </w:p>
        </w:tc>
        <w:tc>
          <w:tcPr>
            <w:tcW w:w="3127" w:type="dxa"/>
            <w:tcBorders>
              <w:top w:val="single" w:color="000000" w:sz="4" w:space="0"/>
              <w:bottom w:val="single" w:color="000000" w:sz="4" w:space="0"/>
            </w:tcBorders>
            <w:vAlign w:val="center"/>
          </w:tcPr>
          <w:p>
            <w:pPr>
              <w:ind w:firstLine="480"/>
              <w:jc w:val="center"/>
              <w:rPr>
                <w:rFonts w:hint="eastAsia" w:ascii="宋体" w:hAnsi="宋体" w:cs="宋体"/>
                <w:sz w:val="21"/>
                <w:szCs w:val="21"/>
              </w:rPr>
            </w:pPr>
            <w:r>
              <w:rPr>
                <w:rFonts w:hint="eastAsia" w:ascii="宋体" w:hAnsi="宋体" w:cs="宋体"/>
                <w:sz w:val="21"/>
                <w:szCs w:val="21"/>
              </w:rPr>
              <w:t>大学城</w:t>
            </w:r>
          </w:p>
        </w:tc>
        <w:tc>
          <w:tcPr>
            <w:tcW w:w="982" w:type="dxa"/>
            <w:tcBorders>
              <w:top w:val="single" w:color="000000" w:sz="4" w:space="0"/>
              <w:bottom w:val="single" w:color="000000" w:sz="4" w:space="0"/>
            </w:tcBorders>
            <w:vAlign w:val="center"/>
          </w:tcPr>
          <w:p>
            <w:pPr>
              <w:jc w:val="center"/>
              <w:rPr>
                <w:rFonts w:hint="eastAsia"/>
                <w:sz w:val="21"/>
                <w:szCs w:val="21"/>
              </w:rPr>
            </w:pPr>
            <w:r>
              <w:rPr>
                <w:sz w:val="21"/>
                <w:szCs w:val="21"/>
              </w:rPr>
              <w:t>空气</w:t>
            </w:r>
          </w:p>
        </w:tc>
        <w:tc>
          <w:tcPr>
            <w:tcW w:w="1656" w:type="dxa"/>
            <w:tcBorders>
              <w:top w:val="single" w:color="000000" w:sz="4" w:space="0"/>
              <w:bottom w:val="single" w:color="000000" w:sz="4" w:space="0"/>
              <w:right w:val="single" w:color="auto" w:sz="4" w:space="0"/>
            </w:tcBorders>
            <w:vAlign w:val="center"/>
          </w:tcPr>
          <w:p>
            <w:pPr>
              <w:jc w:val="center"/>
              <w:rPr>
                <w:rFonts w:hint="eastAsia"/>
                <w:sz w:val="21"/>
                <w:szCs w:val="21"/>
              </w:rPr>
            </w:pPr>
            <w:r>
              <w:rPr>
                <w:rFonts w:hint="eastAsia"/>
                <w:sz w:val="21"/>
                <w:szCs w:val="21"/>
              </w:rPr>
              <w:t>学校</w:t>
            </w:r>
          </w:p>
        </w:tc>
        <w:tc>
          <w:tcPr>
            <w:tcW w:w="1456" w:type="dxa"/>
            <w:tcBorders>
              <w:top w:val="single" w:color="000000" w:sz="4" w:space="0"/>
              <w:bottom w:val="single" w:color="000000" w:sz="4" w:space="0"/>
              <w:right w:val="single" w:color="auto" w:sz="4" w:space="0"/>
            </w:tcBorders>
            <w:vAlign w:val="center"/>
          </w:tcPr>
          <w:p>
            <w:pPr>
              <w:jc w:val="center"/>
              <w:rPr>
                <w:rFonts w:hint="eastAsia"/>
                <w:sz w:val="21"/>
                <w:szCs w:val="21"/>
              </w:rPr>
            </w:pPr>
            <w:r>
              <w:rPr>
                <w:rFonts w:hint="eastAsia"/>
                <w:sz w:val="21"/>
                <w:szCs w:val="21"/>
              </w:rPr>
              <w:t>SE</w:t>
            </w:r>
            <w:r>
              <w:rPr>
                <w:rFonts w:hint="eastAsia" w:ascii="宋体" w:hAnsi="宋体"/>
                <w:sz w:val="21"/>
                <w:szCs w:val="21"/>
              </w:rPr>
              <w:t>面，侧下风向</w:t>
            </w:r>
          </w:p>
        </w:tc>
        <w:tc>
          <w:tcPr>
            <w:tcW w:w="1471" w:type="dxa"/>
            <w:tcBorders>
              <w:top w:val="single" w:color="000000" w:sz="4" w:space="0"/>
              <w:bottom w:val="single" w:color="000000" w:sz="4" w:space="0"/>
            </w:tcBorders>
            <w:vAlign w:val="center"/>
          </w:tcPr>
          <w:p>
            <w:pPr>
              <w:jc w:val="center"/>
              <w:rPr>
                <w:rFonts w:hint="eastAsia"/>
                <w:sz w:val="21"/>
                <w:szCs w:val="21"/>
              </w:rPr>
            </w:pPr>
            <w:r>
              <w:rPr>
                <w:rFonts w:hint="eastAsia"/>
                <w:sz w:val="21"/>
                <w:szCs w:val="21"/>
              </w:rPr>
              <w:t>8000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bottom w:val="single" w:color="000000" w:sz="4" w:space="0"/>
            </w:tcBorders>
            <w:vAlign w:val="center"/>
          </w:tcPr>
          <w:p>
            <w:pPr>
              <w:jc w:val="center"/>
              <w:rPr>
                <w:rFonts w:hint="eastAsia"/>
                <w:sz w:val="21"/>
                <w:szCs w:val="21"/>
              </w:rPr>
            </w:pPr>
            <w:r>
              <w:rPr>
                <w:rFonts w:hint="eastAsia"/>
                <w:sz w:val="21"/>
                <w:szCs w:val="21"/>
              </w:rPr>
              <w:t>15</w:t>
            </w:r>
          </w:p>
        </w:tc>
        <w:tc>
          <w:tcPr>
            <w:tcW w:w="3127" w:type="dxa"/>
            <w:tcBorders>
              <w:top w:val="single" w:color="000000" w:sz="4" w:space="0"/>
              <w:bottom w:val="single" w:color="000000" w:sz="4" w:space="0"/>
            </w:tcBorders>
            <w:vAlign w:val="center"/>
          </w:tcPr>
          <w:p>
            <w:pPr>
              <w:ind w:firstLine="480"/>
              <w:jc w:val="center"/>
              <w:rPr>
                <w:rFonts w:hint="eastAsia" w:ascii="宋体" w:hAnsi="宋体" w:cs="宋体"/>
                <w:sz w:val="21"/>
                <w:szCs w:val="21"/>
              </w:rPr>
            </w:pPr>
            <w:r>
              <w:rPr>
                <w:rFonts w:hint="eastAsia" w:ascii="宋体" w:hAnsi="宋体" w:cs="宋体"/>
                <w:sz w:val="21"/>
                <w:szCs w:val="21"/>
              </w:rPr>
              <w:t>319国道</w:t>
            </w:r>
          </w:p>
        </w:tc>
        <w:tc>
          <w:tcPr>
            <w:tcW w:w="982" w:type="dxa"/>
            <w:tcBorders>
              <w:top w:val="single" w:color="000000" w:sz="4" w:space="0"/>
              <w:bottom w:val="single" w:color="000000" w:sz="4" w:space="0"/>
            </w:tcBorders>
            <w:vAlign w:val="center"/>
          </w:tcPr>
          <w:p>
            <w:pPr>
              <w:jc w:val="center"/>
              <w:rPr>
                <w:rFonts w:hint="eastAsia"/>
                <w:sz w:val="21"/>
                <w:szCs w:val="21"/>
              </w:rPr>
            </w:pPr>
            <w:r>
              <w:rPr>
                <w:sz w:val="21"/>
                <w:szCs w:val="21"/>
              </w:rPr>
              <w:t>空气</w:t>
            </w:r>
            <w:r>
              <w:rPr>
                <w:rFonts w:hint="eastAsia"/>
                <w:sz w:val="21"/>
                <w:szCs w:val="21"/>
              </w:rPr>
              <w:t>，景观</w:t>
            </w:r>
          </w:p>
        </w:tc>
        <w:tc>
          <w:tcPr>
            <w:tcW w:w="1656" w:type="dxa"/>
            <w:tcBorders>
              <w:top w:val="single" w:color="000000" w:sz="4" w:space="0"/>
              <w:bottom w:val="single" w:color="000000" w:sz="4" w:space="0"/>
              <w:right w:val="single" w:color="auto" w:sz="4" w:space="0"/>
            </w:tcBorders>
            <w:vAlign w:val="center"/>
          </w:tcPr>
          <w:p>
            <w:pPr>
              <w:jc w:val="center"/>
              <w:rPr>
                <w:rFonts w:hint="eastAsia"/>
                <w:sz w:val="21"/>
                <w:szCs w:val="21"/>
              </w:rPr>
            </w:pPr>
            <w:r>
              <w:rPr>
                <w:rFonts w:hint="eastAsia"/>
                <w:sz w:val="21"/>
                <w:szCs w:val="21"/>
              </w:rPr>
              <w:t>/</w:t>
            </w:r>
          </w:p>
        </w:tc>
        <w:tc>
          <w:tcPr>
            <w:tcW w:w="1456" w:type="dxa"/>
            <w:tcBorders>
              <w:top w:val="single" w:color="000000" w:sz="4" w:space="0"/>
              <w:bottom w:val="single" w:color="000000" w:sz="4" w:space="0"/>
              <w:right w:val="single" w:color="auto" w:sz="4" w:space="0"/>
            </w:tcBorders>
            <w:vAlign w:val="center"/>
          </w:tcPr>
          <w:p>
            <w:pPr>
              <w:jc w:val="center"/>
              <w:rPr>
                <w:rFonts w:hint="eastAsia"/>
                <w:sz w:val="21"/>
                <w:szCs w:val="21"/>
              </w:rPr>
            </w:pPr>
            <w:r>
              <w:rPr>
                <w:rFonts w:hint="eastAsia"/>
                <w:sz w:val="21"/>
                <w:szCs w:val="21"/>
              </w:rPr>
              <w:t>/</w:t>
            </w:r>
          </w:p>
        </w:tc>
        <w:tc>
          <w:tcPr>
            <w:tcW w:w="1471" w:type="dxa"/>
            <w:tcBorders>
              <w:top w:val="single" w:color="000000" w:sz="4" w:space="0"/>
              <w:bottom w:val="single" w:color="000000" w:sz="4" w:space="0"/>
            </w:tcBorders>
            <w:vAlign w:val="center"/>
          </w:tcPr>
          <w:p>
            <w:pPr>
              <w:jc w:val="center"/>
              <w:rPr>
                <w:rFonts w:hint="eastAsia"/>
                <w:sz w:val="21"/>
                <w:szCs w:val="21"/>
              </w:rPr>
            </w:pPr>
            <w:r>
              <w:rPr>
                <w:rFonts w:hint="eastAsia"/>
                <w:sz w:val="21"/>
                <w:szCs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bottom w:val="single" w:color="000000" w:sz="4" w:space="0"/>
            </w:tcBorders>
            <w:vAlign w:val="center"/>
          </w:tcPr>
          <w:p>
            <w:pPr>
              <w:jc w:val="center"/>
              <w:rPr>
                <w:rFonts w:hint="eastAsia"/>
                <w:sz w:val="21"/>
                <w:szCs w:val="21"/>
              </w:rPr>
            </w:pPr>
            <w:r>
              <w:rPr>
                <w:rFonts w:hint="eastAsia"/>
                <w:sz w:val="21"/>
                <w:szCs w:val="21"/>
              </w:rPr>
              <w:t>16</w:t>
            </w:r>
          </w:p>
        </w:tc>
        <w:tc>
          <w:tcPr>
            <w:tcW w:w="3127" w:type="dxa"/>
            <w:tcBorders>
              <w:top w:val="single" w:color="000000" w:sz="4" w:space="0"/>
              <w:bottom w:val="single" w:color="000000" w:sz="4" w:space="0"/>
            </w:tcBorders>
            <w:vAlign w:val="center"/>
          </w:tcPr>
          <w:p>
            <w:pPr>
              <w:ind w:firstLine="480"/>
              <w:jc w:val="center"/>
              <w:rPr>
                <w:rFonts w:hint="eastAsia" w:ascii="宋体" w:hAnsi="宋体" w:cs="宋体"/>
                <w:sz w:val="21"/>
                <w:szCs w:val="21"/>
              </w:rPr>
            </w:pPr>
            <w:r>
              <w:rPr>
                <w:rFonts w:hint="eastAsia" w:ascii="宋体" w:hAnsi="宋体" w:cs="宋体"/>
                <w:sz w:val="21"/>
                <w:szCs w:val="21"/>
              </w:rPr>
              <w:t>渝隧高速路</w:t>
            </w:r>
          </w:p>
        </w:tc>
        <w:tc>
          <w:tcPr>
            <w:tcW w:w="982" w:type="dxa"/>
            <w:tcBorders>
              <w:top w:val="single" w:color="000000" w:sz="4" w:space="0"/>
              <w:bottom w:val="single" w:color="000000" w:sz="4" w:space="0"/>
            </w:tcBorders>
            <w:vAlign w:val="center"/>
          </w:tcPr>
          <w:p>
            <w:pPr>
              <w:jc w:val="center"/>
              <w:rPr>
                <w:sz w:val="21"/>
                <w:szCs w:val="21"/>
              </w:rPr>
            </w:pPr>
            <w:r>
              <w:rPr>
                <w:sz w:val="21"/>
                <w:szCs w:val="21"/>
              </w:rPr>
              <w:t>空气</w:t>
            </w:r>
            <w:r>
              <w:rPr>
                <w:rFonts w:hint="eastAsia"/>
                <w:sz w:val="21"/>
                <w:szCs w:val="21"/>
              </w:rPr>
              <w:t>，景观</w:t>
            </w:r>
          </w:p>
        </w:tc>
        <w:tc>
          <w:tcPr>
            <w:tcW w:w="1656" w:type="dxa"/>
            <w:tcBorders>
              <w:top w:val="single" w:color="000000" w:sz="4" w:space="0"/>
              <w:bottom w:val="single" w:color="000000" w:sz="4" w:space="0"/>
              <w:right w:val="single" w:color="auto" w:sz="4" w:space="0"/>
            </w:tcBorders>
            <w:vAlign w:val="center"/>
          </w:tcPr>
          <w:p>
            <w:pPr>
              <w:jc w:val="center"/>
              <w:rPr>
                <w:rFonts w:hint="eastAsia"/>
                <w:sz w:val="21"/>
                <w:szCs w:val="21"/>
              </w:rPr>
            </w:pPr>
            <w:r>
              <w:rPr>
                <w:rFonts w:hint="eastAsia"/>
                <w:sz w:val="21"/>
                <w:szCs w:val="21"/>
              </w:rPr>
              <w:t>/</w:t>
            </w:r>
          </w:p>
        </w:tc>
        <w:tc>
          <w:tcPr>
            <w:tcW w:w="1456" w:type="dxa"/>
            <w:tcBorders>
              <w:top w:val="single" w:color="000000" w:sz="4" w:space="0"/>
              <w:bottom w:val="single" w:color="000000" w:sz="4" w:space="0"/>
              <w:right w:val="single" w:color="auto" w:sz="4" w:space="0"/>
            </w:tcBorders>
            <w:vAlign w:val="center"/>
          </w:tcPr>
          <w:p>
            <w:pPr>
              <w:jc w:val="center"/>
              <w:rPr>
                <w:rFonts w:hint="eastAsia"/>
                <w:sz w:val="21"/>
                <w:szCs w:val="21"/>
              </w:rPr>
            </w:pPr>
            <w:r>
              <w:rPr>
                <w:rFonts w:hint="eastAsia"/>
                <w:sz w:val="21"/>
                <w:szCs w:val="21"/>
              </w:rPr>
              <w:t>/</w:t>
            </w:r>
          </w:p>
        </w:tc>
        <w:tc>
          <w:tcPr>
            <w:tcW w:w="1471" w:type="dxa"/>
            <w:tcBorders>
              <w:top w:val="single" w:color="000000" w:sz="4" w:space="0"/>
              <w:bottom w:val="single" w:color="000000" w:sz="4" w:space="0"/>
            </w:tcBorders>
            <w:vAlign w:val="center"/>
          </w:tcPr>
          <w:p>
            <w:pPr>
              <w:jc w:val="center"/>
              <w:rPr>
                <w:rFonts w:hint="eastAsia"/>
                <w:sz w:val="21"/>
                <w:szCs w:val="21"/>
              </w:rPr>
            </w:pPr>
            <w:r>
              <w:rPr>
                <w:rFonts w:hint="eastAsia"/>
                <w:sz w:val="21"/>
                <w:szCs w:val="21"/>
              </w:rPr>
              <w:t>120</w:t>
            </w:r>
          </w:p>
        </w:tc>
      </w:tr>
    </w:tbl>
    <w:p>
      <w:pPr>
        <w:pStyle w:val="11"/>
        <w:rPr>
          <w:rFonts w:hint="eastAsia"/>
        </w:rPr>
      </w:pPr>
    </w:p>
    <w:p>
      <w:pPr>
        <w:pStyle w:val="11"/>
        <w:sectPr>
          <w:pgSz w:w="11906" w:h="16838"/>
          <w:pgMar w:top="1134" w:right="1418" w:bottom="1134" w:left="1418" w:header="851" w:footer="992" w:gutter="0"/>
          <w:paperSrc w:first="20070" w:other="20070"/>
          <w:cols w:space="425" w:num="1"/>
          <w:docGrid w:linePitch="312" w:charSpace="0"/>
        </w:sectPr>
      </w:pPr>
    </w:p>
    <w:p>
      <w:pPr>
        <w:spacing w:line="360" w:lineRule="auto"/>
        <w:outlineLvl w:val="0"/>
        <w:rPr>
          <w:rFonts w:hint="eastAsia"/>
          <w:b/>
          <w:sz w:val="28"/>
          <w:szCs w:val="28"/>
        </w:rPr>
      </w:pPr>
      <w:bookmarkStart w:id="50" w:name="_Toc276372220"/>
      <w:bookmarkStart w:id="51" w:name="_Toc202167831"/>
      <w:r>
        <w:rPr>
          <w:rFonts w:hint="eastAsia"/>
          <w:b/>
          <w:sz w:val="28"/>
          <w:szCs w:val="28"/>
        </w:rPr>
        <w:t>2重庆永荣青鹏煤业有限公司现状</w:t>
      </w:r>
      <w:bookmarkEnd w:id="50"/>
      <w:bookmarkEnd w:id="51"/>
    </w:p>
    <w:p>
      <w:pPr>
        <w:autoSpaceDE w:val="0"/>
        <w:autoSpaceDN w:val="0"/>
        <w:spacing w:line="360" w:lineRule="auto"/>
        <w:ind w:firstLine="420" w:firstLineChars="200"/>
        <w:rPr>
          <w:rFonts w:hint="eastAsia" w:ascii="宋体" w:hAnsi="宋体"/>
        </w:rPr>
      </w:pPr>
      <w:r>
        <w:rPr>
          <w:rFonts w:ascii="宋体" w:hAnsi="宋体"/>
        </w:rPr>
        <w:t>重庆永荣青鹏煤业有限公司</w:t>
      </w:r>
      <w:r>
        <w:rPr>
          <w:rFonts w:hint="eastAsia" w:ascii="宋体" w:hAnsi="宋体"/>
        </w:rPr>
        <w:t>隶属于重庆</w:t>
      </w:r>
      <w:r>
        <w:rPr>
          <w:rFonts w:ascii="宋体" w:hAnsi="宋体"/>
        </w:rPr>
        <w:t>市</w:t>
      </w:r>
      <w:r>
        <w:rPr>
          <w:rFonts w:hint="eastAsia" w:ascii="宋体" w:hAnsi="宋体"/>
        </w:rPr>
        <w:t>能源</w:t>
      </w:r>
      <w:r>
        <w:rPr>
          <w:rFonts w:ascii="宋体" w:hAnsi="宋体"/>
        </w:rPr>
        <w:t>投</w:t>
      </w:r>
      <w:r>
        <w:rPr>
          <w:rFonts w:hint="eastAsia" w:ascii="宋体" w:hAnsi="宋体"/>
        </w:rPr>
        <w:t>资</w:t>
      </w:r>
      <w:r>
        <w:rPr>
          <w:rFonts w:ascii="宋体" w:hAnsi="宋体"/>
        </w:rPr>
        <w:t>集团公司，前身为重庆市青木关煤矿，始建于1958年，现有二千多名职工，位于沙坪坝区青木关镇关口村境内。319国道将矿区分成南北两块：北边为生活区、办公区；南边是工业区的水泥厂、矿井工业广场。几经改扩建至1992年，已成为具水泥、煤炭生产加工和销售一体的“双主业”企业。经重庆市国资委同意于2007年1月1日改制为重庆永荣青鹏煤业有限公司（国有独资企业）。</w:t>
      </w:r>
      <w:r>
        <w:rPr>
          <w:rFonts w:hint="eastAsia" w:ascii="宋体" w:hAnsi="宋体"/>
        </w:rPr>
        <w:t>公司目前年开采原煤15万吨/年，拥有</w:t>
      </w:r>
      <w:r>
        <w:rPr>
          <w:rFonts w:ascii="宋体" w:hAnsi="宋体"/>
        </w:rPr>
        <w:t>4条立窑生产线年产能60万吨，属</w:t>
      </w:r>
      <w:r>
        <w:rPr>
          <w:rFonts w:hint="eastAsia" w:ascii="宋体" w:hAnsi="宋体"/>
        </w:rPr>
        <w:t>沙坪坝区</w:t>
      </w:r>
      <w:r>
        <w:rPr>
          <w:rFonts w:ascii="宋体" w:hAnsi="宋体"/>
        </w:rPr>
        <w:t>立窑之首，水泥销售收入年1.2亿元。</w:t>
      </w:r>
    </w:p>
    <w:p>
      <w:pPr>
        <w:spacing w:line="360" w:lineRule="auto"/>
        <w:outlineLvl w:val="1"/>
        <w:rPr>
          <w:rFonts w:hint="eastAsia"/>
          <w:b/>
          <w:szCs w:val="20"/>
        </w:rPr>
      </w:pPr>
      <w:bookmarkStart w:id="52" w:name="_Toc202167832"/>
      <w:bookmarkStart w:id="53" w:name="_Toc276372221"/>
      <w:r>
        <w:rPr>
          <w:rFonts w:hint="eastAsia"/>
          <w:b/>
          <w:szCs w:val="20"/>
        </w:rPr>
        <w:t>2.1 厂址地理位置与交通</w:t>
      </w:r>
      <w:bookmarkEnd w:id="52"/>
      <w:bookmarkEnd w:id="53"/>
    </w:p>
    <w:p>
      <w:pPr>
        <w:spacing w:line="360" w:lineRule="auto"/>
        <w:ind w:firstLine="420" w:firstLineChars="200"/>
        <w:rPr>
          <w:rFonts w:hint="eastAsia" w:ascii="宋体" w:hAnsi="宋体"/>
        </w:rPr>
      </w:pPr>
      <w:r>
        <w:rPr>
          <w:rFonts w:hint="eastAsia" w:ascii="宋体" w:hAnsi="宋体"/>
        </w:rPr>
        <w:t>重庆永荣青鹏煤业有限公司水泥厂</w:t>
      </w:r>
      <w:r>
        <w:rPr>
          <w:rFonts w:ascii="宋体" w:hAnsi="宋体"/>
          <w:kern w:val="0"/>
        </w:rPr>
        <w:t>位于重庆市沙坪坝区青木关镇，地处重庆市的西北郊二环路以外，是沙坪坝区与郊县璧山交界处，直径百米即璧山县境，距壁山县城1</w:t>
      </w:r>
      <w:r>
        <w:rPr>
          <w:rFonts w:hint="eastAsia" w:ascii="宋体" w:hAnsi="宋体"/>
          <w:kern w:val="0"/>
        </w:rPr>
        <w:t>0km</w:t>
      </w:r>
      <w:r>
        <w:rPr>
          <w:rFonts w:ascii="宋体" w:hAnsi="宋体"/>
          <w:kern w:val="0"/>
        </w:rPr>
        <w:t>，老成渝公路和遂渝高速公路从矿区</w:t>
      </w:r>
      <w:r>
        <w:rPr>
          <w:rFonts w:hint="eastAsia" w:ascii="宋体" w:hAnsi="宋体"/>
          <w:kern w:val="0"/>
        </w:rPr>
        <w:t>北侧</w:t>
      </w:r>
      <w:r>
        <w:rPr>
          <w:rFonts w:ascii="宋体" w:hAnsi="宋体"/>
          <w:kern w:val="0"/>
        </w:rPr>
        <w:t>穿过，与成渝高速公路和襄渝铁路西永火车站有公路相连，分别相距为12</w:t>
      </w:r>
      <w:r>
        <w:rPr>
          <w:rFonts w:hint="eastAsia" w:ascii="宋体" w:hAnsi="宋体"/>
          <w:kern w:val="0"/>
        </w:rPr>
        <w:t xml:space="preserve"> km</w:t>
      </w:r>
      <w:r>
        <w:rPr>
          <w:rFonts w:ascii="宋体" w:hAnsi="宋体"/>
          <w:kern w:val="0"/>
        </w:rPr>
        <w:t>和15</w:t>
      </w:r>
      <w:r>
        <w:rPr>
          <w:rFonts w:hint="eastAsia" w:ascii="宋体" w:hAnsi="宋体"/>
          <w:kern w:val="0"/>
        </w:rPr>
        <w:t xml:space="preserve"> km</w:t>
      </w:r>
      <w:r>
        <w:rPr>
          <w:rFonts w:ascii="宋体" w:hAnsi="宋体"/>
          <w:kern w:val="0"/>
        </w:rPr>
        <w:t>，距遂渝高速公路璧山站1.5</w:t>
      </w:r>
      <w:r>
        <w:rPr>
          <w:rFonts w:hint="eastAsia" w:ascii="宋体" w:hAnsi="宋体"/>
          <w:kern w:val="0"/>
        </w:rPr>
        <w:t xml:space="preserve"> km</w:t>
      </w:r>
      <w:r>
        <w:rPr>
          <w:rFonts w:ascii="宋体" w:hAnsi="宋体"/>
          <w:kern w:val="0"/>
        </w:rPr>
        <w:t>，交通非常方便</w:t>
      </w:r>
      <w:r>
        <w:rPr>
          <w:rFonts w:hint="eastAsia" w:ascii="宋体" w:hAnsi="宋体"/>
          <w:kern w:val="0"/>
        </w:rPr>
        <w:t>。</w:t>
      </w:r>
    </w:p>
    <w:p>
      <w:pPr>
        <w:spacing w:line="360" w:lineRule="auto"/>
        <w:ind w:firstLine="420" w:firstLineChars="200"/>
        <w:rPr>
          <w:rFonts w:hint="eastAsia" w:ascii="宋体" w:hAnsi="宋体"/>
        </w:rPr>
      </w:pPr>
      <w:r>
        <w:rPr>
          <w:rFonts w:hint="eastAsia" w:ascii="宋体" w:hAnsi="宋体"/>
        </w:rPr>
        <w:t>重庆永荣青鹏煤业有限公司水泥厂地理位置见图2.1。</w:t>
      </w:r>
    </w:p>
    <w:p>
      <w:pPr>
        <w:spacing w:line="360" w:lineRule="auto"/>
        <w:outlineLvl w:val="1"/>
        <w:rPr>
          <w:rFonts w:hint="eastAsia"/>
          <w:b/>
          <w:szCs w:val="20"/>
        </w:rPr>
      </w:pPr>
      <w:bookmarkStart w:id="54" w:name="_Toc202167833"/>
      <w:bookmarkStart w:id="55" w:name="_Toc276372222"/>
      <w:r>
        <w:rPr>
          <w:rFonts w:hint="eastAsia"/>
          <w:b/>
          <w:szCs w:val="20"/>
        </w:rPr>
        <w:t>2.2 重庆永荣青鹏煤业有限公司水泥厂基本情况</w:t>
      </w:r>
      <w:bookmarkEnd w:id="54"/>
      <w:bookmarkEnd w:id="55"/>
    </w:p>
    <w:p>
      <w:pPr>
        <w:spacing w:line="360" w:lineRule="auto"/>
        <w:ind w:firstLine="420" w:firstLineChars="200"/>
        <w:rPr>
          <w:rFonts w:hint="eastAsia" w:ascii="宋体" w:hAnsi="宋体"/>
        </w:rPr>
      </w:pPr>
      <w:r>
        <w:rPr>
          <w:rFonts w:hint="eastAsia" w:ascii="宋体" w:hAnsi="宋体"/>
        </w:rPr>
        <w:t>重庆永荣青鹏煤业有限公司水泥厂占地面积10hm</w:t>
      </w:r>
      <w:r>
        <w:rPr>
          <w:rFonts w:hint="eastAsia" w:ascii="宋体" w:hAnsi="宋体"/>
          <w:vertAlign w:val="superscript"/>
        </w:rPr>
        <w:t>2</w:t>
      </w:r>
      <w:r>
        <w:rPr>
          <w:rFonts w:hint="eastAsia" w:ascii="宋体" w:hAnsi="宋体"/>
        </w:rPr>
        <w:t>，现有职工265人。</w:t>
      </w:r>
    </w:p>
    <w:p>
      <w:pPr>
        <w:spacing w:line="360" w:lineRule="auto"/>
        <w:ind w:firstLine="420" w:firstLineChars="200"/>
        <w:rPr>
          <w:rFonts w:hint="eastAsia" w:ascii="宋体" w:hAnsi="宋体"/>
        </w:rPr>
      </w:pPr>
      <w:r>
        <w:rPr>
          <w:rFonts w:hint="eastAsia" w:ascii="宋体" w:hAnsi="宋体"/>
        </w:rPr>
        <w:t>生产规模：现已拥有二条φ3</w:t>
      </w:r>
      <w:r>
        <w:rPr>
          <w:rFonts w:ascii="宋体" w:hAnsi="宋体"/>
        </w:rPr>
        <w:t>.0m</w:t>
      </w:r>
      <w:r>
        <w:rPr>
          <w:rFonts w:hint="eastAsia" w:ascii="宋体" w:hAnsi="宋体"/>
        </w:rPr>
        <w:t>和二条φ3</w:t>
      </w:r>
      <w:r>
        <w:rPr>
          <w:rFonts w:ascii="宋体" w:hAnsi="宋体"/>
        </w:rPr>
        <w:t>.</w:t>
      </w:r>
      <w:r>
        <w:rPr>
          <w:rFonts w:hint="eastAsia" w:ascii="宋体" w:hAnsi="宋体"/>
        </w:rPr>
        <w:t>2</w:t>
      </w:r>
      <w:r>
        <w:rPr>
          <w:rFonts w:ascii="宋体" w:hAnsi="宋体"/>
        </w:rPr>
        <w:t>m</w:t>
      </w:r>
      <w:r>
        <w:rPr>
          <w:rFonts w:hint="eastAsia" w:ascii="宋体" w:hAnsi="宋体"/>
        </w:rPr>
        <w:t xml:space="preserve">机立窑水泥生产线，年产水泥60万吨。  </w:t>
      </w:r>
    </w:p>
    <w:p>
      <w:pPr>
        <w:spacing w:line="360" w:lineRule="auto"/>
        <w:ind w:firstLine="420" w:firstLineChars="200"/>
        <w:rPr>
          <w:rFonts w:hint="eastAsia" w:ascii="宋体" w:hAnsi="宋体"/>
        </w:rPr>
      </w:pPr>
      <w:r>
        <w:rPr>
          <w:rFonts w:hint="eastAsia" w:ascii="宋体" w:hAnsi="宋体"/>
        </w:rPr>
        <w:t>产品方案：普通硅酸盐水泥、复合硅酸盐水泥。</w:t>
      </w:r>
    </w:p>
    <w:p>
      <w:pPr>
        <w:spacing w:line="360" w:lineRule="auto"/>
        <w:outlineLvl w:val="1"/>
        <w:rPr>
          <w:rFonts w:hint="eastAsia"/>
          <w:b/>
          <w:szCs w:val="20"/>
        </w:rPr>
      </w:pPr>
      <w:bookmarkStart w:id="56" w:name="_Toc276372223"/>
      <w:bookmarkStart w:id="57" w:name="_Toc202167834"/>
      <w:r>
        <w:rPr>
          <w:rFonts w:hint="eastAsia"/>
          <w:b/>
          <w:szCs w:val="20"/>
        </w:rPr>
        <w:t>2.3 主要生产设备</w:t>
      </w:r>
      <w:bookmarkEnd w:id="56"/>
      <w:bookmarkEnd w:id="57"/>
    </w:p>
    <w:p>
      <w:pPr>
        <w:spacing w:line="360" w:lineRule="auto"/>
        <w:ind w:firstLine="471"/>
        <w:rPr>
          <w:rFonts w:hint="eastAsia" w:ascii="宋体" w:hAnsi="宋体"/>
        </w:rPr>
      </w:pPr>
      <w:r>
        <w:rPr>
          <w:rFonts w:hint="eastAsia" w:ascii="宋体" w:hAnsi="宋体"/>
        </w:rPr>
        <w:t>主要生产设备见表2-1。</w:t>
      </w:r>
    </w:p>
    <w:p>
      <w:pPr>
        <w:spacing w:line="480" w:lineRule="exact"/>
        <w:jc w:val="center"/>
        <w:rPr>
          <w:rFonts w:hint="eastAsia" w:ascii="宋体" w:hAnsi="宋体"/>
          <w:b/>
        </w:rPr>
      </w:pPr>
      <w:r>
        <w:rPr>
          <w:rFonts w:hint="eastAsia" w:ascii="宋体" w:hAnsi="宋体"/>
          <w:b/>
        </w:rPr>
        <w:t>表2-1  水泥厂现有主要设备一览表</w:t>
      </w:r>
    </w:p>
    <w:tbl>
      <w:tblPr>
        <w:tblStyle w:val="21"/>
        <w:tblW w:w="82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3123"/>
        <w:gridCol w:w="3155"/>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22" w:type="dxa"/>
            <w:vAlign w:val="center"/>
          </w:tcPr>
          <w:p>
            <w:pPr>
              <w:spacing w:line="240" w:lineRule="exact"/>
              <w:jc w:val="center"/>
              <w:rPr>
                <w:rFonts w:hint="eastAsia" w:ascii="宋体" w:hAnsi="宋体"/>
                <w:sz w:val="21"/>
                <w:szCs w:val="21"/>
              </w:rPr>
            </w:pPr>
            <w:r>
              <w:rPr>
                <w:rFonts w:hint="eastAsia" w:ascii="宋体" w:hAnsi="宋体"/>
                <w:sz w:val="21"/>
                <w:szCs w:val="21"/>
              </w:rPr>
              <w:t>序号</w:t>
            </w:r>
          </w:p>
        </w:tc>
        <w:tc>
          <w:tcPr>
            <w:tcW w:w="3123" w:type="dxa"/>
            <w:vAlign w:val="center"/>
          </w:tcPr>
          <w:p>
            <w:pPr>
              <w:spacing w:line="240" w:lineRule="exact"/>
              <w:jc w:val="center"/>
              <w:rPr>
                <w:rFonts w:hint="eastAsia" w:ascii="宋体" w:hAnsi="宋体"/>
                <w:sz w:val="21"/>
                <w:szCs w:val="21"/>
              </w:rPr>
            </w:pPr>
            <w:r>
              <w:rPr>
                <w:rFonts w:hint="eastAsia" w:ascii="宋体" w:hAnsi="宋体"/>
                <w:sz w:val="21"/>
                <w:szCs w:val="21"/>
              </w:rPr>
              <w:t>设备名称</w:t>
            </w:r>
          </w:p>
        </w:tc>
        <w:tc>
          <w:tcPr>
            <w:tcW w:w="3155" w:type="dxa"/>
            <w:vAlign w:val="center"/>
          </w:tcPr>
          <w:p>
            <w:pPr>
              <w:spacing w:line="240" w:lineRule="exact"/>
              <w:ind w:firstLine="1050" w:firstLineChars="500"/>
              <w:jc w:val="center"/>
              <w:rPr>
                <w:rFonts w:hint="eastAsia" w:ascii="宋体" w:hAnsi="宋体"/>
                <w:sz w:val="21"/>
                <w:szCs w:val="21"/>
              </w:rPr>
            </w:pPr>
            <w:r>
              <w:rPr>
                <w:rFonts w:hint="eastAsia" w:ascii="宋体" w:hAnsi="宋体"/>
                <w:sz w:val="21"/>
                <w:szCs w:val="21"/>
              </w:rPr>
              <w:t>型号规格</w:t>
            </w:r>
          </w:p>
        </w:tc>
        <w:tc>
          <w:tcPr>
            <w:tcW w:w="1036" w:type="dxa"/>
            <w:vAlign w:val="center"/>
          </w:tcPr>
          <w:p>
            <w:pPr>
              <w:spacing w:line="240" w:lineRule="exact"/>
              <w:jc w:val="center"/>
              <w:rPr>
                <w:rFonts w:hint="eastAsia" w:ascii="宋体" w:hAnsi="宋体"/>
                <w:sz w:val="21"/>
                <w:szCs w:val="21"/>
              </w:rPr>
            </w:pPr>
            <w:r>
              <w:rPr>
                <w:rFonts w:hint="eastAsia" w:ascii="宋体" w:hAnsi="宋体"/>
                <w:sz w:val="21"/>
                <w:szCs w:val="21"/>
              </w:rPr>
              <w:t>台数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22" w:type="dxa"/>
            <w:vAlign w:val="center"/>
          </w:tcPr>
          <w:p>
            <w:pPr>
              <w:spacing w:line="240" w:lineRule="exact"/>
              <w:jc w:val="center"/>
              <w:rPr>
                <w:rFonts w:hint="eastAsia" w:ascii="宋体" w:hAnsi="宋体"/>
                <w:sz w:val="21"/>
                <w:szCs w:val="21"/>
              </w:rPr>
            </w:pPr>
            <w:r>
              <w:rPr>
                <w:rFonts w:hint="eastAsia" w:ascii="宋体" w:hAnsi="宋体"/>
                <w:sz w:val="21"/>
                <w:szCs w:val="21"/>
              </w:rPr>
              <w:t>1</w:t>
            </w:r>
          </w:p>
        </w:tc>
        <w:tc>
          <w:tcPr>
            <w:tcW w:w="3123" w:type="dxa"/>
            <w:vAlign w:val="center"/>
          </w:tcPr>
          <w:p>
            <w:pPr>
              <w:spacing w:line="240" w:lineRule="exact"/>
              <w:jc w:val="center"/>
              <w:rPr>
                <w:rFonts w:hint="eastAsia" w:ascii="宋体" w:hAnsi="宋体"/>
                <w:sz w:val="21"/>
                <w:szCs w:val="21"/>
              </w:rPr>
            </w:pPr>
            <w:r>
              <w:rPr>
                <w:rFonts w:hint="eastAsia" w:ascii="宋体" w:hAnsi="宋体"/>
                <w:sz w:val="21"/>
                <w:szCs w:val="21"/>
              </w:rPr>
              <w:t>石灰石破碎机</w:t>
            </w:r>
          </w:p>
        </w:tc>
        <w:tc>
          <w:tcPr>
            <w:tcW w:w="3155" w:type="dxa"/>
            <w:vAlign w:val="center"/>
          </w:tcPr>
          <w:p>
            <w:pPr>
              <w:spacing w:line="240" w:lineRule="exact"/>
              <w:jc w:val="center"/>
              <w:rPr>
                <w:rFonts w:hint="eastAsia" w:ascii="宋体" w:hAnsi="宋体"/>
                <w:sz w:val="21"/>
                <w:szCs w:val="21"/>
              </w:rPr>
            </w:pPr>
            <w:r>
              <w:rPr>
                <w:rFonts w:hint="eastAsia" w:ascii="宋体" w:hAnsi="宋体"/>
                <w:sz w:val="21"/>
                <w:szCs w:val="21"/>
              </w:rPr>
              <w:t>PE-600*900</w:t>
            </w:r>
          </w:p>
        </w:tc>
        <w:tc>
          <w:tcPr>
            <w:tcW w:w="1036" w:type="dxa"/>
            <w:vAlign w:val="center"/>
          </w:tcPr>
          <w:p>
            <w:pPr>
              <w:spacing w:line="240" w:lineRule="exact"/>
              <w:jc w:val="center"/>
              <w:rPr>
                <w:rFonts w:hint="eastAsia" w:ascii="宋体" w:hAnsi="宋体"/>
                <w:sz w:val="21"/>
                <w:szCs w:val="21"/>
              </w:rPr>
            </w:pPr>
            <w:r>
              <w:rPr>
                <w:rFonts w:hint="eastAsia" w:ascii="宋体" w:hAnsi="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22" w:type="dxa"/>
            <w:vAlign w:val="center"/>
          </w:tcPr>
          <w:p>
            <w:pPr>
              <w:spacing w:line="240" w:lineRule="exact"/>
              <w:jc w:val="center"/>
              <w:rPr>
                <w:rFonts w:hint="eastAsia" w:ascii="宋体" w:hAnsi="宋体"/>
                <w:sz w:val="21"/>
                <w:szCs w:val="21"/>
              </w:rPr>
            </w:pPr>
            <w:r>
              <w:rPr>
                <w:rFonts w:hint="eastAsia" w:ascii="宋体" w:hAnsi="宋体"/>
                <w:sz w:val="21"/>
                <w:szCs w:val="21"/>
              </w:rPr>
              <w:t>2</w:t>
            </w:r>
          </w:p>
        </w:tc>
        <w:tc>
          <w:tcPr>
            <w:tcW w:w="3123" w:type="dxa"/>
            <w:vAlign w:val="center"/>
          </w:tcPr>
          <w:p>
            <w:pPr>
              <w:spacing w:line="240" w:lineRule="exact"/>
              <w:jc w:val="center"/>
              <w:rPr>
                <w:rFonts w:hint="eastAsia" w:ascii="宋体" w:hAnsi="宋体"/>
                <w:sz w:val="21"/>
                <w:szCs w:val="21"/>
              </w:rPr>
            </w:pPr>
            <w:r>
              <w:rPr>
                <w:rFonts w:hint="eastAsia" w:ascii="宋体" w:hAnsi="宋体"/>
                <w:sz w:val="21"/>
                <w:szCs w:val="21"/>
              </w:rPr>
              <w:t>烘干机</w:t>
            </w:r>
          </w:p>
        </w:tc>
        <w:tc>
          <w:tcPr>
            <w:tcW w:w="3155" w:type="dxa"/>
            <w:vAlign w:val="center"/>
          </w:tcPr>
          <w:p>
            <w:pPr>
              <w:spacing w:line="240" w:lineRule="exact"/>
              <w:jc w:val="center"/>
              <w:rPr>
                <w:rFonts w:hint="eastAsia" w:ascii="宋体" w:hAnsi="宋体"/>
                <w:sz w:val="21"/>
                <w:szCs w:val="21"/>
              </w:rPr>
            </w:pPr>
            <w:r>
              <w:rPr>
                <w:rFonts w:hint="eastAsia" w:ascii="宋体" w:hAnsi="宋体"/>
                <w:sz w:val="21"/>
                <w:szCs w:val="21"/>
              </w:rPr>
              <w:t>φ2.2×12m</w:t>
            </w:r>
          </w:p>
        </w:tc>
        <w:tc>
          <w:tcPr>
            <w:tcW w:w="1036" w:type="dxa"/>
            <w:vAlign w:val="center"/>
          </w:tcPr>
          <w:p>
            <w:pPr>
              <w:spacing w:line="240" w:lineRule="exact"/>
              <w:jc w:val="center"/>
              <w:rPr>
                <w:rFonts w:hint="eastAsia" w:ascii="宋体" w:hAnsi="宋体"/>
                <w:sz w:val="21"/>
                <w:szCs w:val="21"/>
              </w:rPr>
            </w:pPr>
            <w:r>
              <w:rPr>
                <w:rFonts w:hint="eastAsia" w:ascii="宋体" w:hAnsi="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22" w:type="dxa"/>
            <w:vAlign w:val="center"/>
          </w:tcPr>
          <w:p>
            <w:pPr>
              <w:spacing w:line="240" w:lineRule="exact"/>
              <w:jc w:val="center"/>
              <w:rPr>
                <w:rFonts w:hint="eastAsia" w:ascii="宋体" w:hAnsi="宋体"/>
                <w:sz w:val="21"/>
                <w:szCs w:val="21"/>
              </w:rPr>
            </w:pPr>
            <w:r>
              <w:rPr>
                <w:rFonts w:hint="eastAsia" w:ascii="宋体" w:hAnsi="宋体"/>
                <w:sz w:val="21"/>
                <w:szCs w:val="21"/>
              </w:rPr>
              <w:t>3</w:t>
            </w:r>
          </w:p>
        </w:tc>
        <w:tc>
          <w:tcPr>
            <w:tcW w:w="3123" w:type="dxa"/>
            <w:vAlign w:val="center"/>
          </w:tcPr>
          <w:p>
            <w:pPr>
              <w:spacing w:line="240" w:lineRule="exact"/>
              <w:jc w:val="center"/>
              <w:rPr>
                <w:rFonts w:hint="eastAsia" w:ascii="宋体" w:hAnsi="宋体"/>
                <w:sz w:val="21"/>
                <w:szCs w:val="21"/>
              </w:rPr>
            </w:pPr>
            <w:r>
              <w:rPr>
                <w:rFonts w:hint="eastAsia" w:ascii="宋体" w:hAnsi="宋体"/>
                <w:sz w:val="21"/>
                <w:szCs w:val="21"/>
              </w:rPr>
              <w:t>生料磨</w:t>
            </w:r>
          </w:p>
        </w:tc>
        <w:tc>
          <w:tcPr>
            <w:tcW w:w="3155" w:type="dxa"/>
            <w:vAlign w:val="center"/>
          </w:tcPr>
          <w:p>
            <w:pPr>
              <w:spacing w:line="240" w:lineRule="exact"/>
              <w:jc w:val="center"/>
              <w:rPr>
                <w:rFonts w:hint="eastAsia" w:ascii="宋体" w:hAnsi="宋体"/>
                <w:sz w:val="21"/>
                <w:szCs w:val="21"/>
              </w:rPr>
            </w:pPr>
            <w:r>
              <w:rPr>
                <w:rFonts w:ascii="宋体" w:hAnsi="宋体"/>
                <w:sz w:val="21"/>
                <w:szCs w:val="21"/>
              </w:rPr>
              <w:t>MB30</w:t>
            </w:r>
            <w:r>
              <w:rPr>
                <w:rFonts w:hint="eastAsia" w:ascii="宋体" w:hAnsi="宋体"/>
                <w:sz w:val="21"/>
                <w:szCs w:val="21"/>
              </w:rPr>
              <w:t>90</w:t>
            </w:r>
          </w:p>
        </w:tc>
        <w:tc>
          <w:tcPr>
            <w:tcW w:w="1036" w:type="dxa"/>
            <w:vAlign w:val="center"/>
          </w:tcPr>
          <w:p>
            <w:pPr>
              <w:spacing w:line="240" w:lineRule="exact"/>
              <w:jc w:val="center"/>
              <w:rPr>
                <w:rFonts w:hint="eastAsia" w:ascii="宋体" w:hAnsi="宋体"/>
                <w:sz w:val="21"/>
                <w:szCs w:val="21"/>
              </w:rPr>
            </w:pPr>
            <w:r>
              <w:rPr>
                <w:rFonts w:hint="eastAsia" w:ascii="宋体" w:hAnsi="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exact"/>
          <w:jc w:val="center"/>
        </w:trPr>
        <w:tc>
          <w:tcPr>
            <w:tcW w:w="922" w:type="dxa"/>
            <w:vAlign w:val="center"/>
          </w:tcPr>
          <w:p>
            <w:pPr>
              <w:spacing w:line="240" w:lineRule="exact"/>
              <w:jc w:val="center"/>
              <w:rPr>
                <w:rFonts w:hint="eastAsia" w:ascii="宋体" w:hAnsi="宋体"/>
                <w:sz w:val="21"/>
                <w:szCs w:val="21"/>
              </w:rPr>
            </w:pPr>
            <w:r>
              <w:rPr>
                <w:rFonts w:hint="eastAsia" w:ascii="宋体" w:hAnsi="宋体"/>
                <w:sz w:val="21"/>
                <w:szCs w:val="21"/>
              </w:rPr>
              <w:t>4</w:t>
            </w:r>
          </w:p>
        </w:tc>
        <w:tc>
          <w:tcPr>
            <w:tcW w:w="3123" w:type="dxa"/>
            <w:vAlign w:val="center"/>
          </w:tcPr>
          <w:p>
            <w:pPr>
              <w:spacing w:line="240" w:lineRule="exact"/>
              <w:jc w:val="center"/>
              <w:rPr>
                <w:rFonts w:hint="eastAsia" w:ascii="宋体" w:hAnsi="宋体"/>
                <w:sz w:val="21"/>
                <w:szCs w:val="21"/>
              </w:rPr>
            </w:pPr>
            <w:r>
              <w:rPr>
                <w:rFonts w:hint="eastAsia" w:ascii="宋体" w:hAnsi="宋体"/>
                <w:sz w:val="21"/>
                <w:szCs w:val="21"/>
              </w:rPr>
              <w:t>机立窑</w:t>
            </w:r>
          </w:p>
        </w:tc>
        <w:tc>
          <w:tcPr>
            <w:tcW w:w="3155" w:type="dxa"/>
            <w:vAlign w:val="center"/>
          </w:tcPr>
          <w:p>
            <w:pPr>
              <w:spacing w:line="240" w:lineRule="exact"/>
              <w:jc w:val="center"/>
              <w:rPr>
                <w:rFonts w:hint="eastAsia" w:ascii="宋体" w:hAnsi="宋体"/>
                <w:sz w:val="21"/>
                <w:szCs w:val="21"/>
              </w:rPr>
            </w:pPr>
            <w:r>
              <w:rPr>
                <w:rFonts w:hint="eastAsia" w:ascii="宋体" w:hAnsi="宋体"/>
                <w:sz w:val="21"/>
                <w:szCs w:val="21"/>
              </w:rPr>
              <w:t>φ3.0×11m</w:t>
            </w:r>
          </w:p>
          <w:p>
            <w:pPr>
              <w:spacing w:line="240" w:lineRule="exact"/>
              <w:jc w:val="center"/>
              <w:rPr>
                <w:rFonts w:hint="eastAsia" w:ascii="宋体" w:hAnsi="宋体"/>
                <w:sz w:val="21"/>
                <w:szCs w:val="21"/>
              </w:rPr>
            </w:pPr>
            <w:r>
              <w:rPr>
                <w:rFonts w:hint="eastAsia" w:ascii="宋体" w:hAnsi="宋体"/>
                <w:sz w:val="21"/>
                <w:szCs w:val="21"/>
              </w:rPr>
              <w:t>φ3.2×12m</w:t>
            </w:r>
          </w:p>
        </w:tc>
        <w:tc>
          <w:tcPr>
            <w:tcW w:w="1036" w:type="dxa"/>
            <w:vAlign w:val="center"/>
          </w:tcPr>
          <w:p>
            <w:pPr>
              <w:spacing w:line="240" w:lineRule="exact"/>
              <w:jc w:val="center"/>
              <w:rPr>
                <w:rFonts w:hint="eastAsia" w:ascii="宋体" w:hAnsi="宋体"/>
                <w:sz w:val="21"/>
                <w:szCs w:val="21"/>
              </w:rPr>
            </w:pPr>
            <w:r>
              <w:rPr>
                <w:rFonts w:hint="eastAsia" w:ascii="宋体" w:hAnsi="宋体"/>
                <w:sz w:val="21"/>
                <w:szCs w:val="21"/>
              </w:rPr>
              <w:t>2</w:t>
            </w:r>
          </w:p>
          <w:p>
            <w:pPr>
              <w:spacing w:line="240" w:lineRule="exact"/>
              <w:jc w:val="center"/>
              <w:rPr>
                <w:rFonts w:hint="eastAsia" w:ascii="宋体" w:hAnsi="宋体"/>
                <w:sz w:val="21"/>
                <w:szCs w:val="21"/>
              </w:rPr>
            </w:pPr>
            <w:r>
              <w:rPr>
                <w:rFonts w:hint="eastAsia" w:ascii="宋体" w:hAnsi="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22" w:type="dxa"/>
            <w:vAlign w:val="center"/>
          </w:tcPr>
          <w:p>
            <w:pPr>
              <w:spacing w:line="240" w:lineRule="exact"/>
              <w:jc w:val="center"/>
              <w:rPr>
                <w:rFonts w:hint="eastAsia" w:ascii="宋体" w:hAnsi="宋体"/>
                <w:sz w:val="21"/>
                <w:szCs w:val="21"/>
              </w:rPr>
            </w:pPr>
            <w:r>
              <w:rPr>
                <w:rFonts w:hint="eastAsia" w:ascii="宋体" w:hAnsi="宋体"/>
                <w:sz w:val="21"/>
                <w:szCs w:val="21"/>
              </w:rPr>
              <w:t>5</w:t>
            </w:r>
          </w:p>
        </w:tc>
        <w:tc>
          <w:tcPr>
            <w:tcW w:w="3123" w:type="dxa"/>
            <w:vAlign w:val="center"/>
          </w:tcPr>
          <w:p>
            <w:pPr>
              <w:spacing w:line="240" w:lineRule="exact"/>
              <w:jc w:val="center"/>
              <w:rPr>
                <w:rFonts w:hint="eastAsia" w:ascii="宋体" w:hAnsi="宋体"/>
                <w:sz w:val="21"/>
                <w:szCs w:val="21"/>
              </w:rPr>
            </w:pPr>
            <w:r>
              <w:rPr>
                <w:rFonts w:hint="eastAsia" w:ascii="宋体" w:hAnsi="宋体"/>
                <w:sz w:val="21"/>
                <w:szCs w:val="21"/>
              </w:rPr>
              <w:t>水泥磨</w:t>
            </w:r>
          </w:p>
        </w:tc>
        <w:tc>
          <w:tcPr>
            <w:tcW w:w="3155" w:type="dxa"/>
            <w:vAlign w:val="center"/>
          </w:tcPr>
          <w:p>
            <w:pPr>
              <w:spacing w:line="240" w:lineRule="exact"/>
              <w:jc w:val="center"/>
              <w:rPr>
                <w:rFonts w:hint="eastAsia" w:ascii="宋体" w:hAnsi="宋体"/>
                <w:sz w:val="21"/>
                <w:szCs w:val="21"/>
              </w:rPr>
            </w:pPr>
            <w:r>
              <w:rPr>
                <w:rFonts w:ascii="宋体" w:hAnsi="宋体"/>
                <w:sz w:val="21"/>
                <w:szCs w:val="21"/>
              </w:rPr>
              <w:t>MB30130</w:t>
            </w:r>
          </w:p>
        </w:tc>
        <w:tc>
          <w:tcPr>
            <w:tcW w:w="1036" w:type="dxa"/>
            <w:vAlign w:val="center"/>
          </w:tcPr>
          <w:p>
            <w:pPr>
              <w:spacing w:line="240" w:lineRule="exact"/>
              <w:jc w:val="center"/>
              <w:rPr>
                <w:rFonts w:hint="eastAsia" w:ascii="宋体" w:hAnsi="宋体"/>
                <w:sz w:val="21"/>
                <w:szCs w:val="21"/>
              </w:rPr>
            </w:pPr>
            <w:r>
              <w:rPr>
                <w:rFonts w:hint="eastAsia" w:ascii="宋体" w:hAnsi="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922" w:type="dxa"/>
            <w:vAlign w:val="center"/>
          </w:tcPr>
          <w:p>
            <w:pPr>
              <w:spacing w:line="240" w:lineRule="exact"/>
              <w:jc w:val="center"/>
              <w:rPr>
                <w:rFonts w:hint="eastAsia" w:ascii="宋体" w:hAnsi="宋体"/>
                <w:sz w:val="21"/>
                <w:szCs w:val="21"/>
              </w:rPr>
            </w:pPr>
            <w:r>
              <w:rPr>
                <w:rFonts w:hint="eastAsia" w:ascii="宋体" w:hAnsi="宋体"/>
                <w:sz w:val="21"/>
                <w:szCs w:val="21"/>
              </w:rPr>
              <w:t>6</w:t>
            </w:r>
          </w:p>
        </w:tc>
        <w:tc>
          <w:tcPr>
            <w:tcW w:w="3123" w:type="dxa"/>
            <w:vAlign w:val="center"/>
          </w:tcPr>
          <w:p>
            <w:pPr>
              <w:spacing w:line="240" w:lineRule="exact"/>
              <w:jc w:val="center"/>
              <w:rPr>
                <w:rFonts w:hint="eastAsia" w:ascii="宋体" w:hAnsi="宋体"/>
                <w:sz w:val="21"/>
                <w:szCs w:val="21"/>
              </w:rPr>
            </w:pPr>
            <w:r>
              <w:rPr>
                <w:rFonts w:hint="eastAsia" w:ascii="宋体" w:hAnsi="宋体"/>
                <w:sz w:val="21"/>
                <w:szCs w:val="21"/>
              </w:rPr>
              <w:t>水泥包装机</w:t>
            </w:r>
          </w:p>
        </w:tc>
        <w:tc>
          <w:tcPr>
            <w:tcW w:w="3155" w:type="dxa"/>
            <w:vAlign w:val="center"/>
          </w:tcPr>
          <w:p>
            <w:pPr>
              <w:spacing w:line="240" w:lineRule="exact"/>
              <w:jc w:val="center"/>
              <w:rPr>
                <w:rFonts w:hint="eastAsia" w:ascii="宋体" w:hAnsi="宋体"/>
                <w:sz w:val="21"/>
                <w:szCs w:val="21"/>
              </w:rPr>
            </w:pPr>
            <w:r>
              <w:rPr>
                <w:rFonts w:ascii="宋体" w:hAnsi="宋体"/>
                <w:sz w:val="21"/>
                <w:szCs w:val="21"/>
              </w:rPr>
              <w:t>HL-50B</w:t>
            </w:r>
          </w:p>
        </w:tc>
        <w:tc>
          <w:tcPr>
            <w:tcW w:w="1036" w:type="dxa"/>
            <w:vAlign w:val="center"/>
          </w:tcPr>
          <w:p>
            <w:pPr>
              <w:spacing w:line="240" w:lineRule="exact"/>
              <w:jc w:val="center"/>
              <w:rPr>
                <w:rFonts w:hint="eastAsia" w:ascii="宋体" w:hAnsi="宋体"/>
                <w:sz w:val="21"/>
                <w:szCs w:val="21"/>
              </w:rPr>
            </w:pPr>
            <w:r>
              <w:rPr>
                <w:rFonts w:hint="eastAsia" w:ascii="宋体" w:hAnsi="宋体"/>
                <w:sz w:val="21"/>
                <w:szCs w:val="21"/>
              </w:rPr>
              <w:t>3</w:t>
            </w:r>
          </w:p>
        </w:tc>
      </w:tr>
    </w:tbl>
    <w:p>
      <w:pPr>
        <w:spacing w:line="360" w:lineRule="exact"/>
        <w:outlineLvl w:val="1"/>
        <w:rPr>
          <w:rFonts w:hint="eastAsia"/>
          <w:b/>
          <w:szCs w:val="20"/>
        </w:rPr>
      </w:pPr>
      <w:bookmarkStart w:id="58" w:name="_Toc276372224"/>
      <w:bookmarkStart w:id="59" w:name="_Toc202167835"/>
      <w:r>
        <w:rPr>
          <w:rFonts w:hint="eastAsia"/>
          <w:b/>
          <w:szCs w:val="20"/>
        </w:rPr>
        <w:t>2.4 主要原料、燃料消耗及来源</w:t>
      </w:r>
      <w:bookmarkEnd w:id="58"/>
      <w:bookmarkEnd w:id="59"/>
    </w:p>
    <w:p>
      <w:pPr>
        <w:spacing w:line="480" w:lineRule="exact"/>
        <w:ind w:firstLine="420" w:firstLineChars="200"/>
        <w:rPr>
          <w:rFonts w:hint="eastAsia" w:ascii="宋体" w:hAnsi="宋体"/>
        </w:rPr>
      </w:pPr>
      <w:r>
        <w:rPr>
          <w:rFonts w:hint="eastAsia" w:ascii="宋体" w:hAnsi="宋体"/>
        </w:rPr>
        <w:t xml:space="preserve">主要原料、燃料消耗及来源见表2-2。 </w:t>
      </w:r>
    </w:p>
    <w:p>
      <w:pPr>
        <w:spacing w:line="480" w:lineRule="exact"/>
        <w:jc w:val="center"/>
        <w:rPr>
          <w:rFonts w:hint="eastAsia" w:ascii="宋体" w:hAnsi="宋体"/>
          <w:b/>
        </w:rPr>
      </w:pPr>
      <w:r>
        <w:rPr>
          <w:rFonts w:hint="eastAsia" w:ascii="宋体" w:hAnsi="宋体"/>
          <w:b/>
        </w:rPr>
        <w:t>表2-2  主要原料、燃料消耗及来源（万t/a）</w:t>
      </w:r>
    </w:p>
    <w:tbl>
      <w:tblPr>
        <w:tblStyle w:val="21"/>
        <w:tblW w:w="87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2439"/>
        <w:gridCol w:w="1805"/>
        <w:gridCol w:w="3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4" w:type="dxa"/>
            <w:vAlign w:val="center"/>
          </w:tcPr>
          <w:p>
            <w:pPr>
              <w:jc w:val="center"/>
              <w:rPr>
                <w:rFonts w:hint="eastAsia" w:ascii="宋体" w:hAnsi="宋体"/>
                <w:sz w:val="21"/>
                <w:szCs w:val="21"/>
              </w:rPr>
            </w:pPr>
            <w:r>
              <w:rPr>
                <w:rFonts w:hint="eastAsia" w:ascii="宋体" w:hAnsi="宋体"/>
                <w:sz w:val="21"/>
                <w:szCs w:val="21"/>
              </w:rPr>
              <w:t>序号</w:t>
            </w:r>
          </w:p>
        </w:tc>
        <w:tc>
          <w:tcPr>
            <w:tcW w:w="2439" w:type="dxa"/>
            <w:vAlign w:val="center"/>
          </w:tcPr>
          <w:p>
            <w:pPr>
              <w:jc w:val="center"/>
              <w:rPr>
                <w:rFonts w:hint="eastAsia" w:ascii="宋体" w:hAnsi="宋体"/>
                <w:sz w:val="21"/>
                <w:szCs w:val="21"/>
              </w:rPr>
            </w:pPr>
            <w:r>
              <w:rPr>
                <w:rFonts w:hint="eastAsia" w:ascii="宋体" w:hAnsi="宋体"/>
                <w:sz w:val="21"/>
                <w:szCs w:val="21"/>
              </w:rPr>
              <w:t>原料名称</w:t>
            </w:r>
          </w:p>
        </w:tc>
        <w:tc>
          <w:tcPr>
            <w:tcW w:w="1805" w:type="dxa"/>
            <w:vAlign w:val="center"/>
          </w:tcPr>
          <w:p>
            <w:pPr>
              <w:jc w:val="center"/>
              <w:rPr>
                <w:rFonts w:hint="eastAsia" w:ascii="宋体" w:hAnsi="宋体"/>
                <w:sz w:val="21"/>
                <w:szCs w:val="21"/>
              </w:rPr>
            </w:pPr>
            <w:r>
              <w:rPr>
                <w:rFonts w:hint="eastAsia" w:ascii="宋体" w:hAnsi="宋体"/>
                <w:sz w:val="21"/>
                <w:szCs w:val="21"/>
              </w:rPr>
              <w:t>消耗量（万吨）</w:t>
            </w:r>
          </w:p>
        </w:tc>
        <w:tc>
          <w:tcPr>
            <w:tcW w:w="3316" w:type="dxa"/>
            <w:vAlign w:val="center"/>
          </w:tcPr>
          <w:p>
            <w:pPr>
              <w:jc w:val="center"/>
              <w:rPr>
                <w:rFonts w:hint="eastAsia" w:ascii="宋体" w:hAnsi="宋体"/>
                <w:sz w:val="21"/>
                <w:szCs w:val="21"/>
              </w:rPr>
            </w:pPr>
            <w:r>
              <w:rPr>
                <w:rFonts w:hint="eastAsia" w:ascii="宋体" w:hAnsi="宋体"/>
                <w:sz w:val="21"/>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4" w:type="dxa"/>
            <w:vAlign w:val="center"/>
          </w:tcPr>
          <w:p>
            <w:pPr>
              <w:jc w:val="center"/>
              <w:rPr>
                <w:rFonts w:hint="eastAsia" w:ascii="宋体" w:hAnsi="宋体"/>
                <w:sz w:val="21"/>
                <w:szCs w:val="21"/>
              </w:rPr>
            </w:pPr>
            <w:r>
              <w:rPr>
                <w:rFonts w:hint="eastAsia" w:ascii="宋体" w:hAnsi="宋体"/>
                <w:sz w:val="21"/>
                <w:szCs w:val="21"/>
              </w:rPr>
              <w:t>1</w:t>
            </w:r>
          </w:p>
        </w:tc>
        <w:tc>
          <w:tcPr>
            <w:tcW w:w="2439" w:type="dxa"/>
            <w:vAlign w:val="center"/>
          </w:tcPr>
          <w:p>
            <w:pPr>
              <w:jc w:val="center"/>
              <w:rPr>
                <w:rFonts w:hint="eastAsia" w:ascii="宋体" w:hAnsi="宋体"/>
                <w:sz w:val="21"/>
                <w:szCs w:val="21"/>
              </w:rPr>
            </w:pPr>
            <w:r>
              <w:rPr>
                <w:rFonts w:hint="eastAsia" w:ascii="宋体" w:hAnsi="宋体"/>
                <w:sz w:val="21"/>
                <w:szCs w:val="21"/>
              </w:rPr>
              <w:t>石灰石</w:t>
            </w:r>
          </w:p>
        </w:tc>
        <w:tc>
          <w:tcPr>
            <w:tcW w:w="1805" w:type="dxa"/>
            <w:vAlign w:val="center"/>
          </w:tcPr>
          <w:p>
            <w:pPr>
              <w:jc w:val="center"/>
              <w:rPr>
                <w:rFonts w:hint="eastAsia" w:ascii="宋体" w:hAnsi="宋体"/>
                <w:sz w:val="21"/>
                <w:szCs w:val="21"/>
              </w:rPr>
            </w:pPr>
            <w:r>
              <w:rPr>
                <w:rFonts w:hint="eastAsia" w:ascii="宋体" w:hAnsi="宋体"/>
                <w:sz w:val="21"/>
                <w:szCs w:val="21"/>
              </w:rPr>
              <w:t>53.36</w:t>
            </w:r>
          </w:p>
        </w:tc>
        <w:tc>
          <w:tcPr>
            <w:tcW w:w="3316" w:type="dxa"/>
            <w:vAlign w:val="center"/>
          </w:tcPr>
          <w:p>
            <w:pPr>
              <w:jc w:val="center"/>
              <w:rPr>
                <w:rFonts w:hint="eastAsia" w:ascii="宋体" w:hAnsi="宋体"/>
                <w:sz w:val="21"/>
                <w:szCs w:val="21"/>
              </w:rPr>
            </w:pPr>
            <w:r>
              <w:rPr>
                <w:rFonts w:hint="eastAsia" w:ascii="宋体" w:hAnsi="宋体"/>
                <w:sz w:val="21"/>
                <w:szCs w:val="21"/>
              </w:rPr>
              <w:t>壁山县福禄镇富强矿业有限公司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4" w:type="dxa"/>
            <w:vAlign w:val="center"/>
          </w:tcPr>
          <w:p>
            <w:pPr>
              <w:jc w:val="center"/>
              <w:rPr>
                <w:rFonts w:hint="eastAsia" w:ascii="宋体" w:hAnsi="宋体"/>
                <w:sz w:val="21"/>
                <w:szCs w:val="21"/>
              </w:rPr>
            </w:pPr>
            <w:r>
              <w:rPr>
                <w:rFonts w:hint="eastAsia" w:ascii="宋体" w:hAnsi="宋体"/>
                <w:sz w:val="21"/>
                <w:szCs w:val="21"/>
              </w:rPr>
              <w:t>2</w:t>
            </w:r>
          </w:p>
        </w:tc>
        <w:tc>
          <w:tcPr>
            <w:tcW w:w="2439" w:type="dxa"/>
            <w:vAlign w:val="center"/>
          </w:tcPr>
          <w:p>
            <w:pPr>
              <w:jc w:val="center"/>
              <w:rPr>
                <w:rFonts w:hint="eastAsia" w:ascii="宋体" w:hAnsi="宋体"/>
                <w:sz w:val="21"/>
                <w:szCs w:val="21"/>
              </w:rPr>
            </w:pPr>
            <w:r>
              <w:rPr>
                <w:rFonts w:hint="eastAsia" w:ascii="宋体" w:hAnsi="宋体"/>
                <w:sz w:val="21"/>
                <w:szCs w:val="21"/>
              </w:rPr>
              <w:t>煤矸石</w:t>
            </w:r>
          </w:p>
        </w:tc>
        <w:tc>
          <w:tcPr>
            <w:tcW w:w="1805" w:type="dxa"/>
            <w:vAlign w:val="center"/>
          </w:tcPr>
          <w:p>
            <w:pPr>
              <w:jc w:val="center"/>
              <w:rPr>
                <w:rFonts w:hint="eastAsia" w:ascii="宋体" w:hAnsi="宋体"/>
                <w:sz w:val="21"/>
                <w:szCs w:val="21"/>
              </w:rPr>
            </w:pPr>
            <w:r>
              <w:rPr>
                <w:rFonts w:hint="eastAsia" w:ascii="宋体" w:hAnsi="宋体"/>
                <w:sz w:val="21"/>
                <w:szCs w:val="21"/>
              </w:rPr>
              <w:t>4.16</w:t>
            </w:r>
          </w:p>
        </w:tc>
        <w:tc>
          <w:tcPr>
            <w:tcW w:w="3316" w:type="dxa"/>
            <w:vAlign w:val="center"/>
          </w:tcPr>
          <w:p>
            <w:pPr>
              <w:jc w:val="center"/>
              <w:rPr>
                <w:rFonts w:hint="eastAsia" w:ascii="宋体" w:hAnsi="宋体"/>
                <w:sz w:val="21"/>
                <w:szCs w:val="21"/>
              </w:rPr>
            </w:pPr>
            <w:r>
              <w:rPr>
                <w:rFonts w:hint="eastAsia" w:ascii="宋体" w:hAnsi="宋体"/>
                <w:sz w:val="21"/>
                <w:szCs w:val="21"/>
              </w:rPr>
              <w:t>重庆永荣青鹏煤业有限公司煤矿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4" w:type="dxa"/>
            <w:vAlign w:val="center"/>
          </w:tcPr>
          <w:p>
            <w:pPr>
              <w:jc w:val="center"/>
              <w:rPr>
                <w:rFonts w:hint="eastAsia" w:ascii="宋体" w:hAnsi="宋体"/>
                <w:sz w:val="21"/>
                <w:szCs w:val="21"/>
              </w:rPr>
            </w:pPr>
            <w:r>
              <w:rPr>
                <w:rFonts w:hint="eastAsia" w:ascii="宋体" w:hAnsi="宋体"/>
                <w:sz w:val="21"/>
                <w:szCs w:val="21"/>
              </w:rPr>
              <w:t>3</w:t>
            </w:r>
          </w:p>
        </w:tc>
        <w:tc>
          <w:tcPr>
            <w:tcW w:w="2439" w:type="dxa"/>
            <w:vAlign w:val="center"/>
          </w:tcPr>
          <w:p>
            <w:pPr>
              <w:jc w:val="center"/>
              <w:rPr>
                <w:rFonts w:hint="eastAsia" w:ascii="宋体" w:hAnsi="宋体"/>
                <w:sz w:val="21"/>
                <w:szCs w:val="21"/>
              </w:rPr>
            </w:pPr>
            <w:r>
              <w:rPr>
                <w:rFonts w:hint="eastAsia" w:ascii="宋体" w:hAnsi="宋体"/>
                <w:sz w:val="21"/>
                <w:szCs w:val="21"/>
              </w:rPr>
              <w:t>磷矿渣</w:t>
            </w:r>
          </w:p>
        </w:tc>
        <w:tc>
          <w:tcPr>
            <w:tcW w:w="1805" w:type="dxa"/>
            <w:vAlign w:val="center"/>
          </w:tcPr>
          <w:p>
            <w:pPr>
              <w:jc w:val="center"/>
              <w:rPr>
                <w:rFonts w:hint="eastAsia" w:ascii="宋体" w:hAnsi="宋体"/>
                <w:sz w:val="21"/>
                <w:szCs w:val="21"/>
              </w:rPr>
            </w:pPr>
            <w:r>
              <w:rPr>
                <w:rFonts w:hint="eastAsia" w:ascii="宋体" w:hAnsi="宋体"/>
                <w:sz w:val="21"/>
                <w:szCs w:val="21"/>
              </w:rPr>
              <w:t>2.08</w:t>
            </w:r>
          </w:p>
        </w:tc>
        <w:tc>
          <w:tcPr>
            <w:tcW w:w="3316" w:type="dxa"/>
            <w:vAlign w:val="center"/>
          </w:tcPr>
          <w:p>
            <w:pPr>
              <w:jc w:val="center"/>
              <w:rPr>
                <w:rFonts w:hint="eastAsia" w:ascii="宋体" w:hAnsi="宋体"/>
                <w:sz w:val="21"/>
                <w:szCs w:val="21"/>
              </w:rPr>
            </w:pPr>
            <w:r>
              <w:rPr>
                <w:rFonts w:hint="eastAsia" w:ascii="宋体" w:hAnsi="宋体"/>
                <w:sz w:val="21"/>
                <w:szCs w:val="21"/>
              </w:rPr>
              <w:t>贵州息峰化工厂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4" w:type="dxa"/>
            <w:vAlign w:val="center"/>
          </w:tcPr>
          <w:p>
            <w:pPr>
              <w:jc w:val="center"/>
              <w:rPr>
                <w:rFonts w:hint="eastAsia" w:ascii="宋体" w:hAnsi="宋体"/>
                <w:sz w:val="21"/>
                <w:szCs w:val="21"/>
              </w:rPr>
            </w:pPr>
            <w:r>
              <w:rPr>
                <w:rFonts w:hint="eastAsia" w:ascii="宋体" w:hAnsi="宋体"/>
                <w:sz w:val="21"/>
                <w:szCs w:val="21"/>
              </w:rPr>
              <w:t>4</w:t>
            </w:r>
          </w:p>
        </w:tc>
        <w:tc>
          <w:tcPr>
            <w:tcW w:w="2439" w:type="dxa"/>
            <w:vAlign w:val="center"/>
          </w:tcPr>
          <w:p>
            <w:pPr>
              <w:jc w:val="center"/>
              <w:rPr>
                <w:rFonts w:hint="eastAsia" w:ascii="宋体" w:hAnsi="宋体"/>
                <w:sz w:val="21"/>
                <w:szCs w:val="21"/>
              </w:rPr>
            </w:pPr>
            <w:r>
              <w:rPr>
                <w:rFonts w:hint="eastAsia" w:ascii="宋体" w:hAnsi="宋体"/>
                <w:sz w:val="21"/>
                <w:szCs w:val="21"/>
              </w:rPr>
              <w:t>石膏</w:t>
            </w:r>
          </w:p>
        </w:tc>
        <w:tc>
          <w:tcPr>
            <w:tcW w:w="1805" w:type="dxa"/>
            <w:vAlign w:val="center"/>
          </w:tcPr>
          <w:p>
            <w:pPr>
              <w:jc w:val="center"/>
              <w:rPr>
                <w:rFonts w:hint="eastAsia" w:ascii="宋体" w:hAnsi="宋体"/>
                <w:sz w:val="21"/>
                <w:szCs w:val="21"/>
              </w:rPr>
            </w:pPr>
            <w:r>
              <w:rPr>
                <w:rFonts w:hint="eastAsia" w:ascii="宋体" w:hAnsi="宋体"/>
                <w:sz w:val="21"/>
                <w:szCs w:val="21"/>
              </w:rPr>
              <w:t>1.2</w:t>
            </w:r>
          </w:p>
        </w:tc>
        <w:tc>
          <w:tcPr>
            <w:tcW w:w="3316" w:type="dxa"/>
            <w:vAlign w:val="center"/>
          </w:tcPr>
          <w:p>
            <w:pPr>
              <w:jc w:val="center"/>
              <w:rPr>
                <w:rFonts w:hint="eastAsia" w:ascii="宋体" w:hAnsi="宋体"/>
                <w:sz w:val="21"/>
                <w:szCs w:val="21"/>
              </w:rPr>
            </w:pPr>
            <w:r>
              <w:rPr>
                <w:rFonts w:hint="eastAsia" w:ascii="宋体" w:hAnsi="宋体"/>
                <w:sz w:val="21"/>
                <w:szCs w:val="21"/>
              </w:rPr>
              <w:t>重庆市江北特种建材有限公司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4" w:type="dxa"/>
            <w:vAlign w:val="center"/>
          </w:tcPr>
          <w:p>
            <w:pPr>
              <w:jc w:val="center"/>
              <w:rPr>
                <w:rFonts w:hint="eastAsia" w:ascii="宋体" w:hAnsi="宋体"/>
                <w:sz w:val="21"/>
                <w:szCs w:val="21"/>
              </w:rPr>
            </w:pPr>
            <w:r>
              <w:rPr>
                <w:rFonts w:hint="eastAsia" w:ascii="宋体" w:hAnsi="宋体"/>
                <w:sz w:val="21"/>
                <w:szCs w:val="21"/>
              </w:rPr>
              <w:t>5</w:t>
            </w:r>
          </w:p>
        </w:tc>
        <w:tc>
          <w:tcPr>
            <w:tcW w:w="2439" w:type="dxa"/>
            <w:vAlign w:val="center"/>
          </w:tcPr>
          <w:p>
            <w:pPr>
              <w:jc w:val="center"/>
              <w:rPr>
                <w:rFonts w:hint="eastAsia" w:ascii="宋体" w:hAnsi="宋体"/>
                <w:sz w:val="21"/>
                <w:szCs w:val="21"/>
              </w:rPr>
            </w:pPr>
            <w:r>
              <w:rPr>
                <w:rFonts w:hint="eastAsia" w:ascii="宋体" w:hAnsi="宋体"/>
                <w:sz w:val="21"/>
                <w:szCs w:val="21"/>
              </w:rPr>
              <w:t>冶炼废渣</w:t>
            </w:r>
          </w:p>
        </w:tc>
        <w:tc>
          <w:tcPr>
            <w:tcW w:w="1805" w:type="dxa"/>
            <w:vAlign w:val="center"/>
          </w:tcPr>
          <w:p>
            <w:pPr>
              <w:jc w:val="center"/>
              <w:rPr>
                <w:rFonts w:hint="eastAsia" w:ascii="宋体" w:hAnsi="宋体"/>
                <w:sz w:val="21"/>
                <w:szCs w:val="21"/>
              </w:rPr>
            </w:pPr>
            <w:r>
              <w:rPr>
                <w:rFonts w:hint="eastAsia" w:ascii="宋体" w:hAnsi="宋体"/>
                <w:sz w:val="21"/>
                <w:szCs w:val="21"/>
              </w:rPr>
              <w:t>1.4</w:t>
            </w:r>
          </w:p>
        </w:tc>
        <w:tc>
          <w:tcPr>
            <w:tcW w:w="3316" w:type="dxa"/>
            <w:vAlign w:val="center"/>
          </w:tcPr>
          <w:p>
            <w:pPr>
              <w:jc w:val="center"/>
              <w:rPr>
                <w:rFonts w:hint="eastAsia" w:ascii="宋体" w:hAnsi="宋体"/>
                <w:sz w:val="21"/>
                <w:szCs w:val="21"/>
              </w:rPr>
            </w:pPr>
            <w:r>
              <w:rPr>
                <w:rFonts w:hint="eastAsia" w:ascii="宋体" w:hAnsi="宋体"/>
                <w:sz w:val="21"/>
                <w:szCs w:val="21"/>
              </w:rPr>
              <w:t>璧山顺泰贸易公司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4" w:type="dxa"/>
            <w:vAlign w:val="center"/>
          </w:tcPr>
          <w:p>
            <w:pPr>
              <w:jc w:val="center"/>
              <w:rPr>
                <w:rFonts w:hint="eastAsia" w:ascii="宋体" w:hAnsi="宋体"/>
                <w:sz w:val="21"/>
                <w:szCs w:val="21"/>
              </w:rPr>
            </w:pPr>
            <w:r>
              <w:rPr>
                <w:rFonts w:hint="eastAsia" w:ascii="宋体" w:hAnsi="宋体"/>
                <w:sz w:val="21"/>
                <w:szCs w:val="21"/>
              </w:rPr>
              <w:t>6</w:t>
            </w:r>
          </w:p>
        </w:tc>
        <w:tc>
          <w:tcPr>
            <w:tcW w:w="2439" w:type="dxa"/>
            <w:vAlign w:val="center"/>
          </w:tcPr>
          <w:p>
            <w:pPr>
              <w:jc w:val="center"/>
              <w:rPr>
                <w:rFonts w:hint="eastAsia" w:ascii="宋体" w:hAnsi="宋体"/>
                <w:sz w:val="21"/>
                <w:szCs w:val="21"/>
              </w:rPr>
            </w:pPr>
            <w:r>
              <w:rPr>
                <w:rFonts w:hint="eastAsia" w:ascii="宋体" w:hAnsi="宋体"/>
                <w:sz w:val="21"/>
                <w:szCs w:val="21"/>
              </w:rPr>
              <w:t>粉煤灰</w:t>
            </w:r>
          </w:p>
        </w:tc>
        <w:tc>
          <w:tcPr>
            <w:tcW w:w="1805" w:type="dxa"/>
            <w:vAlign w:val="center"/>
          </w:tcPr>
          <w:p>
            <w:pPr>
              <w:jc w:val="center"/>
              <w:rPr>
                <w:rFonts w:hint="eastAsia" w:ascii="宋体" w:hAnsi="宋体"/>
                <w:sz w:val="21"/>
                <w:szCs w:val="21"/>
              </w:rPr>
            </w:pPr>
            <w:r>
              <w:rPr>
                <w:rFonts w:hint="eastAsia" w:ascii="宋体" w:hAnsi="宋体"/>
                <w:sz w:val="21"/>
                <w:szCs w:val="21"/>
              </w:rPr>
              <w:t>18</w:t>
            </w:r>
          </w:p>
        </w:tc>
        <w:tc>
          <w:tcPr>
            <w:tcW w:w="3316" w:type="dxa"/>
            <w:vAlign w:val="center"/>
          </w:tcPr>
          <w:p>
            <w:pPr>
              <w:jc w:val="center"/>
              <w:rPr>
                <w:rFonts w:hint="eastAsia" w:ascii="宋体" w:hAnsi="宋体"/>
                <w:sz w:val="21"/>
                <w:szCs w:val="21"/>
              </w:rPr>
            </w:pPr>
            <w:r>
              <w:rPr>
                <w:rFonts w:hint="eastAsia" w:ascii="宋体" w:hAnsi="宋体"/>
                <w:sz w:val="21"/>
                <w:szCs w:val="21"/>
              </w:rPr>
              <w:t>璧山顺泰贸易公司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4" w:type="dxa"/>
            <w:vAlign w:val="center"/>
          </w:tcPr>
          <w:p>
            <w:pPr>
              <w:jc w:val="center"/>
              <w:rPr>
                <w:rFonts w:hint="eastAsia" w:ascii="宋体" w:hAnsi="宋体"/>
                <w:sz w:val="21"/>
                <w:szCs w:val="21"/>
              </w:rPr>
            </w:pPr>
            <w:r>
              <w:rPr>
                <w:rFonts w:hint="eastAsia" w:ascii="宋体" w:hAnsi="宋体"/>
                <w:sz w:val="21"/>
                <w:szCs w:val="21"/>
              </w:rPr>
              <w:t>7</w:t>
            </w:r>
          </w:p>
        </w:tc>
        <w:tc>
          <w:tcPr>
            <w:tcW w:w="2439" w:type="dxa"/>
            <w:vAlign w:val="center"/>
          </w:tcPr>
          <w:p>
            <w:pPr>
              <w:jc w:val="center"/>
              <w:rPr>
                <w:rFonts w:hint="eastAsia" w:ascii="宋体" w:hAnsi="宋体"/>
                <w:sz w:val="21"/>
                <w:szCs w:val="21"/>
              </w:rPr>
            </w:pPr>
            <w:r>
              <w:rPr>
                <w:rFonts w:hint="eastAsia" w:ascii="宋体" w:hAnsi="宋体"/>
                <w:sz w:val="21"/>
                <w:szCs w:val="21"/>
              </w:rPr>
              <w:t>煤</w:t>
            </w:r>
          </w:p>
        </w:tc>
        <w:tc>
          <w:tcPr>
            <w:tcW w:w="1805" w:type="dxa"/>
            <w:vAlign w:val="center"/>
          </w:tcPr>
          <w:p>
            <w:pPr>
              <w:jc w:val="center"/>
              <w:rPr>
                <w:rFonts w:hint="eastAsia" w:ascii="宋体" w:hAnsi="宋体"/>
                <w:sz w:val="21"/>
                <w:szCs w:val="21"/>
              </w:rPr>
            </w:pPr>
            <w:r>
              <w:rPr>
                <w:rFonts w:hint="eastAsia" w:ascii="宋体" w:hAnsi="宋体"/>
                <w:sz w:val="21"/>
                <w:szCs w:val="21"/>
              </w:rPr>
              <w:t>8.3</w:t>
            </w:r>
          </w:p>
        </w:tc>
        <w:tc>
          <w:tcPr>
            <w:tcW w:w="3316" w:type="dxa"/>
            <w:vAlign w:val="center"/>
          </w:tcPr>
          <w:p>
            <w:pPr>
              <w:jc w:val="center"/>
              <w:rPr>
                <w:rFonts w:hint="eastAsia" w:ascii="宋体" w:hAnsi="宋体"/>
                <w:sz w:val="21"/>
                <w:szCs w:val="21"/>
              </w:rPr>
            </w:pPr>
            <w:r>
              <w:rPr>
                <w:rFonts w:hint="eastAsia" w:ascii="宋体" w:hAnsi="宋体"/>
                <w:sz w:val="21"/>
                <w:szCs w:val="21"/>
              </w:rPr>
              <w:t>合川三汇坝</w:t>
            </w:r>
          </w:p>
        </w:tc>
      </w:tr>
    </w:tbl>
    <w:p>
      <w:pPr>
        <w:rPr>
          <w:rFonts w:hint="eastAsia"/>
        </w:rPr>
      </w:pPr>
    </w:p>
    <w:p>
      <w:pPr>
        <w:spacing w:line="360" w:lineRule="auto"/>
        <w:outlineLvl w:val="1"/>
        <w:rPr>
          <w:rFonts w:hint="eastAsia"/>
          <w:b/>
          <w:szCs w:val="20"/>
        </w:rPr>
      </w:pPr>
      <w:bookmarkStart w:id="60" w:name="_Toc202167836"/>
      <w:bookmarkStart w:id="61" w:name="_Toc276372225"/>
      <w:r>
        <w:rPr>
          <w:rFonts w:hint="eastAsia"/>
          <w:b/>
          <w:szCs w:val="20"/>
        </w:rPr>
        <w:t>2.5 公用工程</w:t>
      </w:r>
      <w:bookmarkEnd w:id="60"/>
      <w:bookmarkEnd w:id="61"/>
    </w:p>
    <w:p>
      <w:pPr>
        <w:spacing w:line="360" w:lineRule="auto"/>
        <w:ind w:firstLine="420" w:firstLineChars="200"/>
        <w:rPr>
          <w:rFonts w:hint="eastAsia" w:ascii="宋体" w:hAnsi="宋体"/>
        </w:rPr>
      </w:pPr>
      <w:r>
        <w:rPr>
          <w:rFonts w:hint="eastAsia" w:ascii="宋体" w:hAnsi="宋体"/>
        </w:rPr>
        <w:t>（1）水源及用水量</w:t>
      </w:r>
    </w:p>
    <w:p>
      <w:pPr>
        <w:spacing w:line="360" w:lineRule="auto"/>
        <w:ind w:firstLine="420" w:firstLineChars="200"/>
        <w:rPr>
          <w:rFonts w:hint="eastAsia" w:ascii="宋体" w:hAnsi="宋体"/>
        </w:rPr>
      </w:pPr>
      <w:r>
        <w:rPr>
          <w:rFonts w:hint="eastAsia" w:ascii="宋体" w:hAnsi="宋体"/>
        </w:rPr>
        <w:t>重庆永荣青鹏煤业有限公司水泥厂水源来自本公司煤矿井下排水，现有水泥厂总用水量700.00m</w:t>
      </w:r>
      <w:r>
        <w:rPr>
          <w:rFonts w:hint="eastAsia" w:ascii="宋体" w:hAnsi="宋体"/>
          <w:vertAlign w:val="superscript"/>
        </w:rPr>
        <w:t>3</w:t>
      </w:r>
      <w:r>
        <w:rPr>
          <w:rFonts w:hint="eastAsia" w:ascii="宋体" w:hAnsi="宋体"/>
        </w:rPr>
        <w:t>/d。</w:t>
      </w:r>
    </w:p>
    <w:p>
      <w:pPr>
        <w:spacing w:line="360" w:lineRule="auto"/>
        <w:ind w:firstLine="420" w:firstLineChars="200"/>
        <w:rPr>
          <w:rFonts w:hint="eastAsia" w:ascii="宋体" w:hAnsi="宋体"/>
        </w:rPr>
      </w:pPr>
      <w:r>
        <w:rPr>
          <w:rFonts w:hint="eastAsia" w:ascii="宋体" w:hAnsi="宋体"/>
        </w:rPr>
        <w:t>（2）排水方案</w:t>
      </w:r>
    </w:p>
    <w:p>
      <w:pPr>
        <w:spacing w:line="360" w:lineRule="auto"/>
        <w:ind w:firstLine="420" w:firstLineChars="200"/>
        <w:rPr>
          <w:rFonts w:hint="eastAsia" w:ascii="宋体" w:hAnsi="宋体"/>
        </w:rPr>
      </w:pPr>
      <w:r>
        <w:rPr>
          <w:rFonts w:hint="eastAsia" w:ascii="宋体" w:hAnsi="宋体"/>
        </w:rPr>
        <w:t>重庆永荣青鹏煤业有限公司现有水泥厂采用雨、污合流排水系统，废水主要为厂区生活污水和化验室废水，产生量约为58t/d，未经治理，直接排入北侧无名溪沟经玉石桥河最终汇入梁滩河。</w:t>
      </w:r>
    </w:p>
    <w:p>
      <w:pPr>
        <w:spacing w:line="360" w:lineRule="auto"/>
        <w:ind w:firstLine="420" w:firstLineChars="200"/>
        <w:rPr>
          <w:rFonts w:hint="eastAsia" w:ascii="宋体" w:hAnsi="宋体"/>
        </w:rPr>
      </w:pPr>
      <w:r>
        <w:rPr>
          <w:rFonts w:hint="eastAsia" w:ascii="宋体" w:hAnsi="宋体"/>
        </w:rPr>
        <w:t>（3）供电、耗电</w:t>
      </w:r>
    </w:p>
    <w:p>
      <w:pPr>
        <w:spacing w:line="360" w:lineRule="auto"/>
        <w:ind w:firstLine="420" w:firstLineChars="200"/>
        <w:rPr>
          <w:rFonts w:hint="eastAsia" w:ascii="宋体" w:hAnsi="宋体"/>
        </w:rPr>
      </w:pPr>
      <w:r>
        <w:rPr>
          <w:rFonts w:hint="eastAsia" w:ascii="宋体" w:hAnsi="宋体"/>
        </w:rPr>
        <w:t>重庆永荣青鹏煤业有限公司水泥厂现有电源来自青煤线和凤煤线，全年耗电量约为3400万度。</w:t>
      </w:r>
    </w:p>
    <w:p>
      <w:pPr>
        <w:spacing w:line="360" w:lineRule="auto"/>
        <w:ind w:firstLine="420" w:firstLineChars="200"/>
        <w:rPr>
          <w:rFonts w:hint="eastAsia" w:ascii="宋体" w:hAnsi="宋体"/>
        </w:rPr>
      </w:pPr>
      <w:r>
        <w:rPr>
          <w:rFonts w:hint="eastAsia" w:ascii="宋体" w:hAnsi="宋体"/>
        </w:rPr>
        <w:t>（4）压缩空气</w:t>
      </w:r>
    </w:p>
    <w:p>
      <w:pPr>
        <w:spacing w:line="360" w:lineRule="auto"/>
        <w:ind w:firstLine="420" w:firstLineChars="200"/>
        <w:rPr>
          <w:rFonts w:hint="eastAsia" w:ascii="宋体" w:hAnsi="宋体"/>
        </w:rPr>
      </w:pPr>
      <w:r>
        <w:rPr>
          <w:rFonts w:hint="eastAsia" w:ascii="宋体" w:hAnsi="宋体"/>
        </w:rPr>
        <w:t>重庆永荣青鹏煤业有限公司水泥厂现有空压站1座，设W-0.9型空压机6台。</w:t>
      </w:r>
    </w:p>
    <w:p>
      <w:pPr>
        <w:spacing w:line="360" w:lineRule="auto"/>
        <w:outlineLvl w:val="1"/>
        <w:rPr>
          <w:rFonts w:hint="eastAsia"/>
          <w:b/>
          <w:szCs w:val="20"/>
        </w:rPr>
      </w:pPr>
      <w:bookmarkStart w:id="62" w:name="_Toc202167837"/>
      <w:bookmarkStart w:id="63" w:name="_Toc276372226"/>
      <w:r>
        <w:rPr>
          <w:rFonts w:hint="eastAsia"/>
          <w:b/>
          <w:szCs w:val="20"/>
        </w:rPr>
        <w:t>2.6 生产工艺</w:t>
      </w:r>
      <w:bookmarkEnd w:id="62"/>
      <w:bookmarkEnd w:id="63"/>
    </w:p>
    <w:p>
      <w:pPr>
        <w:spacing w:line="360" w:lineRule="auto"/>
        <w:ind w:firstLine="420" w:firstLineChars="200"/>
        <w:rPr>
          <w:rFonts w:hint="eastAsia" w:ascii="宋体" w:hAnsi="宋体"/>
        </w:rPr>
      </w:pPr>
      <w:r>
        <w:rPr>
          <w:rFonts w:hint="eastAsia" w:ascii="宋体" w:hAnsi="宋体"/>
        </w:rPr>
        <w:t>重庆永荣青鹏煤业有限公司水泥厂现拥有二条φ3</w:t>
      </w:r>
      <w:r>
        <w:rPr>
          <w:rFonts w:ascii="宋体" w:hAnsi="宋体"/>
        </w:rPr>
        <w:t>.0m</w:t>
      </w:r>
      <w:r>
        <w:rPr>
          <w:rFonts w:hint="eastAsia" w:ascii="宋体" w:hAnsi="宋体"/>
        </w:rPr>
        <w:t>和二条φ3</w:t>
      </w:r>
      <w:r>
        <w:rPr>
          <w:rFonts w:ascii="宋体" w:hAnsi="宋体"/>
        </w:rPr>
        <w:t>.</w:t>
      </w:r>
      <w:r>
        <w:rPr>
          <w:rFonts w:hint="eastAsia" w:ascii="宋体" w:hAnsi="宋体"/>
        </w:rPr>
        <w:t>2</w:t>
      </w:r>
      <w:r>
        <w:rPr>
          <w:rFonts w:ascii="宋体" w:hAnsi="宋体"/>
        </w:rPr>
        <w:t>m</w:t>
      </w:r>
      <w:r>
        <w:rPr>
          <w:rFonts w:hint="eastAsia" w:ascii="宋体" w:hAnsi="宋体"/>
        </w:rPr>
        <w:t>机立窑水泥生产线，其生产工艺流程及主要排污环节分别见图2.2。</w:t>
      </w:r>
    </w:p>
    <w:p>
      <w:pPr>
        <w:spacing w:line="360" w:lineRule="auto"/>
        <w:ind w:firstLine="200"/>
        <w:rPr>
          <w:rFonts w:hint="eastAsia" w:ascii="宋体" w:hAnsi="宋体"/>
        </w:rPr>
      </w:pPr>
    </w:p>
    <w:p>
      <w:pPr>
        <w:spacing w:line="360" w:lineRule="auto"/>
        <w:ind w:firstLine="471"/>
        <w:rPr>
          <w:rFonts w:hint="eastAsia" w:ascii="宋体" w:hAnsi="宋体"/>
        </w:rPr>
      </w:pPr>
    </w:p>
    <w:p>
      <w:pPr>
        <w:spacing w:line="480" w:lineRule="exact"/>
        <w:ind w:firstLine="471"/>
        <w:rPr>
          <w:rFonts w:hint="eastAsia" w:ascii="宋体" w:hAnsi="宋体"/>
        </w:rPr>
      </w:pPr>
    </w:p>
    <w:p>
      <w:pPr>
        <w:spacing w:line="480" w:lineRule="exact"/>
        <w:ind w:firstLine="471"/>
        <w:rPr>
          <w:rFonts w:hint="eastAsia" w:ascii="宋体" w:hAnsi="宋体"/>
        </w:rPr>
      </w:pPr>
    </w:p>
    <w:p>
      <w:pPr>
        <w:spacing w:line="480" w:lineRule="exact"/>
        <w:ind w:firstLine="471"/>
        <w:rPr>
          <w:rFonts w:hint="eastAsia" w:ascii="宋体" w:hAnsi="宋体"/>
        </w:rPr>
      </w:pPr>
    </w:p>
    <w:p>
      <w:pPr>
        <w:spacing w:line="480" w:lineRule="exact"/>
        <w:ind w:firstLine="471"/>
        <w:rPr>
          <w:rFonts w:hint="eastAsia" w:ascii="宋体" w:hAnsi="宋体"/>
        </w:rPr>
      </w:pPr>
    </w:p>
    <w:p>
      <w:pPr>
        <w:spacing w:line="480" w:lineRule="exact"/>
        <w:ind w:firstLine="471"/>
        <w:rPr>
          <w:rFonts w:hint="eastAsia" w:ascii="宋体" w:hAnsi="宋体"/>
        </w:rPr>
      </w:pPr>
    </w:p>
    <w:p>
      <w:pPr>
        <w:spacing w:line="480" w:lineRule="exact"/>
        <w:ind w:firstLine="471"/>
        <w:rPr>
          <w:rFonts w:hint="eastAsia" w:ascii="宋体" w:hAnsi="宋体"/>
        </w:rPr>
      </w:pPr>
      <w:r>
        <w:rPr>
          <w:rFonts w:hint="eastAsia" w:ascii="宋体" w:hAnsi="宋体"/>
        </w:rPr>
        <mc:AlternateContent>
          <mc:Choice Requires="wps">
            <w:drawing>
              <wp:anchor distT="0" distB="0" distL="114300" distR="114300" simplePos="0" relativeHeight="251794432" behindDoc="0" locked="0" layoutInCell="1" allowOverlap="1">
                <wp:simplePos x="0" y="0"/>
                <wp:positionH relativeFrom="column">
                  <wp:posOffset>168910</wp:posOffset>
                </wp:positionH>
                <wp:positionV relativeFrom="paragraph">
                  <wp:posOffset>245745</wp:posOffset>
                </wp:positionV>
                <wp:extent cx="615315" cy="297180"/>
                <wp:effectExtent l="5080" t="4445" r="8255" b="22225"/>
                <wp:wrapNone/>
                <wp:docPr id="19" name="矩形 19"/>
                <wp:cNvGraphicFramePr/>
                <a:graphic xmlns:a="http://schemas.openxmlformats.org/drawingml/2006/main">
                  <a:graphicData uri="http://schemas.microsoft.com/office/word/2010/wordprocessingShape">
                    <wps:wsp>
                      <wps:cNvSpPr/>
                      <wps:spPr>
                        <a:xfrm>
                          <a:off x="0" y="0"/>
                          <a:ext cx="61531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石灰石</w:t>
                            </w:r>
                          </w:p>
                        </w:txbxContent>
                      </wps:txbx>
                      <wps:bodyPr upright="1"/>
                    </wps:wsp>
                  </a:graphicData>
                </a:graphic>
              </wp:anchor>
            </w:drawing>
          </mc:Choice>
          <mc:Fallback>
            <w:pict>
              <v:rect id="_x0000_s1026" o:spid="_x0000_s1026" o:spt="1" style="position:absolute;left:0pt;margin-left:13.3pt;margin-top:19.35pt;height:23.4pt;width:48.45pt;z-index:251794432;mso-width-relative:page;mso-height-relative:page;" fillcolor="#FFFFFF" filled="t" stroked="t" coordsize="21600,21600" o:gfxdata="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avJ&#10;X9cAAAAIAQAADwAAAAAAAAABACAAAAAiAAAAZHJzL2Rvd25yZXYueG1sUEsBAhQAFAAAAAgAh07i&#10;QH0vzEXqAQAA3AMAAA4AAAAAAAAAAQAgAAAAJgEAAGRycy9lMm9Eb2MueG1sUEsFBgAAAAAGAAYA&#10;WQEAAIIFAAAAAA==&#10;">
                <v:fill on="t" focussize="0,0"/>
                <v:stroke color="#000000" joinstyle="miter"/>
                <v:imagedata o:title=""/>
                <o:lock v:ext="edit" aspectratio="f"/>
                <v:textbox>
                  <w:txbxContent>
                    <w:p>
                      <w:pPr>
                        <w:rPr>
                          <w:rFonts w:hint="eastAsia"/>
                          <w:sz w:val="21"/>
                          <w:szCs w:val="21"/>
                        </w:rPr>
                      </w:pPr>
                      <w:r>
                        <w:rPr>
                          <w:rFonts w:hint="eastAsia"/>
                          <w:sz w:val="21"/>
                          <w:szCs w:val="21"/>
                        </w:rPr>
                        <w:t>石灰石</w:t>
                      </w:r>
                    </w:p>
                  </w:txbxContent>
                </v:textbox>
              </v:rect>
            </w:pict>
          </mc:Fallback>
        </mc:AlternateContent>
      </w:r>
      <w:r>
        <w:rPr>
          <w:rFonts w:hint="eastAsia" w:ascii="宋体" w:hAnsi="宋体"/>
        </w:rPr>
        <mc:AlternateContent>
          <mc:Choice Requires="wps">
            <w:drawing>
              <wp:anchor distT="0" distB="0" distL="114300" distR="114300" simplePos="0" relativeHeight="251795456" behindDoc="0" locked="0" layoutInCell="1" allowOverlap="1">
                <wp:simplePos x="0" y="0"/>
                <wp:positionH relativeFrom="column">
                  <wp:posOffset>1371600</wp:posOffset>
                </wp:positionH>
                <wp:positionV relativeFrom="paragraph">
                  <wp:posOffset>274320</wp:posOffset>
                </wp:positionV>
                <wp:extent cx="633730" cy="297180"/>
                <wp:effectExtent l="5080" t="4445" r="8890" b="22225"/>
                <wp:wrapNone/>
                <wp:docPr id="14" name="矩形 14"/>
                <wp:cNvGraphicFramePr/>
                <a:graphic xmlns:a="http://schemas.openxmlformats.org/drawingml/2006/main">
                  <a:graphicData uri="http://schemas.microsoft.com/office/word/2010/wordprocessingShape">
                    <wps:wsp>
                      <wps:cNvSpPr/>
                      <wps:spPr>
                        <a:xfrm>
                          <a:off x="0" y="0"/>
                          <a:ext cx="63373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煤矸石</w:t>
                            </w:r>
                          </w:p>
                        </w:txbxContent>
                      </wps:txbx>
                      <wps:bodyPr upright="1"/>
                    </wps:wsp>
                  </a:graphicData>
                </a:graphic>
              </wp:anchor>
            </w:drawing>
          </mc:Choice>
          <mc:Fallback>
            <w:pict>
              <v:rect id="_x0000_s1026" o:spid="_x0000_s1026" o:spt="1" style="position:absolute;left:0pt;margin-left:108pt;margin-top:21.6pt;height:23.4pt;width:49.9pt;z-index:251795456;mso-width-relative:page;mso-height-relative:page;" fillcolor="#FFFFFF" filled="t" stroked="t" coordsize="21600,21600" o:gfxdata="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s2m&#10;BNcAAAAJAQAADwAAAAAAAAABACAAAAAiAAAAZHJzL2Rvd25yZXYueG1sUEsBAhQAFAAAAAgAh07i&#10;QHDb0lLqAQAA3AMAAA4AAAAAAAAAAQAgAAAAJgEAAGRycy9lMm9Eb2MueG1sUEsFBgAAAAAGAAYA&#10;WQEAAIIFAAAAAA==&#10;">
                <v:fill on="t" focussize="0,0"/>
                <v:stroke color="#000000" joinstyle="miter"/>
                <v:imagedata o:title=""/>
                <o:lock v:ext="edit" aspectratio="f"/>
                <v:textbox>
                  <w:txbxContent>
                    <w:p>
                      <w:pPr>
                        <w:jc w:val="center"/>
                        <w:rPr>
                          <w:rFonts w:hint="eastAsia"/>
                          <w:sz w:val="21"/>
                          <w:szCs w:val="21"/>
                        </w:rPr>
                      </w:pPr>
                      <w:r>
                        <w:rPr>
                          <w:rFonts w:hint="eastAsia"/>
                          <w:sz w:val="21"/>
                          <w:szCs w:val="21"/>
                        </w:rPr>
                        <w:t>煤矸石</w:t>
                      </w:r>
                    </w:p>
                  </w:txbxContent>
                </v:textbox>
              </v:rect>
            </w:pict>
          </mc:Fallback>
        </mc:AlternateContent>
      </w:r>
    </w:p>
    <w:p>
      <w:pPr>
        <w:spacing w:line="480" w:lineRule="exact"/>
        <w:ind w:firstLine="471"/>
        <w:rPr>
          <w:rFonts w:hint="eastAsia" w:ascii="宋体" w:hAnsi="宋体"/>
        </w:rPr>
      </w:pPr>
      <w:r>
        <w:rPr>
          <w:rFonts w:hint="eastAsia" w:ascii="宋体" w:hAnsi="宋体"/>
        </w:rPr>
        <mc:AlternateContent>
          <mc:Choice Requires="wps">
            <w:drawing>
              <wp:anchor distT="0" distB="0" distL="114300" distR="114300" simplePos="0" relativeHeight="251799552" behindDoc="0" locked="0" layoutInCell="1" allowOverlap="1">
                <wp:simplePos x="0" y="0"/>
                <wp:positionH relativeFrom="column">
                  <wp:posOffset>460375</wp:posOffset>
                </wp:positionH>
                <wp:positionV relativeFrom="paragraph">
                  <wp:posOffset>259080</wp:posOffset>
                </wp:positionV>
                <wp:extent cx="0" cy="396240"/>
                <wp:effectExtent l="38100" t="0" r="38100" b="3810"/>
                <wp:wrapNone/>
                <wp:docPr id="7" name="直接连接符 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5pt;margin-top:20.4pt;height:31.2pt;width:0pt;z-index:251799552;mso-width-relative:page;mso-height-relative:page;" filled="f" stroked="t" coordsize="21600,21600" o:gfxdata="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dVzsNcAAAAIAQAA&#10;DwAAAAAAAAABACAAAAAiAAAAZHJzL2Rvd25yZXYueG1sUEsBAhQAFAAAAAgAh07iQKY+ZQHhAQAA&#10;mQMAAA4AAAAAAAAAAQAgAAAAJgEAAGRycy9lMm9Eb2MueG1sUEsFBgAAAAAGAAYAWQEAAHkFAAAA&#10;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800576" behindDoc="0" locked="0" layoutInCell="1" allowOverlap="1">
                <wp:simplePos x="0" y="0"/>
                <wp:positionH relativeFrom="column">
                  <wp:posOffset>1732915</wp:posOffset>
                </wp:positionH>
                <wp:positionV relativeFrom="paragraph">
                  <wp:posOffset>257175</wp:posOffset>
                </wp:positionV>
                <wp:extent cx="0" cy="396240"/>
                <wp:effectExtent l="38100" t="0" r="38100" b="3810"/>
                <wp:wrapNone/>
                <wp:docPr id="15" name="直接连接符 15"/>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36.45pt;margin-top:20.25pt;height:31.2pt;width:0pt;z-index:251800576;mso-width-relative:page;mso-height-relative:page;" filled="f" stroked="t" coordsize="21600,21600" o:gfxdata="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tGDP92AAAAAoB&#10;AAAPAAAAAAAAAAEAIAAAACIAAABkcnMvZG93bnJldi54bWxQSwECFAAUAAAACACHTuJAe5/J8uIB&#10;AACbAwAADgAAAAAAAAABACAAAAAnAQAAZHJzL2Uyb0RvYy54bWxQSwUGAAAAAAYABgBZAQAAewUA&#10;AAAA&#10;">
                <v:fill on="f" focussize="0,0"/>
                <v:stroke color="#000000" joinstyle="round" endarrow="block"/>
                <v:imagedata o:title=""/>
                <o:lock v:ext="edit" aspectratio="f"/>
              </v:line>
            </w:pict>
          </mc:Fallback>
        </mc:AlternateContent>
      </w:r>
    </w:p>
    <w:p>
      <w:pPr>
        <w:spacing w:line="480" w:lineRule="exact"/>
        <w:ind w:firstLine="471"/>
        <w:rPr>
          <w:rFonts w:hint="eastAsia" w:ascii="宋体" w:hAnsi="宋体"/>
        </w:rPr>
      </w:pPr>
    </w:p>
    <w:p>
      <w:pPr>
        <w:spacing w:line="480" w:lineRule="exact"/>
        <w:ind w:firstLine="471"/>
        <w:rPr>
          <w:rFonts w:hint="eastAsia" w:ascii="宋体" w:hAnsi="宋体"/>
        </w:rPr>
      </w:pPr>
      <w:r>
        <w:rPr>
          <w:rFonts w:hint="eastAsia" w:ascii="宋体" w:hAnsi="宋体"/>
        </w:rPr>
        <mc:AlternateContent>
          <mc:Choice Requires="wps">
            <w:drawing>
              <wp:anchor distT="0" distB="0" distL="114300" distR="114300" simplePos="0" relativeHeight="251798528" behindDoc="0" locked="0" layoutInCell="1" allowOverlap="1">
                <wp:simplePos x="0" y="0"/>
                <wp:positionH relativeFrom="column">
                  <wp:posOffset>4766945</wp:posOffset>
                </wp:positionH>
                <wp:positionV relativeFrom="paragraph">
                  <wp:posOffset>70485</wp:posOffset>
                </wp:positionV>
                <wp:extent cx="685800" cy="297180"/>
                <wp:effectExtent l="4445" t="4445" r="14605" b="22225"/>
                <wp:wrapNone/>
                <wp:docPr id="16" name="矩形 16"/>
                <wp:cNvGraphicFramePr/>
                <a:graphic xmlns:a="http://schemas.openxmlformats.org/drawingml/2006/main">
                  <a:graphicData uri="http://schemas.microsoft.com/office/word/2010/wordprocessingShape">
                    <wps:wsp>
                      <wps:cNvSpPr/>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无烟煤</w:t>
                            </w:r>
                          </w:p>
                        </w:txbxContent>
                      </wps:txbx>
                      <wps:bodyPr upright="1"/>
                    </wps:wsp>
                  </a:graphicData>
                </a:graphic>
              </wp:anchor>
            </w:drawing>
          </mc:Choice>
          <mc:Fallback>
            <w:pict>
              <v:rect id="_x0000_s1026" o:spid="_x0000_s1026" o:spt="1" style="position:absolute;left:0pt;margin-left:375.35pt;margin-top:5.55pt;height:23.4pt;width:54pt;z-index:251798528;mso-width-relative:page;mso-height-relative:page;" fillcolor="#FFFFFF" filled="t" stroked="t" coordsize="21600,21600" o:gfxdata="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Zw1&#10;z9cAAAAJAQAADwAAAAAAAAABACAAAAAiAAAAZHJzL2Rvd25yZXYueG1sUEsBAhQAFAAAAAgAh07i&#10;QIhsaMfqAQAA3AMAAA4AAAAAAAAAAQAgAAAAJgEAAGRycy9lMm9Eb2MueG1sUEsFBgAAAAAGAAYA&#10;WQEAAIIFAAAAAA==&#10;">
                <v:fill on="t" focussize="0,0"/>
                <v:stroke color="#000000" joinstyle="miter"/>
                <v:imagedata o:title=""/>
                <o:lock v:ext="edit" aspectratio="f"/>
                <v:textbox>
                  <w:txbxContent>
                    <w:p>
                      <w:pPr>
                        <w:jc w:val="center"/>
                        <w:rPr>
                          <w:rFonts w:hint="eastAsia"/>
                          <w:sz w:val="21"/>
                          <w:szCs w:val="21"/>
                        </w:rPr>
                      </w:pPr>
                      <w:r>
                        <w:rPr>
                          <w:rFonts w:hint="eastAsia"/>
                          <w:sz w:val="21"/>
                          <w:szCs w:val="21"/>
                        </w:rPr>
                        <w:t>无烟煤</w:t>
                      </w:r>
                    </w:p>
                  </w:txbxContent>
                </v:textbox>
              </v:rect>
            </w:pict>
          </mc:Fallback>
        </mc:AlternateContent>
      </w:r>
      <w:r>
        <w:rPr>
          <w:rFonts w:hint="eastAsia" w:ascii="宋体" w:hAnsi="宋体"/>
        </w:rPr>
        <mc:AlternateContent>
          <mc:Choice Requires="wps">
            <w:drawing>
              <wp:anchor distT="0" distB="0" distL="114300" distR="114300" simplePos="0" relativeHeight="251797504" behindDoc="0" locked="0" layoutInCell="1" allowOverlap="1">
                <wp:simplePos x="0" y="0"/>
                <wp:positionH relativeFrom="column">
                  <wp:posOffset>3665855</wp:posOffset>
                </wp:positionH>
                <wp:positionV relativeFrom="paragraph">
                  <wp:posOffset>51435</wp:posOffset>
                </wp:positionV>
                <wp:extent cx="800100" cy="297180"/>
                <wp:effectExtent l="4445" t="4445" r="14605" b="22225"/>
                <wp:wrapNone/>
                <wp:docPr id="18" name="矩形 18"/>
                <wp:cNvGraphicFramePr/>
                <a:graphic xmlns:a="http://schemas.openxmlformats.org/drawingml/2006/main">
                  <a:graphicData uri="http://schemas.microsoft.com/office/word/2010/wordprocessingShape">
                    <wps:wsp>
                      <wps:cNvSpPr/>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磷矿渣</w:t>
                            </w:r>
                          </w:p>
                        </w:txbxContent>
                      </wps:txbx>
                      <wps:bodyPr upright="1"/>
                    </wps:wsp>
                  </a:graphicData>
                </a:graphic>
              </wp:anchor>
            </w:drawing>
          </mc:Choice>
          <mc:Fallback>
            <w:pict>
              <v:rect id="_x0000_s1026" o:spid="_x0000_s1026" o:spt="1" style="position:absolute;left:0pt;margin-left:288.65pt;margin-top:4.05pt;height:23.4pt;width:63pt;z-index:251797504;mso-width-relative:page;mso-height-relative:page;" fillcolor="#FFFFFF" filled="t" stroked="t" coordsize="21600,21600" o:gfxdata="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NJ8X3W&#10;AAAACAEAAA8AAAAAAAAAAQAgAAAAIgAAAGRycy9kb3ducmV2LnhtbFBLAQIUABQAAAAIAIdO4kDG&#10;c1dN6QEAANwDAAAOAAAAAAAAAAEAIAAAACUBAABkcnMvZTJvRG9jLnhtbFBLBQYAAAAABgAGAFkB&#10;AACABQAAAAA=&#10;">
                <v:fill on="t" focussize="0,0"/>
                <v:stroke color="#000000" joinstyle="miter"/>
                <v:imagedata o:title=""/>
                <o:lock v:ext="edit" aspectratio="f"/>
                <v:textbox>
                  <w:txbxContent>
                    <w:p>
                      <w:pPr>
                        <w:jc w:val="center"/>
                        <w:rPr>
                          <w:rFonts w:hint="eastAsia"/>
                          <w:sz w:val="21"/>
                          <w:szCs w:val="21"/>
                        </w:rPr>
                      </w:pPr>
                      <w:r>
                        <w:rPr>
                          <w:rFonts w:hint="eastAsia"/>
                          <w:sz w:val="21"/>
                          <w:szCs w:val="21"/>
                        </w:rPr>
                        <w:t>磷矿渣</w:t>
                      </w:r>
                    </w:p>
                  </w:txbxContent>
                </v:textbox>
              </v:rect>
            </w:pict>
          </mc:Fallback>
        </mc:AlternateContent>
      </w:r>
      <w:r>
        <w:rPr>
          <w:rFonts w:hint="eastAsia" w:ascii="宋体" w:hAnsi="宋体"/>
        </w:rPr>
        <mc:AlternateContent>
          <mc:Choice Requires="wps">
            <w:drawing>
              <wp:anchor distT="0" distB="0" distL="114300" distR="114300" simplePos="0" relativeHeight="251796480" behindDoc="0" locked="0" layoutInCell="1" allowOverlap="1">
                <wp:simplePos x="0" y="0"/>
                <wp:positionH relativeFrom="column">
                  <wp:posOffset>2531745</wp:posOffset>
                </wp:positionH>
                <wp:positionV relativeFrom="paragraph">
                  <wp:posOffset>34290</wp:posOffset>
                </wp:positionV>
                <wp:extent cx="914400" cy="297180"/>
                <wp:effectExtent l="4445" t="4445" r="14605" b="22225"/>
                <wp:wrapNone/>
                <wp:docPr id="11" name="矩形 11"/>
                <wp:cNvGraphicFramePr/>
                <a:graphic xmlns:a="http://schemas.openxmlformats.org/drawingml/2006/main">
                  <a:graphicData uri="http://schemas.microsoft.com/office/word/2010/wordprocessingShape">
                    <wps:wsp>
                      <wps:cNvSpPr/>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冶炼废渣</w:t>
                            </w:r>
                          </w:p>
                        </w:txbxContent>
                      </wps:txbx>
                      <wps:bodyPr upright="1"/>
                    </wps:wsp>
                  </a:graphicData>
                </a:graphic>
              </wp:anchor>
            </w:drawing>
          </mc:Choice>
          <mc:Fallback>
            <w:pict>
              <v:rect id="_x0000_s1026" o:spid="_x0000_s1026" o:spt="1" style="position:absolute;left:0pt;margin-left:199.35pt;margin-top:2.7pt;height:23.4pt;width:72pt;z-index:251796480;mso-width-relative:page;mso-height-relative:page;" fillcolor="#FFFFFF" filled="t" stroked="t" coordsize="21600,21600" o:gfxdata="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7Xzmg&#10;1wAAAAgBAAAPAAAAAAAAAAEAIAAAACIAAABkcnMvZG93bnJldi54bWxQSwECFAAUAAAACACHTuJA&#10;A0iVXukBAADcAwAADgAAAAAAAAABACAAAAAmAQAAZHJzL2Uyb0RvYy54bWxQSwUGAAAAAAYABgBZ&#10;AQAAgQUAAAAA&#10;">
                <v:fill on="t" focussize="0,0"/>
                <v:stroke color="#000000" joinstyle="miter"/>
                <v:imagedata o:title=""/>
                <o:lock v:ext="edit" aspectratio="f"/>
                <v:textbox>
                  <w:txbxContent>
                    <w:p>
                      <w:pPr>
                        <w:jc w:val="center"/>
                        <w:rPr>
                          <w:rFonts w:hint="eastAsia"/>
                          <w:sz w:val="21"/>
                          <w:szCs w:val="21"/>
                        </w:rPr>
                      </w:pPr>
                      <w:r>
                        <w:rPr>
                          <w:rFonts w:hint="eastAsia"/>
                          <w:sz w:val="21"/>
                          <w:szCs w:val="21"/>
                        </w:rPr>
                        <w:t>冶炼废渣</w:t>
                      </w:r>
                    </w:p>
                  </w:txbxContent>
                </v:textbox>
              </v:rect>
            </w:pict>
          </mc:Fallback>
        </mc:AlternateContent>
      </w:r>
      <w:r>
        <w:rPr>
          <w:rFonts w:hint="eastAsia" w:ascii="宋体" w:hAnsi="宋体"/>
        </w:rPr>
        <mc:AlternateContent>
          <mc:Choice Requires="wps">
            <w:drawing>
              <wp:anchor distT="0" distB="0" distL="114300" distR="114300" simplePos="0" relativeHeight="251801600" behindDoc="0" locked="0" layoutInCell="1" allowOverlap="1">
                <wp:simplePos x="0" y="0"/>
                <wp:positionH relativeFrom="column">
                  <wp:posOffset>69850</wp:posOffset>
                </wp:positionH>
                <wp:positionV relativeFrom="paragraph">
                  <wp:posOffset>40005</wp:posOffset>
                </wp:positionV>
                <wp:extent cx="800100" cy="332740"/>
                <wp:effectExtent l="4445" t="4445" r="14605" b="5715"/>
                <wp:wrapNone/>
                <wp:docPr id="17" name="矩形 17"/>
                <wp:cNvGraphicFramePr/>
                <a:graphic xmlns:a="http://schemas.openxmlformats.org/drawingml/2006/main">
                  <a:graphicData uri="http://schemas.microsoft.com/office/word/2010/wordprocessingShape">
                    <wps:wsp>
                      <wps:cNvSpPr/>
                      <wps:spPr>
                        <a:xfrm>
                          <a:off x="0" y="0"/>
                          <a:ext cx="800100" cy="3327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破碎</w:t>
                            </w:r>
                            <w:r>
                              <w:rPr>
                                <w:rFonts w:hint="eastAsia" w:ascii="宋体" w:hAnsi="宋体"/>
                                <w:sz w:val="21"/>
                                <w:szCs w:val="21"/>
                              </w:rPr>
                              <w:t>※</w:t>
                            </w:r>
                            <w:r>
                              <w:rPr>
                                <w:rFonts w:hint="eastAsia"/>
                                <w:sz w:val="21"/>
                                <w:szCs w:val="21"/>
                              </w:rPr>
                              <w:t>△</w:t>
                            </w:r>
                          </w:p>
                        </w:txbxContent>
                      </wps:txbx>
                      <wps:bodyPr upright="1"/>
                    </wps:wsp>
                  </a:graphicData>
                </a:graphic>
              </wp:anchor>
            </w:drawing>
          </mc:Choice>
          <mc:Fallback>
            <w:pict>
              <v:rect id="_x0000_s1026" o:spid="_x0000_s1026" o:spt="1" style="position:absolute;left:0pt;margin-left:5.5pt;margin-top:3.15pt;height:26.2pt;width:63pt;z-index:251801600;mso-width-relative:page;mso-height-relative:page;" fillcolor="#FFFFFF" filled="t" stroked="t" coordsize="21600,21600" o:gfxdata="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8bBLK9UA&#10;AAAHAQAADwAAAAAAAAABACAAAAAiAAAAZHJzL2Rvd25yZXYueG1sUEsBAhQAFAAAAAgAh07iQLMb&#10;L7XpAQAA3AMAAA4AAAAAAAAAAQAgAAAAJAEAAGRycy9lMm9Eb2MueG1sUEsFBgAAAAAGAAYAWQEA&#10;AH8FAAAAAA==&#10;">
                <v:fill on="t" focussize="0,0"/>
                <v:stroke color="#000000" joinstyle="miter"/>
                <v:imagedata o:title=""/>
                <o:lock v:ext="edit" aspectratio="f"/>
                <v:textbox>
                  <w:txbxContent>
                    <w:p>
                      <w:pPr>
                        <w:rPr>
                          <w:rFonts w:hint="eastAsia"/>
                          <w:sz w:val="21"/>
                          <w:szCs w:val="21"/>
                        </w:rPr>
                      </w:pPr>
                      <w:r>
                        <w:rPr>
                          <w:rFonts w:hint="eastAsia"/>
                          <w:sz w:val="21"/>
                          <w:szCs w:val="21"/>
                        </w:rPr>
                        <w:t>破碎</w:t>
                      </w:r>
                      <w:r>
                        <w:rPr>
                          <w:rFonts w:hint="eastAsia" w:ascii="宋体" w:hAnsi="宋体"/>
                          <w:sz w:val="21"/>
                          <w:szCs w:val="21"/>
                        </w:rPr>
                        <w:t>※</w:t>
                      </w:r>
                      <w:r>
                        <w:rPr>
                          <w:rFonts w:hint="eastAsia"/>
                          <w:sz w:val="21"/>
                          <w:szCs w:val="21"/>
                        </w:rPr>
                        <w:t>△</w:t>
                      </w:r>
                    </w:p>
                  </w:txbxContent>
                </v:textbox>
              </v:rect>
            </w:pict>
          </mc:Fallback>
        </mc:AlternateContent>
      </w:r>
      <w:r>
        <w:rPr>
          <w:rFonts w:hint="eastAsia" w:ascii="宋体" w:hAnsi="宋体"/>
        </w:rPr>
        <mc:AlternateContent>
          <mc:Choice Requires="wps">
            <w:drawing>
              <wp:anchor distT="0" distB="0" distL="114300" distR="114300" simplePos="0" relativeHeight="251802624" behindDoc="0" locked="0" layoutInCell="1" allowOverlap="1">
                <wp:simplePos x="0" y="0"/>
                <wp:positionH relativeFrom="column">
                  <wp:posOffset>1288415</wp:posOffset>
                </wp:positionH>
                <wp:positionV relativeFrom="paragraph">
                  <wp:posOffset>22860</wp:posOffset>
                </wp:positionV>
                <wp:extent cx="800100" cy="332740"/>
                <wp:effectExtent l="4445" t="4445" r="14605" b="5715"/>
                <wp:wrapNone/>
                <wp:docPr id="20" name="矩形 20"/>
                <wp:cNvGraphicFramePr/>
                <a:graphic xmlns:a="http://schemas.openxmlformats.org/drawingml/2006/main">
                  <a:graphicData uri="http://schemas.microsoft.com/office/word/2010/wordprocessingShape">
                    <wps:wsp>
                      <wps:cNvSpPr/>
                      <wps:spPr>
                        <a:xfrm>
                          <a:off x="0" y="0"/>
                          <a:ext cx="800100" cy="3327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破碎</w:t>
                            </w:r>
                            <w:r>
                              <w:rPr>
                                <w:rFonts w:hint="eastAsia" w:ascii="宋体" w:hAnsi="宋体"/>
                                <w:sz w:val="21"/>
                                <w:szCs w:val="21"/>
                              </w:rPr>
                              <w:t>※</w:t>
                            </w:r>
                            <w:r>
                              <w:rPr>
                                <w:rFonts w:hint="eastAsia"/>
                                <w:sz w:val="21"/>
                                <w:szCs w:val="21"/>
                              </w:rPr>
                              <w:t>△</w:t>
                            </w:r>
                          </w:p>
                        </w:txbxContent>
                      </wps:txbx>
                      <wps:bodyPr upright="1"/>
                    </wps:wsp>
                  </a:graphicData>
                </a:graphic>
              </wp:anchor>
            </w:drawing>
          </mc:Choice>
          <mc:Fallback>
            <w:pict>
              <v:rect id="_x0000_s1026" o:spid="_x0000_s1026" o:spt="1" style="position:absolute;left:0pt;margin-left:101.45pt;margin-top:1.8pt;height:26.2pt;width:63pt;z-index:251802624;mso-width-relative:page;mso-height-relative:page;" fillcolor="#FFFFFF" filled="t" stroked="t" coordsize="21600,21600" o:gfxdata="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O6wrXW&#10;AAAACAEAAA8AAAAAAAAAAQAgAAAAIgAAAGRycy9kb3ducmV2LnhtbFBLAQIUABQAAAAIAIdO4kBg&#10;03HU6QEAANwDAAAOAAAAAAAAAAEAIAAAACUBAABkcnMvZTJvRG9jLnhtbFBLBQYAAAAABgAGAFkB&#10;AACABQAAAAA=&#10;">
                <v:fill on="t" focussize="0,0"/>
                <v:stroke color="#000000" joinstyle="miter"/>
                <v:imagedata o:title=""/>
                <o:lock v:ext="edit" aspectratio="f"/>
                <v:textbox>
                  <w:txbxContent>
                    <w:p>
                      <w:pPr>
                        <w:rPr>
                          <w:rFonts w:hint="eastAsia"/>
                          <w:sz w:val="21"/>
                          <w:szCs w:val="21"/>
                        </w:rPr>
                      </w:pPr>
                      <w:r>
                        <w:rPr>
                          <w:rFonts w:hint="eastAsia"/>
                          <w:sz w:val="21"/>
                          <w:szCs w:val="21"/>
                        </w:rPr>
                        <w:t>破碎</w:t>
                      </w:r>
                      <w:r>
                        <w:rPr>
                          <w:rFonts w:hint="eastAsia" w:ascii="宋体" w:hAnsi="宋体"/>
                          <w:sz w:val="21"/>
                          <w:szCs w:val="21"/>
                        </w:rPr>
                        <w:t>※</w:t>
                      </w:r>
                      <w:r>
                        <w:rPr>
                          <w:rFonts w:hint="eastAsia"/>
                          <w:sz w:val="21"/>
                          <w:szCs w:val="21"/>
                        </w:rPr>
                        <w:t>△</w:t>
                      </w:r>
                    </w:p>
                  </w:txbxContent>
                </v:textbox>
              </v:rect>
            </w:pict>
          </mc:Fallback>
        </mc:AlternateContent>
      </w:r>
    </w:p>
    <w:p>
      <w:pPr>
        <w:spacing w:line="480" w:lineRule="exact"/>
        <w:ind w:firstLine="471"/>
        <w:rPr>
          <w:rFonts w:hint="eastAsia" w:ascii="宋体" w:hAnsi="宋体"/>
        </w:rPr>
      </w:pPr>
      <w:r>
        <w:rPr>
          <w:rFonts w:hint="eastAsia" w:ascii="宋体" w:hAnsi="宋体"/>
        </w:rPr>
        <mc:AlternateContent>
          <mc:Choice Requires="wps">
            <w:drawing>
              <wp:anchor distT="0" distB="0" distL="114300" distR="114300" simplePos="0" relativeHeight="251833344" behindDoc="0" locked="0" layoutInCell="1" allowOverlap="1">
                <wp:simplePos x="0" y="0"/>
                <wp:positionH relativeFrom="column">
                  <wp:posOffset>5128895</wp:posOffset>
                </wp:positionH>
                <wp:positionV relativeFrom="paragraph">
                  <wp:posOffset>72390</wp:posOffset>
                </wp:positionV>
                <wp:extent cx="0" cy="396240"/>
                <wp:effectExtent l="38100" t="0" r="38100" b="3810"/>
                <wp:wrapNone/>
                <wp:docPr id="21" name="直接连接符 2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03.85pt;margin-top:5.7pt;height:31.2pt;width:0pt;z-index:251833344;mso-width-relative:page;mso-height-relative:page;" filled="f" stroked="t" coordsize="21600,21600" o:gfxdata="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Ja07Q2AAAAAkB&#10;AAAPAAAAAAAAAAEAIAAAACIAAABkcnMvZG93bnJldi54bWxQSwECFAAUAAAACACHTuJA9Umh2+IB&#10;AACbAwAADgAAAAAAAAABACAAAAAnAQAAZHJzL2Uyb0RvYy54bWxQSwUGAAAAAAYABgBZAQAAewUA&#10;AA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832320" behindDoc="0" locked="0" layoutInCell="1" allowOverlap="1">
                <wp:simplePos x="0" y="0"/>
                <wp:positionH relativeFrom="column">
                  <wp:posOffset>4114165</wp:posOffset>
                </wp:positionH>
                <wp:positionV relativeFrom="paragraph">
                  <wp:posOffset>53340</wp:posOffset>
                </wp:positionV>
                <wp:extent cx="0" cy="396240"/>
                <wp:effectExtent l="38100" t="0" r="38100" b="3810"/>
                <wp:wrapNone/>
                <wp:docPr id="13" name="直接连接符 1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3.95pt;margin-top:4.2pt;height:31.2pt;width:0pt;z-index:251832320;mso-width-relative:page;mso-height-relative:page;" filled="f" stroked="t" coordsize="21600,21600" o:gfxdata="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VgdPzXAAAACAEA&#10;AA8AAAAAAAAAAQAgAAAAIgAAAGRycy9kb3ducmV2LnhtbFBLAQIUABQAAAAIAIdO4kAWCkra4gEA&#10;AJsDAAAOAAAAAAAAAAEAIAAAACYBAABkcnMvZTJvRG9jLnhtbFBLBQYAAAAABgAGAFkBAAB6BQAA&#10;A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831296" behindDoc="0" locked="0" layoutInCell="1" allowOverlap="1">
                <wp:simplePos x="0" y="0"/>
                <wp:positionH relativeFrom="column">
                  <wp:posOffset>2971800</wp:posOffset>
                </wp:positionH>
                <wp:positionV relativeFrom="paragraph">
                  <wp:posOffset>45720</wp:posOffset>
                </wp:positionV>
                <wp:extent cx="0" cy="396240"/>
                <wp:effectExtent l="38100" t="0" r="38100" b="3810"/>
                <wp:wrapNone/>
                <wp:docPr id="22" name="直接连接符 2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4pt;margin-top:3.6pt;height:31.2pt;width:0pt;z-index:251831296;mso-width-relative:page;mso-height-relative:page;" filled="f" stroked="t" coordsize="21600,21600" o:gfxdata="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zPZBjXAAAACAEA&#10;AA8AAAAAAAAAAQAgAAAAIgAAAGRycy9kb3ducmV2LnhtbFBLAQIUABQAAAAIAIdO4kBjAFgi4gEA&#10;AJsDAAAOAAAAAAAAAAEAIAAAACYBAABkcnMvZTJvRG9jLnhtbFBLBQYAAAAABgAGAFkBAAB6BQAA&#10;A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830272" behindDoc="0" locked="0" layoutInCell="1" allowOverlap="1">
                <wp:simplePos x="0" y="0"/>
                <wp:positionH relativeFrom="column">
                  <wp:posOffset>441960</wp:posOffset>
                </wp:positionH>
                <wp:positionV relativeFrom="paragraph">
                  <wp:posOffset>95250</wp:posOffset>
                </wp:positionV>
                <wp:extent cx="0" cy="396240"/>
                <wp:effectExtent l="38100" t="0" r="38100" b="3810"/>
                <wp:wrapNone/>
                <wp:docPr id="4" name="直接连接符 4"/>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8pt;margin-top:7.5pt;height:31.2pt;width:0pt;z-index:251830272;mso-width-relative:page;mso-height-relative:page;" filled="f" stroked="t" coordsize="21600,21600" o:gfxdata="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dyl29cAAAAHAQAA&#10;DwAAAAAAAAABACAAAAAiAAAAZHJzL2Rvd25yZXYueG1sUEsBAhQAFAAAAAgAh07iQO5aQ6nhAQAA&#10;mQMAAA4AAAAAAAAAAQAgAAAAJgEAAGRycy9lMm9Eb2MueG1sUEsFBgAAAAAGAAYAWQEAAHkFAAAA&#10;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829248" behindDoc="0" locked="0" layoutInCell="1" allowOverlap="1">
                <wp:simplePos x="0" y="0"/>
                <wp:positionH relativeFrom="column">
                  <wp:posOffset>1732915</wp:posOffset>
                </wp:positionH>
                <wp:positionV relativeFrom="paragraph">
                  <wp:posOffset>85725</wp:posOffset>
                </wp:positionV>
                <wp:extent cx="0" cy="396240"/>
                <wp:effectExtent l="38100" t="0" r="38100" b="3810"/>
                <wp:wrapNone/>
                <wp:docPr id="8" name="直接连接符 8"/>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36.45pt;margin-top:6.75pt;height:31.2pt;width:0pt;z-index:251829248;mso-width-relative:page;mso-height-relative:page;" filled="f" stroked="t" coordsize="21600,21600" o:gfxdata="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ci0662QAAAAkB&#10;AAAPAAAAAAAAAAEAIAAAACIAAABkcnMvZG93bnJldi54bWxQSwECFAAUAAAACACHTuJADcFJZOEB&#10;AACZAwAADgAAAAAAAAABACAAAAAoAQAAZHJzL2Uyb0RvYy54bWxQSwUGAAAAAAYABgBZAQAAewUA&#10;AAAA&#10;">
                <v:fill on="f" focussize="0,0"/>
                <v:stroke color="#000000" joinstyle="round" endarrow="block"/>
                <v:imagedata o:title=""/>
                <o:lock v:ext="edit" aspectratio="f"/>
              </v:line>
            </w:pict>
          </mc:Fallback>
        </mc:AlternateContent>
      </w:r>
    </w:p>
    <w:p>
      <w:pPr>
        <w:spacing w:line="480" w:lineRule="exact"/>
        <w:ind w:firstLine="471"/>
        <w:rPr>
          <w:rFonts w:hint="eastAsia" w:ascii="宋体" w:hAnsi="宋体"/>
        </w:rPr>
      </w:pPr>
      <w:r>
        <w:rPr>
          <w:rFonts w:hint="eastAsia" w:ascii="宋体" w:hAnsi="宋体"/>
        </w:rPr>
        <mc:AlternateContent>
          <mc:Choice Requires="wps">
            <w:drawing>
              <wp:anchor distT="0" distB="0" distL="114300" distR="114300" simplePos="0" relativeHeight="251834368" behindDoc="0" locked="0" layoutInCell="1" allowOverlap="1">
                <wp:simplePos x="0" y="0"/>
                <wp:positionH relativeFrom="column">
                  <wp:posOffset>3086100</wp:posOffset>
                </wp:positionH>
                <wp:positionV relativeFrom="paragraph">
                  <wp:posOffset>259080</wp:posOffset>
                </wp:positionV>
                <wp:extent cx="1828800" cy="297180"/>
                <wp:effectExtent l="4445" t="4445" r="14605" b="22225"/>
                <wp:wrapNone/>
                <wp:docPr id="5" name="矩形 5"/>
                <wp:cNvGraphicFramePr/>
                <a:graphic xmlns:a="http://schemas.openxmlformats.org/drawingml/2006/main">
                  <a:graphicData uri="http://schemas.microsoft.com/office/word/2010/wordprocessingShape">
                    <wps:wsp>
                      <wps:cNvSpPr/>
                      <wps:spPr>
                        <a:xfrm>
                          <a:off x="0" y="0"/>
                          <a:ext cx="1828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物料烘干</w:t>
                            </w:r>
                            <w:r>
                              <w:rPr>
                                <w:rFonts w:hint="eastAsia" w:ascii="宋体" w:hAnsi="宋体"/>
                                <w:sz w:val="21"/>
                                <w:szCs w:val="21"/>
                              </w:rPr>
                              <w:t>※</w:t>
                            </w:r>
                            <w:r>
                              <w:rPr>
                                <w:rFonts w:hint="eastAsia"/>
                              </w:rPr>
                              <w:t>（SO</w:t>
                            </w:r>
                            <w:r>
                              <w:rPr>
                                <w:rFonts w:hint="eastAsia"/>
                                <w:vertAlign w:val="subscript"/>
                              </w:rPr>
                              <w:t>2</w:t>
                            </w:r>
                            <w:r>
                              <w:rPr>
                                <w:rFonts w:hint="eastAsia"/>
                              </w:rPr>
                              <w:t>、NO</w:t>
                            </w:r>
                            <w:r>
                              <w:rPr>
                                <w:rFonts w:hint="eastAsia"/>
                                <w:vertAlign w:val="subscript"/>
                              </w:rPr>
                              <w:t>x</w:t>
                            </w:r>
                            <w:r>
                              <w:rPr>
                                <w:rFonts w:hint="eastAsia"/>
                              </w:rPr>
                              <w:t>）</w:t>
                            </w:r>
                          </w:p>
                        </w:txbxContent>
                      </wps:txbx>
                      <wps:bodyPr upright="1"/>
                    </wps:wsp>
                  </a:graphicData>
                </a:graphic>
              </wp:anchor>
            </w:drawing>
          </mc:Choice>
          <mc:Fallback>
            <w:pict>
              <v:rect id="_x0000_s1026" o:spid="_x0000_s1026" o:spt="1" style="position:absolute;left:0pt;margin-left:243pt;margin-top:20.4pt;height:23.4pt;width:144pt;z-index:251834368;mso-width-relative:page;mso-height-relative:page;" fillcolor="#FFFFFF" filled="t" stroked="t" coordsize="21600,21600" o:gfxdata="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XDYATX&#10;AAAACQEAAA8AAAAAAAAAAQAgAAAAIgAAAGRycy9kb3ducmV2LnhtbFBLAQIUABQAAAAIAIdO4kA+&#10;2yXj6AEAANsDAAAOAAAAAAAAAAEAIAAAACYBAABkcnMvZTJvRG9jLnhtbFBLBQYAAAAABgAGAFkB&#10;AACABQAAAAA=&#10;">
                <v:fill on="t" focussize="0,0"/>
                <v:stroke color="#000000" joinstyle="miter"/>
                <v:imagedata o:title=""/>
                <o:lock v:ext="edit" aspectratio="f"/>
                <v:textbox>
                  <w:txbxContent>
                    <w:p>
                      <w:pPr>
                        <w:rPr>
                          <w:rFonts w:hint="eastAsia"/>
                          <w:sz w:val="21"/>
                          <w:szCs w:val="21"/>
                        </w:rPr>
                      </w:pPr>
                      <w:r>
                        <w:rPr>
                          <w:rFonts w:hint="eastAsia"/>
                          <w:sz w:val="21"/>
                          <w:szCs w:val="21"/>
                        </w:rPr>
                        <w:t>物料烘干</w:t>
                      </w:r>
                      <w:r>
                        <w:rPr>
                          <w:rFonts w:hint="eastAsia" w:ascii="宋体" w:hAnsi="宋体"/>
                          <w:sz w:val="21"/>
                          <w:szCs w:val="21"/>
                        </w:rPr>
                        <w:t>※</w:t>
                      </w:r>
                      <w:r>
                        <w:rPr>
                          <w:rFonts w:hint="eastAsia"/>
                        </w:rPr>
                        <w:t>（SO</w:t>
                      </w:r>
                      <w:r>
                        <w:rPr>
                          <w:rFonts w:hint="eastAsia"/>
                          <w:vertAlign w:val="subscript"/>
                        </w:rPr>
                        <w:t>2</w:t>
                      </w:r>
                      <w:r>
                        <w:rPr>
                          <w:rFonts w:hint="eastAsia"/>
                        </w:rPr>
                        <w:t>、NO</w:t>
                      </w:r>
                      <w:r>
                        <w:rPr>
                          <w:rFonts w:hint="eastAsia"/>
                          <w:vertAlign w:val="subscript"/>
                        </w:rPr>
                        <w:t>x</w:t>
                      </w:r>
                      <w:r>
                        <w:rPr>
                          <w:rFonts w:hint="eastAsia"/>
                        </w:rPr>
                        <w:t>）</w:t>
                      </w:r>
                    </w:p>
                  </w:txbxContent>
                </v:textbox>
              </v:rect>
            </w:pict>
          </mc:Fallback>
        </mc:AlternateContent>
      </w:r>
      <w:r>
        <w:rPr>
          <w:rFonts w:hint="eastAsia" w:ascii="宋体" w:hAnsi="宋体"/>
        </w:rPr>
        <mc:AlternateContent>
          <mc:Choice Requires="wps">
            <w:drawing>
              <wp:anchor distT="0" distB="0" distL="114300" distR="114300" simplePos="0" relativeHeight="251803648" behindDoc="0" locked="0" layoutInCell="1" allowOverlap="1">
                <wp:simplePos x="0" y="0"/>
                <wp:positionH relativeFrom="column">
                  <wp:posOffset>2057400</wp:posOffset>
                </wp:positionH>
                <wp:positionV relativeFrom="paragraph">
                  <wp:posOffset>160020</wp:posOffset>
                </wp:positionV>
                <wp:extent cx="0" cy="396240"/>
                <wp:effectExtent l="38100" t="0" r="38100" b="3810"/>
                <wp:wrapNone/>
                <wp:docPr id="23" name="直接连接符 2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62pt;margin-top:12.6pt;height:31.2pt;width:0pt;z-index:251803648;mso-width-relative:page;mso-height-relative:page;" filled="f" stroked="t" coordsize="21600,21600" o:gfxdata="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JNpCltkAAAAJ&#10;AQAADwAAAAAAAAABACAAAAAiAAAAZHJzL2Rvd25yZXYueG1sUEsBAhQAFAAAAAgAh07iQC7F38Pi&#10;AQAAmwMAAA4AAAAAAAAAAQAgAAAAKAEAAGRycy9lMm9Eb2MueG1sUEsFBgAAAAAGAAYAWQEAAHwF&#10;AAAA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808768" behindDoc="0" locked="0" layoutInCell="1" allowOverlap="1">
                <wp:simplePos x="0" y="0"/>
                <wp:positionH relativeFrom="column">
                  <wp:posOffset>457200</wp:posOffset>
                </wp:positionH>
                <wp:positionV relativeFrom="paragraph">
                  <wp:posOffset>160020</wp:posOffset>
                </wp:positionV>
                <wp:extent cx="4686300" cy="0"/>
                <wp:effectExtent l="0" t="0" r="0" b="0"/>
                <wp:wrapNone/>
                <wp:docPr id="24" name="直接连接符 24"/>
                <wp:cNvGraphicFramePr/>
                <a:graphic xmlns:a="http://schemas.openxmlformats.org/drawingml/2006/main">
                  <a:graphicData uri="http://schemas.microsoft.com/office/word/2010/wordprocessingShape">
                    <wps:wsp>
                      <wps:cNvCnPr/>
                      <wps:spPr>
                        <a:xfrm>
                          <a:off x="0" y="0"/>
                          <a:ext cx="4686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6pt;margin-top:12.6pt;height:0pt;width:369pt;z-index:251808768;mso-width-relative:page;mso-height-relative:page;" filled="f" stroked="t" coordsize="21600,21600" o:gfxdata="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RVDyS9UAAAAIAQAADwAAAAAA&#10;AAABACAAAAAiAAAAZHJzL2Rvd25yZXYueG1sUEsBAhQAFAAAAAgAh07iQLw9VR3dAQAAmAMAAA4A&#10;AAAAAAAAAQAgAAAAJAEAAGRycy9lMm9Eb2MueG1sUEsFBgAAAAAGAAYAWQEAAHMFAAAAAA==&#10;">
                <v:fill on="f" focussize="0,0"/>
                <v:stroke color="#000000" joinstyle="round"/>
                <v:imagedata o:title=""/>
                <o:lock v:ext="edit" aspectratio="f"/>
              </v:line>
            </w:pict>
          </mc:Fallback>
        </mc:AlternateContent>
      </w:r>
    </w:p>
    <w:p>
      <w:pPr>
        <w:spacing w:line="480" w:lineRule="exact"/>
        <w:ind w:firstLine="471"/>
        <w:rPr>
          <w:rFonts w:hint="eastAsia" w:ascii="宋体" w:hAnsi="宋体"/>
        </w:rPr>
      </w:pPr>
      <w:r>
        <w:rPr>
          <w:rFonts w:hint="eastAsia" w:ascii="宋体" w:hAnsi="宋体"/>
        </w:rPr>
        <mc:AlternateContent>
          <mc:Choice Requires="wps">
            <w:drawing>
              <wp:anchor distT="0" distB="0" distL="114300" distR="114300" simplePos="0" relativeHeight="251835392" behindDoc="0" locked="0" layoutInCell="1" allowOverlap="1">
                <wp:simplePos x="0" y="0"/>
                <wp:positionH relativeFrom="column">
                  <wp:posOffset>2033270</wp:posOffset>
                </wp:positionH>
                <wp:positionV relativeFrom="paragraph">
                  <wp:posOffset>51435</wp:posOffset>
                </wp:positionV>
                <wp:extent cx="1028700" cy="0"/>
                <wp:effectExtent l="0" t="38100" r="0" b="38100"/>
                <wp:wrapNone/>
                <wp:docPr id="6" name="直接连接符 6"/>
                <wp:cNvGraphicFramePr/>
                <a:graphic xmlns:a="http://schemas.openxmlformats.org/drawingml/2006/main">
                  <a:graphicData uri="http://schemas.microsoft.com/office/word/2010/wordprocessingShape">
                    <wps:wsp>
                      <wps:cNvCnPr/>
                      <wps:spPr>
                        <a:xfrm flipH="1">
                          <a:off x="0" y="0"/>
                          <a:ext cx="10287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60.1pt;margin-top:4.05pt;height:0pt;width:81pt;z-index:251835392;mso-width-relative:page;mso-height-relative:page;" filled="f" stroked="t" coordsize="21600,21600" o:gfxdata="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lE/HjV&#10;AAAABwEAAA8AAAAAAAAAAQAgAAAAIgAAAGRycy9kb3ducmV2LnhtbFBLAQIUABQAAAAIAIdO4kA0&#10;RIhZ6gEAAKQDAAAOAAAAAAAAAAEAIAAAACQBAABkcnMvZTJvRG9jLnhtbFBLBQYAAAAABgAGAFkB&#10;AACABQAAA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809792" behindDoc="0" locked="0" layoutInCell="1" allowOverlap="1">
                <wp:simplePos x="0" y="0"/>
                <wp:positionH relativeFrom="column">
                  <wp:posOffset>1714500</wp:posOffset>
                </wp:positionH>
                <wp:positionV relativeFrom="paragraph">
                  <wp:posOffset>251460</wp:posOffset>
                </wp:positionV>
                <wp:extent cx="914400" cy="297180"/>
                <wp:effectExtent l="4445" t="4445" r="14605" b="22225"/>
                <wp:wrapNone/>
                <wp:docPr id="9" name="矩形 9"/>
                <wp:cNvGraphicFramePr/>
                <a:graphic xmlns:a="http://schemas.openxmlformats.org/drawingml/2006/main">
                  <a:graphicData uri="http://schemas.microsoft.com/office/word/2010/wordprocessingShape">
                    <wps:wsp>
                      <wps:cNvSpPr/>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生料磨＃△△</w:t>
                            </w:r>
                          </w:p>
                        </w:txbxContent>
                      </wps:txbx>
                      <wps:bodyPr upright="1"/>
                    </wps:wsp>
                  </a:graphicData>
                </a:graphic>
              </wp:anchor>
            </w:drawing>
          </mc:Choice>
          <mc:Fallback>
            <w:pict>
              <v:rect id="_x0000_s1026" o:spid="_x0000_s1026" o:spt="1" style="position:absolute;left:0pt;margin-left:135pt;margin-top:19.8pt;height:23.4pt;width:72pt;z-index:251809792;mso-width-relative:page;mso-height-relative:page;" fillcolor="#FFFFFF" filled="t" stroked="t" coordsize="21600,21600" o:gfxdata="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73k8M&#10;2AAAAAkBAAAPAAAAAAAAAAEAIAAAACIAAABkcnMvZG93bnJldi54bWxQSwECFAAUAAAACACHTuJA&#10;QDMLn+gBAADaAwAADgAAAAAAAAABACAAAAAnAQAAZHJzL2Uyb0RvYy54bWxQSwUGAAAAAAYABgBZ&#10;AQAAgQUAAAAA&#10;">
                <v:fill on="t" focussize="0,0"/>
                <v:stroke color="#000000" joinstyle="miter"/>
                <v:imagedata o:title=""/>
                <o:lock v:ext="edit" aspectratio="f"/>
                <v:textbox>
                  <w:txbxContent>
                    <w:p>
                      <w:pPr>
                        <w:rPr>
                          <w:rFonts w:hint="eastAsia"/>
                          <w:sz w:val="21"/>
                          <w:szCs w:val="21"/>
                        </w:rPr>
                      </w:pPr>
                      <w:r>
                        <w:rPr>
                          <w:rFonts w:hint="eastAsia"/>
                          <w:sz w:val="21"/>
                          <w:szCs w:val="21"/>
                        </w:rPr>
                        <w:t>生料磨＃△△</w:t>
                      </w:r>
                    </w:p>
                  </w:txbxContent>
                </v:textbox>
              </v:rect>
            </w:pict>
          </mc:Fallback>
        </mc:AlternateContent>
      </w:r>
      <w:r>
        <w:rPr>
          <w:rFonts w:hint="eastAsia" w:ascii="宋体" w:hAnsi="宋体"/>
        </w:rPr>
        <mc:AlternateContent>
          <mc:Choice Requires="wps">
            <w:drawing>
              <wp:anchor distT="0" distB="0" distL="114300" distR="114300" simplePos="0" relativeHeight="251814912" behindDoc="0" locked="0" layoutInCell="1" allowOverlap="1">
                <wp:simplePos x="0" y="0"/>
                <wp:positionH relativeFrom="column">
                  <wp:posOffset>475615</wp:posOffset>
                </wp:positionH>
                <wp:positionV relativeFrom="paragraph">
                  <wp:posOffset>233045</wp:posOffset>
                </wp:positionV>
                <wp:extent cx="800100" cy="297180"/>
                <wp:effectExtent l="4445" t="4445" r="14605" b="22225"/>
                <wp:wrapNone/>
                <wp:docPr id="10" name="矩形 10"/>
                <wp:cNvGraphicFramePr/>
                <a:graphic xmlns:a="http://schemas.openxmlformats.org/drawingml/2006/main">
                  <a:graphicData uri="http://schemas.microsoft.com/office/word/2010/wordprocessingShape">
                    <wps:wsp>
                      <wps:cNvSpPr/>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石膏</w:t>
                            </w:r>
                          </w:p>
                        </w:txbxContent>
                      </wps:txbx>
                      <wps:bodyPr upright="1"/>
                    </wps:wsp>
                  </a:graphicData>
                </a:graphic>
              </wp:anchor>
            </w:drawing>
          </mc:Choice>
          <mc:Fallback>
            <w:pict>
              <v:rect id="_x0000_s1026" o:spid="_x0000_s1026" o:spt="1" style="position:absolute;left:0pt;margin-left:37.45pt;margin-top:18.35pt;height:23.4pt;width:63pt;z-index:251814912;mso-width-relative:page;mso-height-relative:page;" fillcolor="#FFFFFF" filled="t" stroked="t" coordsize="21600,21600" o:gfxdata="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4BFgvX&#10;AAAACAEAAA8AAAAAAAAAAQAgAAAAIgAAAGRycy9kb3ducmV2LnhtbFBLAQIUABQAAAAIAIdO4kAs&#10;0LqQ6AEAANwDAAAOAAAAAAAAAAEAIAAAACYBAABkcnMvZTJvRG9jLnhtbFBLBQYAAAAABgAGAFkB&#10;AACABQAAAAA=&#10;">
                <v:fill on="t" focussize="0,0"/>
                <v:stroke color="#000000" joinstyle="miter"/>
                <v:imagedata o:title=""/>
                <o:lock v:ext="edit" aspectratio="f"/>
                <v:textbox>
                  <w:txbxContent>
                    <w:p>
                      <w:pPr>
                        <w:jc w:val="center"/>
                        <w:rPr>
                          <w:rFonts w:hint="eastAsia"/>
                          <w:sz w:val="21"/>
                          <w:szCs w:val="21"/>
                        </w:rPr>
                      </w:pPr>
                      <w:r>
                        <w:rPr>
                          <w:rFonts w:hint="eastAsia"/>
                          <w:sz w:val="21"/>
                          <w:szCs w:val="21"/>
                        </w:rPr>
                        <w:t>石膏</w:t>
                      </w:r>
                    </w:p>
                  </w:txbxContent>
                </v:textbox>
              </v:rect>
            </w:pict>
          </mc:Fallback>
        </mc:AlternateContent>
      </w:r>
    </w:p>
    <w:p>
      <w:pPr>
        <w:spacing w:line="480" w:lineRule="exact"/>
        <w:ind w:firstLine="471"/>
        <w:rPr>
          <w:rFonts w:hint="eastAsia" w:ascii="宋体" w:hAnsi="宋体"/>
        </w:rPr>
      </w:pPr>
      <w:r>
        <w:rPr>
          <w:rFonts w:hint="eastAsia" w:ascii="宋体" w:hAnsi="宋体"/>
        </w:rPr>
        <mc:AlternateContent>
          <mc:Choice Requires="wps">
            <w:drawing>
              <wp:anchor distT="0" distB="0" distL="114300" distR="114300" simplePos="0" relativeHeight="251806720" behindDoc="0" locked="0" layoutInCell="1" allowOverlap="1">
                <wp:simplePos x="0" y="0"/>
                <wp:positionH relativeFrom="column">
                  <wp:posOffset>789940</wp:posOffset>
                </wp:positionH>
                <wp:positionV relativeFrom="paragraph">
                  <wp:posOffset>231140</wp:posOffset>
                </wp:positionV>
                <wp:extent cx="0" cy="396240"/>
                <wp:effectExtent l="38100" t="0" r="38100" b="3810"/>
                <wp:wrapNone/>
                <wp:docPr id="12" name="直接连接符 1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2.2pt;margin-top:18.2pt;height:31.2pt;width:0pt;z-index:251806720;mso-width-relative:page;mso-height-relative:page;" filled="f" stroked="t" coordsize="21600,21600" o:gfxdata="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CBnNkAAAAJ&#10;AQAADwAAAAAAAAABACAAAAAiAAAAZHJzL2Rvd25yZXYueG1sUEsBAhQAFAAAAAgAh07iQFvPzTvi&#10;AQAAmwMAAA4AAAAAAAAAAQAgAAAAKAEAAGRycy9lMm9Eb2MueG1sUEsFBgAAAAAGAAYAWQEAAHwF&#10;AAAA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804672" behindDoc="0" locked="0" layoutInCell="1" allowOverlap="1">
                <wp:simplePos x="0" y="0"/>
                <wp:positionH relativeFrom="column">
                  <wp:posOffset>2057400</wp:posOffset>
                </wp:positionH>
                <wp:positionV relativeFrom="paragraph">
                  <wp:posOffset>243840</wp:posOffset>
                </wp:positionV>
                <wp:extent cx="0" cy="396240"/>
                <wp:effectExtent l="38100" t="0" r="38100" b="3810"/>
                <wp:wrapNone/>
                <wp:docPr id="46" name="直接连接符 4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62pt;margin-top:19.2pt;height:31.2pt;width:0pt;z-index:251804672;mso-width-relative:page;mso-height-relative:page;" filled="f" stroked="t" coordsize="21600,21600" o:gfxdata="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n9b12AAAAAoB&#10;AAAPAAAAAAAAAAEAIAAAACIAAABkcnMvZG93bnJldi54bWxQSwECFAAUAAAACACHTuJApYeOIeIB&#10;AACbAwAADgAAAAAAAAABACAAAAAnAQAAZHJzL2Uyb0RvYy54bWxQSwUGAAAAAAYABgBZAQAAewUA&#10;AAAA&#10;">
                <v:fill on="f" focussize="0,0"/>
                <v:stroke color="#000000" joinstyle="round" endarrow="block"/>
                <v:imagedata o:title=""/>
                <o:lock v:ext="edit" aspectratio="f"/>
              </v:line>
            </w:pict>
          </mc:Fallback>
        </mc:AlternateContent>
      </w:r>
    </w:p>
    <w:p>
      <w:pPr>
        <w:spacing w:line="480" w:lineRule="exact"/>
        <w:ind w:firstLine="471"/>
        <w:rPr>
          <w:rFonts w:hint="eastAsia" w:ascii="宋体" w:hAnsi="宋体"/>
        </w:rPr>
      </w:pPr>
    </w:p>
    <w:p>
      <w:pPr>
        <w:spacing w:line="480" w:lineRule="exact"/>
        <w:ind w:firstLine="471"/>
        <w:rPr>
          <w:rFonts w:hint="eastAsia" w:ascii="宋体" w:hAnsi="宋体"/>
        </w:rPr>
      </w:pPr>
      <w:r>
        <w:rPr>
          <w:rFonts w:hint="eastAsia" w:ascii="宋体" w:hAnsi="宋体"/>
        </w:rPr>
        <mc:AlternateContent>
          <mc:Choice Requires="wps">
            <w:drawing>
              <wp:anchor distT="0" distB="0" distL="114300" distR="114300" simplePos="0" relativeHeight="251813888" behindDoc="0" locked="0" layoutInCell="1" allowOverlap="1">
                <wp:simplePos x="0" y="0"/>
                <wp:positionH relativeFrom="column">
                  <wp:posOffset>3390265</wp:posOffset>
                </wp:positionH>
                <wp:positionV relativeFrom="paragraph">
                  <wp:posOffset>59055</wp:posOffset>
                </wp:positionV>
                <wp:extent cx="685800" cy="297180"/>
                <wp:effectExtent l="4445" t="4445" r="14605" b="22225"/>
                <wp:wrapNone/>
                <wp:docPr id="49" name="矩形 49"/>
                <wp:cNvGraphicFramePr/>
                <a:graphic xmlns:a="http://schemas.openxmlformats.org/drawingml/2006/main">
                  <a:graphicData uri="http://schemas.microsoft.com/office/word/2010/wordprocessingShape">
                    <wps:wsp>
                      <wps:cNvSpPr/>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混合材</w:t>
                            </w:r>
                          </w:p>
                        </w:txbxContent>
                      </wps:txbx>
                      <wps:bodyPr upright="1"/>
                    </wps:wsp>
                  </a:graphicData>
                </a:graphic>
              </wp:anchor>
            </w:drawing>
          </mc:Choice>
          <mc:Fallback>
            <w:pict>
              <v:rect id="_x0000_s1026" o:spid="_x0000_s1026" o:spt="1" style="position:absolute;left:0pt;margin-left:266.95pt;margin-top:4.65pt;height:23.4pt;width:54pt;z-index:251813888;mso-width-relative:page;mso-height-relative:page;" fillcolor="#FFFFFF" filled="t" stroked="t" coordsize="21600,21600" o:gfxdata="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xtB&#10;KNYAAAAIAQAADwAAAAAAAAABACAAAAAiAAAAZHJzL2Rvd25yZXYueG1sUEsBAhQAFAAAAAgAh07i&#10;QNIPvtDrAQAA3AMAAA4AAAAAAAAAAQAgAAAAJQEAAGRycy9lMm9Eb2MueG1sUEsFBgAAAAAGAAYA&#10;WQEAAIIFAAAAAA==&#10;">
                <v:fill on="t" focussize="0,0"/>
                <v:stroke color="#000000" joinstyle="miter"/>
                <v:imagedata o:title=""/>
                <o:lock v:ext="edit" aspectratio="f"/>
                <v:textbox>
                  <w:txbxContent>
                    <w:p>
                      <w:pPr>
                        <w:jc w:val="center"/>
                        <w:rPr>
                          <w:rFonts w:hint="eastAsia"/>
                          <w:sz w:val="21"/>
                          <w:szCs w:val="21"/>
                        </w:rPr>
                      </w:pPr>
                      <w:r>
                        <w:rPr>
                          <w:rFonts w:hint="eastAsia"/>
                          <w:sz w:val="21"/>
                          <w:szCs w:val="21"/>
                        </w:rPr>
                        <w:t>混合材</w:t>
                      </w:r>
                    </w:p>
                  </w:txbxContent>
                </v:textbox>
              </v:rect>
            </w:pict>
          </mc:Fallback>
        </mc:AlternateContent>
      </w:r>
      <w:r>
        <w:rPr>
          <w:rFonts w:hint="eastAsia" w:ascii="宋体" w:hAnsi="宋体"/>
        </w:rPr>
        <mc:AlternateContent>
          <mc:Choice Requires="wps">
            <w:drawing>
              <wp:anchor distT="0" distB="0" distL="114300" distR="114300" simplePos="0" relativeHeight="251810816" behindDoc="0" locked="0" layoutInCell="1" allowOverlap="1">
                <wp:simplePos x="0" y="0"/>
                <wp:positionH relativeFrom="column">
                  <wp:posOffset>1551305</wp:posOffset>
                </wp:positionH>
                <wp:positionV relativeFrom="paragraph">
                  <wp:posOffset>31750</wp:posOffset>
                </wp:positionV>
                <wp:extent cx="1420495" cy="332740"/>
                <wp:effectExtent l="4445" t="4445" r="22860" b="5715"/>
                <wp:wrapNone/>
                <wp:docPr id="38" name="矩形 38"/>
                <wp:cNvGraphicFramePr/>
                <a:graphic xmlns:a="http://schemas.openxmlformats.org/drawingml/2006/main">
                  <a:graphicData uri="http://schemas.microsoft.com/office/word/2010/wordprocessingShape">
                    <wps:wsp>
                      <wps:cNvSpPr/>
                      <wps:spPr>
                        <a:xfrm>
                          <a:off x="0" y="0"/>
                          <a:ext cx="1420495" cy="3327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煅烧</w:t>
                            </w:r>
                            <w:r>
                              <w:rPr>
                                <w:rFonts w:hint="eastAsia" w:ascii="宋体" w:hAnsi="宋体"/>
                                <w:sz w:val="21"/>
                                <w:szCs w:val="21"/>
                              </w:rPr>
                              <w:t>※</w:t>
                            </w:r>
                            <w:r>
                              <w:rPr>
                                <w:rFonts w:hint="eastAsia"/>
                                <w:sz w:val="21"/>
                                <w:szCs w:val="21"/>
                              </w:rPr>
                              <w:t>（SO</w:t>
                            </w:r>
                            <w:r>
                              <w:rPr>
                                <w:rFonts w:hint="eastAsia"/>
                                <w:sz w:val="21"/>
                                <w:szCs w:val="21"/>
                                <w:vertAlign w:val="subscript"/>
                              </w:rPr>
                              <w:t>2</w:t>
                            </w:r>
                            <w:r>
                              <w:rPr>
                                <w:rFonts w:hint="eastAsia"/>
                                <w:sz w:val="21"/>
                                <w:szCs w:val="21"/>
                              </w:rPr>
                              <w:t>、NOx）</w:t>
                            </w:r>
                          </w:p>
                          <w:p/>
                        </w:txbxContent>
                      </wps:txbx>
                      <wps:bodyPr upright="1"/>
                    </wps:wsp>
                  </a:graphicData>
                </a:graphic>
              </wp:anchor>
            </w:drawing>
          </mc:Choice>
          <mc:Fallback>
            <w:pict>
              <v:rect id="_x0000_s1026" o:spid="_x0000_s1026" o:spt="1" style="position:absolute;left:0pt;margin-left:122.15pt;margin-top:2.5pt;height:26.2pt;width:111.85pt;z-index:251810816;mso-width-relative:page;mso-height-relative:page;" fillcolor="#FFFFFF" filled="t" stroked="t" coordsize="21600,21600" o:gfxdata="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LaZ3O&#10;1gAAAAgBAAAPAAAAAAAAAAEAIAAAACIAAABkcnMvZG93bnJldi54bWxQSwECFAAUAAAACACHTuJA&#10;0k9ly+oBAADdAwAADgAAAAAAAAABACAAAAAlAQAAZHJzL2Uyb0RvYy54bWxQSwUGAAAAAAYABgBZ&#10;AQAAgQUAAAAA&#10;">
                <v:fill on="t" focussize="0,0"/>
                <v:stroke color="#000000" joinstyle="miter"/>
                <v:imagedata o:title=""/>
                <o:lock v:ext="edit" aspectratio="f"/>
                <v:textbox>
                  <w:txbxContent>
                    <w:p>
                      <w:pPr>
                        <w:rPr>
                          <w:rFonts w:hint="eastAsia"/>
                          <w:sz w:val="21"/>
                          <w:szCs w:val="21"/>
                        </w:rPr>
                      </w:pPr>
                      <w:r>
                        <w:rPr>
                          <w:rFonts w:hint="eastAsia"/>
                          <w:sz w:val="21"/>
                          <w:szCs w:val="21"/>
                        </w:rPr>
                        <w:t>煅烧</w:t>
                      </w:r>
                      <w:r>
                        <w:rPr>
                          <w:rFonts w:hint="eastAsia" w:ascii="宋体" w:hAnsi="宋体"/>
                          <w:sz w:val="21"/>
                          <w:szCs w:val="21"/>
                        </w:rPr>
                        <w:t>※</w:t>
                      </w:r>
                      <w:r>
                        <w:rPr>
                          <w:rFonts w:hint="eastAsia"/>
                          <w:sz w:val="21"/>
                          <w:szCs w:val="21"/>
                        </w:rPr>
                        <w:t>（SO</w:t>
                      </w:r>
                      <w:r>
                        <w:rPr>
                          <w:rFonts w:hint="eastAsia"/>
                          <w:sz w:val="21"/>
                          <w:szCs w:val="21"/>
                          <w:vertAlign w:val="subscript"/>
                        </w:rPr>
                        <w:t>2</w:t>
                      </w:r>
                      <w:r>
                        <w:rPr>
                          <w:rFonts w:hint="eastAsia"/>
                          <w:sz w:val="21"/>
                          <w:szCs w:val="21"/>
                        </w:rPr>
                        <w:t>、NOx）</w:t>
                      </w:r>
                    </w:p>
                    <w:p/>
                  </w:txbxContent>
                </v:textbox>
              </v:rect>
            </w:pict>
          </mc:Fallback>
        </mc:AlternateContent>
      </w:r>
      <w:r>
        <w:rPr>
          <w:rFonts w:hint="eastAsia" w:ascii="宋体" w:hAnsi="宋体"/>
        </w:rPr>
        <mc:AlternateContent>
          <mc:Choice Requires="wps">
            <w:drawing>
              <wp:anchor distT="0" distB="0" distL="114300" distR="114300" simplePos="0" relativeHeight="251815936" behindDoc="0" locked="0" layoutInCell="1" allowOverlap="1">
                <wp:simplePos x="0" y="0"/>
                <wp:positionH relativeFrom="column">
                  <wp:posOffset>398780</wp:posOffset>
                </wp:positionH>
                <wp:positionV relativeFrom="paragraph">
                  <wp:posOffset>16510</wp:posOffset>
                </wp:positionV>
                <wp:extent cx="800100" cy="297180"/>
                <wp:effectExtent l="4445" t="4445" r="14605" b="22225"/>
                <wp:wrapNone/>
                <wp:docPr id="42" name="矩形 42"/>
                <wp:cNvGraphicFramePr/>
                <a:graphic xmlns:a="http://schemas.openxmlformats.org/drawingml/2006/main">
                  <a:graphicData uri="http://schemas.microsoft.com/office/word/2010/wordprocessingShape">
                    <wps:wsp>
                      <wps:cNvSpPr/>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破碎</w:t>
                            </w:r>
                            <w:r>
                              <w:rPr>
                                <w:rFonts w:hint="eastAsia" w:ascii="宋体" w:hAnsi="宋体"/>
                                <w:sz w:val="21"/>
                                <w:szCs w:val="21"/>
                              </w:rPr>
                              <w:t>※</w:t>
                            </w:r>
                            <w:r>
                              <w:rPr>
                                <w:rFonts w:hint="eastAsia"/>
                                <w:sz w:val="21"/>
                                <w:szCs w:val="21"/>
                              </w:rPr>
                              <w:t>△</w:t>
                            </w:r>
                          </w:p>
                        </w:txbxContent>
                      </wps:txbx>
                      <wps:bodyPr upright="1"/>
                    </wps:wsp>
                  </a:graphicData>
                </a:graphic>
              </wp:anchor>
            </w:drawing>
          </mc:Choice>
          <mc:Fallback>
            <w:pict>
              <v:rect id="_x0000_s1026" o:spid="_x0000_s1026" o:spt="1" style="position:absolute;left:0pt;margin-left:31.4pt;margin-top:1.3pt;height:23.4pt;width:63pt;z-index:251815936;mso-width-relative:page;mso-height-relative:page;" fillcolor="#FFFFFF" filled="t" stroked="t" coordsize="21600,21600" o:gfxdata="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ZF1eG1AAA&#10;AAcBAAAPAAAAAAAAAAEAIAAAACIAAABkcnMvZG93bnJldi54bWxQSwECFAAUAAAACACHTuJAhDQW&#10;WekBAADcAwAADgAAAAAAAAABACAAAAAjAQAAZHJzL2Uyb0RvYy54bWxQSwUGAAAAAAYABgBZAQAA&#10;fgUAAAAA&#10;">
                <v:fill on="t" focussize="0,0"/>
                <v:stroke color="#000000" joinstyle="miter"/>
                <v:imagedata o:title=""/>
                <o:lock v:ext="edit" aspectratio="f"/>
                <v:textbox>
                  <w:txbxContent>
                    <w:p>
                      <w:pPr>
                        <w:jc w:val="center"/>
                        <w:rPr>
                          <w:rFonts w:hint="eastAsia"/>
                          <w:sz w:val="21"/>
                          <w:szCs w:val="21"/>
                        </w:rPr>
                      </w:pPr>
                      <w:r>
                        <w:rPr>
                          <w:rFonts w:hint="eastAsia"/>
                          <w:sz w:val="21"/>
                          <w:szCs w:val="21"/>
                        </w:rPr>
                        <w:t>破碎</w:t>
                      </w:r>
                      <w:r>
                        <w:rPr>
                          <w:rFonts w:hint="eastAsia" w:ascii="宋体" w:hAnsi="宋体"/>
                          <w:sz w:val="21"/>
                          <w:szCs w:val="21"/>
                        </w:rPr>
                        <w:t>※</w:t>
                      </w:r>
                      <w:r>
                        <w:rPr>
                          <w:rFonts w:hint="eastAsia"/>
                          <w:sz w:val="21"/>
                          <w:szCs w:val="21"/>
                        </w:rPr>
                        <w:t>△</w:t>
                      </w:r>
                    </w:p>
                  </w:txbxContent>
                </v:textbox>
              </v:rect>
            </w:pict>
          </mc:Fallback>
        </mc:AlternateContent>
      </w:r>
    </w:p>
    <w:p>
      <w:pPr>
        <w:spacing w:line="480" w:lineRule="exact"/>
        <w:ind w:firstLine="471"/>
        <w:rPr>
          <w:rFonts w:hint="eastAsia" w:ascii="宋体" w:hAnsi="宋体"/>
        </w:rPr>
      </w:pPr>
      <w:r>
        <w:rPr>
          <w:rFonts w:hint="eastAsia" w:ascii="宋体" w:hAnsi="宋体"/>
        </w:rPr>
        <mc:AlternateContent>
          <mc:Choice Requires="wps">
            <w:drawing>
              <wp:anchor distT="0" distB="0" distL="114300" distR="114300" simplePos="0" relativeHeight="251837440" behindDoc="0" locked="0" layoutInCell="1" allowOverlap="1">
                <wp:simplePos x="0" y="0"/>
                <wp:positionH relativeFrom="column">
                  <wp:posOffset>3776345</wp:posOffset>
                </wp:positionH>
                <wp:positionV relativeFrom="paragraph">
                  <wp:posOffset>51435</wp:posOffset>
                </wp:positionV>
                <wp:extent cx="0" cy="657225"/>
                <wp:effectExtent l="4445" t="0" r="14605" b="9525"/>
                <wp:wrapNone/>
                <wp:docPr id="43" name="直接连接符 43"/>
                <wp:cNvGraphicFramePr/>
                <a:graphic xmlns:a="http://schemas.openxmlformats.org/drawingml/2006/main">
                  <a:graphicData uri="http://schemas.microsoft.com/office/word/2010/wordprocessingShape">
                    <wps:wsp>
                      <wps:cNvCnPr/>
                      <wps:spPr>
                        <a:xfrm flipH="1">
                          <a:off x="0" y="0"/>
                          <a:ext cx="0" cy="6572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297.35pt;margin-top:4.05pt;height:51.75pt;width:0pt;z-index:251837440;mso-width-relative:page;mso-height-relative:page;" filled="f" stroked="t" coordsize="21600,21600" o:gfxdata="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wx03fWAAAACQEAAA8A&#10;AAAAAAAAAQAgAAAAIgAAAGRycy9kb3ducmV2LnhtbFBLAQIUABQAAAAIAIdO4kCMzlDe4AEAAKED&#10;AAAOAAAAAAAAAAEAIAAAACUBAABkcnMvZTJvRG9jLnhtbFBLBQYAAAAABgAGAFkBAAB3BQAAAAA=&#10;">
                <v:fill on="f" focussize="0,0"/>
                <v:stroke color="#000000" joinstyle="round"/>
                <v:imagedata o:title=""/>
                <o:lock v:ext="edit" aspectratio="f"/>
              </v:line>
            </w:pict>
          </mc:Fallback>
        </mc:AlternateContent>
      </w:r>
      <w:r>
        <w:rPr>
          <w:rFonts w:hint="eastAsia" w:ascii="宋体" w:hAnsi="宋体"/>
        </w:rPr>
        <mc:AlternateContent>
          <mc:Choice Requires="wps">
            <w:drawing>
              <wp:anchor distT="0" distB="0" distL="114300" distR="114300" simplePos="0" relativeHeight="251836416" behindDoc="0" locked="0" layoutInCell="1" allowOverlap="1">
                <wp:simplePos x="0" y="0"/>
                <wp:positionH relativeFrom="column">
                  <wp:posOffset>737870</wp:posOffset>
                </wp:positionH>
                <wp:positionV relativeFrom="paragraph">
                  <wp:posOffset>20955</wp:posOffset>
                </wp:positionV>
                <wp:extent cx="0" cy="693420"/>
                <wp:effectExtent l="4445" t="0" r="14605" b="11430"/>
                <wp:wrapNone/>
                <wp:docPr id="52" name="直接连接符 52"/>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8.1pt;margin-top:1.65pt;height:54.6pt;width:0pt;z-index:251836416;mso-width-relative:page;mso-height-relative:page;" filled="f" stroked="t" coordsize="21600,21600" o:gfxdata="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PumG3UAAAACQEAAA8AAAAAAAAA&#10;AQAgAAAAIgAAAGRycy9kb3ducmV2LnhtbFBLAQIUABQAAAAIAIdO4kBXPGGo3AEAAJcDAAAOAAAA&#10;AAAAAAEAIAAAACMBAABkcnMvZTJvRG9jLnhtbFBLBQYAAAAABgAGAFkBAABxBQAAAAA=&#10;">
                <v:fill on="f" focussize="0,0"/>
                <v:stroke color="#000000" joinstyle="round"/>
                <v:imagedata o:title=""/>
                <o:lock v:ext="edit" aspectratio="f"/>
              </v:line>
            </w:pict>
          </mc:Fallback>
        </mc:AlternateContent>
      </w:r>
      <w:r>
        <w:rPr>
          <w:rFonts w:hint="eastAsia" w:ascii="宋体" w:hAnsi="宋体"/>
        </w:rPr>
        <mc:AlternateContent>
          <mc:Choice Requires="wps">
            <w:drawing>
              <wp:anchor distT="0" distB="0" distL="114300" distR="114300" simplePos="0" relativeHeight="251807744" behindDoc="0" locked="0" layoutInCell="1" allowOverlap="1">
                <wp:simplePos x="0" y="0"/>
                <wp:positionH relativeFrom="column">
                  <wp:posOffset>2037715</wp:posOffset>
                </wp:positionH>
                <wp:positionV relativeFrom="paragraph">
                  <wp:posOffset>82550</wp:posOffset>
                </wp:positionV>
                <wp:extent cx="0" cy="396240"/>
                <wp:effectExtent l="38100" t="0" r="38100" b="3810"/>
                <wp:wrapNone/>
                <wp:docPr id="50" name="直接连接符 50"/>
                <wp:cNvGraphicFramePr/>
                <a:graphic xmlns:a="http://schemas.openxmlformats.org/drawingml/2006/main">
                  <a:graphicData uri="http://schemas.microsoft.com/office/word/2010/wordprocessingShape">
                    <wps:wsp>
                      <wps:cNvCnPr/>
                      <wps:spPr>
                        <a:xfrm flipH="1">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60.45pt;margin-top:6.5pt;height:31.2pt;width:0pt;z-index:251807744;mso-width-relative:page;mso-height-relative:page;" filled="f" stroked="t" coordsize="21600,21600" o:gfxdata="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S5&#10;9I7YAAAACQEAAA8AAAAAAAAAAQAgAAAAIgAAAGRycy9kb3ducmV2LnhtbFBLAQIUABQAAAAIAIdO&#10;4kBO5SHi6gEAAKUDAAAOAAAAAAAAAAEAIAAAACcBAABkcnMvZTJvRG9jLnhtbFBLBQYAAAAABgAG&#10;AFkBAACDBQAAAAA=&#10;">
                <v:fill on="f" focussize="0,0"/>
                <v:stroke color="#000000" joinstyle="round" endarrow="block"/>
                <v:imagedata o:title=""/>
                <o:lock v:ext="edit" aspectratio="f"/>
              </v:line>
            </w:pict>
          </mc:Fallback>
        </mc:AlternateContent>
      </w:r>
    </w:p>
    <w:p>
      <w:pPr>
        <w:spacing w:line="480" w:lineRule="exact"/>
        <w:ind w:firstLine="471"/>
        <w:rPr>
          <w:rFonts w:hint="eastAsia" w:ascii="宋体" w:hAnsi="宋体"/>
        </w:rPr>
      </w:pPr>
      <w:r>
        <w:rPr>
          <w:rFonts w:hint="eastAsia" w:ascii="宋体" w:hAnsi="宋体"/>
        </w:rPr>
        <mc:AlternateContent>
          <mc:Choice Requires="wps">
            <w:drawing>
              <wp:anchor distT="0" distB="0" distL="114300" distR="114300" simplePos="0" relativeHeight="251811840" behindDoc="0" locked="0" layoutInCell="1" allowOverlap="1">
                <wp:simplePos x="0" y="0"/>
                <wp:positionH relativeFrom="column">
                  <wp:posOffset>1656715</wp:posOffset>
                </wp:positionH>
                <wp:positionV relativeFrom="paragraph">
                  <wp:posOffset>194945</wp:posOffset>
                </wp:positionV>
                <wp:extent cx="972185" cy="297180"/>
                <wp:effectExtent l="4445" t="4445" r="13970" b="22225"/>
                <wp:wrapNone/>
                <wp:docPr id="27" name="矩形 27"/>
                <wp:cNvGraphicFramePr/>
                <a:graphic xmlns:a="http://schemas.openxmlformats.org/drawingml/2006/main">
                  <a:graphicData uri="http://schemas.microsoft.com/office/word/2010/wordprocessingShape">
                    <wps:wsp>
                      <wps:cNvSpPr/>
                      <wps:spPr>
                        <a:xfrm>
                          <a:off x="0" y="0"/>
                          <a:ext cx="97218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水泥磨</w:t>
                            </w:r>
                            <w:r>
                              <w:rPr>
                                <w:rFonts w:hint="eastAsia" w:ascii="宋体" w:hAnsi="宋体"/>
                                <w:sz w:val="21"/>
                                <w:szCs w:val="21"/>
                              </w:rPr>
                              <w:t>※</w:t>
                            </w:r>
                            <w:r>
                              <w:rPr>
                                <w:rFonts w:hint="eastAsia"/>
                                <w:sz w:val="21"/>
                                <w:szCs w:val="21"/>
                              </w:rPr>
                              <w:t>△</w:t>
                            </w:r>
                          </w:p>
                        </w:txbxContent>
                      </wps:txbx>
                      <wps:bodyPr upright="1"/>
                    </wps:wsp>
                  </a:graphicData>
                </a:graphic>
              </wp:anchor>
            </w:drawing>
          </mc:Choice>
          <mc:Fallback>
            <w:pict>
              <v:rect id="_x0000_s1026" o:spid="_x0000_s1026" o:spt="1" style="position:absolute;left:0pt;margin-left:130.45pt;margin-top:15.35pt;height:23.4pt;width:76.55pt;z-index:251811840;mso-width-relative:page;mso-height-relative:page;" fillcolor="#FFFFFF" filled="t" stroked="t" coordsize="21600,21600" o:gfxdata="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f4ijk&#10;2AAAAAkBAAAPAAAAAAAAAAEAIAAAACIAAABkcnMvZG93bnJldi54bWxQSwECFAAUAAAACACHTuJA&#10;zXcH1egBAADcAwAADgAAAAAAAAABACAAAAAnAQAAZHJzL2Uyb0RvYy54bWxQSwUGAAAAAAYABgBZ&#10;AQAAgQUAAAAA&#10;">
                <v:fill on="t" focussize="0,0"/>
                <v:stroke color="#000000" joinstyle="miter"/>
                <v:imagedata o:title=""/>
                <o:lock v:ext="edit" aspectratio="f"/>
                <v:textbox>
                  <w:txbxContent>
                    <w:p>
                      <w:pPr>
                        <w:rPr>
                          <w:rFonts w:hint="eastAsia"/>
                          <w:sz w:val="21"/>
                          <w:szCs w:val="21"/>
                        </w:rPr>
                      </w:pPr>
                      <w:r>
                        <w:rPr>
                          <w:rFonts w:hint="eastAsia"/>
                          <w:sz w:val="21"/>
                          <w:szCs w:val="21"/>
                        </w:rPr>
                        <w:t>水泥磨</w:t>
                      </w:r>
                      <w:r>
                        <w:rPr>
                          <w:rFonts w:hint="eastAsia" w:ascii="宋体" w:hAnsi="宋体"/>
                          <w:sz w:val="21"/>
                          <w:szCs w:val="21"/>
                        </w:rPr>
                        <w:t>※</w:t>
                      </w:r>
                      <w:r>
                        <w:rPr>
                          <w:rFonts w:hint="eastAsia"/>
                          <w:sz w:val="21"/>
                          <w:szCs w:val="21"/>
                        </w:rPr>
                        <w:t>△</w:t>
                      </w:r>
                    </w:p>
                  </w:txbxContent>
                </v:textbox>
              </v:rect>
            </w:pict>
          </mc:Fallback>
        </mc:AlternateContent>
      </w:r>
    </w:p>
    <w:p>
      <w:pPr>
        <w:spacing w:line="480" w:lineRule="exact"/>
        <w:ind w:firstLine="471"/>
        <w:rPr>
          <w:rFonts w:hint="eastAsia" w:ascii="宋体" w:hAnsi="宋体"/>
        </w:rPr>
      </w:pPr>
      <w:r>
        <w:rPr>
          <w:rFonts w:hint="eastAsia" w:ascii="宋体" w:hAnsi="宋体"/>
        </w:rPr>
        <mc:AlternateContent>
          <mc:Choice Requires="wps">
            <w:drawing>
              <wp:anchor distT="0" distB="0" distL="114300" distR="114300" simplePos="0" relativeHeight="251838464" behindDoc="0" locked="0" layoutInCell="1" allowOverlap="1">
                <wp:simplePos x="0" y="0"/>
                <wp:positionH relativeFrom="column">
                  <wp:posOffset>2628900</wp:posOffset>
                </wp:positionH>
                <wp:positionV relativeFrom="paragraph">
                  <wp:posOffset>106680</wp:posOffset>
                </wp:positionV>
                <wp:extent cx="1143000" cy="0"/>
                <wp:effectExtent l="0" t="38100" r="0" b="38100"/>
                <wp:wrapNone/>
                <wp:docPr id="25" name="直接连接符 25"/>
                <wp:cNvGraphicFramePr/>
                <a:graphic xmlns:a="http://schemas.openxmlformats.org/drawingml/2006/main">
                  <a:graphicData uri="http://schemas.microsoft.com/office/word/2010/wordprocessingShape">
                    <wps:wsp>
                      <wps:cNvCnPr/>
                      <wps:spPr>
                        <a:xfrm flipH="1">
                          <a:off x="0" y="0"/>
                          <a:ext cx="11430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7pt;margin-top:8.4pt;height:0pt;width:90pt;z-index:251838464;mso-width-relative:page;mso-height-relative:page;" filled="f" stroked="t" coordsize="21600,21600" o:gfxdata="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wBy&#10;h9cAAAAJAQAADwAAAAAAAAABACAAAAAiAAAAZHJzL2Rvd25yZXYueG1sUEsBAhQAFAAAAAgAh07i&#10;QPudQanqAQAApgMAAA4AAAAAAAAAAQAgAAAAJgEAAGRycy9lMm9Eb2MueG1sUEsFBgAAAAAGAAYA&#10;WQEAAIIFAAAA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816960" behindDoc="0" locked="0" layoutInCell="1" allowOverlap="1">
                <wp:simplePos x="0" y="0"/>
                <wp:positionH relativeFrom="column">
                  <wp:posOffset>742315</wp:posOffset>
                </wp:positionH>
                <wp:positionV relativeFrom="paragraph">
                  <wp:posOffset>109220</wp:posOffset>
                </wp:positionV>
                <wp:extent cx="914400" cy="0"/>
                <wp:effectExtent l="0" t="38100" r="0" b="38100"/>
                <wp:wrapNone/>
                <wp:docPr id="39" name="直接连接符 39"/>
                <wp:cNvGraphicFramePr/>
                <a:graphic xmlns:a="http://schemas.openxmlformats.org/drawingml/2006/main">
                  <a:graphicData uri="http://schemas.microsoft.com/office/word/2010/wordprocessingShape">
                    <wps:wsp>
                      <wps:cNvCnPr/>
                      <wps:spPr>
                        <a:xfrm>
                          <a:off x="0" y="0"/>
                          <a:ext cx="9144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8.45pt;margin-top:8.6pt;height:0pt;width:72pt;z-index:251816960;mso-width-relative:page;mso-height-relative:page;" filled="f" stroked="t" coordsize="21600,21600" o:gfxdata="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dxB/dcAAAAJAQAA&#10;DwAAAAAAAAABACAAAAAiAAAAZHJzL2Rvd25yZXYueG1sUEsBAhQAFAAAAAgAh07iQO/0slfhAQAA&#10;mwMAAA4AAAAAAAAAAQAgAAAAJgEAAGRycy9lMm9Eb2MueG1sUEsFBgAAAAAGAAYAWQEAAHkFAAAA&#10;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805696" behindDoc="0" locked="0" layoutInCell="1" allowOverlap="1">
                <wp:simplePos x="0" y="0"/>
                <wp:positionH relativeFrom="column">
                  <wp:posOffset>2009140</wp:posOffset>
                </wp:positionH>
                <wp:positionV relativeFrom="paragraph">
                  <wp:posOffset>191135</wp:posOffset>
                </wp:positionV>
                <wp:extent cx="0" cy="297180"/>
                <wp:effectExtent l="38100" t="0" r="38100" b="7620"/>
                <wp:wrapNone/>
                <wp:docPr id="41" name="直接连接符 4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8.2pt;margin-top:15.05pt;height:23.4pt;width:0pt;z-index:251805696;mso-width-relative:page;mso-height-relative:page;" filled="f" stroked="t" coordsize="21600,21600" o:gfxdata="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J3uGI2AAAAAkB&#10;AAAPAAAAAAAAAAEAIAAAACIAAABkcnMvZG93bnJldi54bWxQSwECFAAUAAAACACHTuJAjgcPTuIB&#10;AACbAwAADgAAAAAAAAABACAAAAAnAQAAZHJzL2Uyb0RvYy54bWxQSwUGAAAAAAYABgBZAQAAewUA&#10;AAAA&#10;">
                <v:fill on="f" focussize="0,0"/>
                <v:stroke color="#000000" joinstyle="round" endarrow="block"/>
                <v:imagedata o:title=""/>
                <o:lock v:ext="edit" aspectratio="f"/>
              </v:line>
            </w:pict>
          </mc:Fallback>
        </mc:AlternateContent>
      </w:r>
    </w:p>
    <w:p>
      <w:pPr>
        <w:spacing w:line="480" w:lineRule="exact"/>
        <w:ind w:firstLine="471"/>
        <w:rPr>
          <w:rFonts w:hint="eastAsia" w:ascii="宋体" w:hAnsi="宋体"/>
        </w:rPr>
      </w:pPr>
      <w:r>
        <w:rPr>
          <w:rFonts w:hint="eastAsia" w:ascii="宋体" w:hAnsi="宋体"/>
        </w:rPr>
        <mc:AlternateContent>
          <mc:Choice Requires="wps">
            <w:drawing>
              <wp:anchor distT="0" distB="0" distL="114300" distR="114300" simplePos="0" relativeHeight="251812864" behindDoc="0" locked="0" layoutInCell="1" allowOverlap="1">
                <wp:simplePos x="0" y="0"/>
                <wp:positionH relativeFrom="column">
                  <wp:posOffset>1675130</wp:posOffset>
                </wp:positionH>
                <wp:positionV relativeFrom="paragraph">
                  <wp:posOffset>187325</wp:posOffset>
                </wp:positionV>
                <wp:extent cx="800100" cy="297180"/>
                <wp:effectExtent l="4445" t="4445" r="14605" b="22225"/>
                <wp:wrapNone/>
                <wp:docPr id="45" name="矩形 45"/>
                <wp:cNvGraphicFramePr/>
                <a:graphic xmlns:a="http://schemas.openxmlformats.org/drawingml/2006/main">
                  <a:graphicData uri="http://schemas.microsoft.com/office/word/2010/wordprocessingShape">
                    <wps:wsp>
                      <wps:cNvSpPr/>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包装＃</w:t>
                            </w:r>
                          </w:p>
                        </w:txbxContent>
                      </wps:txbx>
                      <wps:bodyPr upright="1"/>
                    </wps:wsp>
                  </a:graphicData>
                </a:graphic>
              </wp:anchor>
            </w:drawing>
          </mc:Choice>
          <mc:Fallback>
            <w:pict>
              <v:rect id="_x0000_s1026" o:spid="_x0000_s1026" o:spt="1" style="position:absolute;left:0pt;margin-left:131.9pt;margin-top:14.75pt;height:23.4pt;width:63pt;z-index:251812864;mso-width-relative:page;mso-height-relative:page;" fillcolor="#FFFFFF" filled="t" stroked="t" coordsize="21600,21600" o:gfxdata="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P6I&#10;mdgAAAAJAQAADwAAAAAAAAABACAAAAAiAAAAZHJzL2Rvd25yZXYueG1sUEsBAhQAFAAAAAgAh07i&#10;QEb7QoDpAQAA3AMAAA4AAAAAAAAAAQAgAAAAJwEAAGRycy9lMm9Eb2MueG1sUEsFBgAAAAAGAAYA&#10;WQEAAIIFAAAAAA==&#10;">
                <v:fill on="t" focussize="0,0"/>
                <v:stroke color="#000000" joinstyle="miter"/>
                <v:imagedata o:title=""/>
                <o:lock v:ext="edit" aspectratio="f"/>
                <v:textbox>
                  <w:txbxContent>
                    <w:p>
                      <w:pPr>
                        <w:rPr>
                          <w:rFonts w:hint="eastAsia"/>
                          <w:sz w:val="21"/>
                          <w:szCs w:val="21"/>
                        </w:rPr>
                      </w:pPr>
                      <w:r>
                        <w:rPr>
                          <w:rFonts w:hint="eastAsia"/>
                          <w:sz w:val="21"/>
                          <w:szCs w:val="21"/>
                        </w:rPr>
                        <w:t>包装＃</w:t>
                      </w:r>
                    </w:p>
                  </w:txbxContent>
                </v:textbox>
              </v:rect>
            </w:pict>
          </mc:Fallback>
        </mc:AlternateContent>
      </w:r>
    </w:p>
    <w:p>
      <w:pPr>
        <w:spacing w:line="480" w:lineRule="exact"/>
        <w:ind w:firstLine="471"/>
        <w:rPr>
          <w:rFonts w:hint="eastAsia" w:ascii="宋体" w:hAnsi="宋体"/>
        </w:rPr>
      </w:pPr>
    </w:p>
    <w:p>
      <w:pPr>
        <w:spacing w:line="480" w:lineRule="exact"/>
        <w:ind w:firstLine="471"/>
        <w:rPr>
          <w:rFonts w:hint="eastAsia" w:ascii="宋体" w:hAnsi="宋体"/>
          <w:sz w:val="21"/>
          <w:szCs w:val="21"/>
        </w:rPr>
      </w:pPr>
      <w:r>
        <w:rPr>
          <w:rFonts w:hint="eastAsia" w:ascii="宋体" w:hAnsi="宋体"/>
          <w:sz w:val="21"/>
          <w:szCs w:val="21"/>
        </w:rPr>
        <w:t>注：※为产尘点，△为噪声产生点</w:t>
      </w:r>
    </w:p>
    <w:p>
      <w:pPr>
        <w:spacing w:line="480" w:lineRule="exact"/>
        <w:jc w:val="center"/>
        <w:rPr>
          <w:rFonts w:hint="eastAsia" w:ascii="宋体" w:hAnsi="宋体"/>
          <w:b/>
        </w:rPr>
      </w:pPr>
    </w:p>
    <w:p>
      <w:pPr>
        <w:spacing w:line="480" w:lineRule="exact"/>
        <w:jc w:val="center"/>
        <w:rPr>
          <w:rFonts w:hint="eastAsia" w:ascii="宋体" w:hAnsi="宋体"/>
          <w:b/>
        </w:rPr>
      </w:pPr>
      <w:r>
        <w:rPr>
          <w:rFonts w:hint="eastAsia" w:ascii="宋体" w:hAnsi="宋体"/>
          <w:b/>
        </w:rPr>
        <w:t>图2.2  现有水泥厂生产工艺流程</w:t>
      </w:r>
      <w:r>
        <w:rPr>
          <w:rFonts w:hint="eastAsia"/>
          <w:b/>
        </w:rPr>
        <w:t>及主要排污环节图</w:t>
      </w:r>
    </w:p>
    <w:p>
      <w:pPr>
        <w:spacing w:line="480" w:lineRule="exact"/>
        <w:rPr>
          <w:rFonts w:hint="eastAsia" w:ascii="宋体" w:hAnsi="宋体"/>
        </w:rPr>
      </w:pPr>
    </w:p>
    <w:p>
      <w:pPr>
        <w:spacing w:line="360" w:lineRule="auto"/>
        <w:outlineLvl w:val="1"/>
        <w:rPr>
          <w:rFonts w:hint="eastAsia"/>
          <w:b/>
          <w:szCs w:val="20"/>
        </w:rPr>
      </w:pPr>
      <w:bookmarkStart w:id="64" w:name="_Toc202167838"/>
      <w:bookmarkStart w:id="65" w:name="_Toc276372227"/>
      <w:r>
        <w:rPr>
          <w:rFonts w:hint="eastAsia"/>
          <w:b/>
          <w:szCs w:val="20"/>
        </w:rPr>
        <w:t>2.7 污染物产生、治理及排放情况</w:t>
      </w:r>
      <w:bookmarkEnd w:id="64"/>
      <w:bookmarkEnd w:id="65"/>
    </w:p>
    <w:p>
      <w:pPr>
        <w:spacing w:line="360" w:lineRule="auto"/>
        <w:outlineLvl w:val="2"/>
        <w:rPr>
          <w:rFonts w:hint="eastAsia"/>
          <w:b/>
          <w:bCs/>
          <w:szCs w:val="20"/>
        </w:rPr>
      </w:pPr>
      <w:r>
        <w:rPr>
          <w:rFonts w:hint="eastAsia"/>
          <w:b/>
          <w:bCs/>
          <w:szCs w:val="20"/>
        </w:rPr>
        <w:t>2.7.1 废气</w:t>
      </w:r>
    </w:p>
    <w:p>
      <w:pPr>
        <w:spacing w:line="480" w:lineRule="exact"/>
        <w:ind w:firstLine="420" w:firstLineChars="200"/>
        <w:rPr>
          <w:rFonts w:hint="eastAsia" w:ascii="宋体" w:hAnsi="宋体"/>
        </w:rPr>
      </w:pPr>
      <w:r>
        <w:rPr>
          <w:rFonts w:hint="eastAsia"/>
        </w:rPr>
        <w:t>（</w:t>
      </w:r>
      <w:r>
        <w:rPr>
          <w:rFonts w:hint="eastAsia" w:ascii="宋体" w:hAnsi="宋体"/>
        </w:rPr>
        <w:t>1）有组织排放</w:t>
      </w:r>
    </w:p>
    <w:p>
      <w:pPr>
        <w:spacing w:line="480" w:lineRule="exact"/>
        <w:ind w:firstLine="420" w:firstLineChars="200"/>
        <w:rPr>
          <w:rFonts w:hint="eastAsia" w:ascii="宋体" w:hAnsi="宋体"/>
          <w:snapToGrid w:val="0"/>
          <w:kern w:val="0"/>
        </w:rPr>
      </w:pPr>
      <w:r>
        <w:rPr>
          <w:rFonts w:hint="eastAsia" w:ascii="宋体" w:hAnsi="宋体"/>
        </w:rPr>
        <w:t>主要污染物是烟（粉）尘、SO</w:t>
      </w:r>
      <w:r>
        <w:rPr>
          <w:rFonts w:hint="eastAsia" w:ascii="宋体" w:hAnsi="宋体"/>
          <w:vertAlign w:val="subscript"/>
        </w:rPr>
        <w:t>2</w:t>
      </w:r>
      <w:r>
        <w:rPr>
          <w:rFonts w:hint="eastAsia" w:ascii="宋体" w:hAnsi="宋体"/>
        </w:rPr>
        <w:t>、NOx，粉尘产生于物料破碎、预均化、磨粉、输送、储存、装卸等生产过程，烟尘、SO</w:t>
      </w:r>
      <w:r>
        <w:rPr>
          <w:rFonts w:hint="eastAsia" w:ascii="宋体" w:hAnsi="宋体"/>
          <w:vertAlign w:val="subscript"/>
        </w:rPr>
        <w:t>2</w:t>
      </w:r>
      <w:r>
        <w:rPr>
          <w:rFonts w:hint="eastAsia" w:ascii="宋体" w:hAnsi="宋体"/>
        </w:rPr>
        <w:t>、NOx产生于窑煅烧和物料烘干工序。现有水泥厂有组织排放的污染物产生、治理、排放情况</w:t>
      </w:r>
      <w:r>
        <w:rPr>
          <w:rFonts w:hint="eastAsia" w:ascii="宋体" w:hAnsi="宋体"/>
          <w:snapToGrid w:val="0"/>
          <w:kern w:val="0"/>
        </w:rPr>
        <w:t>见表2-3。</w:t>
      </w:r>
    </w:p>
    <w:p>
      <w:pPr>
        <w:jc w:val="center"/>
        <w:rPr>
          <w:rFonts w:ascii="宋体" w:hAnsi="宋体"/>
          <w:b/>
        </w:rPr>
        <w:sectPr>
          <w:pgSz w:w="11906" w:h="16838"/>
          <w:pgMar w:top="1134" w:right="1418" w:bottom="1134" w:left="1418" w:header="851" w:footer="992" w:gutter="0"/>
          <w:paperSrc w:first="20070" w:other="20070"/>
          <w:cols w:space="425" w:num="1"/>
          <w:docGrid w:linePitch="312" w:charSpace="0"/>
        </w:sectPr>
      </w:pPr>
    </w:p>
    <w:p>
      <w:pPr>
        <w:spacing w:line="480" w:lineRule="exact"/>
        <w:jc w:val="center"/>
        <w:rPr>
          <w:rFonts w:hint="eastAsia" w:ascii="宋体" w:hAnsi="宋体"/>
          <w:b/>
        </w:rPr>
      </w:pPr>
      <w:r>
        <w:rPr>
          <w:rFonts w:hint="eastAsia" w:ascii="宋体" w:hAnsi="宋体"/>
          <w:b/>
        </w:rPr>
        <w:t>表2-3  现有水泥厂大气污染物有组织排放分析表</w:t>
      </w:r>
    </w:p>
    <w:tbl>
      <w:tblPr>
        <w:tblStyle w:val="21"/>
        <w:tblW w:w="13346"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6"/>
        <w:gridCol w:w="904"/>
        <w:gridCol w:w="921"/>
        <w:gridCol w:w="866"/>
        <w:gridCol w:w="1089"/>
        <w:gridCol w:w="1168"/>
        <w:gridCol w:w="1076"/>
        <w:gridCol w:w="1286"/>
        <w:gridCol w:w="1286"/>
        <w:gridCol w:w="1076"/>
        <w:gridCol w:w="1128"/>
        <w:gridCol w:w="108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6" w:hRule="atLeast"/>
        </w:trPr>
        <w:tc>
          <w:tcPr>
            <w:tcW w:w="566" w:type="dxa"/>
            <w:vMerge w:val="restart"/>
            <w:vAlign w:val="center"/>
          </w:tcPr>
          <w:p>
            <w:pPr>
              <w:spacing w:line="240" w:lineRule="exact"/>
              <w:rPr>
                <w:sz w:val="21"/>
                <w:szCs w:val="21"/>
              </w:rPr>
            </w:pPr>
            <w:r>
              <w:rPr>
                <w:sz w:val="21"/>
                <w:szCs w:val="21"/>
              </w:rPr>
              <w:t>序</w:t>
            </w:r>
          </w:p>
          <w:p>
            <w:pPr>
              <w:spacing w:line="240" w:lineRule="exact"/>
              <w:rPr>
                <w:sz w:val="21"/>
                <w:szCs w:val="21"/>
              </w:rPr>
            </w:pPr>
            <w:r>
              <w:rPr>
                <w:sz w:val="21"/>
                <w:szCs w:val="21"/>
              </w:rPr>
              <w:t>号</w:t>
            </w:r>
          </w:p>
        </w:tc>
        <w:tc>
          <w:tcPr>
            <w:tcW w:w="904" w:type="dxa"/>
            <w:vMerge w:val="restart"/>
            <w:vAlign w:val="center"/>
          </w:tcPr>
          <w:p>
            <w:pPr>
              <w:spacing w:line="240" w:lineRule="exact"/>
              <w:rPr>
                <w:sz w:val="21"/>
                <w:szCs w:val="21"/>
              </w:rPr>
            </w:pPr>
            <w:r>
              <w:rPr>
                <w:sz w:val="21"/>
                <w:szCs w:val="21"/>
              </w:rPr>
              <w:t>产生源</w:t>
            </w:r>
          </w:p>
        </w:tc>
        <w:tc>
          <w:tcPr>
            <w:tcW w:w="921" w:type="dxa"/>
            <w:vMerge w:val="restart"/>
            <w:vAlign w:val="center"/>
          </w:tcPr>
          <w:p>
            <w:pPr>
              <w:spacing w:line="240" w:lineRule="exact"/>
              <w:rPr>
                <w:sz w:val="21"/>
                <w:szCs w:val="21"/>
              </w:rPr>
            </w:pPr>
            <w:r>
              <w:rPr>
                <w:sz w:val="21"/>
                <w:szCs w:val="21"/>
              </w:rPr>
              <w:t>污染物</w:t>
            </w:r>
          </w:p>
        </w:tc>
        <w:tc>
          <w:tcPr>
            <w:tcW w:w="866" w:type="dxa"/>
            <w:vMerge w:val="restart"/>
            <w:vAlign w:val="center"/>
          </w:tcPr>
          <w:p>
            <w:pPr>
              <w:spacing w:line="240" w:lineRule="exact"/>
              <w:rPr>
                <w:sz w:val="21"/>
                <w:szCs w:val="21"/>
              </w:rPr>
            </w:pPr>
            <w:r>
              <w:rPr>
                <w:sz w:val="21"/>
                <w:szCs w:val="21"/>
              </w:rPr>
              <w:t>治理</w:t>
            </w:r>
          </w:p>
          <w:p>
            <w:pPr>
              <w:spacing w:line="240" w:lineRule="exact"/>
              <w:rPr>
                <w:sz w:val="21"/>
                <w:szCs w:val="21"/>
              </w:rPr>
            </w:pPr>
            <w:r>
              <w:rPr>
                <w:sz w:val="21"/>
                <w:szCs w:val="21"/>
              </w:rPr>
              <w:t>措施</w:t>
            </w:r>
          </w:p>
        </w:tc>
        <w:tc>
          <w:tcPr>
            <w:tcW w:w="1089" w:type="dxa"/>
            <w:vMerge w:val="restart"/>
            <w:vAlign w:val="center"/>
          </w:tcPr>
          <w:p>
            <w:pPr>
              <w:spacing w:line="240" w:lineRule="exact"/>
              <w:rPr>
                <w:sz w:val="21"/>
                <w:szCs w:val="21"/>
              </w:rPr>
            </w:pPr>
            <w:r>
              <w:rPr>
                <w:sz w:val="21"/>
                <w:szCs w:val="21"/>
              </w:rPr>
              <w:t>废气流量(m</w:t>
            </w:r>
            <w:r>
              <w:rPr>
                <w:sz w:val="21"/>
                <w:szCs w:val="21"/>
                <w:vertAlign w:val="superscript"/>
              </w:rPr>
              <w:t>3</w:t>
            </w:r>
            <w:r>
              <w:rPr>
                <w:sz w:val="21"/>
                <w:szCs w:val="21"/>
              </w:rPr>
              <w:t>/h)</w:t>
            </w:r>
          </w:p>
        </w:tc>
        <w:tc>
          <w:tcPr>
            <w:tcW w:w="1168" w:type="dxa"/>
            <w:vMerge w:val="restart"/>
            <w:vAlign w:val="center"/>
          </w:tcPr>
          <w:p>
            <w:pPr>
              <w:spacing w:line="240" w:lineRule="exact"/>
              <w:rPr>
                <w:sz w:val="21"/>
                <w:szCs w:val="21"/>
              </w:rPr>
            </w:pPr>
            <w:r>
              <w:rPr>
                <w:sz w:val="21"/>
                <w:szCs w:val="21"/>
              </w:rPr>
              <w:t>年运行时间</w:t>
            </w:r>
          </w:p>
        </w:tc>
        <w:tc>
          <w:tcPr>
            <w:tcW w:w="1076" w:type="dxa"/>
            <w:vMerge w:val="restart"/>
            <w:vAlign w:val="center"/>
          </w:tcPr>
          <w:p>
            <w:pPr>
              <w:spacing w:line="240" w:lineRule="exact"/>
              <w:rPr>
                <w:sz w:val="21"/>
                <w:szCs w:val="21"/>
              </w:rPr>
            </w:pPr>
            <w:r>
              <w:rPr>
                <w:sz w:val="21"/>
                <w:szCs w:val="21"/>
              </w:rPr>
              <w:t>浓度(mg/m</w:t>
            </w:r>
            <w:r>
              <w:rPr>
                <w:sz w:val="21"/>
                <w:szCs w:val="21"/>
                <w:vertAlign w:val="superscript"/>
              </w:rPr>
              <w:t>3</w:t>
            </w:r>
            <w:r>
              <w:rPr>
                <w:sz w:val="21"/>
                <w:szCs w:val="21"/>
              </w:rPr>
              <w:t>)</w:t>
            </w:r>
          </w:p>
        </w:tc>
        <w:tc>
          <w:tcPr>
            <w:tcW w:w="1286" w:type="dxa"/>
            <w:vMerge w:val="restart"/>
            <w:vAlign w:val="center"/>
          </w:tcPr>
          <w:p>
            <w:pPr>
              <w:spacing w:line="240" w:lineRule="exact"/>
              <w:rPr>
                <w:sz w:val="21"/>
                <w:szCs w:val="21"/>
              </w:rPr>
            </w:pPr>
            <w:r>
              <w:rPr>
                <w:sz w:val="21"/>
                <w:szCs w:val="21"/>
              </w:rPr>
              <w:t>小时排放量(Kg/h)</w:t>
            </w:r>
          </w:p>
        </w:tc>
        <w:tc>
          <w:tcPr>
            <w:tcW w:w="1286" w:type="dxa"/>
            <w:vMerge w:val="restart"/>
            <w:vAlign w:val="center"/>
          </w:tcPr>
          <w:p>
            <w:pPr>
              <w:spacing w:line="240" w:lineRule="exact"/>
              <w:rPr>
                <w:sz w:val="21"/>
                <w:szCs w:val="21"/>
              </w:rPr>
            </w:pPr>
            <w:r>
              <w:rPr>
                <w:sz w:val="21"/>
                <w:szCs w:val="21"/>
              </w:rPr>
              <w:t>年排放量(t/a)</w:t>
            </w:r>
          </w:p>
        </w:tc>
        <w:tc>
          <w:tcPr>
            <w:tcW w:w="1076" w:type="dxa"/>
            <w:vMerge w:val="restart"/>
            <w:vAlign w:val="center"/>
          </w:tcPr>
          <w:p>
            <w:pPr>
              <w:spacing w:line="240" w:lineRule="exact"/>
              <w:rPr>
                <w:sz w:val="21"/>
                <w:szCs w:val="21"/>
              </w:rPr>
            </w:pPr>
            <w:r>
              <w:rPr>
                <w:sz w:val="21"/>
                <w:szCs w:val="21"/>
              </w:rPr>
              <w:t>吨产品排放量(Kg/t)</w:t>
            </w:r>
          </w:p>
        </w:tc>
        <w:tc>
          <w:tcPr>
            <w:tcW w:w="2208" w:type="dxa"/>
            <w:gridSpan w:val="2"/>
            <w:vAlign w:val="center"/>
          </w:tcPr>
          <w:p>
            <w:pPr>
              <w:spacing w:line="240" w:lineRule="exact"/>
              <w:ind w:firstLine="440"/>
              <w:rPr>
                <w:sz w:val="21"/>
                <w:szCs w:val="21"/>
              </w:rPr>
            </w:pPr>
            <w:r>
              <w:rPr>
                <w:sz w:val="21"/>
                <w:szCs w:val="21"/>
              </w:rPr>
              <w:t>执行标准</w:t>
            </w:r>
          </w:p>
        </w:tc>
        <w:tc>
          <w:tcPr>
            <w:tcW w:w="900" w:type="dxa"/>
            <w:vMerge w:val="restart"/>
            <w:vAlign w:val="center"/>
          </w:tcPr>
          <w:p>
            <w:pPr>
              <w:spacing w:line="240" w:lineRule="exact"/>
              <w:rPr>
                <w:sz w:val="21"/>
                <w:szCs w:val="21"/>
              </w:rPr>
            </w:pPr>
            <w:r>
              <w:rPr>
                <w:sz w:val="21"/>
                <w:szCs w:val="21"/>
              </w:rPr>
              <w:t>达标</w:t>
            </w:r>
          </w:p>
          <w:p>
            <w:pPr>
              <w:spacing w:line="240" w:lineRule="exact"/>
              <w:rPr>
                <w:sz w:val="21"/>
                <w:szCs w:val="21"/>
              </w:rPr>
            </w:pPr>
            <w:r>
              <w:rPr>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02" w:hRule="atLeast"/>
        </w:trPr>
        <w:tc>
          <w:tcPr>
            <w:tcW w:w="566" w:type="dxa"/>
            <w:vMerge w:val="continue"/>
            <w:vAlign w:val="center"/>
          </w:tcPr>
          <w:p>
            <w:pPr>
              <w:spacing w:line="240" w:lineRule="exact"/>
              <w:ind w:firstLine="440"/>
              <w:rPr>
                <w:sz w:val="21"/>
                <w:szCs w:val="21"/>
              </w:rPr>
            </w:pPr>
          </w:p>
        </w:tc>
        <w:tc>
          <w:tcPr>
            <w:tcW w:w="904" w:type="dxa"/>
            <w:vMerge w:val="continue"/>
            <w:vAlign w:val="center"/>
          </w:tcPr>
          <w:p>
            <w:pPr>
              <w:spacing w:line="240" w:lineRule="exact"/>
              <w:ind w:firstLine="440"/>
              <w:rPr>
                <w:sz w:val="21"/>
                <w:szCs w:val="21"/>
              </w:rPr>
            </w:pPr>
          </w:p>
        </w:tc>
        <w:tc>
          <w:tcPr>
            <w:tcW w:w="921" w:type="dxa"/>
            <w:vMerge w:val="continue"/>
            <w:vAlign w:val="center"/>
          </w:tcPr>
          <w:p>
            <w:pPr>
              <w:spacing w:line="240" w:lineRule="exact"/>
              <w:ind w:firstLine="440"/>
              <w:rPr>
                <w:sz w:val="21"/>
                <w:szCs w:val="21"/>
              </w:rPr>
            </w:pPr>
          </w:p>
        </w:tc>
        <w:tc>
          <w:tcPr>
            <w:tcW w:w="866" w:type="dxa"/>
            <w:vMerge w:val="continue"/>
            <w:vAlign w:val="center"/>
          </w:tcPr>
          <w:p>
            <w:pPr>
              <w:spacing w:line="240" w:lineRule="exact"/>
              <w:ind w:firstLine="440"/>
              <w:rPr>
                <w:sz w:val="21"/>
                <w:szCs w:val="21"/>
              </w:rPr>
            </w:pPr>
          </w:p>
        </w:tc>
        <w:tc>
          <w:tcPr>
            <w:tcW w:w="1089" w:type="dxa"/>
            <w:vMerge w:val="continue"/>
            <w:vAlign w:val="center"/>
          </w:tcPr>
          <w:p>
            <w:pPr>
              <w:spacing w:line="240" w:lineRule="exact"/>
              <w:ind w:firstLine="440"/>
              <w:rPr>
                <w:sz w:val="21"/>
                <w:szCs w:val="21"/>
              </w:rPr>
            </w:pPr>
          </w:p>
        </w:tc>
        <w:tc>
          <w:tcPr>
            <w:tcW w:w="1168" w:type="dxa"/>
            <w:vMerge w:val="continue"/>
            <w:vAlign w:val="center"/>
          </w:tcPr>
          <w:p>
            <w:pPr>
              <w:spacing w:line="240" w:lineRule="exact"/>
              <w:ind w:firstLine="440"/>
              <w:rPr>
                <w:sz w:val="21"/>
                <w:szCs w:val="21"/>
              </w:rPr>
            </w:pPr>
          </w:p>
        </w:tc>
        <w:tc>
          <w:tcPr>
            <w:tcW w:w="1076" w:type="dxa"/>
            <w:vMerge w:val="continue"/>
            <w:vAlign w:val="center"/>
          </w:tcPr>
          <w:p>
            <w:pPr>
              <w:spacing w:line="240" w:lineRule="exact"/>
              <w:ind w:firstLine="440"/>
              <w:rPr>
                <w:sz w:val="21"/>
                <w:szCs w:val="21"/>
              </w:rPr>
            </w:pPr>
          </w:p>
        </w:tc>
        <w:tc>
          <w:tcPr>
            <w:tcW w:w="1286" w:type="dxa"/>
            <w:vMerge w:val="continue"/>
            <w:vAlign w:val="center"/>
          </w:tcPr>
          <w:p>
            <w:pPr>
              <w:spacing w:line="240" w:lineRule="exact"/>
              <w:ind w:firstLine="440"/>
              <w:rPr>
                <w:sz w:val="21"/>
                <w:szCs w:val="21"/>
              </w:rPr>
            </w:pPr>
          </w:p>
        </w:tc>
        <w:tc>
          <w:tcPr>
            <w:tcW w:w="1286" w:type="dxa"/>
            <w:vMerge w:val="continue"/>
            <w:vAlign w:val="center"/>
          </w:tcPr>
          <w:p>
            <w:pPr>
              <w:spacing w:line="240" w:lineRule="exact"/>
              <w:ind w:firstLine="440"/>
              <w:rPr>
                <w:sz w:val="21"/>
                <w:szCs w:val="21"/>
              </w:rPr>
            </w:pPr>
          </w:p>
        </w:tc>
        <w:tc>
          <w:tcPr>
            <w:tcW w:w="1076" w:type="dxa"/>
            <w:vMerge w:val="continue"/>
            <w:vAlign w:val="center"/>
          </w:tcPr>
          <w:p>
            <w:pPr>
              <w:spacing w:line="240" w:lineRule="exact"/>
              <w:ind w:firstLine="440"/>
              <w:rPr>
                <w:sz w:val="21"/>
                <w:szCs w:val="21"/>
              </w:rPr>
            </w:pPr>
          </w:p>
        </w:tc>
        <w:tc>
          <w:tcPr>
            <w:tcW w:w="1128" w:type="dxa"/>
            <w:vAlign w:val="center"/>
          </w:tcPr>
          <w:p>
            <w:pPr>
              <w:spacing w:line="240" w:lineRule="exact"/>
              <w:rPr>
                <w:sz w:val="21"/>
                <w:szCs w:val="21"/>
              </w:rPr>
            </w:pPr>
            <w:r>
              <w:rPr>
                <w:sz w:val="21"/>
                <w:szCs w:val="21"/>
              </w:rPr>
              <w:t>排放浓度(mg/m</w:t>
            </w:r>
            <w:r>
              <w:rPr>
                <w:sz w:val="21"/>
                <w:szCs w:val="21"/>
                <w:vertAlign w:val="superscript"/>
              </w:rPr>
              <w:t>3</w:t>
            </w:r>
            <w:r>
              <w:rPr>
                <w:sz w:val="21"/>
                <w:szCs w:val="21"/>
              </w:rPr>
              <w:t>)</w:t>
            </w:r>
          </w:p>
        </w:tc>
        <w:tc>
          <w:tcPr>
            <w:tcW w:w="1080" w:type="dxa"/>
            <w:vAlign w:val="center"/>
          </w:tcPr>
          <w:p>
            <w:pPr>
              <w:spacing w:line="240" w:lineRule="exact"/>
              <w:rPr>
                <w:sz w:val="21"/>
                <w:szCs w:val="21"/>
              </w:rPr>
            </w:pPr>
            <w:r>
              <w:rPr>
                <w:sz w:val="21"/>
                <w:szCs w:val="21"/>
              </w:rPr>
              <w:t>吨产品排放量(Kg/t)</w:t>
            </w:r>
          </w:p>
        </w:tc>
        <w:tc>
          <w:tcPr>
            <w:tcW w:w="900" w:type="dxa"/>
            <w:vMerge w:val="continue"/>
            <w:vAlign w:val="center"/>
          </w:tcPr>
          <w:p>
            <w:pPr>
              <w:spacing w:line="240" w:lineRule="exact"/>
              <w:ind w:firstLine="44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57" w:hRule="atLeast"/>
        </w:trPr>
        <w:tc>
          <w:tcPr>
            <w:tcW w:w="566" w:type="dxa"/>
            <w:vAlign w:val="center"/>
          </w:tcPr>
          <w:p>
            <w:pPr>
              <w:spacing w:line="240" w:lineRule="exact"/>
              <w:rPr>
                <w:sz w:val="21"/>
                <w:szCs w:val="21"/>
              </w:rPr>
            </w:pPr>
            <w:r>
              <w:rPr>
                <w:sz w:val="21"/>
                <w:szCs w:val="21"/>
              </w:rPr>
              <w:t>1</w:t>
            </w:r>
          </w:p>
        </w:tc>
        <w:tc>
          <w:tcPr>
            <w:tcW w:w="904" w:type="dxa"/>
            <w:vAlign w:val="center"/>
          </w:tcPr>
          <w:p>
            <w:pPr>
              <w:spacing w:line="240" w:lineRule="exact"/>
              <w:rPr>
                <w:sz w:val="21"/>
                <w:szCs w:val="21"/>
              </w:rPr>
            </w:pPr>
            <w:r>
              <w:rPr>
                <w:sz w:val="21"/>
                <w:szCs w:val="21"/>
              </w:rPr>
              <w:t>生料磨</w:t>
            </w:r>
          </w:p>
        </w:tc>
        <w:tc>
          <w:tcPr>
            <w:tcW w:w="921" w:type="dxa"/>
            <w:vAlign w:val="center"/>
          </w:tcPr>
          <w:p>
            <w:pPr>
              <w:spacing w:line="240" w:lineRule="exact"/>
              <w:ind w:firstLine="105" w:firstLineChars="50"/>
              <w:rPr>
                <w:sz w:val="21"/>
                <w:szCs w:val="21"/>
              </w:rPr>
            </w:pPr>
            <w:r>
              <w:rPr>
                <w:sz w:val="21"/>
                <w:szCs w:val="21"/>
              </w:rPr>
              <w:t>粉尘</w:t>
            </w:r>
          </w:p>
        </w:tc>
        <w:tc>
          <w:tcPr>
            <w:tcW w:w="866" w:type="dxa"/>
            <w:vAlign w:val="center"/>
          </w:tcPr>
          <w:p>
            <w:pPr>
              <w:spacing w:line="240" w:lineRule="exact"/>
              <w:rPr>
                <w:sz w:val="21"/>
                <w:szCs w:val="21"/>
              </w:rPr>
            </w:pPr>
            <w:r>
              <w:rPr>
                <w:sz w:val="21"/>
                <w:szCs w:val="21"/>
              </w:rPr>
              <w:t>布袋除尘</w:t>
            </w:r>
          </w:p>
        </w:tc>
        <w:tc>
          <w:tcPr>
            <w:tcW w:w="1089" w:type="dxa"/>
            <w:vAlign w:val="center"/>
          </w:tcPr>
          <w:p>
            <w:pPr>
              <w:spacing w:line="240" w:lineRule="exact"/>
              <w:ind w:firstLine="105" w:firstLineChars="50"/>
              <w:rPr>
                <w:sz w:val="21"/>
                <w:szCs w:val="21"/>
              </w:rPr>
            </w:pPr>
            <w:r>
              <w:rPr>
                <w:sz w:val="21"/>
                <w:szCs w:val="21"/>
              </w:rPr>
              <w:t>37000</w:t>
            </w:r>
          </w:p>
        </w:tc>
        <w:tc>
          <w:tcPr>
            <w:tcW w:w="1168" w:type="dxa"/>
            <w:vAlign w:val="center"/>
          </w:tcPr>
          <w:p>
            <w:pPr>
              <w:spacing w:line="240" w:lineRule="exact"/>
              <w:rPr>
                <w:sz w:val="21"/>
                <w:szCs w:val="21"/>
              </w:rPr>
            </w:pPr>
            <w:r>
              <w:rPr>
                <w:sz w:val="21"/>
                <w:szCs w:val="21"/>
              </w:rPr>
              <w:t>7200</w:t>
            </w:r>
          </w:p>
        </w:tc>
        <w:tc>
          <w:tcPr>
            <w:tcW w:w="1076" w:type="dxa"/>
            <w:vAlign w:val="center"/>
          </w:tcPr>
          <w:p>
            <w:pPr>
              <w:spacing w:line="240" w:lineRule="exact"/>
              <w:rPr>
                <w:sz w:val="21"/>
                <w:szCs w:val="21"/>
              </w:rPr>
            </w:pPr>
            <w:r>
              <w:rPr>
                <w:sz w:val="21"/>
                <w:szCs w:val="21"/>
              </w:rPr>
              <w:t>150</w:t>
            </w:r>
          </w:p>
        </w:tc>
        <w:tc>
          <w:tcPr>
            <w:tcW w:w="1286" w:type="dxa"/>
            <w:vAlign w:val="center"/>
          </w:tcPr>
          <w:p>
            <w:pPr>
              <w:spacing w:line="240" w:lineRule="exact"/>
              <w:rPr>
                <w:sz w:val="21"/>
                <w:szCs w:val="21"/>
              </w:rPr>
            </w:pPr>
            <w:r>
              <w:rPr>
                <w:sz w:val="21"/>
                <w:szCs w:val="21"/>
              </w:rPr>
              <w:t>5.55</w:t>
            </w:r>
          </w:p>
        </w:tc>
        <w:tc>
          <w:tcPr>
            <w:tcW w:w="1286" w:type="dxa"/>
            <w:vAlign w:val="center"/>
          </w:tcPr>
          <w:p>
            <w:pPr>
              <w:spacing w:line="240" w:lineRule="exact"/>
              <w:rPr>
                <w:sz w:val="21"/>
                <w:szCs w:val="21"/>
              </w:rPr>
            </w:pPr>
            <w:r>
              <w:rPr>
                <w:sz w:val="21"/>
                <w:szCs w:val="21"/>
              </w:rPr>
              <w:t>39.96</w:t>
            </w:r>
          </w:p>
        </w:tc>
        <w:tc>
          <w:tcPr>
            <w:tcW w:w="1076" w:type="dxa"/>
            <w:vAlign w:val="center"/>
          </w:tcPr>
          <w:p>
            <w:pPr>
              <w:spacing w:line="240" w:lineRule="exact"/>
              <w:rPr>
                <w:sz w:val="21"/>
                <w:szCs w:val="21"/>
              </w:rPr>
            </w:pPr>
            <w:r>
              <w:rPr>
                <w:sz w:val="21"/>
                <w:szCs w:val="21"/>
              </w:rPr>
              <w:t>0.095</w:t>
            </w:r>
          </w:p>
        </w:tc>
        <w:tc>
          <w:tcPr>
            <w:tcW w:w="1128" w:type="dxa"/>
            <w:vAlign w:val="center"/>
          </w:tcPr>
          <w:p>
            <w:pPr>
              <w:spacing w:line="240" w:lineRule="exact"/>
              <w:rPr>
                <w:sz w:val="21"/>
                <w:szCs w:val="21"/>
              </w:rPr>
            </w:pPr>
            <w:r>
              <w:rPr>
                <w:sz w:val="21"/>
                <w:szCs w:val="21"/>
              </w:rPr>
              <w:t>30</w:t>
            </w:r>
          </w:p>
        </w:tc>
        <w:tc>
          <w:tcPr>
            <w:tcW w:w="1080" w:type="dxa"/>
            <w:vAlign w:val="center"/>
          </w:tcPr>
          <w:p>
            <w:pPr>
              <w:spacing w:line="240" w:lineRule="exact"/>
              <w:rPr>
                <w:sz w:val="21"/>
                <w:szCs w:val="21"/>
              </w:rPr>
            </w:pPr>
            <w:r>
              <w:rPr>
                <w:sz w:val="21"/>
                <w:szCs w:val="21"/>
              </w:rPr>
              <w:t>0.024</w:t>
            </w:r>
          </w:p>
        </w:tc>
        <w:tc>
          <w:tcPr>
            <w:tcW w:w="900" w:type="dxa"/>
            <w:vAlign w:val="center"/>
          </w:tcPr>
          <w:p>
            <w:pPr>
              <w:spacing w:line="240" w:lineRule="exact"/>
              <w:rPr>
                <w:sz w:val="21"/>
                <w:szCs w:val="21"/>
              </w:rPr>
            </w:pPr>
            <w:r>
              <w:rPr>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4" w:hRule="atLeast"/>
        </w:trPr>
        <w:tc>
          <w:tcPr>
            <w:tcW w:w="566" w:type="dxa"/>
            <w:vAlign w:val="center"/>
          </w:tcPr>
          <w:p>
            <w:pPr>
              <w:spacing w:line="240" w:lineRule="exact"/>
              <w:rPr>
                <w:sz w:val="21"/>
                <w:szCs w:val="21"/>
              </w:rPr>
            </w:pPr>
            <w:r>
              <w:rPr>
                <w:sz w:val="21"/>
                <w:szCs w:val="21"/>
              </w:rPr>
              <w:t>2</w:t>
            </w:r>
          </w:p>
        </w:tc>
        <w:tc>
          <w:tcPr>
            <w:tcW w:w="904" w:type="dxa"/>
            <w:vAlign w:val="center"/>
          </w:tcPr>
          <w:p>
            <w:pPr>
              <w:spacing w:line="240" w:lineRule="exact"/>
              <w:rPr>
                <w:sz w:val="21"/>
                <w:szCs w:val="21"/>
              </w:rPr>
            </w:pPr>
            <w:r>
              <w:rPr>
                <w:sz w:val="21"/>
                <w:szCs w:val="21"/>
              </w:rPr>
              <w:t>破碎机</w:t>
            </w:r>
          </w:p>
        </w:tc>
        <w:tc>
          <w:tcPr>
            <w:tcW w:w="921" w:type="dxa"/>
            <w:vAlign w:val="center"/>
          </w:tcPr>
          <w:p>
            <w:pPr>
              <w:spacing w:line="240" w:lineRule="exact"/>
              <w:ind w:firstLine="105" w:firstLineChars="50"/>
              <w:rPr>
                <w:sz w:val="21"/>
                <w:szCs w:val="21"/>
              </w:rPr>
            </w:pPr>
            <w:r>
              <w:rPr>
                <w:sz w:val="21"/>
                <w:szCs w:val="21"/>
              </w:rPr>
              <w:t>粉尘</w:t>
            </w:r>
          </w:p>
        </w:tc>
        <w:tc>
          <w:tcPr>
            <w:tcW w:w="866" w:type="dxa"/>
            <w:vAlign w:val="center"/>
          </w:tcPr>
          <w:p>
            <w:pPr>
              <w:spacing w:line="240" w:lineRule="exact"/>
              <w:rPr>
                <w:sz w:val="21"/>
                <w:szCs w:val="21"/>
              </w:rPr>
            </w:pPr>
            <w:r>
              <w:rPr>
                <w:sz w:val="21"/>
                <w:szCs w:val="21"/>
              </w:rPr>
              <w:t>布袋除尘</w:t>
            </w:r>
          </w:p>
        </w:tc>
        <w:tc>
          <w:tcPr>
            <w:tcW w:w="1089" w:type="dxa"/>
            <w:vAlign w:val="center"/>
          </w:tcPr>
          <w:p>
            <w:pPr>
              <w:spacing w:line="240" w:lineRule="exact"/>
              <w:ind w:firstLine="105" w:firstLineChars="50"/>
              <w:rPr>
                <w:sz w:val="21"/>
                <w:szCs w:val="21"/>
              </w:rPr>
            </w:pPr>
            <w:r>
              <w:rPr>
                <w:sz w:val="21"/>
                <w:szCs w:val="21"/>
              </w:rPr>
              <w:t>29850</w:t>
            </w:r>
          </w:p>
        </w:tc>
        <w:tc>
          <w:tcPr>
            <w:tcW w:w="1168" w:type="dxa"/>
            <w:vAlign w:val="top"/>
          </w:tcPr>
          <w:p>
            <w:r>
              <w:rPr>
                <w:sz w:val="21"/>
                <w:szCs w:val="21"/>
              </w:rPr>
              <w:t>7200</w:t>
            </w:r>
          </w:p>
        </w:tc>
        <w:tc>
          <w:tcPr>
            <w:tcW w:w="1076" w:type="dxa"/>
            <w:vAlign w:val="center"/>
          </w:tcPr>
          <w:p>
            <w:pPr>
              <w:spacing w:line="240" w:lineRule="exact"/>
              <w:rPr>
                <w:sz w:val="21"/>
                <w:szCs w:val="21"/>
              </w:rPr>
            </w:pPr>
            <w:r>
              <w:rPr>
                <w:sz w:val="21"/>
                <w:szCs w:val="21"/>
              </w:rPr>
              <w:t>85</w:t>
            </w:r>
          </w:p>
        </w:tc>
        <w:tc>
          <w:tcPr>
            <w:tcW w:w="1286" w:type="dxa"/>
            <w:vAlign w:val="center"/>
          </w:tcPr>
          <w:p>
            <w:pPr>
              <w:spacing w:line="240" w:lineRule="exact"/>
              <w:rPr>
                <w:sz w:val="21"/>
                <w:szCs w:val="21"/>
              </w:rPr>
            </w:pPr>
            <w:r>
              <w:rPr>
                <w:sz w:val="21"/>
                <w:szCs w:val="21"/>
              </w:rPr>
              <w:t>2.54</w:t>
            </w:r>
          </w:p>
        </w:tc>
        <w:tc>
          <w:tcPr>
            <w:tcW w:w="1286" w:type="dxa"/>
            <w:vAlign w:val="center"/>
          </w:tcPr>
          <w:p>
            <w:pPr>
              <w:spacing w:line="240" w:lineRule="exact"/>
              <w:rPr>
                <w:sz w:val="21"/>
                <w:szCs w:val="21"/>
              </w:rPr>
            </w:pPr>
            <w:r>
              <w:rPr>
                <w:sz w:val="21"/>
                <w:szCs w:val="21"/>
              </w:rPr>
              <w:t>18.29</w:t>
            </w:r>
          </w:p>
        </w:tc>
        <w:tc>
          <w:tcPr>
            <w:tcW w:w="1076" w:type="dxa"/>
            <w:vAlign w:val="center"/>
          </w:tcPr>
          <w:p>
            <w:pPr>
              <w:spacing w:line="240" w:lineRule="exact"/>
              <w:rPr>
                <w:sz w:val="21"/>
                <w:szCs w:val="21"/>
              </w:rPr>
            </w:pPr>
            <w:r>
              <w:rPr>
                <w:sz w:val="21"/>
                <w:szCs w:val="21"/>
              </w:rPr>
              <w:t>0.044</w:t>
            </w:r>
          </w:p>
        </w:tc>
        <w:tc>
          <w:tcPr>
            <w:tcW w:w="1128" w:type="dxa"/>
            <w:vAlign w:val="center"/>
          </w:tcPr>
          <w:p>
            <w:pPr>
              <w:spacing w:line="240" w:lineRule="exact"/>
              <w:rPr>
                <w:sz w:val="21"/>
                <w:szCs w:val="21"/>
              </w:rPr>
            </w:pPr>
            <w:r>
              <w:rPr>
                <w:sz w:val="21"/>
                <w:szCs w:val="21"/>
              </w:rPr>
              <w:t>30</w:t>
            </w:r>
          </w:p>
        </w:tc>
        <w:tc>
          <w:tcPr>
            <w:tcW w:w="1080" w:type="dxa"/>
            <w:vAlign w:val="center"/>
          </w:tcPr>
          <w:p>
            <w:pPr>
              <w:spacing w:line="240" w:lineRule="exact"/>
              <w:rPr>
                <w:sz w:val="21"/>
                <w:szCs w:val="21"/>
              </w:rPr>
            </w:pPr>
            <w:r>
              <w:rPr>
                <w:sz w:val="21"/>
                <w:szCs w:val="21"/>
              </w:rPr>
              <w:t>0.024</w:t>
            </w:r>
          </w:p>
        </w:tc>
        <w:tc>
          <w:tcPr>
            <w:tcW w:w="900" w:type="dxa"/>
            <w:vAlign w:val="center"/>
          </w:tcPr>
          <w:p>
            <w:pPr>
              <w:spacing w:line="240" w:lineRule="exact"/>
              <w:rPr>
                <w:sz w:val="21"/>
                <w:szCs w:val="21"/>
              </w:rPr>
            </w:pPr>
            <w:r>
              <w:rPr>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7" w:hRule="atLeast"/>
        </w:trPr>
        <w:tc>
          <w:tcPr>
            <w:tcW w:w="566" w:type="dxa"/>
            <w:vMerge w:val="restart"/>
            <w:vAlign w:val="center"/>
          </w:tcPr>
          <w:p>
            <w:pPr>
              <w:spacing w:line="240" w:lineRule="exact"/>
              <w:rPr>
                <w:sz w:val="21"/>
                <w:szCs w:val="21"/>
              </w:rPr>
            </w:pPr>
            <w:r>
              <w:rPr>
                <w:sz w:val="21"/>
                <w:szCs w:val="21"/>
              </w:rPr>
              <w:t>3</w:t>
            </w:r>
          </w:p>
        </w:tc>
        <w:tc>
          <w:tcPr>
            <w:tcW w:w="904" w:type="dxa"/>
            <w:vMerge w:val="restart"/>
            <w:vAlign w:val="center"/>
          </w:tcPr>
          <w:p>
            <w:pPr>
              <w:spacing w:line="240" w:lineRule="exact"/>
              <w:rPr>
                <w:sz w:val="21"/>
                <w:szCs w:val="21"/>
              </w:rPr>
            </w:pPr>
            <w:r>
              <w:rPr>
                <w:sz w:val="21"/>
                <w:szCs w:val="21"/>
              </w:rPr>
              <w:t>机立窑</w:t>
            </w:r>
          </w:p>
        </w:tc>
        <w:tc>
          <w:tcPr>
            <w:tcW w:w="921" w:type="dxa"/>
            <w:vAlign w:val="center"/>
          </w:tcPr>
          <w:p>
            <w:pPr>
              <w:spacing w:line="240" w:lineRule="exact"/>
              <w:ind w:firstLine="105" w:firstLineChars="50"/>
              <w:rPr>
                <w:sz w:val="21"/>
                <w:szCs w:val="21"/>
              </w:rPr>
            </w:pPr>
            <w:r>
              <w:rPr>
                <w:sz w:val="21"/>
                <w:szCs w:val="21"/>
              </w:rPr>
              <w:t>烟尘</w:t>
            </w:r>
          </w:p>
        </w:tc>
        <w:tc>
          <w:tcPr>
            <w:tcW w:w="866" w:type="dxa"/>
            <w:vAlign w:val="center"/>
          </w:tcPr>
          <w:p>
            <w:pPr>
              <w:spacing w:line="240" w:lineRule="exact"/>
              <w:rPr>
                <w:sz w:val="21"/>
                <w:szCs w:val="21"/>
              </w:rPr>
            </w:pPr>
            <w:r>
              <w:rPr>
                <w:sz w:val="21"/>
                <w:szCs w:val="21"/>
              </w:rPr>
              <w:t>布袋除尘</w:t>
            </w:r>
          </w:p>
        </w:tc>
        <w:tc>
          <w:tcPr>
            <w:tcW w:w="1089" w:type="dxa"/>
            <w:vMerge w:val="restart"/>
            <w:vAlign w:val="center"/>
          </w:tcPr>
          <w:p>
            <w:pPr>
              <w:spacing w:line="240" w:lineRule="exact"/>
              <w:ind w:firstLine="105" w:firstLineChars="50"/>
              <w:rPr>
                <w:sz w:val="21"/>
                <w:szCs w:val="21"/>
              </w:rPr>
            </w:pPr>
            <w:r>
              <w:rPr>
                <w:sz w:val="21"/>
                <w:szCs w:val="21"/>
              </w:rPr>
              <w:t>230000</w:t>
            </w:r>
          </w:p>
        </w:tc>
        <w:tc>
          <w:tcPr>
            <w:tcW w:w="1168" w:type="dxa"/>
            <w:vMerge w:val="restart"/>
            <w:vAlign w:val="top"/>
          </w:tcPr>
          <w:p>
            <w:r>
              <w:rPr>
                <w:sz w:val="21"/>
                <w:szCs w:val="21"/>
              </w:rPr>
              <w:t>7200</w:t>
            </w:r>
          </w:p>
        </w:tc>
        <w:tc>
          <w:tcPr>
            <w:tcW w:w="1076" w:type="dxa"/>
            <w:vAlign w:val="center"/>
          </w:tcPr>
          <w:p>
            <w:pPr>
              <w:spacing w:line="240" w:lineRule="exact"/>
              <w:rPr>
                <w:sz w:val="21"/>
                <w:szCs w:val="21"/>
              </w:rPr>
            </w:pPr>
            <w:r>
              <w:rPr>
                <w:sz w:val="21"/>
                <w:szCs w:val="21"/>
              </w:rPr>
              <w:t>118</w:t>
            </w:r>
          </w:p>
        </w:tc>
        <w:tc>
          <w:tcPr>
            <w:tcW w:w="1286" w:type="dxa"/>
            <w:vAlign w:val="center"/>
          </w:tcPr>
          <w:p>
            <w:pPr>
              <w:spacing w:line="240" w:lineRule="exact"/>
              <w:rPr>
                <w:sz w:val="21"/>
                <w:szCs w:val="21"/>
              </w:rPr>
            </w:pPr>
            <w:r>
              <w:rPr>
                <w:sz w:val="21"/>
                <w:szCs w:val="21"/>
              </w:rPr>
              <w:t>27.17</w:t>
            </w:r>
          </w:p>
        </w:tc>
        <w:tc>
          <w:tcPr>
            <w:tcW w:w="1286" w:type="dxa"/>
            <w:vAlign w:val="center"/>
          </w:tcPr>
          <w:p>
            <w:pPr>
              <w:spacing w:line="240" w:lineRule="exact"/>
              <w:rPr>
                <w:sz w:val="21"/>
                <w:szCs w:val="21"/>
              </w:rPr>
            </w:pPr>
            <w:r>
              <w:rPr>
                <w:sz w:val="21"/>
                <w:szCs w:val="21"/>
              </w:rPr>
              <w:t>195.6</w:t>
            </w:r>
          </w:p>
        </w:tc>
        <w:tc>
          <w:tcPr>
            <w:tcW w:w="1076" w:type="dxa"/>
            <w:vAlign w:val="center"/>
          </w:tcPr>
          <w:p>
            <w:pPr>
              <w:spacing w:line="240" w:lineRule="exact"/>
              <w:rPr>
                <w:sz w:val="21"/>
                <w:szCs w:val="21"/>
              </w:rPr>
            </w:pPr>
            <w:r>
              <w:rPr>
                <w:sz w:val="21"/>
                <w:szCs w:val="21"/>
              </w:rPr>
              <w:t>0.466</w:t>
            </w:r>
          </w:p>
        </w:tc>
        <w:tc>
          <w:tcPr>
            <w:tcW w:w="1128" w:type="dxa"/>
            <w:vAlign w:val="center"/>
          </w:tcPr>
          <w:p>
            <w:pPr>
              <w:spacing w:line="240" w:lineRule="exact"/>
              <w:rPr>
                <w:sz w:val="21"/>
                <w:szCs w:val="21"/>
              </w:rPr>
            </w:pPr>
            <w:r>
              <w:rPr>
                <w:sz w:val="21"/>
                <w:szCs w:val="21"/>
              </w:rPr>
              <w:t>50</w:t>
            </w:r>
          </w:p>
        </w:tc>
        <w:tc>
          <w:tcPr>
            <w:tcW w:w="1080" w:type="dxa"/>
            <w:vAlign w:val="center"/>
          </w:tcPr>
          <w:p>
            <w:pPr>
              <w:spacing w:line="240" w:lineRule="exact"/>
              <w:rPr>
                <w:sz w:val="21"/>
                <w:szCs w:val="21"/>
              </w:rPr>
            </w:pPr>
            <w:r>
              <w:rPr>
                <w:sz w:val="21"/>
                <w:szCs w:val="21"/>
              </w:rPr>
              <w:t>0.15</w:t>
            </w:r>
          </w:p>
        </w:tc>
        <w:tc>
          <w:tcPr>
            <w:tcW w:w="900" w:type="dxa"/>
            <w:vAlign w:val="center"/>
          </w:tcPr>
          <w:p>
            <w:pPr>
              <w:spacing w:line="240" w:lineRule="exact"/>
              <w:rPr>
                <w:sz w:val="21"/>
                <w:szCs w:val="21"/>
              </w:rPr>
            </w:pPr>
            <w:r>
              <w:rPr>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7" w:hRule="atLeast"/>
        </w:trPr>
        <w:tc>
          <w:tcPr>
            <w:tcW w:w="566" w:type="dxa"/>
            <w:vMerge w:val="continue"/>
            <w:vAlign w:val="center"/>
          </w:tcPr>
          <w:p>
            <w:pPr>
              <w:spacing w:line="240" w:lineRule="exact"/>
              <w:ind w:firstLine="440"/>
              <w:rPr>
                <w:sz w:val="21"/>
                <w:szCs w:val="21"/>
              </w:rPr>
            </w:pPr>
          </w:p>
        </w:tc>
        <w:tc>
          <w:tcPr>
            <w:tcW w:w="904" w:type="dxa"/>
            <w:vMerge w:val="continue"/>
            <w:vAlign w:val="center"/>
          </w:tcPr>
          <w:p>
            <w:pPr>
              <w:spacing w:line="240" w:lineRule="exact"/>
              <w:ind w:firstLine="440"/>
              <w:rPr>
                <w:sz w:val="21"/>
                <w:szCs w:val="21"/>
              </w:rPr>
            </w:pPr>
          </w:p>
        </w:tc>
        <w:tc>
          <w:tcPr>
            <w:tcW w:w="921" w:type="dxa"/>
            <w:vAlign w:val="center"/>
          </w:tcPr>
          <w:p>
            <w:pPr>
              <w:spacing w:line="240" w:lineRule="exact"/>
              <w:ind w:firstLine="210" w:firstLineChars="100"/>
              <w:rPr>
                <w:sz w:val="21"/>
                <w:szCs w:val="21"/>
              </w:rPr>
            </w:pPr>
            <w:r>
              <w:rPr>
                <w:sz w:val="21"/>
                <w:szCs w:val="21"/>
              </w:rPr>
              <w:t>SO</w:t>
            </w:r>
            <w:r>
              <w:rPr>
                <w:sz w:val="21"/>
                <w:szCs w:val="21"/>
                <w:vertAlign w:val="subscript"/>
              </w:rPr>
              <w:t>2</w:t>
            </w:r>
          </w:p>
        </w:tc>
        <w:tc>
          <w:tcPr>
            <w:tcW w:w="866" w:type="dxa"/>
            <w:vAlign w:val="center"/>
          </w:tcPr>
          <w:p>
            <w:pPr>
              <w:spacing w:line="240" w:lineRule="exact"/>
              <w:ind w:firstLine="210" w:firstLineChars="100"/>
              <w:rPr>
                <w:sz w:val="21"/>
                <w:szCs w:val="21"/>
              </w:rPr>
            </w:pPr>
            <w:r>
              <w:rPr>
                <w:sz w:val="21"/>
                <w:szCs w:val="21"/>
              </w:rPr>
              <w:t>/</w:t>
            </w:r>
          </w:p>
        </w:tc>
        <w:tc>
          <w:tcPr>
            <w:tcW w:w="1089" w:type="dxa"/>
            <w:vMerge w:val="continue"/>
            <w:vAlign w:val="center"/>
          </w:tcPr>
          <w:p>
            <w:pPr>
              <w:spacing w:line="240" w:lineRule="exact"/>
              <w:ind w:firstLine="440"/>
              <w:rPr>
                <w:sz w:val="21"/>
                <w:szCs w:val="21"/>
              </w:rPr>
            </w:pPr>
          </w:p>
        </w:tc>
        <w:tc>
          <w:tcPr>
            <w:tcW w:w="1168" w:type="dxa"/>
            <w:vMerge w:val="continue"/>
            <w:vAlign w:val="top"/>
          </w:tcPr>
          <w:p>
            <w:pPr>
              <w:spacing w:line="240" w:lineRule="exact"/>
              <w:ind w:firstLine="440"/>
              <w:rPr>
                <w:sz w:val="21"/>
                <w:szCs w:val="21"/>
              </w:rPr>
            </w:pPr>
          </w:p>
        </w:tc>
        <w:tc>
          <w:tcPr>
            <w:tcW w:w="1076" w:type="dxa"/>
            <w:vAlign w:val="center"/>
          </w:tcPr>
          <w:p>
            <w:pPr>
              <w:spacing w:line="240" w:lineRule="exact"/>
              <w:rPr>
                <w:sz w:val="21"/>
                <w:szCs w:val="21"/>
              </w:rPr>
            </w:pPr>
            <w:r>
              <w:rPr>
                <w:sz w:val="21"/>
                <w:szCs w:val="21"/>
              </w:rPr>
              <w:t>577</w:t>
            </w:r>
          </w:p>
        </w:tc>
        <w:tc>
          <w:tcPr>
            <w:tcW w:w="1286" w:type="dxa"/>
            <w:vAlign w:val="center"/>
          </w:tcPr>
          <w:p>
            <w:pPr>
              <w:spacing w:line="240" w:lineRule="exact"/>
              <w:rPr>
                <w:sz w:val="21"/>
                <w:szCs w:val="21"/>
              </w:rPr>
            </w:pPr>
            <w:r>
              <w:rPr>
                <w:sz w:val="21"/>
                <w:szCs w:val="21"/>
              </w:rPr>
              <w:t>132.71</w:t>
            </w:r>
          </w:p>
        </w:tc>
        <w:tc>
          <w:tcPr>
            <w:tcW w:w="1286" w:type="dxa"/>
            <w:vAlign w:val="center"/>
          </w:tcPr>
          <w:p>
            <w:pPr>
              <w:spacing w:line="240" w:lineRule="exact"/>
              <w:rPr>
                <w:sz w:val="21"/>
                <w:szCs w:val="21"/>
              </w:rPr>
            </w:pPr>
            <w:r>
              <w:rPr>
                <w:sz w:val="21"/>
                <w:szCs w:val="21"/>
              </w:rPr>
              <w:t>955.51</w:t>
            </w:r>
          </w:p>
        </w:tc>
        <w:tc>
          <w:tcPr>
            <w:tcW w:w="1076" w:type="dxa"/>
            <w:vAlign w:val="center"/>
          </w:tcPr>
          <w:p>
            <w:pPr>
              <w:spacing w:line="240" w:lineRule="exact"/>
              <w:rPr>
                <w:sz w:val="21"/>
                <w:szCs w:val="21"/>
              </w:rPr>
            </w:pPr>
            <w:r>
              <w:rPr>
                <w:sz w:val="21"/>
                <w:szCs w:val="21"/>
              </w:rPr>
              <w:t>2.275</w:t>
            </w:r>
          </w:p>
        </w:tc>
        <w:tc>
          <w:tcPr>
            <w:tcW w:w="1128" w:type="dxa"/>
            <w:vAlign w:val="center"/>
          </w:tcPr>
          <w:p>
            <w:pPr>
              <w:spacing w:line="240" w:lineRule="exact"/>
              <w:rPr>
                <w:sz w:val="21"/>
                <w:szCs w:val="21"/>
              </w:rPr>
            </w:pPr>
            <w:r>
              <w:rPr>
                <w:sz w:val="21"/>
                <w:szCs w:val="21"/>
              </w:rPr>
              <w:t>200</w:t>
            </w:r>
          </w:p>
        </w:tc>
        <w:tc>
          <w:tcPr>
            <w:tcW w:w="1080" w:type="dxa"/>
            <w:vAlign w:val="center"/>
          </w:tcPr>
          <w:p>
            <w:pPr>
              <w:spacing w:line="240" w:lineRule="exact"/>
              <w:rPr>
                <w:sz w:val="21"/>
                <w:szCs w:val="21"/>
              </w:rPr>
            </w:pPr>
            <w:r>
              <w:rPr>
                <w:sz w:val="21"/>
                <w:szCs w:val="21"/>
              </w:rPr>
              <w:t>0.60</w:t>
            </w:r>
          </w:p>
        </w:tc>
        <w:tc>
          <w:tcPr>
            <w:tcW w:w="900" w:type="dxa"/>
            <w:vAlign w:val="center"/>
          </w:tcPr>
          <w:p>
            <w:pPr>
              <w:spacing w:line="240" w:lineRule="exact"/>
              <w:rPr>
                <w:sz w:val="21"/>
                <w:szCs w:val="21"/>
              </w:rPr>
            </w:pPr>
            <w:r>
              <w:rPr>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trPr>
        <w:tc>
          <w:tcPr>
            <w:tcW w:w="566" w:type="dxa"/>
            <w:vMerge w:val="continue"/>
            <w:vAlign w:val="center"/>
          </w:tcPr>
          <w:p>
            <w:pPr>
              <w:spacing w:line="240" w:lineRule="exact"/>
              <w:ind w:firstLine="440"/>
              <w:rPr>
                <w:sz w:val="21"/>
                <w:szCs w:val="21"/>
              </w:rPr>
            </w:pPr>
          </w:p>
        </w:tc>
        <w:tc>
          <w:tcPr>
            <w:tcW w:w="904" w:type="dxa"/>
            <w:vMerge w:val="continue"/>
            <w:vAlign w:val="center"/>
          </w:tcPr>
          <w:p>
            <w:pPr>
              <w:spacing w:line="240" w:lineRule="exact"/>
              <w:ind w:firstLine="440"/>
              <w:rPr>
                <w:sz w:val="21"/>
                <w:szCs w:val="21"/>
              </w:rPr>
            </w:pPr>
          </w:p>
        </w:tc>
        <w:tc>
          <w:tcPr>
            <w:tcW w:w="921" w:type="dxa"/>
            <w:vAlign w:val="center"/>
          </w:tcPr>
          <w:p>
            <w:pPr>
              <w:spacing w:line="240" w:lineRule="exact"/>
              <w:ind w:firstLine="210" w:firstLineChars="100"/>
              <w:rPr>
                <w:sz w:val="21"/>
                <w:szCs w:val="21"/>
              </w:rPr>
            </w:pPr>
            <w:r>
              <w:rPr>
                <w:sz w:val="21"/>
                <w:szCs w:val="21"/>
              </w:rPr>
              <w:t>NO</w:t>
            </w:r>
            <w:r>
              <w:rPr>
                <w:sz w:val="21"/>
                <w:szCs w:val="21"/>
                <w:vertAlign w:val="subscript"/>
              </w:rPr>
              <w:t>X</w:t>
            </w:r>
          </w:p>
        </w:tc>
        <w:tc>
          <w:tcPr>
            <w:tcW w:w="866" w:type="dxa"/>
            <w:vAlign w:val="center"/>
          </w:tcPr>
          <w:p>
            <w:pPr>
              <w:spacing w:line="240" w:lineRule="exact"/>
              <w:ind w:firstLine="210" w:firstLineChars="100"/>
              <w:rPr>
                <w:sz w:val="21"/>
                <w:szCs w:val="21"/>
              </w:rPr>
            </w:pPr>
            <w:r>
              <w:rPr>
                <w:sz w:val="21"/>
                <w:szCs w:val="21"/>
              </w:rPr>
              <w:t>/</w:t>
            </w:r>
          </w:p>
        </w:tc>
        <w:tc>
          <w:tcPr>
            <w:tcW w:w="1089" w:type="dxa"/>
            <w:vMerge w:val="continue"/>
            <w:vAlign w:val="center"/>
          </w:tcPr>
          <w:p>
            <w:pPr>
              <w:spacing w:line="240" w:lineRule="exact"/>
              <w:ind w:firstLine="440"/>
              <w:rPr>
                <w:sz w:val="21"/>
                <w:szCs w:val="21"/>
              </w:rPr>
            </w:pPr>
          </w:p>
        </w:tc>
        <w:tc>
          <w:tcPr>
            <w:tcW w:w="1168" w:type="dxa"/>
            <w:vMerge w:val="continue"/>
            <w:vAlign w:val="top"/>
          </w:tcPr>
          <w:p>
            <w:pPr>
              <w:spacing w:line="240" w:lineRule="exact"/>
              <w:ind w:firstLine="440"/>
              <w:rPr>
                <w:sz w:val="21"/>
                <w:szCs w:val="21"/>
              </w:rPr>
            </w:pPr>
          </w:p>
        </w:tc>
        <w:tc>
          <w:tcPr>
            <w:tcW w:w="1076" w:type="dxa"/>
            <w:vAlign w:val="center"/>
          </w:tcPr>
          <w:p>
            <w:pPr>
              <w:spacing w:line="240" w:lineRule="exact"/>
              <w:rPr>
                <w:sz w:val="21"/>
                <w:szCs w:val="21"/>
              </w:rPr>
            </w:pPr>
            <w:r>
              <w:rPr>
                <w:sz w:val="21"/>
                <w:szCs w:val="21"/>
              </w:rPr>
              <w:t>550</w:t>
            </w:r>
          </w:p>
        </w:tc>
        <w:tc>
          <w:tcPr>
            <w:tcW w:w="1286" w:type="dxa"/>
            <w:vAlign w:val="center"/>
          </w:tcPr>
          <w:p>
            <w:pPr>
              <w:spacing w:line="240" w:lineRule="exact"/>
              <w:rPr>
                <w:sz w:val="21"/>
                <w:szCs w:val="21"/>
              </w:rPr>
            </w:pPr>
            <w:r>
              <w:rPr>
                <w:sz w:val="21"/>
                <w:szCs w:val="21"/>
              </w:rPr>
              <w:t>126.5</w:t>
            </w:r>
          </w:p>
        </w:tc>
        <w:tc>
          <w:tcPr>
            <w:tcW w:w="1286" w:type="dxa"/>
            <w:vAlign w:val="center"/>
          </w:tcPr>
          <w:p>
            <w:pPr>
              <w:spacing w:line="240" w:lineRule="exact"/>
              <w:rPr>
                <w:sz w:val="21"/>
                <w:szCs w:val="21"/>
              </w:rPr>
            </w:pPr>
            <w:r>
              <w:rPr>
                <w:sz w:val="21"/>
                <w:szCs w:val="21"/>
              </w:rPr>
              <w:t>910.8</w:t>
            </w:r>
          </w:p>
        </w:tc>
        <w:tc>
          <w:tcPr>
            <w:tcW w:w="1076" w:type="dxa"/>
            <w:vAlign w:val="center"/>
          </w:tcPr>
          <w:p>
            <w:pPr>
              <w:spacing w:line="240" w:lineRule="exact"/>
              <w:rPr>
                <w:sz w:val="21"/>
                <w:szCs w:val="21"/>
              </w:rPr>
            </w:pPr>
            <w:r>
              <w:rPr>
                <w:sz w:val="21"/>
                <w:szCs w:val="21"/>
              </w:rPr>
              <w:t>2.169</w:t>
            </w:r>
          </w:p>
        </w:tc>
        <w:tc>
          <w:tcPr>
            <w:tcW w:w="1128" w:type="dxa"/>
            <w:vAlign w:val="center"/>
          </w:tcPr>
          <w:p>
            <w:pPr>
              <w:spacing w:line="240" w:lineRule="exact"/>
              <w:rPr>
                <w:sz w:val="21"/>
                <w:szCs w:val="21"/>
              </w:rPr>
            </w:pPr>
            <w:r>
              <w:rPr>
                <w:sz w:val="21"/>
                <w:szCs w:val="21"/>
              </w:rPr>
              <w:t>800</w:t>
            </w:r>
          </w:p>
        </w:tc>
        <w:tc>
          <w:tcPr>
            <w:tcW w:w="1080" w:type="dxa"/>
            <w:vAlign w:val="center"/>
          </w:tcPr>
          <w:p>
            <w:pPr>
              <w:spacing w:line="240" w:lineRule="exact"/>
              <w:rPr>
                <w:sz w:val="21"/>
                <w:szCs w:val="21"/>
              </w:rPr>
            </w:pPr>
            <w:r>
              <w:rPr>
                <w:sz w:val="21"/>
                <w:szCs w:val="21"/>
              </w:rPr>
              <w:t>2.40</w:t>
            </w:r>
          </w:p>
        </w:tc>
        <w:tc>
          <w:tcPr>
            <w:tcW w:w="900" w:type="dxa"/>
            <w:vAlign w:val="center"/>
          </w:tcPr>
          <w:p>
            <w:pPr>
              <w:spacing w:line="240" w:lineRule="exact"/>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1" w:hRule="atLeast"/>
        </w:trPr>
        <w:tc>
          <w:tcPr>
            <w:tcW w:w="566" w:type="dxa"/>
            <w:vAlign w:val="center"/>
          </w:tcPr>
          <w:p>
            <w:pPr>
              <w:spacing w:line="240" w:lineRule="exact"/>
              <w:rPr>
                <w:sz w:val="21"/>
                <w:szCs w:val="21"/>
              </w:rPr>
            </w:pPr>
            <w:r>
              <w:rPr>
                <w:sz w:val="21"/>
                <w:szCs w:val="21"/>
              </w:rPr>
              <w:t>4</w:t>
            </w:r>
          </w:p>
        </w:tc>
        <w:tc>
          <w:tcPr>
            <w:tcW w:w="904" w:type="dxa"/>
            <w:vAlign w:val="center"/>
          </w:tcPr>
          <w:p>
            <w:pPr>
              <w:spacing w:line="240" w:lineRule="exact"/>
              <w:rPr>
                <w:sz w:val="21"/>
                <w:szCs w:val="21"/>
              </w:rPr>
            </w:pPr>
            <w:r>
              <w:rPr>
                <w:sz w:val="21"/>
                <w:szCs w:val="21"/>
              </w:rPr>
              <w:t>水泥磨机</w:t>
            </w:r>
          </w:p>
        </w:tc>
        <w:tc>
          <w:tcPr>
            <w:tcW w:w="921" w:type="dxa"/>
            <w:vAlign w:val="center"/>
          </w:tcPr>
          <w:p>
            <w:pPr>
              <w:spacing w:line="240" w:lineRule="exact"/>
              <w:ind w:firstLine="105" w:firstLineChars="50"/>
              <w:rPr>
                <w:sz w:val="21"/>
                <w:szCs w:val="21"/>
              </w:rPr>
            </w:pPr>
            <w:r>
              <w:rPr>
                <w:sz w:val="21"/>
                <w:szCs w:val="21"/>
              </w:rPr>
              <w:t>粉尘</w:t>
            </w:r>
          </w:p>
        </w:tc>
        <w:tc>
          <w:tcPr>
            <w:tcW w:w="866" w:type="dxa"/>
            <w:vAlign w:val="center"/>
          </w:tcPr>
          <w:p>
            <w:pPr>
              <w:spacing w:line="240" w:lineRule="exact"/>
              <w:rPr>
                <w:sz w:val="21"/>
                <w:szCs w:val="21"/>
              </w:rPr>
            </w:pPr>
            <w:r>
              <w:rPr>
                <w:sz w:val="21"/>
                <w:szCs w:val="21"/>
              </w:rPr>
              <w:t>布袋除尘</w:t>
            </w:r>
          </w:p>
        </w:tc>
        <w:tc>
          <w:tcPr>
            <w:tcW w:w="1089" w:type="dxa"/>
            <w:vAlign w:val="center"/>
          </w:tcPr>
          <w:p>
            <w:pPr>
              <w:spacing w:line="240" w:lineRule="exact"/>
              <w:rPr>
                <w:sz w:val="21"/>
                <w:szCs w:val="21"/>
              </w:rPr>
            </w:pPr>
            <w:r>
              <w:rPr>
                <w:sz w:val="21"/>
                <w:szCs w:val="21"/>
              </w:rPr>
              <w:t>37000</w:t>
            </w:r>
          </w:p>
        </w:tc>
        <w:tc>
          <w:tcPr>
            <w:tcW w:w="1168" w:type="dxa"/>
            <w:vAlign w:val="top"/>
          </w:tcPr>
          <w:p>
            <w:r>
              <w:rPr>
                <w:sz w:val="21"/>
                <w:szCs w:val="21"/>
              </w:rPr>
              <w:t>7200</w:t>
            </w:r>
          </w:p>
        </w:tc>
        <w:tc>
          <w:tcPr>
            <w:tcW w:w="1076" w:type="dxa"/>
            <w:vAlign w:val="center"/>
          </w:tcPr>
          <w:p>
            <w:pPr>
              <w:spacing w:line="240" w:lineRule="exact"/>
              <w:rPr>
                <w:sz w:val="21"/>
                <w:szCs w:val="21"/>
              </w:rPr>
            </w:pPr>
            <w:r>
              <w:rPr>
                <w:sz w:val="21"/>
                <w:szCs w:val="21"/>
              </w:rPr>
              <w:t>100</w:t>
            </w:r>
          </w:p>
        </w:tc>
        <w:tc>
          <w:tcPr>
            <w:tcW w:w="1286" w:type="dxa"/>
            <w:vAlign w:val="center"/>
          </w:tcPr>
          <w:p>
            <w:pPr>
              <w:spacing w:line="240" w:lineRule="exact"/>
              <w:rPr>
                <w:sz w:val="21"/>
                <w:szCs w:val="21"/>
              </w:rPr>
            </w:pPr>
            <w:r>
              <w:rPr>
                <w:sz w:val="21"/>
                <w:szCs w:val="21"/>
              </w:rPr>
              <w:t>3.7</w:t>
            </w:r>
          </w:p>
        </w:tc>
        <w:tc>
          <w:tcPr>
            <w:tcW w:w="1286" w:type="dxa"/>
            <w:vAlign w:val="center"/>
          </w:tcPr>
          <w:p>
            <w:pPr>
              <w:spacing w:line="240" w:lineRule="exact"/>
              <w:rPr>
                <w:sz w:val="21"/>
                <w:szCs w:val="21"/>
              </w:rPr>
            </w:pPr>
            <w:r>
              <w:rPr>
                <w:sz w:val="21"/>
                <w:szCs w:val="21"/>
              </w:rPr>
              <w:t>26.64</w:t>
            </w:r>
          </w:p>
        </w:tc>
        <w:tc>
          <w:tcPr>
            <w:tcW w:w="1076" w:type="dxa"/>
            <w:vAlign w:val="center"/>
          </w:tcPr>
          <w:p>
            <w:pPr>
              <w:spacing w:line="240" w:lineRule="exact"/>
              <w:rPr>
                <w:sz w:val="21"/>
                <w:szCs w:val="21"/>
              </w:rPr>
            </w:pPr>
            <w:r>
              <w:rPr>
                <w:sz w:val="21"/>
                <w:szCs w:val="21"/>
              </w:rPr>
              <w:t>0.063</w:t>
            </w:r>
          </w:p>
        </w:tc>
        <w:tc>
          <w:tcPr>
            <w:tcW w:w="1128" w:type="dxa"/>
            <w:vAlign w:val="center"/>
          </w:tcPr>
          <w:p>
            <w:pPr>
              <w:spacing w:line="240" w:lineRule="exact"/>
              <w:rPr>
                <w:sz w:val="21"/>
                <w:szCs w:val="21"/>
              </w:rPr>
            </w:pPr>
            <w:r>
              <w:rPr>
                <w:sz w:val="21"/>
                <w:szCs w:val="21"/>
              </w:rPr>
              <w:t>30</w:t>
            </w:r>
          </w:p>
        </w:tc>
        <w:tc>
          <w:tcPr>
            <w:tcW w:w="1080" w:type="dxa"/>
            <w:vAlign w:val="center"/>
          </w:tcPr>
          <w:p>
            <w:pPr>
              <w:spacing w:line="240" w:lineRule="exact"/>
              <w:rPr>
                <w:sz w:val="21"/>
                <w:szCs w:val="21"/>
              </w:rPr>
            </w:pPr>
            <w:r>
              <w:rPr>
                <w:sz w:val="21"/>
                <w:szCs w:val="21"/>
              </w:rPr>
              <w:t>0.024</w:t>
            </w:r>
          </w:p>
        </w:tc>
        <w:tc>
          <w:tcPr>
            <w:tcW w:w="900" w:type="dxa"/>
            <w:vAlign w:val="center"/>
          </w:tcPr>
          <w:p>
            <w:pPr>
              <w:spacing w:line="240" w:lineRule="exact"/>
              <w:rPr>
                <w:sz w:val="21"/>
                <w:szCs w:val="21"/>
              </w:rPr>
            </w:pPr>
            <w:r>
              <w:rPr>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4" w:hRule="atLeast"/>
        </w:trPr>
        <w:tc>
          <w:tcPr>
            <w:tcW w:w="566" w:type="dxa"/>
            <w:vMerge w:val="restart"/>
            <w:vAlign w:val="center"/>
          </w:tcPr>
          <w:p>
            <w:pPr>
              <w:spacing w:line="240" w:lineRule="exact"/>
              <w:rPr>
                <w:sz w:val="21"/>
                <w:szCs w:val="21"/>
              </w:rPr>
            </w:pPr>
            <w:r>
              <w:rPr>
                <w:sz w:val="21"/>
                <w:szCs w:val="21"/>
              </w:rPr>
              <w:t>5</w:t>
            </w:r>
          </w:p>
        </w:tc>
        <w:tc>
          <w:tcPr>
            <w:tcW w:w="904" w:type="dxa"/>
            <w:vMerge w:val="restart"/>
            <w:vAlign w:val="center"/>
          </w:tcPr>
          <w:p>
            <w:pPr>
              <w:spacing w:line="240" w:lineRule="exact"/>
              <w:rPr>
                <w:sz w:val="21"/>
                <w:szCs w:val="21"/>
              </w:rPr>
            </w:pPr>
            <w:r>
              <w:rPr>
                <w:sz w:val="21"/>
                <w:szCs w:val="21"/>
              </w:rPr>
              <w:t>烘干机</w:t>
            </w:r>
          </w:p>
        </w:tc>
        <w:tc>
          <w:tcPr>
            <w:tcW w:w="921" w:type="dxa"/>
            <w:vAlign w:val="center"/>
          </w:tcPr>
          <w:p>
            <w:pPr>
              <w:spacing w:line="240" w:lineRule="exact"/>
              <w:ind w:firstLine="105" w:firstLineChars="50"/>
              <w:rPr>
                <w:sz w:val="21"/>
                <w:szCs w:val="21"/>
              </w:rPr>
            </w:pPr>
            <w:r>
              <w:rPr>
                <w:sz w:val="21"/>
                <w:szCs w:val="21"/>
              </w:rPr>
              <w:t>烟尘</w:t>
            </w:r>
          </w:p>
        </w:tc>
        <w:tc>
          <w:tcPr>
            <w:tcW w:w="866" w:type="dxa"/>
            <w:vAlign w:val="center"/>
          </w:tcPr>
          <w:p>
            <w:pPr>
              <w:spacing w:line="240" w:lineRule="exact"/>
              <w:rPr>
                <w:sz w:val="21"/>
                <w:szCs w:val="21"/>
              </w:rPr>
            </w:pPr>
            <w:r>
              <w:rPr>
                <w:sz w:val="21"/>
                <w:szCs w:val="21"/>
              </w:rPr>
              <w:t>布袋除尘</w:t>
            </w:r>
          </w:p>
        </w:tc>
        <w:tc>
          <w:tcPr>
            <w:tcW w:w="1089" w:type="dxa"/>
            <w:vMerge w:val="restart"/>
            <w:vAlign w:val="center"/>
          </w:tcPr>
          <w:p>
            <w:pPr>
              <w:spacing w:line="240" w:lineRule="exact"/>
              <w:ind w:firstLine="210" w:firstLineChars="100"/>
              <w:rPr>
                <w:sz w:val="21"/>
                <w:szCs w:val="21"/>
              </w:rPr>
            </w:pPr>
            <w:r>
              <w:rPr>
                <w:sz w:val="21"/>
                <w:szCs w:val="21"/>
              </w:rPr>
              <w:t>48120</w:t>
            </w:r>
          </w:p>
        </w:tc>
        <w:tc>
          <w:tcPr>
            <w:tcW w:w="1168" w:type="dxa"/>
            <w:vMerge w:val="restart"/>
            <w:vAlign w:val="top"/>
          </w:tcPr>
          <w:p>
            <w:r>
              <w:rPr>
                <w:sz w:val="21"/>
                <w:szCs w:val="21"/>
              </w:rPr>
              <w:t>7200</w:t>
            </w:r>
          </w:p>
        </w:tc>
        <w:tc>
          <w:tcPr>
            <w:tcW w:w="1076" w:type="dxa"/>
            <w:vAlign w:val="center"/>
          </w:tcPr>
          <w:p>
            <w:pPr>
              <w:spacing w:line="240" w:lineRule="exact"/>
              <w:rPr>
                <w:sz w:val="21"/>
                <w:szCs w:val="21"/>
              </w:rPr>
            </w:pPr>
            <w:r>
              <w:rPr>
                <w:sz w:val="21"/>
                <w:szCs w:val="21"/>
              </w:rPr>
              <w:t>95</w:t>
            </w:r>
          </w:p>
        </w:tc>
        <w:tc>
          <w:tcPr>
            <w:tcW w:w="1286" w:type="dxa"/>
            <w:vAlign w:val="center"/>
          </w:tcPr>
          <w:p>
            <w:pPr>
              <w:spacing w:line="240" w:lineRule="exact"/>
              <w:rPr>
                <w:sz w:val="21"/>
                <w:szCs w:val="21"/>
              </w:rPr>
            </w:pPr>
            <w:r>
              <w:rPr>
                <w:sz w:val="21"/>
                <w:szCs w:val="21"/>
              </w:rPr>
              <w:t>4.57</w:t>
            </w:r>
          </w:p>
        </w:tc>
        <w:tc>
          <w:tcPr>
            <w:tcW w:w="1286" w:type="dxa"/>
            <w:vAlign w:val="center"/>
          </w:tcPr>
          <w:p>
            <w:pPr>
              <w:spacing w:line="240" w:lineRule="exact"/>
              <w:rPr>
                <w:sz w:val="21"/>
                <w:szCs w:val="21"/>
              </w:rPr>
            </w:pPr>
            <w:r>
              <w:rPr>
                <w:sz w:val="21"/>
                <w:szCs w:val="21"/>
              </w:rPr>
              <w:t>32.9</w:t>
            </w:r>
          </w:p>
        </w:tc>
        <w:tc>
          <w:tcPr>
            <w:tcW w:w="1076" w:type="dxa"/>
            <w:vAlign w:val="center"/>
          </w:tcPr>
          <w:p>
            <w:pPr>
              <w:spacing w:line="240" w:lineRule="exact"/>
              <w:rPr>
                <w:sz w:val="21"/>
                <w:szCs w:val="21"/>
              </w:rPr>
            </w:pPr>
            <w:r>
              <w:rPr>
                <w:sz w:val="21"/>
                <w:szCs w:val="21"/>
              </w:rPr>
              <w:t>0.078</w:t>
            </w:r>
          </w:p>
        </w:tc>
        <w:tc>
          <w:tcPr>
            <w:tcW w:w="1128" w:type="dxa"/>
            <w:vAlign w:val="center"/>
          </w:tcPr>
          <w:p>
            <w:pPr>
              <w:spacing w:line="240" w:lineRule="exact"/>
              <w:rPr>
                <w:sz w:val="21"/>
                <w:szCs w:val="21"/>
              </w:rPr>
            </w:pPr>
            <w:r>
              <w:rPr>
                <w:sz w:val="21"/>
                <w:szCs w:val="21"/>
              </w:rPr>
              <w:t>50</w:t>
            </w:r>
          </w:p>
        </w:tc>
        <w:tc>
          <w:tcPr>
            <w:tcW w:w="1080" w:type="dxa"/>
            <w:vAlign w:val="center"/>
          </w:tcPr>
          <w:p>
            <w:pPr>
              <w:spacing w:line="240" w:lineRule="exact"/>
              <w:rPr>
                <w:sz w:val="21"/>
                <w:szCs w:val="21"/>
              </w:rPr>
            </w:pPr>
            <w:r>
              <w:rPr>
                <w:sz w:val="21"/>
                <w:szCs w:val="21"/>
              </w:rPr>
              <w:t>0.15</w:t>
            </w:r>
          </w:p>
        </w:tc>
        <w:tc>
          <w:tcPr>
            <w:tcW w:w="900" w:type="dxa"/>
            <w:vAlign w:val="center"/>
          </w:tcPr>
          <w:p>
            <w:pPr>
              <w:spacing w:line="240" w:lineRule="exact"/>
              <w:rPr>
                <w:sz w:val="21"/>
                <w:szCs w:val="21"/>
              </w:rPr>
            </w:pPr>
            <w:r>
              <w:rPr>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66" w:type="dxa"/>
            <w:vMerge w:val="continue"/>
            <w:vAlign w:val="center"/>
          </w:tcPr>
          <w:p>
            <w:pPr>
              <w:spacing w:line="240" w:lineRule="exact"/>
              <w:ind w:firstLine="440"/>
              <w:rPr>
                <w:sz w:val="21"/>
                <w:szCs w:val="21"/>
              </w:rPr>
            </w:pPr>
          </w:p>
        </w:tc>
        <w:tc>
          <w:tcPr>
            <w:tcW w:w="904" w:type="dxa"/>
            <w:vMerge w:val="continue"/>
            <w:vAlign w:val="center"/>
          </w:tcPr>
          <w:p>
            <w:pPr>
              <w:spacing w:line="240" w:lineRule="exact"/>
              <w:ind w:firstLine="440"/>
              <w:rPr>
                <w:sz w:val="21"/>
                <w:szCs w:val="21"/>
              </w:rPr>
            </w:pPr>
          </w:p>
        </w:tc>
        <w:tc>
          <w:tcPr>
            <w:tcW w:w="921" w:type="dxa"/>
            <w:vAlign w:val="center"/>
          </w:tcPr>
          <w:p>
            <w:pPr>
              <w:spacing w:line="240" w:lineRule="exact"/>
              <w:ind w:firstLine="210" w:firstLineChars="100"/>
              <w:rPr>
                <w:sz w:val="21"/>
                <w:szCs w:val="21"/>
              </w:rPr>
            </w:pPr>
            <w:r>
              <w:rPr>
                <w:sz w:val="21"/>
                <w:szCs w:val="21"/>
              </w:rPr>
              <w:t>SO</w:t>
            </w:r>
            <w:r>
              <w:rPr>
                <w:sz w:val="21"/>
                <w:szCs w:val="21"/>
                <w:vertAlign w:val="subscript"/>
              </w:rPr>
              <w:t>2</w:t>
            </w:r>
          </w:p>
        </w:tc>
        <w:tc>
          <w:tcPr>
            <w:tcW w:w="866" w:type="dxa"/>
            <w:vAlign w:val="center"/>
          </w:tcPr>
          <w:p>
            <w:pPr>
              <w:spacing w:line="240" w:lineRule="exact"/>
              <w:ind w:firstLine="210" w:firstLineChars="100"/>
              <w:rPr>
                <w:sz w:val="21"/>
                <w:szCs w:val="21"/>
              </w:rPr>
            </w:pPr>
            <w:r>
              <w:rPr>
                <w:sz w:val="21"/>
                <w:szCs w:val="21"/>
              </w:rPr>
              <w:t>/</w:t>
            </w:r>
          </w:p>
        </w:tc>
        <w:tc>
          <w:tcPr>
            <w:tcW w:w="1089" w:type="dxa"/>
            <w:vMerge w:val="continue"/>
            <w:vAlign w:val="center"/>
          </w:tcPr>
          <w:p>
            <w:pPr>
              <w:spacing w:line="240" w:lineRule="exact"/>
              <w:ind w:firstLine="440"/>
              <w:rPr>
                <w:sz w:val="21"/>
                <w:szCs w:val="21"/>
              </w:rPr>
            </w:pPr>
          </w:p>
        </w:tc>
        <w:tc>
          <w:tcPr>
            <w:tcW w:w="1168" w:type="dxa"/>
            <w:vMerge w:val="continue"/>
            <w:vAlign w:val="top"/>
          </w:tcPr>
          <w:p>
            <w:pPr>
              <w:spacing w:line="240" w:lineRule="exact"/>
              <w:ind w:firstLine="440"/>
              <w:rPr>
                <w:sz w:val="21"/>
                <w:szCs w:val="21"/>
              </w:rPr>
            </w:pPr>
          </w:p>
        </w:tc>
        <w:tc>
          <w:tcPr>
            <w:tcW w:w="1076" w:type="dxa"/>
            <w:vAlign w:val="center"/>
          </w:tcPr>
          <w:p>
            <w:pPr>
              <w:spacing w:line="240" w:lineRule="exact"/>
              <w:rPr>
                <w:sz w:val="21"/>
                <w:szCs w:val="21"/>
              </w:rPr>
            </w:pPr>
            <w:r>
              <w:rPr>
                <w:sz w:val="21"/>
                <w:szCs w:val="21"/>
              </w:rPr>
              <w:t>166</w:t>
            </w:r>
          </w:p>
        </w:tc>
        <w:tc>
          <w:tcPr>
            <w:tcW w:w="1286" w:type="dxa"/>
            <w:vAlign w:val="center"/>
          </w:tcPr>
          <w:p>
            <w:pPr>
              <w:spacing w:line="240" w:lineRule="exact"/>
              <w:rPr>
                <w:sz w:val="21"/>
                <w:szCs w:val="21"/>
              </w:rPr>
            </w:pPr>
            <w:r>
              <w:rPr>
                <w:sz w:val="21"/>
                <w:szCs w:val="21"/>
              </w:rPr>
              <w:t>8</w:t>
            </w:r>
          </w:p>
        </w:tc>
        <w:tc>
          <w:tcPr>
            <w:tcW w:w="1286" w:type="dxa"/>
            <w:vAlign w:val="center"/>
          </w:tcPr>
          <w:p>
            <w:pPr>
              <w:spacing w:line="240" w:lineRule="exact"/>
              <w:rPr>
                <w:sz w:val="21"/>
                <w:szCs w:val="21"/>
              </w:rPr>
            </w:pPr>
            <w:r>
              <w:rPr>
                <w:sz w:val="21"/>
                <w:szCs w:val="21"/>
              </w:rPr>
              <w:t>57.6</w:t>
            </w:r>
          </w:p>
        </w:tc>
        <w:tc>
          <w:tcPr>
            <w:tcW w:w="1076" w:type="dxa"/>
            <w:vAlign w:val="center"/>
          </w:tcPr>
          <w:p>
            <w:pPr>
              <w:spacing w:line="240" w:lineRule="exact"/>
              <w:rPr>
                <w:sz w:val="21"/>
                <w:szCs w:val="21"/>
              </w:rPr>
            </w:pPr>
            <w:r>
              <w:rPr>
                <w:sz w:val="21"/>
                <w:szCs w:val="21"/>
              </w:rPr>
              <w:t>0.137</w:t>
            </w:r>
          </w:p>
        </w:tc>
        <w:tc>
          <w:tcPr>
            <w:tcW w:w="1128" w:type="dxa"/>
            <w:vAlign w:val="center"/>
          </w:tcPr>
          <w:p>
            <w:pPr>
              <w:spacing w:line="240" w:lineRule="exact"/>
              <w:rPr>
                <w:sz w:val="21"/>
                <w:szCs w:val="21"/>
              </w:rPr>
            </w:pPr>
            <w:r>
              <w:rPr>
                <w:sz w:val="21"/>
                <w:szCs w:val="21"/>
              </w:rPr>
              <w:t>/</w:t>
            </w:r>
          </w:p>
        </w:tc>
        <w:tc>
          <w:tcPr>
            <w:tcW w:w="1080" w:type="dxa"/>
            <w:vAlign w:val="center"/>
          </w:tcPr>
          <w:p>
            <w:pPr>
              <w:spacing w:line="240" w:lineRule="exact"/>
              <w:rPr>
                <w:sz w:val="21"/>
                <w:szCs w:val="21"/>
              </w:rPr>
            </w:pPr>
            <w:r>
              <w:rPr>
                <w:sz w:val="21"/>
                <w:szCs w:val="21"/>
              </w:rPr>
              <w:t>/</w:t>
            </w:r>
          </w:p>
        </w:tc>
        <w:tc>
          <w:tcPr>
            <w:tcW w:w="900" w:type="dxa"/>
            <w:vAlign w:val="center"/>
          </w:tcPr>
          <w:p>
            <w:pPr>
              <w:spacing w:line="240" w:lineRule="exact"/>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66" w:type="dxa"/>
            <w:vMerge w:val="continue"/>
            <w:vAlign w:val="center"/>
          </w:tcPr>
          <w:p>
            <w:pPr>
              <w:spacing w:line="240" w:lineRule="exact"/>
              <w:ind w:firstLine="440"/>
              <w:rPr>
                <w:sz w:val="21"/>
                <w:szCs w:val="21"/>
              </w:rPr>
            </w:pPr>
          </w:p>
        </w:tc>
        <w:tc>
          <w:tcPr>
            <w:tcW w:w="904" w:type="dxa"/>
            <w:vMerge w:val="continue"/>
            <w:vAlign w:val="center"/>
          </w:tcPr>
          <w:p>
            <w:pPr>
              <w:spacing w:line="240" w:lineRule="exact"/>
              <w:ind w:firstLine="440"/>
              <w:rPr>
                <w:sz w:val="21"/>
                <w:szCs w:val="21"/>
              </w:rPr>
            </w:pPr>
          </w:p>
        </w:tc>
        <w:tc>
          <w:tcPr>
            <w:tcW w:w="921" w:type="dxa"/>
            <w:vAlign w:val="center"/>
          </w:tcPr>
          <w:p>
            <w:pPr>
              <w:spacing w:line="240" w:lineRule="exact"/>
              <w:ind w:firstLine="210" w:firstLineChars="100"/>
              <w:rPr>
                <w:sz w:val="21"/>
                <w:szCs w:val="21"/>
              </w:rPr>
            </w:pPr>
            <w:r>
              <w:rPr>
                <w:sz w:val="21"/>
                <w:szCs w:val="21"/>
              </w:rPr>
              <w:t>NO</w:t>
            </w:r>
            <w:r>
              <w:rPr>
                <w:sz w:val="21"/>
                <w:szCs w:val="21"/>
                <w:vertAlign w:val="subscript"/>
              </w:rPr>
              <w:t>2</w:t>
            </w:r>
          </w:p>
        </w:tc>
        <w:tc>
          <w:tcPr>
            <w:tcW w:w="866" w:type="dxa"/>
            <w:vAlign w:val="center"/>
          </w:tcPr>
          <w:p>
            <w:pPr>
              <w:spacing w:line="240" w:lineRule="exact"/>
              <w:ind w:firstLine="210" w:firstLineChars="100"/>
              <w:rPr>
                <w:sz w:val="21"/>
                <w:szCs w:val="21"/>
              </w:rPr>
            </w:pPr>
            <w:r>
              <w:rPr>
                <w:sz w:val="21"/>
                <w:szCs w:val="21"/>
              </w:rPr>
              <w:t>/</w:t>
            </w:r>
          </w:p>
        </w:tc>
        <w:tc>
          <w:tcPr>
            <w:tcW w:w="1089" w:type="dxa"/>
            <w:vMerge w:val="continue"/>
            <w:vAlign w:val="center"/>
          </w:tcPr>
          <w:p>
            <w:pPr>
              <w:spacing w:line="240" w:lineRule="exact"/>
              <w:ind w:firstLine="440"/>
              <w:rPr>
                <w:sz w:val="21"/>
                <w:szCs w:val="21"/>
              </w:rPr>
            </w:pPr>
          </w:p>
        </w:tc>
        <w:tc>
          <w:tcPr>
            <w:tcW w:w="1168" w:type="dxa"/>
            <w:vMerge w:val="continue"/>
            <w:vAlign w:val="top"/>
          </w:tcPr>
          <w:p>
            <w:pPr>
              <w:spacing w:line="240" w:lineRule="exact"/>
              <w:ind w:firstLine="440"/>
              <w:rPr>
                <w:sz w:val="21"/>
                <w:szCs w:val="21"/>
              </w:rPr>
            </w:pPr>
          </w:p>
        </w:tc>
        <w:tc>
          <w:tcPr>
            <w:tcW w:w="1076" w:type="dxa"/>
            <w:vAlign w:val="center"/>
          </w:tcPr>
          <w:p>
            <w:pPr>
              <w:spacing w:line="240" w:lineRule="exact"/>
              <w:rPr>
                <w:sz w:val="21"/>
                <w:szCs w:val="21"/>
              </w:rPr>
            </w:pPr>
            <w:r>
              <w:rPr>
                <w:sz w:val="21"/>
                <w:szCs w:val="21"/>
              </w:rPr>
              <w:t>120</w:t>
            </w:r>
          </w:p>
        </w:tc>
        <w:tc>
          <w:tcPr>
            <w:tcW w:w="1286" w:type="dxa"/>
            <w:vAlign w:val="center"/>
          </w:tcPr>
          <w:p>
            <w:pPr>
              <w:spacing w:line="240" w:lineRule="exact"/>
              <w:rPr>
                <w:sz w:val="21"/>
                <w:szCs w:val="21"/>
              </w:rPr>
            </w:pPr>
            <w:r>
              <w:rPr>
                <w:sz w:val="21"/>
                <w:szCs w:val="21"/>
              </w:rPr>
              <w:t>5.77</w:t>
            </w:r>
          </w:p>
        </w:tc>
        <w:tc>
          <w:tcPr>
            <w:tcW w:w="1286" w:type="dxa"/>
            <w:vAlign w:val="center"/>
          </w:tcPr>
          <w:p>
            <w:pPr>
              <w:spacing w:line="240" w:lineRule="exact"/>
              <w:rPr>
                <w:sz w:val="21"/>
                <w:szCs w:val="21"/>
              </w:rPr>
            </w:pPr>
            <w:r>
              <w:rPr>
                <w:sz w:val="21"/>
                <w:szCs w:val="21"/>
              </w:rPr>
              <w:t>41.54</w:t>
            </w:r>
          </w:p>
        </w:tc>
        <w:tc>
          <w:tcPr>
            <w:tcW w:w="1076" w:type="dxa"/>
            <w:vAlign w:val="center"/>
          </w:tcPr>
          <w:p>
            <w:pPr>
              <w:spacing w:line="240" w:lineRule="exact"/>
              <w:rPr>
                <w:sz w:val="21"/>
                <w:szCs w:val="21"/>
              </w:rPr>
            </w:pPr>
            <w:r>
              <w:rPr>
                <w:sz w:val="21"/>
                <w:szCs w:val="21"/>
              </w:rPr>
              <w:t>0.099</w:t>
            </w:r>
          </w:p>
        </w:tc>
        <w:tc>
          <w:tcPr>
            <w:tcW w:w="1128" w:type="dxa"/>
            <w:vAlign w:val="center"/>
          </w:tcPr>
          <w:p>
            <w:pPr>
              <w:spacing w:line="240" w:lineRule="exact"/>
              <w:rPr>
                <w:sz w:val="21"/>
                <w:szCs w:val="21"/>
              </w:rPr>
            </w:pPr>
            <w:r>
              <w:rPr>
                <w:sz w:val="21"/>
                <w:szCs w:val="21"/>
              </w:rPr>
              <w:t>/</w:t>
            </w:r>
          </w:p>
        </w:tc>
        <w:tc>
          <w:tcPr>
            <w:tcW w:w="1080" w:type="dxa"/>
            <w:vAlign w:val="center"/>
          </w:tcPr>
          <w:p>
            <w:pPr>
              <w:spacing w:line="240" w:lineRule="exact"/>
              <w:rPr>
                <w:sz w:val="21"/>
                <w:szCs w:val="21"/>
              </w:rPr>
            </w:pPr>
            <w:r>
              <w:rPr>
                <w:sz w:val="21"/>
                <w:szCs w:val="21"/>
              </w:rPr>
              <w:t>/</w:t>
            </w:r>
          </w:p>
        </w:tc>
        <w:tc>
          <w:tcPr>
            <w:tcW w:w="900" w:type="dxa"/>
            <w:vAlign w:val="center"/>
          </w:tcPr>
          <w:p>
            <w:pPr>
              <w:spacing w:line="240" w:lineRule="exact"/>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6" w:hRule="atLeast"/>
        </w:trPr>
        <w:tc>
          <w:tcPr>
            <w:tcW w:w="566" w:type="dxa"/>
            <w:vAlign w:val="center"/>
          </w:tcPr>
          <w:p>
            <w:pPr>
              <w:spacing w:line="240" w:lineRule="exact"/>
              <w:rPr>
                <w:sz w:val="21"/>
                <w:szCs w:val="21"/>
              </w:rPr>
            </w:pPr>
            <w:r>
              <w:rPr>
                <w:sz w:val="21"/>
                <w:szCs w:val="21"/>
              </w:rPr>
              <w:t>6</w:t>
            </w:r>
          </w:p>
        </w:tc>
        <w:tc>
          <w:tcPr>
            <w:tcW w:w="904" w:type="dxa"/>
            <w:vAlign w:val="center"/>
          </w:tcPr>
          <w:p>
            <w:pPr>
              <w:spacing w:line="240" w:lineRule="exact"/>
              <w:rPr>
                <w:sz w:val="21"/>
                <w:szCs w:val="21"/>
              </w:rPr>
            </w:pPr>
            <w:r>
              <w:rPr>
                <w:sz w:val="21"/>
                <w:szCs w:val="21"/>
              </w:rPr>
              <w:t>包装机</w:t>
            </w:r>
          </w:p>
        </w:tc>
        <w:tc>
          <w:tcPr>
            <w:tcW w:w="921" w:type="dxa"/>
            <w:vAlign w:val="center"/>
          </w:tcPr>
          <w:p>
            <w:pPr>
              <w:spacing w:line="240" w:lineRule="exact"/>
              <w:ind w:firstLine="105" w:firstLineChars="50"/>
              <w:rPr>
                <w:sz w:val="21"/>
                <w:szCs w:val="21"/>
              </w:rPr>
            </w:pPr>
            <w:r>
              <w:rPr>
                <w:sz w:val="21"/>
                <w:szCs w:val="21"/>
              </w:rPr>
              <w:t>粉尘</w:t>
            </w:r>
          </w:p>
        </w:tc>
        <w:tc>
          <w:tcPr>
            <w:tcW w:w="866" w:type="dxa"/>
            <w:vAlign w:val="center"/>
          </w:tcPr>
          <w:p>
            <w:pPr>
              <w:spacing w:line="240" w:lineRule="exact"/>
              <w:rPr>
                <w:sz w:val="21"/>
                <w:szCs w:val="21"/>
              </w:rPr>
            </w:pPr>
            <w:r>
              <w:rPr>
                <w:sz w:val="21"/>
                <w:szCs w:val="21"/>
              </w:rPr>
              <w:t>布袋除尘</w:t>
            </w:r>
          </w:p>
        </w:tc>
        <w:tc>
          <w:tcPr>
            <w:tcW w:w="1089" w:type="dxa"/>
            <w:vAlign w:val="center"/>
          </w:tcPr>
          <w:p>
            <w:pPr>
              <w:spacing w:line="240" w:lineRule="exact"/>
              <w:ind w:firstLine="105" w:firstLineChars="50"/>
              <w:rPr>
                <w:sz w:val="21"/>
                <w:szCs w:val="21"/>
              </w:rPr>
            </w:pPr>
            <w:r>
              <w:rPr>
                <w:sz w:val="21"/>
                <w:szCs w:val="21"/>
              </w:rPr>
              <w:t>29850</w:t>
            </w:r>
          </w:p>
        </w:tc>
        <w:tc>
          <w:tcPr>
            <w:tcW w:w="1168" w:type="dxa"/>
            <w:vAlign w:val="top"/>
          </w:tcPr>
          <w:p>
            <w:r>
              <w:rPr>
                <w:sz w:val="21"/>
                <w:szCs w:val="21"/>
              </w:rPr>
              <w:t>7200</w:t>
            </w:r>
          </w:p>
        </w:tc>
        <w:tc>
          <w:tcPr>
            <w:tcW w:w="1076" w:type="dxa"/>
            <w:vAlign w:val="center"/>
          </w:tcPr>
          <w:p>
            <w:pPr>
              <w:spacing w:line="240" w:lineRule="exact"/>
              <w:rPr>
                <w:sz w:val="21"/>
                <w:szCs w:val="21"/>
              </w:rPr>
            </w:pPr>
            <w:r>
              <w:rPr>
                <w:sz w:val="21"/>
                <w:szCs w:val="21"/>
              </w:rPr>
              <w:t>100</w:t>
            </w:r>
          </w:p>
        </w:tc>
        <w:tc>
          <w:tcPr>
            <w:tcW w:w="1286" w:type="dxa"/>
            <w:vAlign w:val="center"/>
          </w:tcPr>
          <w:p>
            <w:pPr>
              <w:spacing w:line="240" w:lineRule="exact"/>
              <w:rPr>
                <w:sz w:val="21"/>
                <w:szCs w:val="21"/>
              </w:rPr>
            </w:pPr>
            <w:r>
              <w:rPr>
                <w:sz w:val="21"/>
                <w:szCs w:val="21"/>
              </w:rPr>
              <w:t>2.99</w:t>
            </w:r>
          </w:p>
        </w:tc>
        <w:tc>
          <w:tcPr>
            <w:tcW w:w="1286" w:type="dxa"/>
            <w:vAlign w:val="center"/>
          </w:tcPr>
          <w:p>
            <w:pPr>
              <w:spacing w:line="240" w:lineRule="exact"/>
              <w:rPr>
                <w:sz w:val="21"/>
                <w:szCs w:val="21"/>
              </w:rPr>
            </w:pPr>
            <w:r>
              <w:rPr>
                <w:sz w:val="21"/>
                <w:szCs w:val="21"/>
              </w:rPr>
              <w:t>21.53</w:t>
            </w:r>
          </w:p>
        </w:tc>
        <w:tc>
          <w:tcPr>
            <w:tcW w:w="1076" w:type="dxa"/>
            <w:vAlign w:val="center"/>
          </w:tcPr>
          <w:p>
            <w:pPr>
              <w:spacing w:line="240" w:lineRule="exact"/>
              <w:rPr>
                <w:sz w:val="21"/>
                <w:szCs w:val="21"/>
              </w:rPr>
            </w:pPr>
            <w:r>
              <w:rPr>
                <w:sz w:val="21"/>
                <w:szCs w:val="21"/>
              </w:rPr>
              <w:t>0.051</w:t>
            </w:r>
          </w:p>
        </w:tc>
        <w:tc>
          <w:tcPr>
            <w:tcW w:w="1128" w:type="dxa"/>
            <w:vAlign w:val="center"/>
          </w:tcPr>
          <w:p>
            <w:pPr>
              <w:spacing w:line="240" w:lineRule="exact"/>
              <w:rPr>
                <w:sz w:val="21"/>
                <w:szCs w:val="21"/>
              </w:rPr>
            </w:pPr>
            <w:r>
              <w:rPr>
                <w:sz w:val="21"/>
                <w:szCs w:val="21"/>
              </w:rPr>
              <w:t>30</w:t>
            </w:r>
          </w:p>
        </w:tc>
        <w:tc>
          <w:tcPr>
            <w:tcW w:w="1080" w:type="dxa"/>
            <w:vAlign w:val="center"/>
          </w:tcPr>
          <w:p>
            <w:pPr>
              <w:spacing w:line="240" w:lineRule="exact"/>
              <w:rPr>
                <w:sz w:val="21"/>
                <w:szCs w:val="21"/>
              </w:rPr>
            </w:pPr>
            <w:r>
              <w:rPr>
                <w:sz w:val="21"/>
                <w:szCs w:val="21"/>
              </w:rPr>
              <w:t>0.024</w:t>
            </w:r>
          </w:p>
        </w:tc>
        <w:tc>
          <w:tcPr>
            <w:tcW w:w="900" w:type="dxa"/>
            <w:vAlign w:val="center"/>
          </w:tcPr>
          <w:p>
            <w:pPr>
              <w:spacing w:line="240" w:lineRule="exact"/>
              <w:rPr>
                <w:sz w:val="21"/>
                <w:szCs w:val="21"/>
              </w:rPr>
            </w:pPr>
            <w:r>
              <w:rPr>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470" w:type="dxa"/>
            <w:gridSpan w:val="2"/>
            <w:vMerge w:val="restart"/>
            <w:vAlign w:val="center"/>
          </w:tcPr>
          <w:p>
            <w:pPr>
              <w:spacing w:line="240" w:lineRule="exact"/>
              <w:ind w:firstLine="440"/>
              <w:rPr>
                <w:sz w:val="21"/>
                <w:szCs w:val="21"/>
              </w:rPr>
            </w:pPr>
            <w:r>
              <w:rPr>
                <w:sz w:val="21"/>
                <w:szCs w:val="21"/>
              </w:rPr>
              <w:t>合计</w:t>
            </w:r>
          </w:p>
        </w:tc>
        <w:tc>
          <w:tcPr>
            <w:tcW w:w="921" w:type="dxa"/>
            <w:vAlign w:val="center"/>
          </w:tcPr>
          <w:p>
            <w:pPr>
              <w:spacing w:line="240" w:lineRule="exact"/>
              <w:ind w:firstLine="105" w:firstLineChars="50"/>
              <w:rPr>
                <w:sz w:val="21"/>
                <w:szCs w:val="21"/>
              </w:rPr>
            </w:pPr>
            <w:r>
              <w:rPr>
                <w:sz w:val="21"/>
                <w:szCs w:val="21"/>
              </w:rPr>
              <w:t>烟尘</w:t>
            </w:r>
          </w:p>
        </w:tc>
        <w:tc>
          <w:tcPr>
            <w:tcW w:w="866" w:type="dxa"/>
            <w:vAlign w:val="center"/>
          </w:tcPr>
          <w:p>
            <w:pPr>
              <w:spacing w:line="240" w:lineRule="exact"/>
              <w:rPr>
                <w:sz w:val="21"/>
                <w:szCs w:val="21"/>
              </w:rPr>
            </w:pPr>
          </w:p>
        </w:tc>
        <w:tc>
          <w:tcPr>
            <w:tcW w:w="1089" w:type="dxa"/>
            <w:vMerge w:val="restart"/>
            <w:vAlign w:val="center"/>
          </w:tcPr>
          <w:p>
            <w:pPr>
              <w:spacing w:line="240" w:lineRule="exact"/>
              <w:ind w:firstLine="210" w:firstLineChars="100"/>
              <w:rPr>
                <w:sz w:val="21"/>
                <w:szCs w:val="21"/>
              </w:rPr>
            </w:pPr>
          </w:p>
        </w:tc>
        <w:tc>
          <w:tcPr>
            <w:tcW w:w="1168" w:type="dxa"/>
            <w:vMerge w:val="restart"/>
            <w:vAlign w:val="center"/>
          </w:tcPr>
          <w:p>
            <w:pPr>
              <w:spacing w:line="240" w:lineRule="exact"/>
              <w:rPr>
                <w:sz w:val="21"/>
                <w:szCs w:val="21"/>
              </w:rPr>
            </w:pPr>
            <w:r>
              <w:rPr>
                <w:sz w:val="21"/>
                <w:szCs w:val="21"/>
              </w:rPr>
              <w:t>/</w:t>
            </w:r>
          </w:p>
        </w:tc>
        <w:tc>
          <w:tcPr>
            <w:tcW w:w="1076" w:type="dxa"/>
            <w:vMerge w:val="restart"/>
            <w:vAlign w:val="center"/>
          </w:tcPr>
          <w:p>
            <w:pPr>
              <w:spacing w:line="240" w:lineRule="exact"/>
              <w:ind w:firstLine="210" w:firstLineChars="100"/>
              <w:rPr>
                <w:sz w:val="21"/>
                <w:szCs w:val="21"/>
              </w:rPr>
            </w:pPr>
          </w:p>
        </w:tc>
        <w:tc>
          <w:tcPr>
            <w:tcW w:w="1286" w:type="dxa"/>
            <w:vAlign w:val="center"/>
          </w:tcPr>
          <w:p>
            <w:pPr>
              <w:spacing w:line="240" w:lineRule="exact"/>
              <w:rPr>
                <w:sz w:val="21"/>
                <w:szCs w:val="21"/>
              </w:rPr>
            </w:pPr>
            <w:r>
              <w:rPr>
                <w:sz w:val="21"/>
                <w:szCs w:val="21"/>
              </w:rPr>
              <w:t>31.74</w:t>
            </w:r>
          </w:p>
        </w:tc>
        <w:tc>
          <w:tcPr>
            <w:tcW w:w="1286" w:type="dxa"/>
            <w:vAlign w:val="center"/>
          </w:tcPr>
          <w:p>
            <w:pPr>
              <w:spacing w:line="240" w:lineRule="exact"/>
              <w:rPr>
                <w:sz w:val="21"/>
                <w:szCs w:val="21"/>
              </w:rPr>
            </w:pPr>
            <w:r>
              <w:rPr>
                <w:sz w:val="21"/>
                <w:szCs w:val="21"/>
              </w:rPr>
              <w:t>228.5</w:t>
            </w:r>
          </w:p>
        </w:tc>
        <w:tc>
          <w:tcPr>
            <w:tcW w:w="1076" w:type="dxa"/>
            <w:vAlign w:val="center"/>
          </w:tcPr>
          <w:p>
            <w:pPr>
              <w:spacing w:line="240" w:lineRule="exact"/>
              <w:rPr>
                <w:sz w:val="21"/>
                <w:szCs w:val="21"/>
              </w:rPr>
            </w:pPr>
          </w:p>
        </w:tc>
        <w:tc>
          <w:tcPr>
            <w:tcW w:w="1128" w:type="dxa"/>
            <w:vAlign w:val="center"/>
          </w:tcPr>
          <w:p>
            <w:pPr>
              <w:spacing w:line="240" w:lineRule="exact"/>
              <w:rPr>
                <w:sz w:val="21"/>
                <w:szCs w:val="21"/>
              </w:rPr>
            </w:pPr>
          </w:p>
        </w:tc>
        <w:tc>
          <w:tcPr>
            <w:tcW w:w="1080" w:type="dxa"/>
            <w:vAlign w:val="center"/>
          </w:tcPr>
          <w:p>
            <w:pPr>
              <w:spacing w:line="240" w:lineRule="exact"/>
              <w:rPr>
                <w:sz w:val="21"/>
                <w:szCs w:val="21"/>
              </w:rPr>
            </w:pPr>
          </w:p>
        </w:tc>
        <w:tc>
          <w:tcPr>
            <w:tcW w:w="900" w:type="dxa"/>
            <w:vAlign w:val="center"/>
          </w:tcPr>
          <w:p>
            <w:pPr>
              <w:spacing w:line="24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470" w:type="dxa"/>
            <w:gridSpan w:val="2"/>
            <w:vMerge w:val="continue"/>
            <w:vAlign w:val="center"/>
          </w:tcPr>
          <w:p>
            <w:pPr>
              <w:spacing w:line="240" w:lineRule="exact"/>
              <w:ind w:firstLine="440"/>
              <w:rPr>
                <w:sz w:val="21"/>
                <w:szCs w:val="21"/>
              </w:rPr>
            </w:pPr>
          </w:p>
        </w:tc>
        <w:tc>
          <w:tcPr>
            <w:tcW w:w="921" w:type="dxa"/>
            <w:vAlign w:val="center"/>
          </w:tcPr>
          <w:p>
            <w:pPr>
              <w:spacing w:line="240" w:lineRule="exact"/>
              <w:rPr>
                <w:sz w:val="21"/>
                <w:szCs w:val="21"/>
              </w:rPr>
            </w:pPr>
            <w:r>
              <w:rPr>
                <w:sz w:val="21"/>
                <w:szCs w:val="21"/>
              </w:rPr>
              <w:t>粉尘</w:t>
            </w:r>
          </w:p>
        </w:tc>
        <w:tc>
          <w:tcPr>
            <w:tcW w:w="866" w:type="dxa"/>
            <w:vAlign w:val="center"/>
          </w:tcPr>
          <w:p>
            <w:pPr>
              <w:spacing w:line="240" w:lineRule="exact"/>
              <w:ind w:firstLine="440"/>
              <w:rPr>
                <w:sz w:val="21"/>
                <w:szCs w:val="21"/>
              </w:rPr>
            </w:pPr>
          </w:p>
        </w:tc>
        <w:tc>
          <w:tcPr>
            <w:tcW w:w="1089" w:type="dxa"/>
            <w:vMerge w:val="continue"/>
            <w:vAlign w:val="center"/>
          </w:tcPr>
          <w:p>
            <w:pPr>
              <w:spacing w:line="240" w:lineRule="exact"/>
              <w:ind w:firstLine="210" w:firstLineChars="100"/>
              <w:rPr>
                <w:sz w:val="21"/>
                <w:szCs w:val="21"/>
              </w:rPr>
            </w:pPr>
          </w:p>
        </w:tc>
        <w:tc>
          <w:tcPr>
            <w:tcW w:w="1168" w:type="dxa"/>
            <w:vMerge w:val="continue"/>
            <w:vAlign w:val="center"/>
          </w:tcPr>
          <w:p>
            <w:pPr>
              <w:spacing w:line="240" w:lineRule="exact"/>
              <w:ind w:firstLine="440"/>
              <w:rPr>
                <w:sz w:val="21"/>
                <w:szCs w:val="21"/>
              </w:rPr>
            </w:pPr>
          </w:p>
        </w:tc>
        <w:tc>
          <w:tcPr>
            <w:tcW w:w="1076" w:type="dxa"/>
            <w:vMerge w:val="continue"/>
            <w:vAlign w:val="center"/>
          </w:tcPr>
          <w:p>
            <w:pPr>
              <w:spacing w:line="240" w:lineRule="exact"/>
              <w:ind w:firstLine="440"/>
              <w:rPr>
                <w:sz w:val="21"/>
                <w:szCs w:val="21"/>
              </w:rPr>
            </w:pPr>
          </w:p>
        </w:tc>
        <w:tc>
          <w:tcPr>
            <w:tcW w:w="1286" w:type="dxa"/>
            <w:vAlign w:val="center"/>
          </w:tcPr>
          <w:p>
            <w:pPr>
              <w:spacing w:line="240" w:lineRule="exact"/>
              <w:rPr>
                <w:sz w:val="21"/>
                <w:szCs w:val="21"/>
              </w:rPr>
            </w:pPr>
            <w:r>
              <w:rPr>
                <w:sz w:val="21"/>
                <w:szCs w:val="21"/>
              </w:rPr>
              <w:t>14.78</w:t>
            </w:r>
          </w:p>
        </w:tc>
        <w:tc>
          <w:tcPr>
            <w:tcW w:w="1286" w:type="dxa"/>
            <w:vAlign w:val="center"/>
          </w:tcPr>
          <w:p>
            <w:pPr>
              <w:spacing w:line="240" w:lineRule="exact"/>
              <w:rPr>
                <w:sz w:val="21"/>
                <w:szCs w:val="21"/>
              </w:rPr>
            </w:pPr>
            <w:r>
              <w:rPr>
                <w:sz w:val="21"/>
                <w:szCs w:val="21"/>
              </w:rPr>
              <w:t>106.42</w:t>
            </w:r>
          </w:p>
        </w:tc>
        <w:tc>
          <w:tcPr>
            <w:tcW w:w="1076" w:type="dxa"/>
            <w:vAlign w:val="center"/>
          </w:tcPr>
          <w:p>
            <w:pPr>
              <w:spacing w:line="240" w:lineRule="exact"/>
              <w:rPr>
                <w:sz w:val="21"/>
                <w:szCs w:val="21"/>
              </w:rPr>
            </w:pPr>
          </w:p>
        </w:tc>
        <w:tc>
          <w:tcPr>
            <w:tcW w:w="1128" w:type="dxa"/>
            <w:vMerge w:val="restart"/>
            <w:vAlign w:val="center"/>
          </w:tcPr>
          <w:p>
            <w:pPr>
              <w:spacing w:line="240" w:lineRule="exact"/>
              <w:rPr>
                <w:sz w:val="21"/>
                <w:szCs w:val="21"/>
              </w:rPr>
            </w:pPr>
          </w:p>
        </w:tc>
        <w:tc>
          <w:tcPr>
            <w:tcW w:w="1080" w:type="dxa"/>
            <w:vMerge w:val="restart"/>
            <w:vAlign w:val="center"/>
          </w:tcPr>
          <w:p>
            <w:pPr>
              <w:spacing w:line="240" w:lineRule="exact"/>
              <w:rPr>
                <w:sz w:val="21"/>
                <w:szCs w:val="21"/>
              </w:rPr>
            </w:pPr>
          </w:p>
        </w:tc>
        <w:tc>
          <w:tcPr>
            <w:tcW w:w="900" w:type="dxa"/>
            <w:vMerge w:val="restart"/>
            <w:vAlign w:val="center"/>
          </w:tcPr>
          <w:p>
            <w:pPr>
              <w:spacing w:line="24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470" w:type="dxa"/>
            <w:gridSpan w:val="2"/>
            <w:vMerge w:val="continue"/>
            <w:vAlign w:val="center"/>
          </w:tcPr>
          <w:p>
            <w:pPr>
              <w:spacing w:line="240" w:lineRule="exact"/>
              <w:ind w:firstLine="440"/>
              <w:rPr>
                <w:sz w:val="21"/>
                <w:szCs w:val="21"/>
              </w:rPr>
            </w:pPr>
          </w:p>
        </w:tc>
        <w:tc>
          <w:tcPr>
            <w:tcW w:w="921" w:type="dxa"/>
            <w:vAlign w:val="center"/>
          </w:tcPr>
          <w:p>
            <w:pPr>
              <w:spacing w:line="240" w:lineRule="exact"/>
              <w:rPr>
                <w:sz w:val="21"/>
                <w:szCs w:val="21"/>
              </w:rPr>
            </w:pPr>
            <w:r>
              <w:rPr>
                <w:sz w:val="21"/>
                <w:szCs w:val="21"/>
              </w:rPr>
              <w:t>SO</w:t>
            </w:r>
            <w:r>
              <w:rPr>
                <w:sz w:val="21"/>
                <w:szCs w:val="21"/>
                <w:vertAlign w:val="subscript"/>
              </w:rPr>
              <w:t>2</w:t>
            </w:r>
          </w:p>
        </w:tc>
        <w:tc>
          <w:tcPr>
            <w:tcW w:w="866" w:type="dxa"/>
            <w:vAlign w:val="center"/>
          </w:tcPr>
          <w:p>
            <w:pPr>
              <w:spacing w:line="240" w:lineRule="exact"/>
              <w:ind w:firstLine="440"/>
              <w:rPr>
                <w:sz w:val="21"/>
                <w:szCs w:val="21"/>
              </w:rPr>
            </w:pPr>
          </w:p>
        </w:tc>
        <w:tc>
          <w:tcPr>
            <w:tcW w:w="1089" w:type="dxa"/>
            <w:vMerge w:val="continue"/>
            <w:vAlign w:val="center"/>
          </w:tcPr>
          <w:p>
            <w:pPr>
              <w:spacing w:line="240" w:lineRule="exact"/>
              <w:ind w:firstLine="440"/>
              <w:rPr>
                <w:sz w:val="21"/>
                <w:szCs w:val="21"/>
              </w:rPr>
            </w:pPr>
          </w:p>
        </w:tc>
        <w:tc>
          <w:tcPr>
            <w:tcW w:w="1168" w:type="dxa"/>
            <w:vMerge w:val="continue"/>
            <w:vAlign w:val="center"/>
          </w:tcPr>
          <w:p>
            <w:pPr>
              <w:spacing w:line="240" w:lineRule="exact"/>
              <w:ind w:firstLine="440"/>
              <w:rPr>
                <w:sz w:val="21"/>
                <w:szCs w:val="21"/>
              </w:rPr>
            </w:pPr>
          </w:p>
        </w:tc>
        <w:tc>
          <w:tcPr>
            <w:tcW w:w="1076" w:type="dxa"/>
            <w:vMerge w:val="continue"/>
            <w:vAlign w:val="center"/>
          </w:tcPr>
          <w:p>
            <w:pPr>
              <w:spacing w:line="240" w:lineRule="exact"/>
              <w:ind w:firstLine="440"/>
              <w:rPr>
                <w:sz w:val="21"/>
                <w:szCs w:val="21"/>
              </w:rPr>
            </w:pPr>
          </w:p>
        </w:tc>
        <w:tc>
          <w:tcPr>
            <w:tcW w:w="1286" w:type="dxa"/>
            <w:vAlign w:val="center"/>
          </w:tcPr>
          <w:p>
            <w:pPr>
              <w:spacing w:line="240" w:lineRule="exact"/>
              <w:rPr>
                <w:sz w:val="21"/>
                <w:szCs w:val="21"/>
              </w:rPr>
            </w:pPr>
            <w:r>
              <w:rPr>
                <w:sz w:val="21"/>
                <w:szCs w:val="21"/>
              </w:rPr>
              <w:t>140.71</w:t>
            </w:r>
          </w:p>
        </w:tc>
        <w:tc>
          <w:tcPr>
            <w:tcW w:w="1286" w:type="dxa"/>
            <w:vAlign w:val="center"/>
          </w:tcPr>
          <w:p>
            <w:pPr>
              <w:rPr>
                <w:rFonts w:cs="宋体"/>
                <w:sz w:val="21"/>
                <w:szCs w:val="21"/>
              </w:rPr>
            </w:pPr>
            <w:r>
              <w:rPr>
                <w:sz w:val="21"/>
                <w:szCs w:val="21"/>
              </w:rPr>
              <w:t>1013.11</w:t>
            </w:r>
          </w:p>
        </w:tc>
        <w:tc>
          <w:tcPr>
            <w:tcW w:w="1076" w:type="dxa"/>
            <w:vAlign w:val="center"/>
          </w:tcPr>
          <w:p>
            <w:pPr>
              <w:spacing w:line="240" w:lineRule="exact"/>
              <w:rPr>
                <w:sz w:val="21"/>
                <w:szCs w:val="21"/>
              </w:rPr>
            </w:pPr>
          </w:p>
        </w:tc>
        <w:tc>
          <w:tcPr>
            <w:tcW w:w="1128" w:type="dxa"/>
            <w:vMerge w:val="continue"/>
            <w:vAlign w:val="center"/>
          </w:tcPr>
          <w:p>
            <w:pPr>
              <w:spacing w:line="240" w:lineRule="exact"/>
              <w:ind w:firstLine="440"/>
              <w:rPr>
                <w:sz w:val="21"/>
                <w:szCs w:val="21"/>
              </w:rPr>
            </w:pPr>
          </w:p>
        </w:tc>
        <w:tc>
          <w:tcPr>
            <w:tcW w:w="1080" w:type="dxa"/>
            <w:vMerge w:val="continue"/>
            <w:vAlign w:val="center"/>
          </w:tcPr>
          <w:p>
            <w:pPr>
              <w:spacing w:line="240" w:lineRule="exact"/>
              <w:ind w:firstLine="440"/>
              <w:rPr>
                <w:sz w:val="21"/>
                <w:szCs w:val="21"/>
              </w:rPr>
            </w:pPr>
          </w:p>
        </w:tc>
        <w:tc>
          <w:tcPr>
            <w:tcW w:w="900" w:type="dxa"/>
            <w:vMerge w:val="continue"/>
            <w:vAlign w:val="center"/>
          </w:tcPr>
          <w:p>
            <w:pPr>
              <w:spacing w:line="240" w:lineRule="exact"/>
              <w:ind w:firstLine="44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1470" w:type="dxa"/>
            <w:gridSpan w:val="2"/>
            <w:vMerge w:val="continue"/>
            <w:vAlign w:val="center"/>
          </w:tcPr>
          <w:p>
            <w:pPr>
              <w:spacing w:line="240" w:lineRule="exact"/>
              <w:ind w:firstLine="440"/>
              <w:rPr>
                <w:sz w:val="21"/>
                <w:szCs w:val="21"/>
              </w:rPr>
            </w:pPr>
          </w:p>
        </w:tc>
        <w:tc>
          <w:tcPr>
            <w:tcW w:w="921" w:type="dxa"/>
            <w:vAlign w:val="center"/>
          </w:tcPr>
          <w:p>
            <w:pPr>
              <w:spacing w:line="240" w:lineRule="exact"/>
              <w:rPr>
                <w:sz w:val="21"/>
                <w:szCs w:val="21"/>
              </w:rPr>
            </w:pPr>
            <w:r>
              <w:rPr>
                <w:sz w:val="21"/>
                <w:szCs w:val="21"/>
              </w:rPr>
              <w:t>NO</w:t>
            </w:r>
            <w:r>
              <w:rPr>
                <w:sz w:val="21"/>
                <w:szCs w:val="21"/>
                <w:vertAlign w:val="subscript"/>
              </w:rPr>
              <w:t>x</w:t>
            </w:r>
          </w:p>
        </w:tc>
        <w:tc>
          <w:tcPr>
            <w:tcW w:w="866" w:type="dxa"/>
            <w:vAlign w:val="center"/>
          </w:tcPr>
          <w:p>
            <w:pPr>
              <w:spacing w:line="240" w:lineRule="exact"/>
              <w:ind w:firstLine="440"/>
              <w:rPr>
                <w:sz w:val="21"/>
                <w:szCs w:val="21"/>
              </w:rPr>
            </w:pPr>
          </w:p>
        </w:tc>
        <w:tc>
          <w:tcPr>
            <w:tcW w:w="1089" w:type="dxa"/>
            <w:vMerge w:val="continue"/>
            <w:vAlign w:val="center"/>
          </w:tcPr>
          <w:p>
            <w:pPr>
              <w:spacing w:line="240" w:lineRule="exact"/>
              <w:ind w:firstLine="440"/>
              <w:rPr>
                <w:sz w:val="21"/>
                <w:szCs w:val="21"/>
              </w:rPr>
            </w:pPr>
          </w:p>
        </w:tc>
        <w:tc>
          <w:tcPr>
            <w:tcW w:w="1168" w:type="dxa"/>
            <w:vMerge w:val="continue"/>
            <w:vAlign w:val="center"/>
          </w:tcPr>
          <w:p>
            <w:pPr>
              <w:spacing w:line="240" w:lineRule="exact"/>
              <w:ind w:firstLine="440"/>
              <w:rPr>
                <w:sz w:val="21"/>
                <w:szCs w:val="21"/>
              </w:rPr>
            </w:pPr>
          </w:p>
        </w:tc>
        <w:tc>
          <w:tcPr>
            <w:tcW w:w="1076" w:type="dxa"/>
            <w:vMerge w:val="continue"/>
            <w:vAlign w:val="center"/>
          </w:tcPr>
          <w:p>
            <w:pPr>
              <w:spacing w:line="240" w:lineRule="exact"/>
              <w:ind w:firstLine="440"/>
              <w:rPr>
                <w:sz w:val="21"/>
                <w:szCs w:val="21"/>
              </w:rPr>
            </w:pPr>
          </w:p>
        </w:tc>
        <w:tc>
          <w:tcPr>
            <w:tcW w:w="1286" w:type="dxa"/>
            <w:vAlign w:val="center"/>
          </w:tcPr>
          <w:p>
            <w:pPr>
              <w:spacing w:line="240" w:lineRule="exact"/>
              <w:rPr>
                <w:sz w:val="21"/>
                <w:szCs w:val="21"/>
              </w:rPr>
            </w:pPr>
            <w:r>
              <w:rPr>
                <w:sz w:val="21"/>
                <w:szCs w:val="21"/>
              </w:rPr>
              <w:t>132.27</w:t>
            </w:r>
          </w:p>
        </w:tc>
        <w:tc>
          <w:tcPr>
            <w:tcW w:w="1286" w:type="dxa"/>
            <w:vAlign w:val="center"/>
          </w:tcPr>
          <w:p>
            <w:pPr>
              <w:rPr>
                <w:rFonts w:cs="宋体"/>
                <w:sz w:val="21"/>
                <w:szCs w:val="21"/>
              </w:rPr>
            </w:pPr>
            <w:r>
              <w:rPr>
                <w:rFonts w:cs="宋体"/>
                <w:sz w:val="21"/>
                <w:szCs w:val="21"/>
              </w:rPr>
              <w:t>952.34</w:t>
            </w:r>
          </w:p>
        </w:tc>
        <w:tc>
          <w:tcPr>
            <w:tcW w:w="1076" w:type="dxa"/>
            <w:vAlign w:val="center"/>
          </w:tcPr>
          <w:p>
            <w:pPr>
              <w:spacing w:line="240" w:lineRule="exact"/>
              <w:rPr>
                <w:sz w:val="21"/>
                <w:szCs w:val="21"/>
              </w:rPr>
            </w:pPr>
          </w:p>
        </w:tc>
        <w:tc>
          <w:tcPr>
            <w:tcW w:w="1128" w:type="dxa"/>
            <w:vMerge w:val="continue"/>
            <w:vAlign w:val="center"/>
          </w:tcPr>
          <w:p>
            <w:pPr>
              <w:spacing w:line="240" w:lineRule="exact"/>
              <w:ind w:firstLine="440"/>
              <w:rPr>
                <w:sz w:val="21"/>
                <w:szCs w:val="21"/>
              </w:rPr>
            </w:pPr>
          </w:p>
        </w:tc>
        <w:tc>
          <w:tcPr>
            <w:tcW w:w="1080" w:type="dxa"/>
            <w:vMerge w:val="continue"/>
            <w:vAlign w:val="center"/>
          </w:tcPr>
          <w:p>
            <w:pPr>
              <w:spacing w:line="240" w:lineRule="exact"/>
              <w:ind w:firstLine="440"/>
              <w:rPr>
                <w:sz w:val="21"/>
                <w:szCs w:val="21"/>
              </w:rPr>
            </w:pPr>
          </w:p>
        </w:tc>
        <w:tc>
          <w:tcPr>
            <w:tcW w:w="900" w:type="dxa"/>
            <w:vMerge w:val="continue"/>
            <w:vAlign w:val="center"/>
          </w:tcPr>
          <w:p>
            <w:pPr>
              <w:spacing w:line="240" w:lineRule="exact"/>
              <w:ind w:firstLine="440"/>
              <w:rPr>
                <w:sz w:val="21"/>
                <w:szCs w:val="21"/>
              </w:rPr>
            </w:pPr>
          </w:p>
        </w:tc>
      </w:tr>
    </w:tbl>
    <w:p>
      <w:pPr>
        <w:sectPr>
          <w:pgSz w:w="16838" w:h="11906" w:orient="landscape"/>
          <w:pgMar w:top="1531" w:right="1418" w:bottom="1531" w:left="1418" w:header="851" w:footer="992" w:gutter="0"/>
          <w:paperSrc w:first="20070" w:other="20070"/>
          <w:cols w:space="425" w:num="1"/>
          <w:docGrid w:linePitch="312" w:charSpace="0"/>
        </w:sectPr>
      </w:pPr>
    </w:p>
    <w:p>
      <w:pPr>
        <w:spacing w:line="480" w:lineRule="exact"/>
        <w:ind w:firstLine="420" w:firstLineChars="200"/>
        <w:rPr>
          <w:rFonts w:hint="eastAsia" w:ascii="宋体" w:hAnsi="宋体"/>
        </w:rPr>
      </w:pPr>
      <w:r>
        <w:rPr>
          <w:rFonts w:hint="eastAsia" w:ascii="宋体" w:hAnsi="宋体"/>
        </w:rPr>
        <w:t>（2）无组织排放</w:t>
      </w:r>
    </w:p>
    <w:p>
      <w:pPr>
        <w:spacing w:line="480" w:lineRule="exact"/>
        <w:ind w:firstLine="420" w:firstLineChars="200"/>
        <w:rPr>
          <w:rFonts w:hint="eastAsia" w:ascii="宋体" w:hAnsi="宋体"/>
        </w:rPr>
      </w:pPr>
      <w:r>
        <w:rPr>
          <w:rFonts w:hint="eastAsia" w:ascii="宋体" w:hAnsi="宋体"/>
        </w:rPr>
        <w:t>水泥厂无组织排放源的来源有原料堆场的风蚀扬尘、作业扬尘和运输中的洒落。根据目前重庆永荣青鹏煤业有限公司水泥厂的生产水平，无组织排放源不考虑生产中的物料泄漏和汽车夹带携带扬尘，仅考虑物料装卸、作业扬尘、堆场风蚀扬尘和运输过程的物料损失。重庆永荣青鹏煤业有限公司水泥厂无组织排放分析表见表2-4。</w:t>
      </w:r>
    </w:p>
    <w:p>
      <w:pPr>
        <w:spacing w:line="480" w:lineRule="exact"/>
        <w:jc w:val="center"/>
        <w:rPr>
          <w:rFonts w:hint="eastAsia" w:ascii="宋体" w:hAnsi="宋体"/>
          <w:b/>
        </w:rPr>
      </w:pPr>
      <w:r>
        <w:rPr>
          <w:rFonts w:hint="eastAsia" w:ascii="宋体" w:hAnsi="宋体"/>
          <w:b/>
        </w:rPr>
        <w:t>表2-4   现有水泥厂无组织排放分析表</w:t>
      </w:r>
    </w:p>
    <w:tbl>
      <w:tblPr>
        <w:tblStyle w:val="21"/>
        <w:tblW w:w="8751" w:type="dxa"/>
        <w:jc w:val="center"/>
        <w:tblInd w:w="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946"/>
        <w:gridCol w:w="1974"/>
        <w:gridCol w:w="2148"/>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2"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序号</w:t>
            </w:r>
          </w:p>
        </w:tc>
        <w:tc>
          <w:tcPr>
            <w:tcW w:w="1946"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污染物名称</w:t>
            </w:r>
          </w:p>
        </w:tc>
        <w:tc>
          <w:tcPr>
            <w:tcW w:w="1974"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排放强度（％）</w:t>
            </w:r>
          </w:p>
        </w:tc>
        <w:tc>
          <w:tcPr>
            <w:tcW w:w="2148" w:type="dxa"/>
            <w:vAlign w:val="center"/>
          </w:tcPr>
          <w:p>
            <w:pPr>
              <w:pStyle w:val="24"/>
              <w:spacing w:before="100" w:beforeAutospacing="1" w:after="100" w:afterAutospacing="1" w:line="360" w:lineRule="exact"/>
              <w:ind w:firstLine="0" w:firstLineChars="0"/>
              <w:rPr>
                <w:rFonts w:hint="eastAsia" w:eastAsia="宋体"/>
                <w:color w:val="auto"/>
                <w:sz w:val="21"/>
                <w:szCs w:val="21"/>
              </w:rPr>
            </w:pPr>
            <w:r>
              <w:rPr>
                <w:rFonts w:hint="eastAsia" w:eastAsia="宋体"/>
                <w:color w:val="auto"/>
                <w:sz w:val="21"/>
                <w:szCs w:val="21"/>
              </w:rPr>
              <w:t>原、辅料总用量（t/a）</w:t>
            </w:r>
          </w:p>
        </w:tc>
        <w:tc>
          <w:tcPr>
            <w:tcW w:w="1911" w:type="dxa"/>
            <w:vAlign w:val="center"/>
          </w:tcPr>
          <w:p>
            <w:pPr>
              <w:pStyle w:val="24"/>
              <w:spacing w:before="100" w:beforeAutospacing="1" w:after="100" w:afterAutospacing="1" w:line="360" w:lineRule="exact"/>
              <w:ind w:firstLine="0" w:firstLineChars="0"/>
              <w:rPr>
                <w:rFonts w:hint="eastAsia" w:eastAsia="宋体"/>
                <w:color w:val="auto"/>
                <w:sz w:val="21"/>
                <w:szCs w:val="21"/>
              </w:rPr>
            </w:pPr>
            <w:r>
              <w:rPr>
                <w:rFonts w:hint="eastAsia" w:eastAsia="宋体"/>
                <w:color w:val="auto"/>
                <w:sz w:val="21"/>
                <w:szCs w:val="21"/>
              </w:rPr>
              <w:t>粉尘排放量（t/a）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2"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1</w:t>
            </w:r>
          </w:p>
        </w:tc>
        <w:tc>
          <w:tcPr>
            <w:tcW w:w="1946"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煤堆场</w:t>
            </w:r>
          </w:p>
        </w:tc>
        <w:tc>
          <w:tcPr>
            <w:tcW w:w="1974"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0.02</w:t>
            </w:r>
          </w:p>
        </w:tc>
        <w:tc>
          <w:tcPr>
            <w:tcW w:w="2148"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83000</w:t>
            </w:r>
          </w:p>
        </w:tc>
        <w:tc>
          <w:tcPr>
            <w:tcW w:w="1911"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2"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2</w:t>
            </w:r>
          </w:p>
        </w:tc>
        <w:tc>
          <w:tcPr>
            <w:tcW w:w="1946"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煤卸车</w:t>
            </w:r>
          </w:p>
        </w:tc>
        <w:tc>
          <w:tcPr>
            <w:tcW w:w="1974"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0.12</w:t>
            </w:r>
          </w:p>
        </w:tc>
        <w:tc>
          <w:tcPr>
            <w:tcW w:w="2148"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83000</w:t>
            </w:r>
          </w:p>
        </w:tc>
        <w:tc>
          <w:tcPr>
            <w:tcW w:w="1911"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2"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3</w:t>
            </w:r>
          </w:p>
        </w:tc>
        <w:tc>
          <w:tcPr>
            <w:tcW w:w="1946"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石膏堆场、卸车</w:t>
            </w:r>
          </w:p>
        </w:tc>
        <w:tc>
          <w:tcPr>
            <w:tcW w:w="1974"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0.03</w:t>
            </w:r>
          </w:p>
        </w:tc>
        <w:tc>
          <w:tcPr>
            <w:tcW w:w="2148"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12000</w:t>
            </w:r>
          </w:p>
        </w:tc>
        <w:tc>
          <w:tcPr>
            <w:tcW w:w="1911"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2"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4</w:t>
            </w:r>
          </w:p>
        </w:tc>
        <w:tc>
          <w:tcPr>
            <w:tcW w:w="1946"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石灰石卸车</w:t>
            </w:r>
          </w:p>
        </w:tc>
        <w:tc>
          <w:tcPr>
            <w:tcW w:w="1974"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0.002</w:t>
            </w:r>
          </w:p>
        </w:tc>
        <w:tc>
          <w:tcPr>
            <w:tcW w:w="2148"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533600</w:t>
            </w:r>
          </w:p>
        </w:tc>
        <w:tc>
          <w:tcPr>
            <w:tcW w:w="1911"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2"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5</w:t>
            </w:r>
          </w:p>
        </w:tc>
        <w:tc>
          <w:tcPr>
            <w:tcW w:w="1946"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石灰石堆场</w:t>
            </w:r>
          </w:p>
        </w:tc>
        <w:tc>
          <w:tcPr>
            <w:tcW w:w="1974"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0.01</w:t>
            </w:r>
          </w:p>
        </w:tc>
        <w:tc>
          <w:tcPr>
            <w:tcW w:w="2148"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533600</w:t>
            </w:r>
          </w:p>
        </w:tc>
        <w:tc>
          <w:tcPr>
            <w:tcW w:w="1911"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106.72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2"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6</w:t>
            </w:r>
          </w:p>
        </w:tc>
        <w:tc>
          <w:tcPr>
            <w:tcW w:w="1946"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煤矸石堆场</w:t>
            </w:r>
          </w:p>
        </w:tc>
        <w:tc>
          <w:tcPr>
            <w:tcW w:w="1974"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0.03</w:t>
            </w:r>
          </w:p>
        </w:tc>
        <w:tc>
          <w:tcPr>
            <w:tcW w:w="2148"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41600</w:t>
            </w:r>
          </w:p>
        </w:tc>
        <w:tc>
          <w:tcPr>
            <w:tcW w:w="1911"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12.48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2"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7</w:t>
            </w:r>
          </w:p>
        </w:tc>
        <w:tc>
          <w:tcPr>
            <w:tcW w:w="1946"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粉煤灰堆场</w:t>
            </w:r>
          </w:p>
        </w:tc>
        <w:tc>
          <w:tcPr>
            <w:tcW w:w="1974"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0.05</w:t>
            </w:r>
          </w:p>
        </w:tc>
        <w:tc>
          <w:tcPr>
            <w:tcW w:w="2148"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180000</w:t>
            </w:r>
          </w:p>
        </w:tc>
        <w:tc>
          <w:tcPr>
            <w:tcW w:w="1911"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2"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6</w:t>
            </w:r>
          </w:p>
        </w:tc>
        <w:tc>
          <w:tcPr>
            <w:tcW w:w="1946"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磷矿渣、冶炼废渣堆场、卸车</w:t>
            </w:r>
          </w:p>
        </w:tc>
        <w:tc>
          <w:tcPr>
            <w:tcW w:w="1974"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0.03</w:t>
            </w:r>
          </w:p>
        </w:tc>
        <w:tc>
          <w:tcPr>
            <w:tcW w:w="2148"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34800</w:t>
            </w:r>
          </w:p>
        </w:tc>
        <w:tc>
          <w:tcPr>
            <w:tcW w:w="1911"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10.44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2"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8</w:t>
            </w:r>
          </w:p>
        </w:tc>
        <w:tc>
          <w:tcPr>
            <w:tcW w:w="1946" w:type="dxa"/>
            <w:vAlign w:val="center"/>
          </w:tcPr>
          <w:p>
            <w:pPr>
              <w:spacing w:before="100" w:beforeAutospacing="1" w:after="100" w:afterAutospacing="1" w:line="360" w:lineRule="exact"/>
              <w:ind w:left="211"/>
              <w:jc w:val="center"/>
              <w:rPr>
                <w:rFonts w:hint="eastAsia" w:ascii="宋体" w:hAnsi="宋体"/>
                <w:sz w:val="21"/>
                <w:szCs w:val="21"/>
              </w:rPr>
            </w:pPr>
            <w:r>
              <w:rPr>
                <w:rFonts w:hint="eastAsia" w:ascii="宋体" w:hAnsi="宋体"/>
                <w:sz w:val="21"/>
                <w:szCs w:val="21"/>
              </w:rPr>
              <w:t>各种原、辅料、燃料运输损失</w:t>
            </w:r>
          </w:p>
        </w:tc>
        <w:tc>
          <w:tcPr>
            <w:tcW w:w="1974"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0.01</w:t>
            </w:r>
          </w:p>
        </w:tc>
        <w:tc>
          <w:tcPr>
            <w:tcW w:w="2148"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885000</w:t>
            </w:r>
          </w:p>
        </w:tc>
        <w:tc>
          <w:tcPr>
            <w:tcW w:w="1911"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88.50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2"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9</w:t>
            </w:r>
          </w:p>
        </w:tc>
        <w:tc>
          <w:tcPr>
            <w:tcW w:w="1946"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合计</w:t>
            </w:r>
          </w:p>
        </w:tc>
        <w:tc>
          <w:tcPr>
            <w:tcW w:w="1974"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w:t>
            </w:r>
          </w:p>
        </w:tc>
        <w:tc>
          <w:tcPr>
            <w:tcW w:w="2148"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w:t>
            </w:r>
          </w:p>
        </w:tc>
        <w:tc>
          <w:tcPr>
            <w:tcW w:w="1911" w:type="dxa"/>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438.61</w:t>
            </w:r>
          </w:p>
        </w:tc>
      </w:tr>
    </w:tbl>
    <w:p>
      <w:pPr>
        <w:spacing w:line="360" w:lineRule="auto"/>
        <w:outlineLvl w:val="2"/>
        <w:rPr>
          <w:rFonts w:hint="eastAsia"/>
          <w:b/>
          <w:bCs/>
          <w:szCs w:val="20"/>
        </w:rPr>
      </w:pPr>
    </w:p>
    <w:p>
      <w:pPr>
        <w:spacing w:line="360" w:lineRule="auto"/>
        <w:outlineLvl w:val="2"/>
        <w:rPr>
          <w:rFonts w:hint="eastAsia"/>
          <w:b/>
          <w:bCs/>
          <w:szCs w:val="20"/>
        </w:rPr>
      </w:pPr>
      <w:r>
        <w:rPr>
          <w:rFonts w:hint="eastAsia"/>
          <w:b/>
          <w:bCs/>
          <w:szCs w:val="20"/>
        </w:rPr>
        <w:t>2.7.2 废水</w:t>
      </w:r>
    </w:p>
    <w:p>
      <w:pPr>
        <w:spacing w:line="480" w:lineRule="exact"/>
        <w:ind w:firstLine="471"/>
        <w:rPr>
          <w:rFonts w:hint="eastAsia" w:ascii="宋体" w:hAnsi="宋体"/>
        </w:rPr>
      </w:pPr>
      <w:r>
        <w:rPr>
          <w:rFonts w:hint="eastAsia" w:ascii="宋体" w:hAnsi="宋体"/>
        </w:rPr>
        <w:t>重庆永荣青鹏煤业有限公司现有水泥厂废水主要为生产废水和厂区生活污水。生产废水为冷却系统产生的循环冷却水，经处理后全部回用。厂区化验室废水（10m</w:t>
      </w:r>
      <w:r>
        <w:rPr>
          <w:rFonts w:hint="eastAsia" w:ascii="宋体" w:hAnsi="宋体"/>
          <w:vertAlign w:val="superscript"/>
        </w:rPr>
        <w:t>3</w:t>
      </w:r>
      <w:r>
        <w:rPr>
          <w:rFonts w:hint="eastAsia" w:ascii="宋体" w:hAnsi="宋体"/>
        </w:rPr>
        <w:t>/d</w:t>
      </w:r>
      <w:r>
        <w:rPr>
          <w:rFonts w:ascii="宋体" w:hAnsi="宋体"/>
        </w:rPr>
        <w:t>）</w:t>
      </w:r>
      <w:r>
        <w:rPr>
          <w:rFonts w:hint="eastAsia" w:ascii="宋体" w:hAnsi="宋体"/>
        </w:rPr>
        <w:t>和生活污水(26.5m</w:t>
      </w:r>
      <w:r>
        <w:rPr>
          <w:rFonts w:hint="eastAsia" w:ascii="宋体" w:hAnsi="宋体"/>
          <w:vertAlign w:val="superscript"/>
        </w:rPr>
        <w:t>3</w:t>
      </w:r>
      <w:r>
        <w:rPr>
          <w:rFonts w:hint="eastAsia" w:ascii="宋体" w:hAnsi="宋体"/>
        </w:rPr>
        <w:t>/d)经化粪池处理后排入厂区北侧的无名小沟,</w:t>
      </w:r>
      <w:r>
        <w:rPr>
          <w:rFonts w:hint="eastAsia"/>
        </w:rPr>
        <w:t>废水污染物产生及排放统计见表</w:t>
      </w:r>
      <w:r>
        <w:t>2</w:t>
      </w:r>
      <w:r>
        <w:rPr>
          <w:rFonts w:hint="eastAsia"/>
        </w:rPr>
        <w:t>－5.</w:t>
      </w:r>
    </w:p>
    <w:p>
      <w:pPr>
        <w:jc w:val="center"/>
        <w:rPr>
          <w:rFonts w:hint="eastAsia"/>
          <w:b/>
        </w:rPr>
      </w:pPr>
    </w:p>
    <w:p>
      <w:pPr>
        <w:jc w:val="center"/>
        <w:rPr>
          <w:rFonts w:hint="eastAsia"/>
          <w:b/>
        </w:rPr>
      </w:pPr>
      <w:r>
        <w:rPr>
          <w:rFonts w:hint="eastAsia"/>
          <w:b/>
        </w:rPr>
        <w:t>表</w:t>
      </w:r>
      <w:r>
        <w:rPr>
          <w:b/>
        </w:rPr>
        <w:t>2</w:t>
      </w:r>
      <w:r>
        <w:rPr>
          <w:rFonts w:hint="eastAsia"/>
          <w:b/>
        </w:rPr>
        <w:t>-5</w:t>
      </w:r>
      <w:r>
        <w:rPr>
          <w:b/>
        </w:rPr>
        <w:t xml:space="preserve">    </w:t>
      </w:r>
      <w:r>
        <w:rPr>
          <w:rFonts w:hint="eastAsia"/>
          <w:b/>
        </w:rPr>
        <w:t>现有生产、生活设施废水污染物产生及排放统计表</w:t>
      </w:r>
    </w:p>
    <w:tbl>
      <w:tblPr>
        <w:tblStyle w:val="21"/>
        <w:tblW w:w="9275"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91"/>
        <w:gridCol w:w="1408"/>
        <w:gridCol w:w="1104"/>
        <w:gridCol w:w="1068"/>
        <w:gridCol w:w="1061"/>
        <w:gridCol w:w="1282"/>
        <w:gridCol w:w="1061"/>
        <w:gridCol w:w="11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Pr>
        <w:tc>
          <w:tcPr>
            <w:tcW w:w="1191" w:type="dxa"/>
            <w:vMerge w:val="restart"/>
            <w:vAlign w:val="center"/>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污染源</w:t>
            </w:r>
          </w:p>
        </w:tc>
        <w:tc>
          <w:tcPr>
            <w:tcW w:w="1408" w:type="dxa"/>
            <w:vMerge w:val="restart"/>
            <w:vAlign w:val="top"/>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废水产生量36.5</w:t>
            </w:r>
            <w:r>
              <w:rPr>
                <w:rFonts w:ascii="宋体" w:hAnsi="宋体"/>
                <w:sz w:val="21"/>
                <w:szCs w:val="21"/>
              </w:rPr>
              <w:t>m</w:t>
            </w:r>
            <w:r>
              <w:rPr>
                <w:rFonts w:ascii="宋体" w:hAnsi="宋体"/>
                <w:sz w:val="21"/>
                <w:szCs w:val="21"/>
                <w:vertAlign w:val="superscript"/>
              </w:rPr>
              <w:t>3</w:t>
            </w:r>
            <w:r>
              <w:rPr>
                <w:rFonts w:ascii="宋体" w:hAnsi="宋体"/>
                <w:sz w:val="21"/>
                <w:szCs w:val="21"/>
              </w:rPr>
              <w:t>/</w:t>
            </w:r>
            <w:r>
              <w:rPr>
                <w:rFonts w:hint="eastAsia" w:ascii="宋体" w:hAnsi="宋体"/>
                <w:sz w:val="21"/>
                <w:szCs w:val="21"/>
              </w:rPr>
              <w:t>d</w:t>
            </w:r>
          </w:p>
        </w:tc>
        <w:tc>
          <w:tcPr>
            <w:tcW w:w="1104" w:type="dxa"/>
            <w:vMerge w:val="restart"/>
            <w:vAlign w:val="top"/>
          </w:tcPr>
          <w:p>
            <w:pPr>
              <w:tabs>
                <w:tab w:val="right" w:leader="dot" w:pos="9344"/>
              </w:tabs>
              <w:spacing w:before="120" w:after="120" w:line="240" w:lineRule="exact"/>
              <w:ind w:firstLine="210" w:firstLineChars="100"/>
              <w:jc w:val="center"/>
              <w:rPr>
                <w:rFonts w:ascii="宋体" w:hAnsi="宋体"/>
                <w:sz w:val="21"/>
                <w:szCs w:val="21"/>
              </w:rPr>
            </w:pPr>
            <w:r>
              <w:rPr>
                <w:rFonts w:hint="eastAsia" w:ascii="宋体" w:hAnsi="宋体"/>
                <w:sz w:val="21"/>
                <w:szCs w:val="21"/>
              </w:rPr>
              <w:t>主要</w:t>
            </w:r>
          </w:p>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污染物</w:t>
            </w:r>
          </w:p>
        </w:tc>
        <w:tc>
          <w:tcPr>
            <w:tcW w:w="1068" w:type="dxa"/>
            <w:vMerge w:val="restart"/>
            <w:vAlign w:val="top"/>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治理</w:t>
            </w:r>
          </w:p>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措施</w:t>
            </w:r>
          </w:p>
        </w:tc>
        <w:tc>
          <w:tcPr>
            <w:tcW w:w="2343" w:type="dxa"/>
            <w:gridSpan w:val="2"/>
            <w:vAlign w:val="top"/>
          </w:tcPr>
          <w:p>
            <w:pPr>
              <w:tabs>
                <w:tab w:val="right" w:leader="dot" w:pos="9344"/>
              </w:tabs>
              <w:spacing w:before="120" w:after="120" w:line="240" w:lineRule="exact"/>
              <w:ind w:firstLine="210" w:firstLineChars="100"/>
              <w:jc w:val="center"/>
              <w:rPr>
                <w:rFonts w:ascii="宋体" w:hAnsi="宋体"/>
                <w:sz w:val="21"/>
                <w:szCs w:val="21"/>
              </w:rPr>
            </w:pPr>
            <w:r>
              <w:rPr>
                <w:rFonts w:hint="eastAsia" w:ascii="宋体" w:hAnsi="宋体"/>
                <w:sz w:val="21"/>
                <w:szCs w:val="21"/>
              </w:rPr>
              <w:t>污染物浓度，</w:t>
            </w:r>
            <w:r>
              <w:rPr>
                <w:rFonts w:ascii="宋体" w:hAnsi="宋体"/>
                <w:sz w:val="21"/>
                <w:szCs w:val="21"/>
              </w:rPr>
              <w:t>mg/L</w:t>
            </w:r>
          </w:p>
        </w:tc>
        <w:tc>
          <w:tcPr>
            <w:tcW w:w="2161" w:type="dxa"/>
            <w:gridSpan w:val="2"/>
            <w:vAlign w:val="top"/>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污染物排放量，t/a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Pr>
        <w:tc>
          <w:tcPr>
            <w:tcW w:w="1191" w:type="dxa"/>
            <w:vMerge w:val="continue"/>
            <w:vAlign w:val="top"/>
          </w:tcPr>
          <w:p>
            <w:pPr>
              <w:tabs>
                <w:tab w:val="right" w:leader="dot" w:pos="9344"/>
              </w:tabs>
              <w:spacing w:before="120" w:after="120" w:line="240" w:lineRule="exact"/>
              <w:ind w:firstLine="210" w:firstLineChars="100"/>
              <w:jc w:val="center"/>
              <w:rPr>
                <w:rFonts w:hint="eastAsia" w:ascii="宋体" w:hAnsi="宋体"/>
                <w:sz w:val="21"/>
                <w:szCs w:val="21"/>
              </w:rPr>
            </w:pPr>
          </w:p>
        </w:tc>
        <w:tc>
          <w:tcPr>
            <w:tcW w:w="1408" w:type="dxa"/>
            <w:vMerge w:val="continue"/>
            <w:vAlign w:val="top"/>
          </w:tcPr>
          <w:p>
            <w:pPr>
              <w:tabs>
                <w:tab w:val="right" w:leader="dot" w:pos="9344"/>
              </w:tabs>
              <w:spacing w:before="120" w:after="120" w:line="240" w:lineRule="exact"/>
              <w:ind w:firstLine="210" w:firstLineChars="100"/>
              <w:jc w:val="center"/>
              <w:rPr>
                <w:rFonts w:hint="eastAsia" w:ascii="宋体" w:hAnsi="宋体"/>
                <w:sz w:val="21"/>
                <w:szCs w:val="21"/>
              </w:rPr>
            </w:pPr>
          </w:p>
        </w:tc>
        <w:tc>
          <w:tcPr>
            <w:tcW w:w="1104" w:type="dxa"/>
            <w:vMerge w:val="continue"/>
            <w:vAlign w:val="top"/>
          </w:tcPr>
          <w:p>
            <w:pPr>
              <w:tabs>
                <w:tab w:val="right" w:leader="dot" w:pos="9344"/>
              </w:tabs>
              <w:spacing w:before="120" w:after="120" w:line="240" w:lineRule="exact"/>
              <w:ind w:firstLine="210" w:firstLineChars="100"/>
              <w:jc w:val="center"/>
              <w:rPr>
                <w:rFonts w:hint="eastAsia" w:ascii="宋体" w:hAnsi="宋体"/>
                <w:sz w:val="21"/>
                <w:szCs w:val="21"/>
              </w:rPr>
            </w:pPr>
          </w:p>
        </w:tc>
        <w:tc>
          <w:tcPr>
            <w:tcW w:w="1068" w:type="dxa"/>
            <w:vMerge w:val="continue"/>
            <w:vAlign w:val="top"/>
          </w:tcPr>
          <w:p>
            <w:pPr>
              <w:tabs>
                <w:tab w:val="right" w:leader="dot" w:pos="9344"/>
              </w:tabs>
              <w:spacing w:before="120" w:after="120" w:line="240" w:lineRule="exact"/>
              <w:ind w:firstLine="210" w:firstLineChars="100"/>
              <w:jc w:val="center"/>
              <w:rPr>
                <w:rFonts w:hint="eastAsia" w:ascii="宋体" w:hAnsi="宋体"/>
                <w:sz w:val="21"/>
                <w:szCs w:val="21"/>
              </w:rPr>
            </w:pPr>
          </w:p>
        </w:tc>
        <w:tc>
          <w:tcPr>
            <w:tcW w:w="1061" w:type="dxa"/>
            <w:vAlign w:val="top"/>
          </w:tcPr>
          <w:p>
            <w:pPr>
              <w:tabs>
                <w:tab w:val="right" w:leader="dot" w:pos="9344"/>
              </w:tabs>
              <w:spacing w:before="120" w:after="120" w:line="240" w:lineRule="exact"/>
              <w:rPr>
                <w:rFonts w:hint="eastAsia" w:ascii="宋体" w:hAnsi="宋体"/>
                <w:sz w:val="21"/>
                <w:szCs w:val="21"/>
              </w:rPr>
            </w:pPr>
            <w:r>
              <w:rPr>
                <w:rFonts w:hint="eastAsia" w:ascii="宋体" w:hAnsi="宋体"/>
                <w:sz w:val="21"/>
                <w:szCs w:val="21"/>
              </w:rPr>
              <w:t>处理前</w:t>
            </w:r>
          </w:p>
        </w:tc>
        <w:tc>
          <w:tcPr>
            <w:tcW w:w="1282" w:type="dxa"/>
            <w:vAlign w:val="top"/>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处理后</w:t>
            </w:r>
          </w:p>
        </w:tc>
        <w:tc>
          <w:tcPr>
            <w:tcW w:w="1061" w:type="dxa"/>
            <w:vAlign w:val="top"/>
          </w:tcPr>
          <w:p>
            <w:pPr>
              <w:tabs>
                <w:tab w:val="right" w:leader="dot" w:pos="9344"/>
              </w:tabs>
              <w:spacing w:before="120" w:after="120" w:line="240" w:lineRule="exact"/>
              <w:rPr>
                <w:rFonts w:hint="eastAsia" w:ascii="宋体" w:hAnsi="宋体"/>
                <w:sz w:val="21"/>
                <w:szCs w:val="21"/>
              </w:rPr>
            </w:pPr>
            <w:r>
              <w:rPr>
                <w:rFonts w:hint="eastAsia" w:ascii="宋体" w:hAnsi="宋体"/>
                <w:sz w:val="21"/>
                <w:szCs w:val="21"/>
              </w:rPr>
              <w:t>处理前</w:t>
            </w:r>
          </w:p>
        </w:tc>
        <w:tc>
          <w:tcPr>
            <w:tcW w:w="1100" w:type="dxa"/>
            <w:vAlign w:val="top"/>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处理后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Pr>
        <w:tc>
          <w:tcPr>
            <w:tcW w:w="1191" w:type="dxa"/>
            <w:vAlign w:val="center"/>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生活污水</w:t>
            </w:r>
          </w:p>
        </w:tc>
        <w:tc>
          <w:tcPr>
            <w:tcW w:w="1408" w:type="dxa"/>
            <w:vAlign w:val="center"/>
          </w:tcPr>
          <w:p>
            <w:pPr>
              <w:tabs>
                <w:tab w:val="right" w:leader="dot" w:pos="9344"/>
              </w:tabs>
              <w:spacing w:before="120" w:after="120" w:line="240" w:lineRule="exact"/>
              <w:ind w:firstLine="210" w:firstLineChars="100"/>
              <w:jc w:val="center"/>
              <w:rPr>
                <w:rFonts w:ascii="宋体" w:hAnsi="宋体"/>
                <w:sz w:val="21"/>
                <w:szCs w:val="21"/>
              </w:rPr>
            </w:pPr>
            <w:r>
              <w:rPr>
                <w:rFonts w:hint="eastAsia" w:ascii="宋体" w:hAnsi="宋体"/>
                <w:sz w:val="21"/>
                <w:szCs w:val="21"/>
              </w:rPr>
              <w:t>36.5</w:t>
            </w:r>
          </w:p>
        </w:tc>
        <w:tc>
          <w:tcPr>
            <w:tcW w:w="1104" w:type="dxa"/>
            <w:vAlign w:val="top"/>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COD</w:t>
            </w:r>
          </w:p>
          <w:p>
            <w:pPr>
              <w:tabs>
                <w:tab w:val="right" w:leader="dot" w:pos="9344"/>
              </w:tabs>
              <w:spacing w:before="120" w:after="120" w:line="240" w:lineRule="exact"/>
              <w:ind w:firstLine="210" w:firstLineChars="100"/>
              <w:jc w:val="center"/>
              <w:rPr>
                <w:rFonts w:hint="eastAsia" w:ascii="宋体" w:hAnsi="宋体"/>
                <w:sz w:val="21"/>
                <w:szCs w:val="21"/>
              </w:rPr>
            </w:pPr>
            <w:r>
              <w:rPr>
                <w:rFonts w:ascii="宋体" w:hAnsi="宋体"/>
                <w:sz w:val="21"/>
                <w:szCs w:val="21"/>
              </w:rPr>
              <w:t>NH</w:t>
            </w:r>
            <w:r>
              <w:rPr>
                <w:rFonts w:ascii="宋体" w:hAnsi="宋体"/>
                <w:sz w:val="21"/>
                <w:szCs w:val="21"/>
                <w:vertAlign w:val="subscript"/>
              </w:rPr>
              <w:t>3</w:t>
            </w:r>
            <w:r>
              <w:rPr>
                <w:rFonts w:ascii="宋体" w:hAnsi="宋体"/>
                <w:sz w:val="21"/>
                <w:szCs w:val="21"/>
              </w:rPr>
              <w:t>-N</w:t>
            </w:r>
            <w:r>
              <w:rPr>
                <w:rFonts w:hint="eastAsia" w:ascii="宋体" w:hAnsi="宋体"/>
                <w:sz w:val="21"/>
                <w:szCs w:val="21"/>
              </w:rPr>
              <w:t xml:space="preserve"> SS</w:t>
            </w:r>
          </w:p>
        </w:tc>
        <w:tc>
          <w:tcPr>
            <w:tcW w:w="1068" w:type="dxa"/>
            <w:vAlign w:val="center"/>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化粪池</w:t>
            </w:r>
          </w:p>
        </w:tc>
        <w:tc>
          <w:tcPr>
            <w:tcW w:w="1061" w:type="dxa"/>
            <w:vAlign w:val="top"/>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350</w:t>
            </w:r>
          </w:p>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30</w:t>
            </w:r>
          </w:p>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250</w:t>
            </w:r>
          </w:p>
        </w:tc>
        <w:tc>
          <w:tcPr>
            <w:tcW w:w="1282" w:type="dxa"/>
            <w:vAlign w:val="top"/>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200</w:t>
            </w:r>
          </w:p>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20</w:t>
            </w:r>
          </w:p>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100</w:t>
            </w:r>
          </w:p>
        </w:tc>
        <w:tc>
          <w:tcPr>
            <w:tcW w:w="1061" w:type="dxa"/>
            <w:vAlign w:val="top"/>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3.83</w:t>
            </w:r>
          </w:p>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0.33</w:t>
            </w:r>
          </w:p>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2.74</w:t>
            </w:r>
          </w:p>
        </w:tc>
        <w:tc>
          <w:tcPr>
            <w:tcW w:w="1100" w:type="dxa"/>
            <w:vAlign w:val="top"/>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2.19</w:t>
            </w:r>
          </w:p>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0.22</w:t>
            </w:r>
          </w:p>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1.10</w:t>
            </w:r>
          </w:p>
        </w:tc>
      </w:tr>
    </w:tbl>
    <w:p>
      <w:pPr>
        <w:spacing w:line="360" w:lineRule="auto"/>
        <w:outlineLvl w:val="2"/>
        <w:rPr>
          <w:rFonts w:hint="eastAsia"/>
          <w:b/>
          <w:bCs/>
          <w:szCs w:val="20"/>
        </w:rPr>
      </w:pPr>
    </w:p>
    <w:p>
      <w:pPr>
        <w:spacing w:line="360" w:lineRule="auto"/>
        <w:outlineLvl w:val="2"/>
        <w:rPr>
          <w:rFonts w:hint="eastAsia"/>
          <w:b/>
          <w:bCs/>
          <w:szCs w:val="20"/>
        </w:rPr>
      </w:pPr>
      <w:r>
        <w:rPr>
          <w:rFonts w:hint="eastAsia"/>
          <w:b/>
          <w:bCs/>
          <w:szCs w:val="20"/>
        </w:rPr>
        <w:t>2.7.3 噪声</w:t>
      </w:r>
    </w:p>
    <w:p>
      <w:pPr>
        <w:spacing w:line="480" w:lineRule="exact"/>
        <w:ind w:firstLine="420" w:firstLineChars="200"/>
        <w:rPr>
          <w:rFonts w:hint="eastAsia" w:ascii="宋体" w:hAnsi="宋体"/>
        </w:rPr>
      </w:pPr>
      <w:r>
        <w:rPr>
          <w:rFonts w:hint="eastAsia" w:ascii="宋体" w:hAnsi="宋体"/>
        </w:rPr>
        <w:t>主要噪声源有破碎机、磨机、风机、泵、空压机等，声级较高，在85～105</w:t>
      </w:r>
      <w:r>
        <w:rPr>
          <w:rFonts w:ascii="宋体" w:hAnsi="宋体"/>
        </w:rPr>
        <w:t>dB</w:t>
      </w:r>
      <w:r>
        <w:rPr>
          <w:rFonts w:hint="eastAsia" w:ascii="宋体" w:hAnsi="宋体"/>
        </w:rPr>
        <w:t>之间，高噪声设备及噪声级见表2-6。</w:t>
      </w:r>
    </w:p>
    <w:p>
      <w:pPr>
        <w:spacing w:line="480" w:lineRule="exact"/>
        <w:jc w:val="center"/>
        <w:rPr>
          <w:rFonts w:hint="eastAsia" w:ascii="宋体" w:hAnsi="宋体"/>
          <w:b/>
        </w:rPr>
      </w:pPr>
      <w:r>
        <w:rPr>
          <w:rFonts w:hint="eastAsia" w:ascii="宋体" w:hAnsi="宋体"/>
          <w:b/>
        </w:rPr>
        <w:t>表2-6  现有水泥厂主要噪声设备及噪声  单位：</w:t>
      </w:r>
      <w:r>
        <w:rPr>
          <w:rFonts w:ascii="宋体" w:hAnsi="宋体"/>
          <w:b/>
        </w:rPr>
        <w:t>dB</w:t>
      </w:r>
    </w:p>
    <w:tbl>
      <w:tblPr>
        <w:tblStyle w:val="21"/>
        <w:tblW w:w="83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5"/>
        <w:gridCol w:w="720"/>
        <w:gridCol w:w="991"/>
        <w:gridCol w:w="1346"/>
        <w:gridCol w:w="2573"/>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jc w:val="center"/>
        </w:trPr>
        <w:tc>
          <w:tcPr>
            <w:tcW w:w="1675" w:type="dxa"/>
            <w:vAlign w:val="center"/>
          </w:tcPr>
          <w:p>
            <w:pPr>
              <w:spacing w:line="300" w:lineRule="exact"/>
              <w:jc w:val="center"/>
              <w:rPr>
                <w:rFonts w:hint="eastAsia" w:ascii="宋体" w:hAnsi="宋体"/>
                <w:sz w:val="21"/>
                <w:szCs w:val="21"/>
              </w:rPr>
            </w:pPr>
            <w:r>
              <w:rPr>
                <w:rFonts w:hint="eastAsia" w:ascii="宋体" w:hAnsi="宋体"/>
                <w:sz w:val="21"/>
                <w:szCs w:val="21"/>
              </w:rPr>
              <w:t>声源名称</w:t>
            </w:r>
          </w:p>
        </w:tc>
        <w:tc>
          <w:tcPr>
            <w:tcW w:w="720" w:type="dxa"/>
            <w:vAlign w:val="center"/>
          </w:tcPr>
          <w:p>
            <w:pPr>
              <w:spacing w:line="300" w:lineRule="exact"/>
              <w:jc w:val="center"/>
              <w:rPr>
                <w:rFonts w:hint="eastAsia" w:ascii="宋体" w:hAnsi="宋体"/>
                <w:sz w:val="21"/>
                <w:szCs w:val="21"/>
              </w:rPr>
            </w:pPr>
            <w:r>
              <w:rPr>
                <w:rFonts w:hint="eastAsia" w:ascii="宋体" w:hAnsi="宋体"/>
                <w:sz w:val="21"/>
                <w:szCs w:val="21"/>
              </w:rPr>
              <w:t>台数</w:t>
            </w:r>
          </w:p>
        </w:tc>
        <w:tc>
          <w:tcPr>
            <w:tcW w:w="991" w:type="dxa"/>
            <w:vAlign w:val="center"/>
          </w:tcPr>
          <w:p>
            <w:pPr>
              <w:spacing w:line="300" w:lineRule="exact"/>
              <w:jc w:val="center"/>
              <w:rPr>
                <w:rFonts w:hint="eastAsia" w:ascii="宋体" w:hAnsi="宋体"/>
                <w:sz w:val="21"/>
                <w:szCs w:val="21"/>
              </w:rPr>
            </w:pPr>
            <w:r>
              <w:rPr>
                <w:rFonts w:hint="eastAsia" w:ascii="宋体" w:hAnsi="宋体"/>
                <w:sz w:val="21"/>
                <w:szCs w:val="21"/>
              </w:rPr>
              <w:t>治理前</w:t>
            </w:r>
          </w:p>
          <w:p>
            <w:pPr>
              <w:spacing w:line="300" w:lineRule="exact"/>
              <w:jc w:val="center"/>
              <w:rPr>
                <w:rFonts w:hint="eastAsia" w:ascii="宋体" w:hAnsi="宋体"/>
                <w:sz w:val="21"/>
                <w:szCs w:val="21"/>
              </w:rPr>
            </w:pPr>
            <w:r>
              <w:rPr>
                <w:rFonts w:hint="eastAsia" w:ascii="宋体" w:hAnsi="宋体"/>
                <w:sz w:val="21"/>
                <w:szCs w:val="21"/>
              </w:rPr>
              <w:t>声级</w:t>
            </w:r>
          </w:p>
        </w:tc>
        <w:tc>
          <w:tcPr>
            <w:tcW w:w="1346" w:type="dxa"/>
            <w:vAlign w:val="center"/>
          </w:tcPr>
          <w:p>
            <w:pPr>
              <w:spacing w:line="300" w:lineRule="exact"/>
              <w:jc w:val="center"/>
              <w:rPr>
                <w:rFonts w:hint="eastAsia" w:ascii="宋体" w:hAnsi="宋体"/>
                <w:sz w:val="21"/>
                <w:szCs w:val="21"/>
              </w:rPr>
            </w:pPr>
            <w:r>
              <w:rPr>
                <w:rFonts w:hint="eastAsia" w:ascii="宋体" w:hAnsi="宋体"/>
                <w:sz w:val="21"/>
                <w:szCs w:val="21"/>
              </w:rPr>
              <w:t>频谱</w:t>
            </w:r>
          </w:p>
          <w:p>
            <w:pPr>
              <w:spacing w:line="300" w:lineRule="exact"/>
              <w:jc w:val="center"/>
              <w:rPr>
                <w:rFonts w:hint="eastAsia" w:ascii="宋体" w:hAnsi="宋体"/>
                <w:sz w:val="21"/>
                <w:szCs w:val="21"/>
              </w:rPr>
            </w:pPr>
            <w:r>
              <w:rPr>
                <w:rFonts w:hint="eastAsia" w:ascii="宋体" w:hAnsi="宋体"/>
                <w:sz w:val="21"/>
                <w:szCs w:val="21"/>
              </w:rPr>
              <w:t>特性</w:t>
            </w:r>
          </w:p>
        </w:tc>
        <w:tc>
          <w:tcPr>
            <w:tcW w:w="2573" w:type="dxa"/>
            <w:vAlign w:val="center"/>
          </w:tcPr>
          <w:p>
            <w:pPr>
              <w:spacing w:line="300" w:lineRule="exact"/>
              <w:jc w:val="center"/>
              <w:rPr>
                <w:rFonts w:hint="eastAsia" w:ascii="宋体" w:hAnsi="宋体"/>
                <w:sz w:val="21"/>
                <w:szCs w:val="21"/>
              </w:rPr>
            </w:pPr>
            <w:r>
              <w:rPr>
                <w:rFonts w:hint="eastAsia" w:ascii="宋体" w:hAnsi="宋体"/>
                <w:sz w:val="21"/>
                <w:szCs w:val="21"/>
              </w:rPr>
              <w:t>治理措施</w:t>
            </w:r>
          </w:p>
        </w:tc>
        <w:tc>
          <w:tcPr>
            <w:tcW w:w="1062" w:type="dxa"/>
            <w:vAlign w:val="center"/>
          </w:tcPr>
          <w:p>
            <w:pPr>
              <w:spacing w:line="300" w:lineRule="exact"/>
              <w:jc w:val="center"/>
              <w:rPr>
                <w:rFonts w:hint="eastAsia" w:ascii="宋体" w:hAnsi="宋体"/>
                <w:sz w:val="21"/>
                <w:szCs w:val="21"/>
              </w:rPr>
            </w:pPr>
            <w:r>
              <w:rPr>
                <w:rFonts w:hint="eastAsia" w:ascii="宋体" w:hAnsi="宋体"/>
                <w:sz w:val="21"/>
                <w:szCs w:val="21"/>
              </w:rPr>
              <w:t>治理后</w:t>
            </w:r>
          </w:p>
          <w:p>
            <w:pPr>
              <w:spacing w:line="300" w:lineRule="exact"/>
              <w:jc w:val="center"/>
              <w:rPr>
                <w:rFonts w:hint="eastAsia" w:ascii="宋体" w:hAnsi="宋体"/>
                <w:sz w:val="21"/>
                <w:szCs w:val="21"/>
              </w:rPr>
            </w:pPr>
            <w:r>
              <w:rPr>
                <w:rFonts w:hint="eastAsia" w:ascii="宋体" w:hAnsi="宋体"/>
                <w:sz w:val="21"/>
                <w:szCs w:val="21"/>
              </w:rPr>
              <w:t>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5" w:type="dxa"/>
            <w:vAlign w:val="center"/>
          </w:tcPr>
          <w:p>
            <w:pPr>
              <w:spacing w:line="300" w:lineRule="exact"/>
              <w:jc w:val="center"/>
              <w:rPr>
                <w:rFonts w:hint="eastAsia" w:ascii="宋体" w:hAnsi="宋体"/>
                <w:sz w:val="21"/>
                <w:szCs w:val="21"/>
              </w:rPr>
            </w:pPr>
            <w:r>
              <w:rPr>
                <w:rFonts w:hint="eastAsia" w:ascii="宋体" w:hAnsi="宋体"/>
                <w:sz w:val="21"/>
                <w:szCs w:val="21"/>
              </w:rPr>
              <w:t>破碎机</w:t>
            </w:r>
          </w:p>
        </w:tc>
        <w:tc>
          <w:tcPr>
            <w:tcW w:w="720" w:type="dxa"/>
            <w:vAlign w:val="center"/>
          </w:tcPr>
          <w:p>
            <w:pPr>
              <w:spacing w:line="300" w:lineRule="exact"/>
              <w:jc w:val="center"/>
              <w:rPr>
                <w:rFonts w:hint="eastAsia" w:ascii="宋体" w:hAnsi="宋体"/>
                <w:sz w:val="21"/>
                <w:szCs w:val="21"/>
              </w:rPr>
            </w:pPr>
            <w:r>
              <w:rPr>
                <w:rFonts w:hint="eastAsia" w:ascii="宋体" w:hAnsi="宋体"/>
                <w:sz w:val="21"/>
                <w:szCs w:val="21"/>
              </w:rPr>
              <w:t>4</w:t>
            </w:r>
          </w:p>
        </w:tc>
        <w:tc>
          <w:tcPr>
            <w:tcW w:w="991" w:type="dxa"/>
            <w:vAlign w:val="center"/>
          </w:tcPr>
          <w:p>
            <w:pPr>
              <w:spacing w:line="300" w:lineRule="exact"/>
              <w:jc w:val="center"/>
              <w:rPr>
                <w:rFonts w:hint="eastAsia" w:ascii="宋体" w:hAnsi="宋体"/>
                <w:sz w:val="21"/>
                <w:szCs w:val="21"/>
              </w:rPr>
            </w:pPr>
            <w:r>
              <w:rPr>
                <w:rFonts w:hint="eastAsia" w:ascii="宋体" w:hAnsi="宋体"/>
                <w:sz w:val="21"/>
                <w:szCs w:val="21"/>
              </w:rPr>
              <w:t>100</w:t>
            </w:r>
          </w:p>
        </w:tc>
        <w:tc>
          <w:tcPr>
            <w:tcW w:w="1346" w:type="dxa"/>
            <w:vAlign w:val="center"/>
          </w:tcPr>
          <w:p>
            <w:pPr>
              <w:spacing w:line="300" w:lineRule="exact"/>
              <w:jc w:val="center"/>
              <w:rPr>
                <w:rFonts w:hint="eastAsia" w:ascii="宋体" w:hAnsi="宋体"/>
                <w:sz w:val="21"/>
                <w:szCs w:val="21"/>
              </w:rPr>
            </w:pPr>
            <w:r>
              <w:rPr>
                <w:rFonts w:hint="eastAsia" w:ascii="宋体" w:hAnsi="宋体"/>
                <w:sz w:val="21"/>
                <w:szCs w:val="21"/>
              </w:rPr>
              <w:t>中频</w:t>
            </w:r>
          </w:p>
        </w:tc>
        <w:tc>
          <w:tcPr>
            <w:tcW w:w="2573" w:type="dxa"/>
            <w:vAlign w:val="center"/>
          </w:tcPr>
          <w:p>
            <w:pPr>
              <w:spacing w:line="300" w:lineRule="exact"/>
              <w:jc w:val="center"/>
              <w:rPr>
                <w:rFonts w:hint="eastAsia" w:ascii="宋体" w:hAnsi="宋体"/>
                <w:sz w:val="21"/>
                <w:szCs w:val="21"/>
              </w:rPr>
            </w:pPr>
            <w:r>
              <w:rPr>
                <w:rFonts w:hint="eastAsia" w:ascii="宋体" w:hAnsi="宋体"/>
                <w:sz w:val="21"/>
                <w:szCs w:val="21"/>
              </w:rPr>
              <w:t>建筑隔声、减振</w:t>
            </w:r>
          </w:p>
        </w:tc>
        <w:tc>
          <w:tcPr>
            <w:tcW w:w="1062" w:type="dxa"/>
            <w:vAlign w:val="center"/>
          </w:tcPr>
          <w:p>
            <w:pPr>
              <w:spacing w:line="300" w:lineRule="exact"/>
              <w:jc w:val="center"/>
              <w:rPr>
                <w:rFonts w:hint="eastAsia" w:ascii="宋体" w:hAnsi="宋体"/>
                <w:sz w:val="21"/>
                <w:szCs w:val="21"/>
              </w:rPr>
            </w:pPr>
            <w:r>
              <w:rPr>
                <w:rFonts w:hint="eastAsia" w:ascii="宋体" w:hAnsi="宋体"/>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5" w:type="dxa"/>
            <w:vAlign w:val="center"/>
          </w:tcPr>
          <w:p>
            <w:pPr>
              <w:spacing w:line="300" w:lineRule="exact"/>
              <w:jc w:val="center"/>
              <w:rPr>
                <w:rFonts w:hint="eastAsia" w:ascii="宋体" w:hAnsi="宋体"/>
                <w:sz w:val="21"/>
                <w:szCs w:val="21"/>
              </w:rPr>
            </w:pPr>
            <w:r>
              <w:rPr>
                <w:rFonts w:hint="eastAsia" w:ascii="宋体" w:hAnsi="宋体"/>
                <w:sz w:val="21"/>
                <w:szCs w:val="21"/>
              </w:rPr>
              <w:t>烘干机</w:t>
            </w:r>
          </w:p>
        </w:tc>
        <w:tc>
          <w:tcPr>
            <w:tcW w:w="720" w:type="dxa"/>
            <w:vAlign w:val="center"/>
          </w:tcPr>
          <w:p>
            <w:pPr>
              <w:spacing w:line="300" w:lineRule="exact"/>
              <w:jc w:val="center"/>
              <w:rPr>
                <w:rFonts w:hint="eastAsia" w:ascii="宋体" w:hAnsi="宋体"/>
                <w:sz w:val="21"/>
                <w:szCs w:val="21"/>
              </w:rPr>
            </w:pPr>
            <w:r>
              <w:rPr>
                <w:rFonts w:hint="eastAsia" w:ascii="宋体" w:hAnsi="宋体"/>
                <w:sz w:val="21"/>
                <w:szCs w:val="21"/>
              </w:rPr>
              <w:t>1</w:t>
            </w:r>
          </w:p>
        </w:tc>
        <w:tc>
          <w:tcPr>
            <w:tcW w:w="991" w:type="dxa"/>
            <w:vAlign w:val="center"/>
          </w:tcPr>
          <w:p>
            <w:pPr>
              <w:spacing w:line="300" w:lineRule="exact"/>
              <w:jc w:val="center"/>
              <w:rPr>
                <w:rFonts w:hint="eastAsia" w:ascii="宋体" w:hAnsi="宋体"/>
                <w:sz w:val="21"/>
                <w:szCs w:val="21"/>
              </w:rPr>
            </w:pPr>
            <w:r>
              <w:rPr>
                <w:rFonts w:hint="eastAsia" w:ascii="宋体" w:hAnsi="宋体"/>
                <w:sz w:val="21"/>
                <w:szCs w:val="21"/>
              </w:rPr>
              <w:t>100</w:t>
            </w:r>
          </w:p>
        </w:tc>
        <w:tc>
          <w:tcPr>
            <w:tcW w:w="1346" w:type="dxa"/>
            <w:vAlign w:val="center"/>
          </w:tcPr>
          <w:p>
            <w:pPr>
              <w:spacing w:line="300" w:lineRule="exact"/>
              <w:jc w:val="center"/>
              <w:rPr>
                <w:rFonts w:hint="eastAsia" w:ascii="宋体" w:hAnsi="宋体"/>
                <w:sz w:val="21"/>
                <w:szCs w:val="21"/>
              </w:rPr>
            </w:pPr>
            <w:r>
              <w:rPr>
                <w:rFonts w:hint="eastAsia" w:ascii="宋体" w:hAnsi="宋体"/>
                <w:sz w:val="21"/>
                <w:szCs w:val="21"/>
              </w:rPr>
              <w:t>中频</w:t>
            </w:r>
          </w:p>
        </w:tc>
        <w:tc>
          <w:tcPr>
            <w:tcW w:w="2573" w:type="dxa"/>
            <w:vAlign w:val="center"/>
          </w:tcPr>
          <w:p>
            <w:pPr>
              <w:spacing w:line="300" w:lineRule="exact"/>
              <w:jc w:val="center"/>
              <w:rPr>
                <w:rFonts w:hint="eastAsia" w:ascii="宋体" w:hAnsi="宋体"/>
                <w:sz w:val="21"/>
                <w:szCs w:val="21"/>
              </w:rPr>
            </w:pPr>
            <w:r>
              <w:rPr>
                <w:rFonts w:hint="eastAsia" w:ascii="宋体" w:hAnsi="宋体"/>
                <w:sz w:val="21"/>
                <w:szCs w:val="21"/>
              </w:rPr>
              <w:t>建筑隔声、减振</w:t>
            </w:r>
          </w:p>
        </w:tc>
        <w:tc>
          <w:tcPr>
            <w:tcW w:w="1062" w:type="dxa"/>
            <w:vAlign w:val="center"/>
          </w:tcPr>
          <w:p>
            <w:pPr>
              <w:spacing w:line="300" w:lineRule="exact"/>
              <w:jc w:val="center"/>
              <w:rPr>
                <w:rFonts w:hint="eastAsia" w:ascii="宋体" w:hAnsi="宋体"/>
                <w:sz w:val="21"/>
                <w:szCs w:val="21"/>
              </w:rPr>
            </w:pPr>
            <w:r>
              <w:rPr>
                <w:rFonts w:hint="eastAsia" w:ascii="宋体" w:hAnsi="宋体"/>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5" w:type="dxa"/>
            <w:vAlign w:val="center"/>
          </w:tcPr>
          <w:p>
            <w:pPr>
              <w:spacing w:line="300" w:lineRule="exact"/>
              <w:jc w:val="center"/>
              <w:rPr>
                <w:rFonts w:hint="eastAsia" w:ascii="宋体" w:hAnsi="宋体"/>
                <w:sz w:val="21"/>
                <w:szCs w:val="21"/>
              </w:rPr>
            </w:pPr>
            <w:r>
              <w:rPr>
                <w:rFonts w:hint="eastAsia" w:ascii="宋体" w:hAnsi="宋体"/>
                <w:sz w:val="21"/>
                <w:szCs w:val="21"/>
              </w:rPr>
              <w:t>生料磨</w:t>
            </w:r>
          </w:p>
        </w:tc>
        <w:tc>
          <w:tcPr>
            <w:tcW w:w="720" w:type="dxa"/>
            <w:vAlign w:val="center"/>
          </w:tcPr>
          <w:p>
            <w:pPr>
              <w:spacing w:line="300" w:lineRule="exact"/>
              <w:jc w:val="center"/>
              <w:rPr>
                <w:rFonts w:hint="eastAsia" w:ascii="宋体" w:hAnsi="宋体"/>
                <w:sz w:val="21"/>
                <w:szCs w:val="21"/>
              </w:rPr>
            </w:pPr>
            <w:r>
              <w:rPr>
                <w:rFonts w:hint="eastAsia" w:ascii="宋体" w:hAnsi="宋体"/>
                <w:sz w:val="21"/>
                <w:szCs w:val="21"/>
              </w:rPr>
              <w:t>2</w:t>
            </w:r>
          </w:p>
        </w:tc>
        <w:tc>
          <w:tcPr>
            <w:tcW w:w="991" w:type="dxa"/>
            <w:vAlign w:val="center"/>
          </w:tcPr>
          <w:p>
            <w:pPr>
              <w:spacing w:line="300" w:lineRule="exact"/>
              <w:jc w:val="center"/>
              <w:rPr>
                <w:rFonts w:hint="eastAsia" w:ascii="宋体" w:hAnsi="宋体"/>
                <w:sz w:val="21"/>
                <w:szCs w:val="21"/>
              </w:rPr>
            </w:pPr>
            <w:r>
              <w:rPr>
                <w:rFonts w:hint="eastAsia" w:ascii="宋体" w:hAnsi="宋体"/>
                <w:sz w:val="21"/>
                <w:szCs w:val="21"/>
              </w:rPr>
              <w:t>110</w:t>
            </w:r>
          </w:p>
        </w:tc>
        <w:tc>
          <w:tcPr>
            <w:tcW w:w="1346" w:type="dxa"/>
            <w:vAlign w:val="center"/>
          </w:tcPr>
          <w:p>
            <w:pPr>
              <w:spacing w:line="300" w:lineRule="exact"/>
              <w:jc w:val="center"/>
              <w:rPr>
                <w:rFonts w:hint="eastAsia" w:ascii="宋体" w:hAnsi="宋体"/>
                <w:sz w:val="21"/>
                <w:szCs w:val="21"/>
              </w:rPr>
            </w:pPr>
            <w:r>
              <w:rPr>
                <w:rFonts w:hint="eastAsia" w:ascii="宋体" w:hAnsi="宋体"/>
                <w:sz w:val="21"/>
                <w:szCs w:val="21"/>
              </w:rPr>
              <w:t>中、高频</w:t>
            </w:r>
          </w:p>
        </w:tc>
        <w:tc>
          <w:tcPr>
            <w:tcW w:w="2573" w:type="dxa"/>
            <w:vAlign w:val="center"/>
          </w:tcPr>
          <w:p>
            <w:pPr>
              <w:spacing w:line="300" w:lineRule="exact"/>
              <w:jc w:val="center"/>
              <w:rPr>
                <w:rFonts w:hint="eastAsia" w:ascii="宋体" w:hAnsi="宋体"/>
                <w:sz w:val="21"/>
                <w:szCs w:val="21"/>
              </w:rPr>
            </w:pPr>
            <w:r>
              <w:rPr>
                <w:rFonts w:hint="eastAsia" w:ascii="宋体" w:hAnsi="宋体"/>
                <w:sz w:val="21"/>
                <w:szCs w:val="21"/>
              </w:rPr>
              <w:t>建筑隔声、吸声、减振</w:t>
            </w:r>
          </w:p>
        </w:tc>
        <w:tc>
          <w:tcPr>
            <w:tcW w:w="1062" w:type="dxa"/>
            <w:vAlign w:val="center"/>
          </w:tcPr>
          <w:p>
            <w:pPr>
              <w:spacing w:line="300" w:lineRule="exact"/>
              <w:jc w:val="center"/>
              <w:rPr>
                <w:rFonts w:hint="eastAsia" w:ascii="宋体" w:hAnsi="宋体"/>
                <w:sz w:val="21"/>
                <w:szCs w:val="21"/>
              </w:rPr>
            </w:pPr>
            <w:r>
              <w:rPr>
                <w:rFonts w:hint="eastAsia" w:ascii="宋体" w:hAnsi="宋体"/>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5" w:type="dxa"/>
            <w:vAlign w:val="center"/>
          </w:tcPr>
          <w:p>
            <w:pPr>
              <w:spacing w:line="300" w:lineRule="exact"/>
              <w:jc w:val="center"/>
              <w:rPr>
                <w:rFonts w:hint="eastAsia" w:ascii="宋体" w:hAnsi="宋体"/>
                <w:sz w:val="21"/>
                <w:szCs w:val="21"/>
              </w:rPr>
            </w:pPr>
            <w:r>
              <w:rPr>
                <w:rFonts w:hint="eastAsia" w:ascii="宋体" w:hAnsi="宋体"/>
                <w:sz w:val="21"/>
                <w:szCs w:val="21"/>
              </w:rPr>
              <w:t>水泥磨</w:t>
            </w:r>
          </w:p>
        </w:tc>
        <w:tc>
          <w:tcPr>
            <w:tcW w:w="720" w:type="dxa"/>
            <w:vAlign w:val="center"/>
          </w:tcPr>
          <w:p>
            <w:pPr>
              <w:spacing w:line="300" w:lineRule="exact"/>
              <w:jc w:val="center"/>
              <w:rPr>
                <w:rFonts w:hint="eastAsia" w:ascii="宋体" w:hAnsi="宋体"/>
                <w:sz w:val="21"/>
                <w:szCs w:val="21"/>
              </w:rPr>
            </w:pPr>
            <w:r>
              <w:rPr>
                <w:rFonts w:hint="eastAsia" w:ascii="宋体" w:hAnsi="宋体"/>
                <w:sz w:val="21"/>
                <w:szCs w:val="21"/>
              </w:rPr>
              <w:t>2</w:t>
            </w:r>
          </w:p>
        </w:tc>
        <w:tc>
          <w:tcPr>
            <w:tcW w:w="991" w:type="dxa"/>
            <w:vAlign w:val="center"/>
          </w:tcPr>
          <w:p>
            <w:pPr>
              <w:spacing w:line="300" w:lineRule="exact"/>
              <w:jc w:val="center"/>
              <w:rPr>
                <w:rFonts w:hint="eastAsia" w:ascii="宋体" w:hAnsi="宋体"/>
                <w:sz w:val="21"/>
                <w:szCs w:val="21"/>
              </w:rPr>
            </w:pPr>
            <w:r>
              <w:rPr>
                <w:rFonts w:hint="eastAsia" w:ascii="宋体" w:hAnsi="宋体"/>
                <w:sz w:val="21"/>
                <w:szCs w:val="21"/>
              </w:rPr>
              <w:t>110</w:t>
            </w:r>
          </w:p>
        </w:tc>
        <w:tc>
          <w:tcPr>
            <w:tcW w:w="1346" w:type="dxa"/>
            <w:vAlign w:val="center"/>
          </w:tcPr>
          <w:p>
            <w:pPr>
              <w:spacing w:line="300" w:lineRule="exact"/>
              <w:jc w:val="center"/>
              <w:rPr>
                <w:rFonts w:hint="eastAsia" w:ascii="宋体" w:hAnsi="宋体"/>
                <w:sz w:val="21"/>
                <w:szCs w:val="21"/>
              </w:rPr>
            </w:pPr>
            <w:r>
              <w:rPr>
                <w:rFonts w:hint="eastAsia" w:ascii="宋体" w:hAnsi="宋体"/>
                <w:sz w:val="21"/>
                <w:szCs w:val="21"/>
              </w:rPr>
              <w:t>中频</w:t>
            </w:r>
          </w:p>
        </w:tc>
        <w:tc>
          <w:tcPr>
            <w:tcW w:w="2573" w:type="dxa"/>
            <w:vAlign w:val="center"/>
          </w:tcPr>
          <w:p>
            <w:pPr>
              <w:spacing w:line="300" w:lineRule="exact"/>
              <w:jc w:val="center"/>
              <w:rPr>
                <w:rFonts w:hint="eastAsia" w:ascii="宋体" w:hAnsi="宋体"/>
                <w:sz w:val="21"/>
                <w:szCs w:val="21"/>
              </w:rPr>
            </w:pPr>
            <w:r>
              <w:rPr>
                <w:rFonts w:hint="eastAsia" w:ascii="宋体" w:hAnsi="宋体"/>
                <w:sz w:val="21"/>
                <w:szCs w:val="21"/>
              </w:rPr>
              <w:t>建筑隔声、吸声、减振</w:t>
            </w:r>
          </w:p>
        </w:tc>
        <w:tc>
          <w:tcPr>
            <w:tcW w:w="1062" w:type="dxa"/>
            <w:vAlign w:val="center"/>
          </w:tcPr>
          <w:p>
            <w:pPr>
              <w:spacing w:line="300" w:lineRule="exact"/>
              <w:jc w:val="center"/>
              <w:rPr>
                <w:rFonts w:hint="eastAsia" w:ascii="宋体" w:hAnsi="宋体"/>
                <w:sz w:val="21"/>
                <w:szCs w:val="21"/>
              </w:rPr>
            </w:pPr>
            <w:r>
              <w:rPr>
                <w:rFonts w:hint="eastAsia" w:ascii="宋体" w:hAnsi="宋体"/>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5" w:type="dxa"/>
            <w:vAlign w:val="center"/>
          </w:tcPr>
          <w:p>
            <w:pPr>
              <w:spacing w:line="300" w:lineRule="exact"/>
              <w:jc w:val="center"/>
              <w:rPr>
                <w:rFonts w:hint="eastAsia" w:ascii="宋体" w:hAnsi="宋体"/>
                <w:sz w:val="21"/>
                <w:szCs w:val="21"/>
              </w:rPr>
            </w:pPr>
            <w:r>
              <w:rPr>
                <w:rFonts w:hint="eastAsia" w:ascii="宋体" w:hAnsi="宋体"/>
                <w:sz w:val="21"/>
                <w:szCs w:val="21"/>
              </w:rPr>
              <w:t>棒磨</w:t>
            </w:r>
          </w:p>
        </w:tc>
        <w:tc>
          <w:tcPr>
            <w:tcW w:w="720" w:type="dxa"/>
            <w:vAlign w:val="center"/>
          </w:tcPr>
          <w:p>
            <w:pPr>
              <w:spacing w:line="300" w:lineRule="exact"/>
              <w:jc w:val="center"/>
              <w:rPr>
                <w:rFonts w:hint="eastAsia" w:ascii="宋体" w:hAnsi="宋体"/>
                <w:sz w:val="21"/>
                <w:szCs w:val="21"/>
              </w:rPr>
            </w:pPr>
            <w:r>
              <w:rPr>
                <w:rFonts w:hint="eastAsia" w:ascii="宋体" w:hAnsi="宋体"/>
                <w:sz w:val="21"/>
                <w:szCs w:val="21"/>
              </w:rPr>
              <w:t>1</w:t>
            </w:r>
          </w:p>
        </w:tc>
        <w:tc>
          <w:tcPr>
            <w:tcW w:w="991" w:type="dxa"/>
            <w:vAlign w:val="center"/>
          </w:tcPr>
          <w:p>
            <w:pPr>
              <w:spacing w:line="300" w:lineRule="exact"/>
              <w:jc w:val="center"/>
              <w:rPr>
                <w:rFonts w:hint="eastAsia" w:ascii="宋体" w:hAnsi="宋体"/>
                <w:sz w:val="21"/>
                <w:szCs w:val="21"/>
              </w:rPr>
            </w:pPr>
            <w:r>
              <w:rPr>
                <w:rFonts w:hint="eastAsia" w:ascii="宋体" w:hAnsi="宋体"/>
                <w:sz w:val="21"/>
                <w:szCs w:val="21"/>
              </w:rPr>
              <w:t>110</w:t>
            </w:r>
          </w:p>
        </w:tc>
        <w:tc>
          <w:tcPr>
            <w:tcW w:w="1346" w:type="dxa"/>
            <w:vAlign w:val="center"/>
          </w:tcPr>
          <w:p>
            <w:pPr>
              <w:spacing w:line="300" w:lineRule="exact"/>
              <w:jc w:val="center"/>
              <w:rPr>
                <w:rFonts w:hint="eastAsia" w:ascii="宋体" w:hAnsi="宋体"/>
                <w:sz w:val="21"/>
                <w:szCs w:val="21"/>
              </w:rPr>
            </w:pPr>
            <w:r>
              <w:rPr>
                <w:rFonts w:hint="eastAsia" w:ascii="宋体" w:hAnsi="宋体"/>
                <w:sz w:val="21"/>
                <w:szCs w:val="21"/>
              </w:rPr>
              <w:t>中频</w:t>
            </w:r>
          </w:p>
        </w:tc>
        <w:tc>
          <w:tcPr>
            <w:tcW w:w="2573" w:type="dxa"/>
            <w:vAlign w:val="center"/>
          </w:tcPr>
          <w:p>
            <w:pPr>
              <w:spacing w:line="300" w:lineRule="exact"/>
              <w:jc w:val="center"/>
              <w:rPr>
                <w:rFonts w:hint="eastAsia" w:ascii="宋体" w:hAnsi="宋体"/>
                <w:sz w:val="21"/>
                <w:szCs w:val="21"/>
              </w:rPr>
            </w:pPr>
            <w:r>
              <w:rPr>
                <w:rFonts w:hint="eastAsia" w:ascii="宋体" w:hAnsi="宋体"/>
                <w:sz w:val="21"/>
                <w:szCs w:val="21"/>
              </w:rPr>
              <w:t>筑隔声、吸声、减振</w:t>
            </w:r>
          </w:p>
        </w:tc>
        <w:tc>
          <w:tcPr>
            <w:tcW w:w="1062" w:type="dxa"/>
            <w:vAlign w:val="center"/>
          </w:tcPr>
          <w:p>
            <w:pPr>
              <w:spacing w:line="300" w:lineRule="exact"/>
              <w:jc w:val="center"/>
              <w:rPr>
                <w:rFonts w:hint="eastAsia" w:ascii="宋体" w:hAnsi="宋体"/>
                <w:sz w:val="21"/>
                <w:szCs w:val="21"/>
              </w:rPr>
            </w:pPr>
            <w:r>
              <w:rPr>
                <w:rFonts w:hint="eastAsia" w:ascii="宋体" w:hAnsi="宋体"/>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5" w:type="dxa"/>
            <w:vAlign w:val="center"/>
          </w:tcPr>
          <w:p>
            <w:pPr>
              <w:spacing w:line="300" w:lineRule="exact"/>
              <w:jc w:val="center"/>
              <w:rPr>
                <w:rFonts w:hint="eastAsia" w:ascii="宋体" w:hAnsi="宋体"/>
                <w:sz w:val="21"/>
                <w:szCs w:val="21"/>
              </w:rPr>
            </w:pPr>
            <w:r>
              <w:rPr>
                <w:rFonts w:hint="eastAsia" w:ascii="宋体" w:hAnsi="宋体"/>
                <w:sz w:val="21"/>
                <w:szCs w:val="21"/>
              </w:rPr>
              <w:t>水泵</w:t>
            </w:r>
          </w:p>
        </w:tc>
        <w:tc>
          <w:tcPr>
            <w:tcW w:w="720" w:type="dxa"/>
            <w:vAlign w:val="center"/>
          </w:tcPr>
          <w:p>
            <w:pPr>
              <w:spacing w:line="300" w:lineRule="exact"/>
              <w:jc w:val="center"/>
              <w:rPr>
                <w:rFonts w:hint="eastAsia" w:ascii="宋体" w:hAnsi="宋体"/>
                <w:sz w:val="21"/>
                <w:szCs w:val="21"/>
              </w:rPr>
            </w:pPr>
            <w:r>
              <w:rPr>
                <w:rFonts w:hint="eastAsia" w:ascii="宋体" w:hAnsi="宋体"/>
                <w:sz w:val="21"/>
                <w:szCs w:val="21"/>
              </w:rPr>
              <w:t>1</w:t>
            </w:r>
          </w:p>
        </w:tc>
        <w:tc>
          <w:tcPr>
            <w:tcW w:w="991" w:type="dxa"/>
            <w:vAlign w:val="center"/>
          </w:tcPr>
          <w:p>
            <w:pPr>
              <w:spacing w:line="300" w:lineRule="exact"/>
              <w:jc w:val="center"/>
              <w:rPr>
                <w:rFonts w:ascii="宋体" w:hAnsi="宋体"/>
                <w:sz w:val="21"/>
                <w:szCs w:val="21"/>
              </w:rPr>
            </w:pPr>
            <w:r>
              <w:rPr>
                <w:rFonts w:hint="eastAsia" w:ascii="宋体" w:hAnsi="宋体"/>
                <w:sz w:val="21"/>
                <w:szCs w:val="21"/>
              </w:rPr>
              <w:t>100</w:t>
            </w:r>
          </w:p>
        </w:tc>
        <w:tc>
          <w:tcPr>
            <w:tcW w:w="1346" w:type="dxa"/>
            <w:vAlign w:val="center"/>
          </w:tcPr>
          <w:p>
            <w:pPr>
              <w:spacing w:line="300" w:lineRule="exact"/>
              <w:jc w:val="center"/>
              <w:rPr>
                <w:rFonts w:hint="eastAsia" w:ascii="宋体" w:hAnsi="宋体"/>
                <w:sz w:val="21"/>
                <w:szCs w:val="21"/>
              </w:rPr>
            </w:pPr>
            <w:r>
              <w:rPr>
                <w:rFonts w:hint="eastAsia" w:ascii="宋体" w:hAnsi="宋体"/>
                <w:sz w:val="21"/>
                <w:szCs w:val="21"/>
              </w:rPr>
              <w:t>中频</w:t>
            </w:r>
          </w:p>
        </w:tc>
        <w:tc>
          <w:tcPr>
            <w:tcW w:w="2573" w:type="dxa"/>
            <w:vAlign w:val="center"/>
          </w:tcPr>
          <w:p>
            <w:pPr>
              <w:spacing w:line="300" w:lineRule="exact"/>
              <w:jc w:val="center"/>
              <w:rPr>
                <w:rFonts w:hint="eastAsia" w:ascii="宋体" w:hAnsi="宋体"/>
                <w:sz w:val="21"/>
                <w:szCs w:val="21"/>
              </w:rPr>
            </w:pPr>
            <w:r>
              <w:rPr>
                <w:rFonts w:hint="eastAsia" w:ascii="宋体" w:hAnsi="宋体"/>
                <w:sz w:val="21"/>
                <w:szCs w:val="21"/>
              </w:rPr>
              <w:t>建筑隔声、减振</w:t>
            </w:r>
          </w:p>
        </w:tc>
        <w:tc>
          <w:tcPr>
            <w:tcW w:w="1062" w:type="dxa"/>
            <w:vAlign w:val="center"/>
          </w:tcPr>
          <w:p>
            <w:pPr>
              <w:spacing w:line="300" w:lineRule="exact"/>
              <w:jc w:val="center"/>
              <w:rPr>
                <w:rFonts w:hint="eastAsia" w:ascii="宋体" w:hAnsi="宋体"/>
                <w:sz w:val="21"/>
                <w:szCs w:val="21"/>
              </w:rPr>
            </w:pPr>
            <w:r>
              <w:rPr>
                <w:rFonts w:hint="eastAsia" w:ascii="宋体" w:hAnsi="宋体"/>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5" w:type="dxa"/>
            <w:vAlign w:val="center"/>
          </w:tcPr>
          <w:p>
            <w:pPr>
              <w:spacing w:line="300" w:lineRule="exact"/>
              <w:jc w:val="center"/>
              <w:rPr>
                <w:rFonts w:hint="eastAsia" w:ascii="宋体" w:hAnsi="宋体"/>
                <w:sz w:val="21"/>
                <w:szCs w:val="21"/>
              </w:rPr>
            </w:pPr>
            <w:r>
              <w:rPr>
                <w:rFonts w:hint="eastAsia" w:ascii="宋体" w:hAnsi="宋体"/>
                <w:sz w:val="21"/>
                <w:szCs w:val="21"/>
              </w:rPr>
              <w:t>空压机</w:t>
            </w:r>
          </w:p>
        </w:tc>
        <w:tc>
          <w:tcPr>
            <w:tcW w:w="720" w:type="dxa"/>
            <w:vAlign w:val="center"/>
          </w:tcPr>
          <w:p>
            <w:pPr>
              <w:spacing w:line="300" w:lineRule="exact"/>
              <w:jc w:val="center"/>
              <w:rPr>
                <w:rFonts w:hint="eastAsia" w:ascii="宋体" w:hAnsi="宋体"/>
                <w:sz w:val="21"/>
                <w:szCs w:val="21"/>
              </w:rPr>
            </w:pPr>
            <w:r>
              <w:rPr>
                <w:rFonts w:hint="eastAsia" w:ascii="宋体" w:hAnsi="宋体"/>
                <w:sz w:val="21"/>
                <w:szCs w:val="21"/>
              </w:rPr>
              <w:t>6</w:t>
            </w:r>
          </w:p>
        </w:tc>
        <w:tc>
          <w:tcPr>
            <w:tcW w:w="991" w:type="dxa"/>
            <w:vAlign w:val="center"/>
          </w:tcPr>
          <w:p>
            <w:pPr>
              <w:spacing w:line="300" w:lineRule="exact"/>
              <w:jc w:val="center"/>
              <w:rPr>
                <w:rFonts w:hint="eastAsia" w:ascii="宋体" w:hAnsi="宋体"/>
                <w:sz w:val="21"/>
                <w:szCs w:val="21"/>
              </w:rPr>
            </w:pPr>
            <w:r>
              <w:rPr>
                <w:rFonts w:hint="eastAsia" w:ascii="宋体" w:hAnsi="宋体"/>
                <w:sz w:val="21"/>
                <w:szCs w:val="21"/>
              </w:rPr>
              <w:t>95</w:t>
            </w:r>
          </w:p>
        </w:tc>
        <w:tc>
          <w:tcPr>
            <w:tcW w:w="1346" w:type="dxa"/>
            <w:vAlign w:val="center"/>
          </w:tcPr>
          <w:p>
            <w:pPr>
              <w:spacing w:line="300" w:lineRule="exact"/>
              <w:jc w:val="center"/>
              <w:rPr>
                <w:rFonts w:hint="eastAsia" w:ascii="宋体" w:hAnsi="宋体"/>
                <w:sz w:val="21"/>
                <w:szCs w:val="21"/>
              </w:rPr>
            </w:pPr>
            <w:r>
              <w:rPr>
                <w:rFonts w:hint="eastAsia" w:ascii="宋体" w:hAnsi="宋体"/>
                <w:sz w:val="21"/>
                <w:szCs w:val="21"/>
              </w:rPr>
              <w:t>中频</w:t>
            </w:r>
          </w:p>
        </w:tc>
        <w:tc>
          <w:tcPr>
            <w:tcW w:w="2573" w:type="dxa"/>
            <w:vAlign w:val="center"/>
          </w:tcPr>
          <w:p>
            <w:pPr>
              <w:spacing w:line="300" w:lineRule="exact"/>
              <w:jc w:val="center"/>
              <w:rPr>
                <w:rFonts w:hint="eastAsia" w:ascii="宋体" w:hAnsi="宋体"/>
                <w:sz w:val="21"/>
                <w:szCs w:val="21"/>
              </w:rPr>
            </w:pPr>
            <w:r>
              <w:rPr>
                <w:rFonts w:hint="eastAsia" w:ascii="宋体" w:hAnsi="宋体"/>
                <w:sz w:val="21"/>
                <w:szCs w:val="21"/>
              </w:rPr>
              <w:t>置于专用房</w:t>
            </w:r>
          </w:p>
        </w:tc>
        <w:tc>
          <w:tcPr>
            <w:tcW w:w="1062" w:type="dxa"/>
            <w:vAlign w:val="center"/>
          </w:tcPr>
          <w:p>
            <w:pPr>
              <w:spacing w:line="300" w:lineRule="exact"/>
              <w:jc w:val="center"/>
              <w:rPr>
                <w:rFonts w:hint="eastAsia" w:ascii="宋体" w:hAnsi="宋体"/>
                <w:sz w:val="21"/>
                <w:szCs w:val="21"/>
              </w:rPr>
            </w:pPr>
            <w:r>
              <w:rPr>
                <w:rFonts w:hint="eastAsia" w:ascii="宋体" w:hAnsi="宋体"/>
                <w:sz w:val="21"/>
                <w:szCs w:val="21"/>
              </w:rPr>
              <w:t>85</w:t>
            </w:r>
          </w:p>
        </w:tc>
      </w:tr>
    </w:tbl>
    <w:p>
      <w:pPr>
        <w:spacing w:line="240" w:lineRule="exact"/>
        <w:rPr>
          <w:rFonts w:hint="eastAsia"/>
          <w:sz w:val="18"/>
        </w:rPr>
      </w:pPr>
      <w:r>
        <w:rPr>
          <w:rFonts w:hint="eastAsia"/>
        </w:rPr>
        <w:t xml:space="preserve">    </w:t>
      </w:r>
    </w:p>
    <w:p>
      <w:pPr>
        <w:spacing w:line="360" w:lineRule="auto"/>
        <w:outlineLvl w:val="2"/>
        <w:rPr>
          <w:rFonts w:hint="eastAsia"/>
          <w:b/>
          <w:bCs/>
          <w:szCs w:val="20"/>
        </w:rPr>
      </w:pPr>
      <w:r>
        <w:rPr>
          <w:rFonts w:hint="eastAsia"/>
          <w:b/>
          <w:bCs/>
          <w:szCs w:val="20"/>
        </w:rPr>
        <w:t>2.7.4 固体废物</w:t>
      </w:r>
    </w:p>
    <w:p>
      <w:pPr>
        <w:pStyle w:val="8"/>
        <w:ind w:firstLine="480" w:firstLineChars="200"/>
        <w:rPr>
          <w:rFonts w:hint="eastAsia" w:ascii="宋体" w:hAnsi="宋体"/>
          <w:sz w:val="24"/>
        </w:rPr>
      </w:pPr>
      <w:r>
        <w:rPr>
          <w:rFonts w:hint="eastAsia" w:ascii="宋体" w:hAnsi="宋体"/>
          <w:sz w:val="24"/>
        </w:rPr>
        <w:t>所有除尘设备收集下来的烟尘、粉尘回用于水泥生产，不外排，整个水泥生产过程中无工艺废渣排放。</w:t>
      </w:r>
    </w:p>
    <w:p>
      <w:pPr>
        <w:spacing w:line="360" w:lineRule="auto"/>
        <w:ind w:firstLine="420" w:firstLineChars="200"/>
        <w:rPr>
          <w:rFonts w:hint="eastAsia"/>
        </w:rPr>
      </w:pPr>
      <w:r>
        <w:rPr>
          <w:rFonts w:hint="eastAsia" w:ascii="宋体" w:hAnsi="宋体"/>
        </w:rPr>
        <w:t>厂区生活垃圾排放量39.75t/a，送</w:t>
      </w:r>
      <w:r>
        <w:rPr>
          <w:rFonts w:hint="eastAsia" w:ascii="宋体" w:hAnsi="宋体"/>
          <w:lang w:val="en-GB"/>
        </w:rPr>
        <w:t>青木关镇环卫部门统一集中处置</w:t>
      </w:r>
      <w:r>
        <w:rPr>
          <w:rFonts w:hint="eastAsia" w:ascii="宋体" w:hAnsi="宋体"/>
        </w:rPr>
        <w:t>。</w:t>
      </w:r>
    </w:p>
    <w:p>
      <w:pPr>
        <w:spacing w:line="360" w:lineRule="auto"/>
        <w:outlineLvl w:val="2"/>
        <w:rPr>
          <w:rFonts w:hint="eastAsia"/>
          <w:b/>
          <w:bCs/>
          <w:szCs w:val="20"/>
        </w:rPr>
      </w:pPr>
      <w:r>
        <w:rPr>
          <w:rFonts w:hint="eastAsia"/>
          <w:b/>
          <w:bCs/>
          <w:szCs w:val="20"/>
        </w:rPr>
        <w:t>2.7.5 重庆永荣青鹏煤业有限公司水泥厂污染物排放汇总</w:t>
      </w:r>
    </w:p>
    <w:p>
      <w:pPr>
        <w:pStyle w:val="8"/>
        <w:ind w:firstLine="480" w:firstLineChars="200"/>
        <w:rPr>
          <w:rFonts w:hint="eastAsia" w:ascii="宋体" w:hAnsi="宋体"/>
          <w:sz w:val="24"/>
        </w:rPr>
      </w:pPr>
      <w:r>
        <w:rPr>
          <w:rFonts w:hint="eastAsia" w:ascii="宋体" w:hAnsi="宋体"/>
          <w:sz w:val="24"/>
        </w:rPr>
        <w:t>现有水泥厂污染物排放汇总见表2-7。</w:t>
      </w:r>
    </w:p>
    <w:p>
      <w:pPr>
        <w:spacing w:line="480" w:lineRule="exact"/>
        <w:jc w:val="center"/>
        <w:rPr>
          <w:rFonts w:hint="eastAsia" w:ascii="宋体" w:hAnsi="宋体"/>
          <w:b/>
          <w:snapToGrid w:val="0"/>
          <w:kern w:val="0"/>
        </w:rPr>
      </w:pPr>
      <w:r>
        <w:rPr>
          <w:rFonts w:hint="eastAsia" w:ascii="宋体" w:hAnsi="宋体"/>
          <w:b/>
          <w:snapToGrid w:val="0"/>
          <w:kern w:val="0"/>
        </w:rPr>
        <w:t>表2-7  现有水泥厂污染物排放汇总表</w:t>
      </w:r>
    </w:p>
    <w:tbl>
      <w:tblPr>
        <w:tblStyle w:val="21"/>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940"/>
        <w:gridCol w:w="823"/>
        <w:gridCol w:w="940"/>
        <w:gridCol w:w="1057"/>
        <w:gridCol w:w="940"/>
        <w:gridCol w:w="706"/>
        <w:gridCol w:w="767"/>
        <w:gridCol w:w="594"/>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1347" w:type="dxa"/>
            <w:vMerge w:val="restart"/>
            <w:vAlign w:val="center"/>
          </w:tcPr>
          <w:p>
            <w:pPr>
              <w:spacing w:line="240" w:lineRule="exact"/>
              <w:jc w:val="center"/>
              <w:rPr>
                <w:rFonts w:hint="eastAsia" w:ascii="宋体" w:hAnsi="宋体"/>
                <w:bCs/>
                <w:caps/>
                <w:sz w:val="21"/>
                <w:szCs w:val="21"/>
              </w:rPr>
            </w:pPr>
            <w:r>
              <w:rPr>
                <w:rFonts w:hint="eastAsia" w:ascii="宋体" w:hAnsi="宋体"/>
                <w:bCs/>
                <w:caps/>
                <w:sz w:val="21"/>
                <w:szCs w:val="21"/>
              </w:rPr>
              <w:t>污染源</w:t>
            </w:r>
          </w:p>
        </w:tc>
        <w:tc>
          <w:tcPr>
            <w:tcW w:w="4700" w:type="dxa"/>
            <w:gridSpan w:val="5"/>
            <w:vAlign w:val="center"/>
          </w:tcPr>
          <w:p>
            <w:pPr>
              <w:spacing w:line="240" w:lineRule="exact"/>
              <w:jc w:val="center"/>
              <w:rPr>
                <w:rFonts w:hint="eastAsia" w:ascii="宋体" w:hAnsi="宋体"/>
                <w:bCs/>
                <w:caps/>
                <w:sz w:val="21"/>
                <w:szCs w:val="21"/>
              </w:rPr>
            </w:pPr>
            <w:r>
              <w:rPr>
                <w:rFonts w:hint="eastAsia" w:ascii="宋体" w:hAnsi="宋体"/>
                <w:bCs/>
                <w:caps/>
                <w:sz w:val="21"/>
                <w:szCs w:val="21"/>
              </w:rPr>
              <w:t>大气污染物</w:t>
            </w:r>
          </w:p>
        </w:tc>
        <w:tc>
          <w:tcPr>
            <w:tcW w:w="2067" w:type="dxa"/>
            <w:gridSpan w:val="3"/>
            <w:vAlign w:val="center"/>
          </w:tcPr>
          <w:p>
            <w:pPr>
              <w:spacing w:line="240" w:lineRule="exact"/>
              <w:jc w:val="center"/>
              <w:rPr>
                <w:rFonts w:hint="eastAsia" w:ascii="宋体" w:hAnsi="宋体"/>
                <w:bCs/>
                <w:caps/>
                <w:sz w:val="21"/>
                <w:szCs w:val="21"/>
              </w:rPr>
            </w:pPr>
            <w:r>
              <w:rPr>
                <w:rFonts w:hint="eastAsia" w:ascii="宋体" w:hAnsi="宋体"/>
                <w:bCs/>
                <w:caps/>
                <w:sz w:val="21"/>
                <w:szCs w:val="21"/>
              </w:rPr>
              <w:t>水污染物</w:t>
            </w:r>
          </w:p>
        </w:tc>
        <w:tc>
          <w:tcPr>
            <w:tcW w:w="1172" w:type="dxa"/>
            <w:vMerge w:val="restart"/>
            <w:vAlign w:val="center"/>
          </w:tcPr>
          <w:p>
            <w:pPr>
              <w:spacing w:line="240" w:lineRule="exact"/>
              <w:jc w:val="center"/>
              <w:rPr>
                <w:rFonts w:hint="eastAsia" w:ascii="宋体" w:hAnsi="宋体"/>
                <w:bCs/>
                <w:caps/>
                <w:sz w:val="21"/>
                <w:szCs w:val="21"/>
              </w:rPr>
            </w:pPr>
            <w:r>
              <w:rPr>
                <w:rFonts w:hint="eastAsia" w:ascii="宋体" w:hAnsi="宋体"/>
                <w:bCs/>
                <w:caps/>
                <w:sz w:val="21"/>
                <w:szCs w:val="21"/>
              </w:rPr>
              <w:t>固体</w:t>
            </w:r>
          </w:p>
          <w:p>
            <w:pPr>
              <w:spacing w:line="240" w:lineRule="exact"/>
              <w:jc w:val="center"/>
              <w:rPr>
                <w:rFonts w:hint="eastAsia" w:ascii="宋体" w:hAnsi="宋体"/>
                <w:bCs/>
                <w:caps/>
                <w:sz w:val="21"/>
                <w:szCs w:val="21"/>
              </w:rPr>
            </w:pPr>
            <w:r>
              <w:rPr>
                <w:rFonts w:hint="eastAsia" w:ascii="宋体" w:hAnsi="宋体"/>
                <w:bCs/>
                <w:caps/>
                <w:sz w:val="21"/>
                <w:szCs w:val="21"/>
              </w:rPr>
              <w:t>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1347" w:type="dxa"/>
            <w:vMerge w:val="continue"/>
            <w:vAlign w:val="center"/>
          </w:tcPr>
          <w:p>
            <w:pPr>
              <w:spacing w:line="240" w:lineRule="exact"/>
              <w:jc w:val="center"/>
              <w:rPr>
                <w:rFonts w:hint="eastAsia" w:ascii="宋体" w:hAnsi="宋体"/>
                <w:bCs/>
                <w:caps/>
                <w:sz w:val="21"/>
                <w:szCs w:val="21"/>
              </w:rPr>
            </w:pPr>
          </w:p>
        </w:tc>
        <w:tc>
          <w:tcPr>
            <w:tcW w:w="940" w:type="dxa"/>
            <w:vMerge w:val="restart"/>
            <w:vAlign w:val="center"/>
          </w:tcPr>
          <w:p>
            <w:pPr>
              <w:spacing w:line="240" w:lineRule="exact"/>
              <w:jc w:val="center"/>
              <w:rPr>
                <w:rFonts w:hint="eastAsia" w:ascii="宋体" w:hAnsi="宋体"/>
                <w:bCs/>
                <w:caps/>
                <w:sz w:val="21"/>
                <w:szCs w:val="21"/>
              </w:rPr>
            </w:pPr>
            <w:r>
              <w:rPr>
                <w:rFonts w:hint="eastAsia" w:ascii="宋体" w:hAnsi="宋体"/>
                <w:bCs/>
                <w:caps/>
                <w:sz w:val="21"/>
                <w:szCs w:val="21"/>
              </w:rPr>
              <w:t>无组织</w:t>
            </w:r>
          </w:p>
        </w:tc>
        <w:tc>
          <w:tcPr>
            <w:tcW w:w="3760" w:type="dxa"/>
            <w:gridSpan w:val="4"/>
            <w:vAlign w:val="center"/>
          </w:tcPr>
          <w:p>
            <w:pPr>
              <w:spacing w:line="240" w:lineRule="exact"/>
              <w:jc w:val="center"/>
              <w:rPr>
                <w:rFonts w:hint="eastAsia" w:ascii="宋体" w:hAnsi="宋体"/>
                <w:bCs/>
                <w:caps/>
                <w:sz w:val="21"/>
                <w:szCs w:val="21"/>
              </w:rPr>
            </w:pPr>
            <w:r>
              <w:rPr>
                <w:rFonts w:hint="eastAsia" w:ascii="宋体" w:hAnsi="宋体"/>
                <w:bCs/>
                <w:caps/>
                <w:sz w:val="21"/>
                <w:szCs w:val="21"/>
              </w:rPr>
              <w:t>有组织</w:t>
            </w:r>
          </w:p>
        </w:tc>
        <w:tc>
          <w:tcPr>
            <w:tcW w:w="706" w:type="dxa"/>
            <w:vMerge w:val="restart"/>
            <w:vAlign w:val="center"/>
          </w:tcPr>
          <w:p>
            <w:pPr>
              <w:spacing w:line="240" w:lineRule="exact"/>
              <w:jc w:val="center"/>
              <w:rPr>
                <w:rFonts w:hint="eastAsia" w:ascii="宋体" w:hAnsi="宋体"/>
                <w:bCs/>
                <w:caps/>
                <w:sz w:val="21"/>
                <w:szCs w:val="21"/>
              </w:rPr>
            </w:pPr>
            <w:r>
              <w:rPr>
                <w:rFonts w:hint="eastAsia" w:ascii="宋体" w:hAnsi="宋体"/>
                <w:bCs/>
                <w:caps/>
                <w:sz w:val="21"/>
                <w:szCs w:val="21"/>
              </w:rPr>
              <w:t>COD</w:t>
            </w:r>
          </w:p>
        </w:tc>
        <w:tc>
          <w:tcPr>
            <w:tcW w:w="767" w:type="dxa"/>
            <w:vMerge w:val="restart"/>
            <w:vAlign w:val="center"/>
          </w:tcPr>
          <w:p>
            <w:pPr>
              <w:spacing w:line="240" w:lineRule="exact"/>
              <w:jc w:val="center"/>
              <w:rPr>
                <w:rFonts w:hint="eastAsia" w:ascii="宋体" w:hAnsi="宋体"/>
                <w:bCs/>
                <w:caps/>
                <w:sz w:val="21"/>
                <w:szCs w:val="21"/>
              </w:rPr>
            </w:pPr>
            <w:r>
              <w:rPr>
                <w:rFonts w:ascii="宋体" w:hAnsi="宋体"/>
                <w:sz w:val="21"/>
                <w:szCs w:val="21"/>
              </w:rPr>
              <w:t>NH</w:t>
            </w:r>
            <w:r>
              <w:rPr>
                <w:rFonts w:ascii="宋体" w:hAnsi="宋体"/>
                <w:sz w:val="21"/>
                <w:szCs w:val="21"/>
                <w:vertAlign w:val="subscript"/>
              </w:rPr>
              <w:t>3</w:t>
            </w:r>
            <w:r>
              <w:rPr>
                <w:rFonts w:ascii="宋体" w:hAnsi="宋体"/>
                <w:sz w:val="21"/>
                <w:szCs w:val="21"/>
              </w:rPr>
              <w:t>-N</w:t>
            </w:r>
          </w:p>
        </w:tc>
        <w:tc>
          <w:tcPr>
            <w:tcW w:w="594" w:type="dxa"/>
            <w:vMerge w:val="restart"/>
            <w:vAlign w:val="center"/>
          </w:tcPr>
          <w:p>
            <w:pPr>
              <w:spacing w:line="240" w:lineRule="exact"/>
              <w:jc w:val="center"/>
              <w:rPr>
                <w:rFonts w:hint="eastAsia" w:ascii="宋体" w:hAnsi="宋体"/>
                <w:sz w:val="21"/>
                <w:szCs w:val="21"/>
              </w:rPr>
            </w:pPr>
            <w:r>
              <w:rPr>
                <w:rFonts w:hint="eastAsia" w:ascii="宋体" w:hAnsi="宋体"/>
                <w:bCs/>
                <w:caps/>
                <w:sz w:val="21"/>
                <w:szCs w:val="21"/>
              </w:rPr>
              <w:t>SS</w:t>
            </w:r>
          </w:p>
        </w:tc>
        <w:tc>
          <w:tcPr>
            <w:tcW w:w="1172" w:type="dxa"/>
            <w:vMerge w:val="continue"/>
            <w:vAlign w:val="center"/>
          </w:tcPr>
          <w:p>
            <w:pPr>
              <w:spacing w:line="240" w:lineRule="exact"/>
              <w:jc w:val="center"/>
              <w:rPr>
                <w:rFonts w:hint="eastAsia" w:ascii="宋体" w:hAnsi="宋体"/>
                <w:bCs/>
                <w:cap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1347" w:type="dxa"/>
            <w:vMerge w:val="continue"/>
            <w:vAlign w:val="center"/>
          </w:tcPr>
          <w:p>
            <w:pPr>
              <w:spacing w:line="240" w:lineRule="exact"/>
              <w:jc w:val="center"/>
              <w:rPr>
                <w:rFonts w:hint="eastAsia" w:ascii="宋体" w:hAnsi="宋体"/>
                <w:bCs/>
                <w:caps/>
                <w:sz w:val="21"/>
                <w:szCs w:val="21"/>
              </w:rPr>
            </w:pPr>
          </w:p>
        </w:tc>
        <w:tc>
          <w:tcPr>
            <w:tcW w:w="940" w:type="dxa"/>
            <w:vMerge w:val="continue"/>
            <w:vAlign w:val="center"/>
          </w:tcPr>
          <w:p>
            <w:pPr>
              <w:spacing w:line="240" w:lineRule="exact"/>
              <w:jc w:val="center"/>
              <w:rPr>
                <w:rFonts w:hint="eastAsia" w:ascii="宋体" w:hAnsi="宋体"/>
                <w:bCs/>
                <w:caps/>
                <w:sz w:val="21"/>
                <w:szCs w:val="21"/>
              </w:rPr>
            </w:pPr>
          </w:p>
        </w:tc>
        <w:tc>
          <w:tcPr>
            <w:tcW w:w="823" w:type="dxa"/>
            <w:vAlign w:val="center"/>
          </w:tcPr>
          <w:p>
            <w:pPr>
              <w:spacing w:line="240" w:lineRule="exact"/>
              <w:jc w:val="center"/>
              <w:rPr>
                <w:rFonts w:hint="eastAsia" w:ascii="宋体" w:hAnsi="宋体"/>
                <w:bCs/>
                <w:caps/>
                <w:sz w:val="21"/>
                <w:szCs w:val="21"/>
              </w:rPr>
            </w:pPr>
            <w:r>
              <w:rPr>
                <w:rFonts w:hint="eastAsia" w:ascii="宋体" w:hAnsi="宋体"/>
                <w:bCs/>
                <w:caps/>
                <w:sz w:val="21"/>
                <w:szCs w:val="21"/>
              </w:rPr>
              <w:t>烟尘</w:t>
            </w:r>
          </w:p>
        </w:tc>
        <w:tc>
          <w:tcPr>
            <w:tcW w:w="940" w:type="dxa"/>
            <w:vAlign w:val="center"/>
          </w:tcPr>
          <w:p>
            <w:pPr>
              <w:spacing w:line="240" w:lineRule="exact"/>
              <w:jc w:val="center"/>
              <w:rPr>
                <w:rFonts w:hint="eastAsia" w:ascii="宋体" w:hAnsi="宋体"/>
                <w:bCs/>
                <w:caps/>
                <w:sz w:val="21"/>
                <w:szCs w:val="21"/>
              </w:rPr>
            </w:pPr>
            <w:r>
              <w:rPr>
                <w:rFonts w:hint="eastAsia" w:ascii="宋体" w:hAnsi="宋体"/>
                <w:bCs/>
                <w:caps/>
                <w:sz w:val="21"/>
                <w:szCs w:val="21"/>
              </w:rPr>
              <w:t>粉尘</w:t>
            </w:r>
          </w:p>
        </w:tc>
        <w:tc>
          <w:tcPr>
            <w:tcW w:w="1057" w:type="dxa"/>
            <w:vAlign w:val="center"/>
          </w:tcPr>
          <w:p>
            <w:pPr>
              <w:spacing w:line="240" w:lineRule="exact"/>
              <w:jc w:val="center"/>
              <w:rPr>
                <w:rFonts w:hint="eastAsia" w:ascii="宋体" w:hAnsi="宋体"/>
                <w:bCs/>
                <w:caps/>
                <w:sz w:val="21"/>
                <w:szCs w:val="21"/>
              </w:rPr>
            </w:pPr>
            <w:r>
              <w:rPr>
                <w:rFonts w:hint="eastAsia" w:ascii="宋体" w:hAnsi="宋体"/>
                <w:bCs/>
                <w:caps/>
                <w:sz w:val="21"/>
                <w:szCs w:val="21"/>
              </w:rPr>
              <w:t>SO</w:t>
            </w:r>
            <w:r>
              <w:rPr>
                <w:rFonts w:hint="eastAsia" w:ascii="宋体" w:hAnsi="宋体"/>
                <w:bCs/>
                <w:caps/>
                <w:sz w:val="21"/>
                <w:szCs w:val="21"/>
                <w:vertAlign w:val="subscript"/>
              </w:rPr>
              <w:t>2</w:t>
            </w:r>
          </w:p>
        </w:tc>
        <w:tc>
          <w:tcPr>
            <w:tcW w:w="940" w:type="dxa"/>
            <w:vAlign w:val="center"/>
          </w:tcPr>
          <w:p>
            <w:pPr>
              <w:spacing w:line="240" w:lineRule="exact"/>
              <w:jc w:val="center"/>
              <w:rPr>
                <w:rFonts w:hint="eastAsia" w:ascii="宋体" w:hAnsi="宋体"/>
                <w:bCs/>
                <w:caps/>
                <w:sz w:val="21"/>
                <w:szCs w:val="21"/>
              </w:rPr>
            </w:pPr>
            <w:r>
              <w:rPr>
                <w:rFonts w:hint="eastAsia" w:ascii="宋体" w:hAnsi="宋体"/>
                <w:bCs/>
                <w:caps/>
                <w:sz w:val="21"/>
                <w:szCs w:val="21"/>
              </w:rPr>
              <w:t>NO</w:t>
            </w:r>
            <w:r>
              <w:rPr>
                <w:rFonts w:hint="eastAsia" w:ascii="宋体" w:hAnsi="宋体"/>
                <w:bCs/>
                <w:caps/>
                <w:sz w:val="21"/>
                <w:szCs w:val="21"/>
                <w:vertAlign w:val="subscript"/>
              </w:rPr>
              <w:t>2</w:t>
            </w:r>
          </w:p>
        </w:tc>
        <w:tc>
          <w:tcPr>
            <w:tcW w:w="706" w:type="dxa"/>
            <w:vMerge w:val="continue"/>
            <w:vAlign w:val="center"/>
          </w:tcPr>
          <w:p>
            <w:pPr>
              <w:spacing w:line="240" w:lineRule="exact"/>
              <w:jc w:val="center"/>
              <w:rPr>
                <w:rFonts w:hint="eastAsia" w:ascii="宋体" w:hAnsi="宋体"/>
                <w:bCs/>
                <w:caps/>
                <w:sz w:val="21"/>
                <w:szCs w:val="21"/>
              </w:rPr>
            </w:pPr>
          </w:p>
        </w:tc>
        <w:tc>
          <w:tcPr>
            <w:tcW w:w="767" w:type="dxa"/>
            <w:vMerge w:val="continue"/>
            <w:vAlign w:val="center"/>
          </w:tcPr>
          <w:p>
            <w:pPr>
              <w:spacing w:line="240" w:lineRule="exact"/>
              <w:jc w:val="center"/>
              <w:rPr>
                <w:rFonts w:hint="eastAsia" w:ascii="宋体" w:hAnsi="宋体"/>
                <w:bCs/>
                <w:caps/>
                <w:sz w:val="21"/>
                <w:szCs w:val="21"/>
              </w:rPr>
            </w:pPr>
          </w:p>
        </w:tc>
        <w:tc>
          <w:tcPr>
            <w:tcW w:w="594" w:type="dxa"/>
            <w:vMerge w:val="continue"/>
            <w:vAlign w:val="center"/>
          </w:tcPr>
          <w:p>
            <w:pPr>
              <w:spacing w:line="240" w:lineRule="exact"/>
              <w:jc w:val="center"/>
              <w:rPr>
                <w:rFonts w:hint="eastAsia" w:ascii="宋体" w:hAnsi="宋体"/>
                <w:sz w:val="21"/>
                <w:szCs w:val="21"/>
              </w:rPr>
            </w:pPr>
          </w:p>
        </w:tc>
        <w:tc>
          <w:tcPr>
            <w:tcW w:w="1172" w:type="dxa"/>
            <w:vMerge w:val="continue"/>
            <w:vAlign w:val="center"/>
          </w:tcPr>
          <w:p>
            <w:pPr>
              <w:spacing w:line="240" w:lineRule="exact"/>
              <w:jc w:val="center"/>
              <w:rPr>
                <w:rFonts w:hint="eastAsia" w:ascii="宋体" w:hAnsi="宋体"/>
                <w:bCs/>
                <w:cap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1347" w:type="dxa"/>
            <w:vAlign w:val="center"/>
          </w:tcPr>
          <w:p>
            <w:pPr>
              <w:spacing w:line="240" w:lineRule="exact"/>
              <w:jc w:val="center"/>
              <w:rPr>
                <w:rFonts w:hint="eastAsia" w:ascii="宋体" w:hAnsi="宋体"/>
                <w:bCs/>
                <w:caps/>
                <w:sz w:val="21"/>
                <w:szCs w:val="21"/>
              </w:rPr>
            </w:pPr>
            <w:r>
              <w:rPr>
                <w:rFonts w:hint="eastAsia" w:ascii="宋体" w:hAnsi="宋体"/>
                <w:bCs/>
                <w:caps/>
                <w:sz w:val="21"/>
                <w:szCs w:val="21"/>
              </w:rPr>
              <w:t xml:space="preserve"> 排放量</w:t>
            </w:r>
            <w:r>
              <w:rPr>
                <w:rFonts w:hint="eastAsia" w:ascii="宋体" w:hAnsi="宋体"/>
              </w:rPr>
              <w:t>t/a</w:t>
            </w:r>
          </w:p>
        </w:tc>
        <w:tc>
          <w:tcPr>
            <w:tcW w:w="940" w:type="dxa"/>
            <w:vAlign w:val="center"/>
          </w:tcPr>
          <w:p>
            <w:pPr>
              <w:spacing w:line="240" w:lineRule="exact"/>
              <w:jc w:val="center"/>
              <w:rPr>
                <w:rFonts w:hint="eastAsia" w:ascii="宋体" w:hAnsi="宋体"/>
                <w:bCs/>
                <w:caps/>
                <w:sz w:val="21"/>
                <w:szCs w:val="21"/>
              </w:rPr>
            </w:pPr>
            <w:r>
              <w:rPr>
                <w:rFonts w:hint="eastAsia" w:ascii="宋体" w:hAnsi="宋体"/>
                <w:bCs/>
                <w:caps/>
                <w:sz w:val="21"/>
                <w:szCs w:val="21"/>
              </w:rPr>
              <w:t>438.61</w:t>
            </w:r>
          </w:p>
        </w:tc>
        <w:tc>
          <w:tcPr>
            <w:tcW w:w="823" w:type="dxa"/>
            <w:vAlign w:val="center"/>
          </w:tcPr>
          <w:p>
            <w:pPr>
              <w:spacing w:line="240" w:lineRule="exact"/>
              <w:jc w:val="center"/>
              <w:rPr>
                <w:rFonts w:hint="eastAsia" w:ascii="宋体" w:hAnsi="宋体"/>
                <w:bCs/>
                <w:caps/>
                <w:sz w:val="21"/>
                <w:szCs w:val="21"/>
              </w:rPr>
            </w:pPr>
            <w:r>
              <w:rPr>
                <w:rFonts w:hint="eastAsia" w:ascii="宋体" w:hAnsi="宋体"/>
                <w:bCs/>
                <w:caps/>
                <w:sz w:val="21"/>
                <w:szCs w:val="21"/>
              </w:rPr>
              <w:t>228.5</w:t>
            </w:r>
          </w:p>
        </w:tc>
        <w:tc>
          <w:tcPr>
            <w:tcW w:w="940" w:type="dxa"/>
            <w:vAlign w:val="center"/>
          </w:tcPr>
          <w:p>
            <w:pPr>
              <w:spacing w:line="240" w:lineRule="exact"/>
              <w:jc w:val="center"/>
              <w:rPr>
                <w:rFonts w:hint="eastAsia" w:ascii="宋体" w:hAnsi="宋体"/>
                <w:bCs/>
                <w:caps/>
                <w:sz w:val="21"/>
                <w:szCs w:val="21"/>
              </w:rPr>
            </w:pPr>
            <w:r>
              <w:rPr>
                <w:rFonts w:hint="eastAsia" w:ascii="宋体" w:hAnsi="宋体"/>
                <w:bCs/>
                <w:caps/>
                <w:sz w:val="21"/>
                <w:szCs w:val="21"/>
              </w:rPr>
              <w:t>106.42</w:t>
            </w:r>
          </w:p>
        </w:tc>
        <w:tc>
          <w:tcPr>
            <w:tcW w:w="1057" w:type="dxa"/>
            <w:vAlign w:val="center"/>
          </w:tcPr>
          <w:p>
            <w:pPr>
              <w:spacing w:line="240" w:lineRule="exact"/>
              <w:jc w:val="center"/>
              <w:rPr>
                <w:rFonts w:hint="eastAsia" w:ascii="宋体" w:hAnsi="宋体"/>
                <w:bCs/>
                <w:caps/>
                <w:sz w:val="21"/>
                <w:szCs w:val="21"/>
              </w:rPr>
            </w:pPr>
            <w:r>
              <w:rPr>
                <w:rFonts w:hint="eastAsia" w:ascii="宋体" w:hAnsi="宋体"/>
                <w:bCs/>
                <w:caps/>
                <w:sz w:val="21"/>
                <w:szCs w:val="21"/>
              </w:rPr>
              <w:t>1013.11</w:t>
            </w:r>
          </w:p>
        </w:tc>
        <w:tc>
          <w:tcPr>
            <w:tcW w:w="940" w:type="dxa"/>
            <w:vAlign w:val="center"/>
          </w:tcPr>
          <w:p>
            <w:pPr>
              <w:spacing w:line="240" w:lineRule="exact"/>
              <w:jc w:val="center"/>
              <w:rPr>
                <w:rFonts w:hint="eastAsia" w:ascii="宋体" w:hAnsi="宋体"/>
                <w:bCs/>
                <w:caps/>
                <w:sz w:val="21"/>
                <w:szCs w:val="21"/>
              </w:rPr>
            </w:pPr>
            <w:r>
              <w:rPr>
                <w:rFonts w:hint="eastAsia" w:ascii="宋体" w:hAnsi="宋体"/>
                <w:bCs/>
                <w:caps/>
                <w:sz w:val="21"/>
                <w:szCs w:val="21"/>
              </w:rPr>
              <w:t>952.34</w:t>
            </w:r>
          </w:p>
        </w:tc>
        <w:tc>
          <w:tcPr>
            <w:tcW w:w="706" w:type="dxa"/>
            <w:vAlign w:val="center"/>
          </w:tcPr>
          <w:p>
            <w:pPr>
              <w:spacing w:line="240" w:lineRule="exact"/>
              <w:jc w:val="center"/>
              <w:rPr>
                <w:rFonts w:hint="eastAsia" w:ascii="宋体" w:hAnsi="宋体"/>
                <w:bCs/>
                <w:caps/>
                <w:sz w:val="21"/>
                <w:szCs w:val="21"/>
              </w:rPr>
            </w:pPr>
            <w:r>
              <w:rPr>
                <w:rFonts w:hint="eastAsia" w:ascii="宋体" w:hAnsi="宋体"/>
                <w:bCs/>
                <w:caps/>
                <w:sz w:val="21"/>
                <w:szCs w:val="21"/>
              </w:rPr>
              <w:t>1.59</w:t>
            </w:r>
          </w:p>
        </w:tc>
        <w:tc>
          <w:tcPr>
            <w:tcW w:w="767" w:type="dxa"/>
            <w:vAlign w:val="center"/>
          </w:tcPr>
          <w:p>
            <w:pPr>
              <w:spacing w:line="240" w:lineRule="exact"/>
              <w:jc w:val="center"/>
              <w:rPr>
                <w:rFonts w:hint="eastAsia" w:ascii="宋体" w:hAnsi="宋体"/>
                <w:bCs/>
                <w:caps/>
                <w:sz w:val="21"/>
                <w:szCs w:val="21"/>
              </w:rPr>
            </w:pPr>
            <w:r>
              <w:rPr>
                <w:rFonts w:hint="eastAsia" w:ascii="宋体" w:hAnsi="宋体"/>
                <w:bCs/>
                <w:caps/>
                <w:sz w:val="21"/>
                <w:szCs w:val="21"/>
              </w:rPr>
              <w:t>0.16</w:t>
            </w:r>
          </w:p>
        </w:tc>
        <w:tc>
          <w:tcPr>
            <w:tcW w:w="594" w:type="dxa"/>
            <w:vAlign w:val="center"/>
          </w:tcPr>
          <w:p>
            <w:pPr>
              <w:spacing w:line="240" w:lineRule="exact"/>
              <w:jc w:val="center"/>
              <w:rPr>
                <w:rFonts w:hint="eastAsia" w:ascii="宋体" w:hAnsi="宋体"/>
                <w:sz w:val="21"/>
                <w:szCs w:val="21"/>
              </w:rPr>
            </w:pPr>
            <w:r>
              <w:rPr>
                <w:rFonts w:hint="eastAsia" w:ascii="宋体" w:hAnsi="宋体"/>
                <w:sz w:val="21"/>
                <w:szCs w:val="21"/>
              </w:rPr>
              <w:t>0.8</w:t>
            </w:r>
          </w:p>
        </w:tc>
        <w:tc>
          <w:tcPr>
            <w:tcW w:w="1172" w:type="dxa"/>
            <w:vAlign w:val="center"/>
          </w:tcPr>
          <w:p>
            <w:pPr>
              <w:spacing w:line="240" w:lineRule="exact"/>
              <w:jc w:val="center"/>
              <w:rPr>
                <w:rFonts w:hint="eastAsia" w:ascii="宋体" w:hAnsi="宋体"/>
                <w:bCs/>
                <w:caps/>
                <w:sz w:val="21"/>
                <w:szCs w:val="21"/>
              </w:rPr>
            </w:pPr>
            <w:r>
              <w:rPr>
                <w:rFonts w:hint="eastAsia" w:ascii="宋体" w:hAnsi="宋体"/>
                <w:bCs/>
                <w:caps/>
                <w:sz w:val="21"/>
                <w:szCs w:val="21"/>
              </w:rPr>
              <w:t>39.75</w:t>
            </w:r>
            <w:r>
              <w:rPr>
                <w:rFonts w:hint="eastAsia" w:ascii="宋体" w:hAnsi="宋体"/>
              </w:rPr>
              <w:t xml:space="preserve"> t/a</w:t>
            </w:r>
          </w:p>
        </w:tc>
      </w:tr>
    </w:tbl>
    <w:p>
      <w:pPr>
        <w:spacing w:line="360" w:lineRule="auto"/>
        <w:outlineLvl w:val="2"/>
        <w:rPr>
          <w:rFonts w:hint="eastAsia"/>
          <w:b/>
          <w:bCs/>
          <w:szCs w:val="20"/>
        </w:rPr>
      </w:pPr>
    </w:p>
    <w:p>
      <w:pPr>
        <w:spacing w:line="360" w:lineRule="auto"/>
        <w:outlineLvl w:val="2"/>
        <w:rPr>
          <w:rFonts w:hint="eastAsia"/>
          <w:b/>
          <w:bCs/>
          <w:szCs w:val="20"/>
        </w:rPr>
      </w:pPr>
      <w:r>
        <w:rPr>
          <w:rFonts w:hint="eastAsia"/>
          <w:b/>
          <w:bCs/>
          <w:szCs w:val="20"/>
        </w:rPr>
        <w:t>2.7.6重庆永荣青鹏煤业有限公司水泥厂目前存在的主要环境问题</w:t>
      </w:r>
    </w:p>
    <w:p>
      <w:pPr>
        <w:spacing w:line="480" w:lineRule="exact"/>
        <w:ind w:firstLine="420" w:firstLineChars="200"/>
        <w:rPr>
          <w:rFonts w:hint="eastAsia" w:ascii="宋体" w:hAnsi="宋体"/>
        </w:rPr>
      </w:pPr>
      <w:r>
        <w:rPr>
          <w:rFonts w:hint="eastAsia"/>
          <w:bCs/>
          <w:szCs w:val="20"/>
        </w:rPr>
        <w:t>重庆永荣青鹏煤业有限公司</w:t>
      </w:r>
      <w:r>
        <w:rPr>
          <w:rFonts w:hint="eastAsia" w:ascii="宋体" w:hAnsi="宋体"/>
        </w:rPr>
        <w:t>现有水泥生产线由于建设于上世纪90年代初，其设计相对落后，由于除尘设备安装不尽合理，加之运行时间较长，造成除尘效果不佳，不能稳定达标排放。同时原辅材料的堆存及输送也未采取密闭装置，从而造成无组织排放的粉尘量较大，对周边环境造成了较严重的污染。</w:t>
      </w:r>
    </w:p>
    <w:p>
      <w:pPr>
        <w:spacing w:line="480" w:lineRule="exact"/>
        <w:ind w:firstLine="420" w:firstLineChars="200"/>
        <w:rPr>
          <w:rFonts w:hint="eastAsia" w:ascii="宋体" w:hAnsi="宋体"/>
        </w:rPr>
      </w:pPr>
    </w:p>
    <w:p>
      <w:pPr>
        <w:spacing w:line="480" w:lineRule="exact"/>
        <w:ind w:firstLine="420" w:firstLineChars="200"/>
        <w:rPr>
          <w:rFonts w:hint="eastAsia" w:ascii="宋体" w:hAnsi="宋体"/>
        </w:rPr>
        <w:sectPr>
          <w:pgSz w:w="11906" w:h="16838"/>
          <w:pgMar w:top="1418" w:right="1418" w:bottom="1418" w:left="1418" w:header="851" w:footer="992" w:gutter="0"/>
          <w:paperSrc w:first="20070" w:other="20070"/>
          <w:cols w:space="425" w:num="1"/>
          <w:docGrid w:linePitch="312" w:charSpace="0"/>
        </w:sectPr>
      </w:pPr>
    </w:p>
    <w:p>
      <w:pPr>
        <w:spacing w:line="360" w:lineRule="auto"/>
        <w:outlineLvl w:val="0"/>
        <w:rPr>
          <w:rFonts w:hint="eastAsia"/>
          <w:b/>
          <w:sz w:val="28"/>
          <w:szCs w:val="28"/>
        </w:rPr>
      </w:pPr>
      <w:bookmarkStart w:id="66" w:name="_Toc175479783"/>
      <w:bookmarkStart w:id="67" w:name="_Toc473281486"/>
      <w:bookmarkStart w:id="68" w:name="_Toc189814128"/>
      <w:bookmarkStart w:id="69" w:name="_Toc276372228"/>
      <w:r>
        <w:rPr>
          <w:rFonts w:hint="eastAsia"/>
          <w:b/>
          <w:sz w:val="28"/>
          <w:szCs w:val="28"/>
        </w:rPr>
        <w:t>3 技改项目概况</w:t>
      </w:r>
      <w:bookmarkEnd w:id="66"/>
      <w:bookmarkEnd w:id="67"/>
      <w:bookmarkEnd w:id="68"/>
      <w:r>
        <w:rPr>
          <w:rFonts w:hint="eastAsia"/>
          <w:b/>
          <w:sz w:val="28"/>
          <w:szCs w:val="28"/>
        </w:rPr>
        <w:t>及工程分析</w:t>
      </w:r>
      <w:bookmarkEnd w:id="69"/>
    </w:p>
    <w:p>
      <w:pPr>
        <w:spacing w:line="360" w:lineRule="auto"/>
        <w:outlineLvl w:val="1"/>
        <w:rPr>
          <w:rFonts w:hint="eastAsia"/>
          <w:b/>
          <w:szCs w:val="20"/>
        </w:rPr>
      </w:pPr>
      <w:bookmarkStart w:id="70" w:name="_Toc276372229"/>
      <w:r>
        <w:rPr>
          <w:rFonts w:hint="eastAsia"/>
          <w:b/>
          <w:szCs w:val="20"/>
        </w:rPr>
        <w:t>3.1 技改项目概况</w:t>
      </w:r>
      <w:bookmarkEnd w:id="70"/>
    </w:p>
    <w:p>
      <w:pPr>
        <w:spacing w:line="360" w:lineRule="auto"/>
        <w:outlineLvl w:val="2"/>
        <w:rPr>
          <w:b/>
          <w:bCs/>
          <w:szCs w:val="20"/>
        </w:rPr>
      </w:pPr>
      <w:bookmarkStart w:id="71" w:name="_Toc189814129"/>
      <w:bookmarkStart w:id="72" w:name="_Toc473281487"/>
      <w:bookmarkStart w:id="73" w:name="_Toc175479784"/>
      <w:bookmarkStart w:id="74" w:name="_Toc141522926"/>
      <w:bookmarkStart w:id="75" w:name="_Toc165607341"/>
      <w:bookmarkStart w:id="76" w:name="_Toc141522060"/>
      <w:bookmarkStart w:id="77" w:name="_Toc141523048"/>
      <w:bookmarkStart w:id="78" w:name="_Toc105399139"/>
      <w:bookmarkStart w:id="79" w:name="_Toc143060703"/>
      <w:r>
        <w:rPr>
          <w:rFonts w:hint="eastAsia"/>
          <w:b/>
          <w:bCs/>
          <w:szCs w:val="20"/>
        </w:rPr>
        <w:t>3</w:t>
      </w:r>
      <w:r>
        <w:rPr>
          <w:b/>
          <w:bCs/>
          <w:szCs w:val="20"/>
        </w:rPr>
        <w:t xml:space="preserve">.1 </w:t>
      </w:r>
      <w:r>
        <w:rPr>
          <w:rFonts w:hint="eastAsia"/>
          <w:b/>
          <w:bCs/>
          <w:szCs w:val="20"/>
        </w:rPr>
        <w:t>.1项目名称、建设性质、建设地点</w:t>
      </w:r>
      <w:bookmarkEnd w:id="71"/>
      <w:bookmarkEnd w:id="72"/>
      <w:bookmarkEnd w:id="73"/>
      <w:bookmarkEnd w:id="74"/>
      <w:bookmarkEnd w:id="75"/>
      <w:bookmarkEnd w:id="76"/>
      <w:bookmarkEnd w:id="77"/>
      <w:bookmarkEnd w:id="78"/>
      <w:bookmarkEnd w:id="79"/>
    </w:p>
    <w:p>
      <w:pPr>
        <w:adjustRightInd w:val="0"/>
        <w:snapToGrid w:val="0"/>
        <w:spacing w:line="360" w:lineRule="auto"/>
        <w:ind w:firstLine="452" w:firstLineChars="200"/>
        <w:rPr>
          <w:rFonts w:hint="eastAsia" w:ascii="宋体" w:hAnsi="宋体"/>
          <w:spacing w:val="8"/>
        </w:rPr>
      </w:pPr>
      <w:r>
        <w:rPr>
          <w:rFonts w:hint="eastAsia" w:ascii="宋体" w:hAnsi="宋体"/>
          <w:spacing w:val="8"/>
        </w:rPr>
        <w:t>项目名称：重庆永荣青鹏煤业有限公司环保节能技改2500t/d熟料水泥生产线项目</w:t>
      </w:r>
    </w:p>
    <w:p>
      <w:pPr>
        <w:snapToGrid w:val="0"/>
        <w:spacing w:line="360" w:lineRule="auto"/>
        <w:ind w:firstLine="452" w:firstLineChars="200"/>
        <w:rPr>
          <w:rFonts w:ascii="宋体" w:hAnsi="宋体"/>
          <w:spacing w:val="8"/>
        </w:rPr>
      </w:pPr>
      <w:r>
        <w:rPr>
          <w:rFonts w:hint="eastAsia" w:ascii="宋体" w:hAnsi="宋体"/>
          <w:spacing w:val="8"/>
        </w:rPr>
        <w:t>建设性质：技改</w:t>
      </w:r>
    </w:p>
    <w:p>
      <w:pPr>
        <w:snapToGrid w:val="0"/>
        <w:spacing w:line="360" w:lineRule="auto"/>
        <w:ind w:firstLine="452" w:firstLineChars="200"/>
        <w:rPr>
          <w:rFonts w:ascii="宋体" w:hAnsi="宋体"/>
          <w:spacing w:val="8"/>
        </w:rPr>
      </w:pPr>
      <w:r>
        <w:rPr>
          <w:rFonts w:hint="eastAsia" w:ascii="宋体" w:hAnsi="宋体"/>
          <w:spacing w:val="8"/>
        </w:rPr>
        <w:t>建设地点：</w:t>
      </w:r>
      <w:r>
        <w:rPr>
          <w:rFonts w:ascii="宋体" w:hAnsi="宋体"/>
          <w:szCs w:val="28"/>
        </w:rPr>
        <w:t>重庆市</w:t>
      </w:r>
      <w:r>
        <w:rPr>
          <w:rFonts w:hint="eastAsia" w:ascii="宋体" w:hAnsi="宋体"/>
          <w:szCs w:val="28"/>
        </w:rPr>
        <w:t>沙坪坝区青木关镇关口村</w:t>
      </w:r>
      <w:r>
        <w:rPr>
          <w:rFonts w:hint="eastAsia" w:ascii="宋体" w:hAnsi="宋体"/>
          <w:spacing w:val="8"/>
        </w:rPr>
        <w:t>，青鹏煤业有限公司原立窑生产线。</w:t>
      </w:r>
    </w:p>
    <w:p>
      <w:pPr>
        <w:spacing w:line="360" w:lineRule="auto"/>
        <w:outlineLvl w:val="2"/>
        <w:rPr>
          <w:rFonts w:hint="eastAsia"/>
          <w:b/>
          <w:bCs/>
          <w:szCs w:val="20"/>
        </w:rPr>
      </w:pPr>
      <w:bookmarkStart w:id="80" w:name="_Toc143060704"/>
      <w:bookmarkStart w:id="81" w:name="_Toc165607342"/>
      <w:bookmarkStart w:id="82" w:name="_Toc141522061"/>
      <w:bookmarkStart w:id="83" w:name="_Toc473281488"/>
      <w:bookmarkStart w:id="84" w:name="_Toc141523049"/>
      <w:bookmarkStart w:id="85" w:name="_Toc105399140"/>
      <w:bookmarkStart w:id="86" w:name="_Toc189814130"/>
      <w:bookmarkStart w:id="87" w:name="_Toc141522927"/>
      <w:bookmarkStart w:id="88" w:name="_Toc175479785"/>
      <w:r>
        <w:rPr>
          <w:rFonts w:hint="eastAsia"/>
          <w:b/>
          <w:bCs/>
          <w:szCs w:val="20"/>
        </w:rPr>
        <w:t>3.1</w:t>
      </w:r>
      <w:r>
        <w:rPr>
          <w:b/>
          <w:bCs/>
          <w:szCs w:val="20"/>
        </w:rPr>
        <w:t>.</w:t>
      </w:r>
      <w:r>
        <w:rPr>
          <w:rFonts w:hint="eastAsia"/>
          <w:b/>
          <w:bCs/>
          <w:szCs w:val="20"/>
        </w:rPr>
        <w:t>2 建设规模及产品方案</w:t>
      </w:r>
      <w:bookmarkEnd w:id="80"/>
      <w:bookmarkEnd w:id="81"/>
      <w:bookmarkEnd w:id="82"/>
      <w:bookmarkEnd w:id="83"/>
      <w:bookmarkEnd w:id="84"/>
      <w:bookmarkEnd w:id="85"/>
      <w:bookmarkEnd w:id="86"/>
      <w:bookmarkEnd w:id="87"/>
      <w:bookmarkEnd w:id="88"/>
    </w:p>
    <w:p>
      <w:pPr>
        <w:spacing w:line="360" w:lineRule="auto"/>
        <w:outlineLvl w:val="2"/>
        <w:rPr>
          <w:rFonts w:hint="eastAsia"/>
          <w:b/>
          <w:bCs/>
          <w:szCs w:val="20"/>
        </w:rPr>
      </w:pPr>
      <w:r>
        <w:rPr>
          <w:rFonts w:hint="eastAsia"/>
          <w:b/>
          <w:bCs/>
          <w:szCs w:val="20"/>
        </w:rPr>
        <w:t>3.1.2.1建设规模</w:t>
      </w:r>
    </w:p>
    <w:p>
      <w:pPr>
        <w:adjustRightInd w:val="0"/>
        <w:snapToGrid w:val="0"/>
        <w:spacing w:line="360" w:lineRule="auto"/>
        <w:ind w:firstLine="452" w:firstLineChars="200"/>
        <w:rPr>
          <w:rFonts w:ascii="宋体" w:hAnsi="宋体"/>
          <w:spacing w:val="8"/>
        </w:rPr>
      </w:pPr>
      <w:r>
        <w:rPr>
          <w:rFonts w:hint="eastAsia" w:ascii="宋体" w:hAnsi="宋体"/>
          <w:spacing w:val="8"/>
        </w:rPr>
        <w:t>熟料</w:t>
      </w:r>
      <w:r>
        <w:rPr>
          <w:rFonts w:ascii="宋体" w:hAnsi="宋体"/>
          <w:spacing w:val="8"/>
        </w:rPr>
        <w:t xml:space="preserve">装置：              </w:t>
      </w:r>
      <w:r>
        <w:rPr>
          <w:rFonts w:hint="eastAsia" w:ascii="宋体" w:hAnsi="宋体"/>
          <w:spacing w:val="8"/>
        </w:rPr>
        <w:t xml:space="preserve"> 77.5</w:t>
      </w:r>
      <w:r>
        <w:rPr>
          <w:rFonts w:ascii="宋体" w:hAnsi="宋体"/>
          <w:spacing w:val="8"/>
        </w:rPr>
        <w:t>万吨</w:t>
      </w:r>
    </w:p>
    <w:p>
      <w:pPr>
        <w:adjustRightInd w:val="0"/>
        <w:snapToGrid w:val="0"/>
        <w:spacing w:line="360" w:lineRule="auto"/>
        <w:ind w:firstLine="452" w:firstLineChars="200"/>
        <w:rPr>
          <w:rFonts w:hint="eastAsia" w:ascii="宋体" w:hAnsi="宋体"/>
          <w:spacing w:val="8"/>
        </w:rPr>
      </w:pPr>
      <w:r>
        <w:rPr>
          <w:rFonts w:hint="eastAsia" w:ascii="宋体" w:hAnsi="宋体"/>
          <w:spacing w:val="8"/>
        </w:rPr>
        <w:t>水泥</w:t>
      </w:r>
      <w:r>
        <w:rPr>
          <w:rFonts w:ascii="宋体" w:hAnsi="宋体"/>
          <w:spacing w:val="8"/>
        </w:rPr>
        <w:t xml:space="preserve">装置：             </w:t>
      </w:r>
      <w:r>
        <w:rPr>
          <w:rFonts w:hint="eastAsia" w:ascii="宋体" w:hAnsi="宋体"/>
          <w:spacing w:val="8"/>
        </w:rPr>
        <w:t xml:space="preserve">  100</w:t>
      </w:r>
      <w:r>
        <w:rPr>
          <w:rFonts w:ascii="宋体" w:hAnsi="宋体"/>
          <w:spacing w:val="8"/>
        </w:rPr>
        <w:t>万t/a</w:t>
      </w:r>
      <w:r>
        <w:rPr>
          <w:rFonts w:hint="eastAsia" w:ascii="宋体" w:hAnsi="宋体"/>
          <w:spacing w:val="8"/>
        </w:rPr>
        <w:t xml:space="preserve"> </w:t>
      </w:r>
    </w:p>
    <w:p>
      <w:pPr>
        <w:adjustRightInd w:val="0"/>
        <w:snapToGrid w:val="0"/>
        <w:spacing w:line="360" w:lineRule="auto"/>
        <w:ind w:firstLine="452" w:firstLineChars="200"/>
        <w:rPr>
          <w:rFonts w:hint="eastAsia" w:ascii="宋体" w:hAnsi="宋体"/>
          <w:spacing w:val="8"/>
        </w:rPr>
      </w:pPr>
      <w:r>
        <w:rPr>
          <w:rFonts w:hint="eastAsia" w:ascii="宋体" w:hAnsi="宋体"/>
          <w:spacing w:val="8"/>
        </w:rPr>
        <w:t>余热发电装置：           4.5M</w:t>
      </w:r>
      <w:r>
        <w:rPr>
          <w:rFonts w:ascii="宋体" w:hAnsi="宋体"/>
          <w:spacing w:val="8"/>
        </w:rPr>
        <w:t>W</w:t>
      </w:r>
    </w:p>
    <w:p>
      <w:pPr>
        <w:spacing w:line="360" w:lineRule="auto"/>
        <w:outlineLvl w:val="2"/>
        <w:rPr>
          <w:rFonts w:hint="eastAsia"/>
          <w:b/>
          <w:bCs/>
          <w:szCs w:val="20"/>
        </w:rPr>
      </w:pPr>
      <w:r>
        <w:rPr>
          <w:rFonts w:hint="eastAsia"/>
          <w:b/>
          <w:bCs/>
          <w:szCs w:val="20"/>
        </w:rPr>
        <w:t>3.1.2.2产品方案</w:t>
      </w:r>
    </w:p>
    <w:p>
      <w:pPr>
        <w:adjustRightInd w:val="0"/>
        <w:snapToGrid w:val="0"/>
        <w:spacing w:line="360" w:lineRule="auto"/>
        <w:ind w:firstLine="452" w:firstLineChars="200"/>
        <w:rPr>
          <w:rFonts w:ascii="宋体" w:hAnsi="宋体"/>
          <w:spacing w:val="8"/>
        </w:rPr>
      </w:pPr>
      <w:r>
        <w:rPr>
          <w:rFonts w:hint="eastAsia" w:ascii="宋体" w:hAnsi="宋体"/>
          <w:spacing w:val="8"/>
        </w:rPr>
        <w:t>熟料</w:t>
      </w:r>
      <w:r>
        <w:rPr>
          <w:rFonts w:ascii="宋体" w:hAnsi="宋体"/>
          <w:spacing w:val="8"/>
        </w:rPr>
        <w:t xml:space="preserve">：                </w:t>
      </w:r>
      <w:r>
        <w:rPr>
          <w:rFonts w:hint="eastAsia" w:ascii="宋体" w:hAnsi="宋体"/>
          <w:spacing w:val="8"/>
        </w:rPr>
        <w:t xml:space="preserve">    77.5万</w:t>
      </w:r>
      <w:r>
        <w:rPr>
          <w:rFonts w:ascii="宋体" w:hAnsi="宋体"/>
          <w:spacing w:val="8"/>
        </w:rPr>
        <w:t>t/a</w:t>
      </w:r>
    </w:p>
    <w:p>
      <w:pPr>
        <w:adjustRightInd w:val="0"/>
        <w:snapToGrid w:val="0"/>
        <w:spacing w:line="360" w:lineRule="auto"/>
        <w:ind w:firstLine="452" w:firstLineChars="200"/>
        <w:rPr>
          <w:rFonts w:hint="eastAsia" w:ascii="宋体" w:hAnsi="宋体"/>
          <w:spacing w:val="8"/>
        </w:rPr>
      </w:pPr>
      <w:r>
        <w:rPr>
          <w:rFonts w:hint="eastAsia" w:ascii="宋体" w:hAnsi="宋体"/>
          <w:spacing w:val="8"/>
        </w:rPr>
        <w:t>水泥</w:t>
      </w:r>
      <w:r>
        <w:rPr>
          <w:rFonts w:ascii="宋体" w:hAnsi="宋体"/>
          <w:spacing w:val="8"/>
        </w:rPr>
        <w:t xml:space="preserve">：             </w:t>
      </w:r>
      <w:r>
        <w:rPr>
          <w:rFonts w:hint="eastAsia" w:ascii="宋体" w:hAnsi="宋体"/>
          <w:spacing w:val="8"/>
        </w:rPr>
        <w:t xml:space="preserve">       100</w:t>
      </w:r>
      <w:r>
        <w:rPr>
          <w:rFonts w:ascii="宋体" w:hAnsi="宋体"/>
          <w:spacing w:val="8"/>
        </w:rPr>
        <w:t>万t/a</w:t>
      </w:r>
    </w:p>
    <w:p>
      <w:pPr>
        <w:adjustRightInd w:val="0"/>
        <w:snapToGrid w:val="0"/>
        <w:spacing w:line="360" w:lineRule="auto"/>
        <w:ind w:firstLine="452" w:firstLineChars="200"/>
        <w:rPr>
          <w:rFonts w:hint="eastAsia" w:ascii="宋体" w:hAnsi="宋体"/>
          <w:spacing w:val="8"/>
        </w:rPr>
      </w:pPr>
      <w:r>
        <w:rPr>
          <w:rFonts w:hint="eastAsia" w:ascii="宋体" w:hAnsi="宋体"/>
          <w:spacing w:val="8"/>
        </w:rPr>
        <w:t xml:space="preserve">发电：                </w:t>
      </w:r>
      <w:bookmarkStart w:id="89" w:name="_Toc175479786"/>
      <w:bookmarkStart w:id="90" w:name="_Toc189814131"/>
      <w:bookmarkStart w:id="91" w:name="_Toc473281489"/>
      <w:bookmarkStart w:id="92" w:name="_Toc165607343"/>
      <w:bookmarkStart w:id="93" w:name="_Toc129763698"/>
      <w:r>
        <w:rPr>
          <w:rFonts w:hint="eastAsia" w:ascii="宋体" w:hAnsi="宋体"/>
          <w:spacing w:val="8"/>
        </w:rPr>
        <w:t xml:space="preserve">    4.5M</w:t>
      </w:r>
      <w:r>
        <w:rPr>
          <w:rFonts w:ascii="宋体" w:hAnsi="宋体"/>
          <w:spacing w:val="8"/>
        </w:rPr>
        <w:t>W</w:t>
      </w:r>
    </w:p>
    <w:p>
      <w:pPr>
        <w:adjustRightInd w:val="0"/>
        <w:snapToGrid w:val="0"/>
        <w:spacing w:line="360" w:lineRule="auto"/>
        <w:ind w:firstLine="422" w:firstLineChars="200"/>
        <w:rPr>
          <w:rFonts w:hint="eastAsia"/>
          <w:b/>
          <w:bCs/>
          <w:szCs w:val="20"/>
        </w:rPr>
      </w:pPr>
      <w:r>
        <w:rPr>
          <w:rFonts w:hint="eastAsia"/>
          <w:b/>
          <w:bCs/>
          <w:szCs w:val="20"/>
        </w:rPr>
        <w:t>3.1</w:t>
      </w:r>
      <w:r>
        <w:rPr>
          <w:b/>
          <w:bCs/>
          <w:szCs w:val="20"/>
        </w:rPr>
        <w:t xml:space="preserve">.3 </w:t>
      </w:r>
      <w:r>
        <w:rPr>
          <w:rFonts w:hint="eastAsia"/>
          <w:b/>
          <w:bCs/>
          <w:szCs w:val="20"/>
        </w:rPr>
        <w:t>项目组成及主要内容</w:t>
      </w:r>
      <w:bookmarkEnd w:id="89"/>
      <w:bookmarkEnd w:id="90"/>
      <w:bookmarkEnd w:id="91"/>
      <w:bookmarkEnd w:id="92"/>
      <w:bookmarkEnd w:id="93"/>
    </w:p>
    <w:p>
      <w:pPr>
        <w:spacing w:line="360" w:lineRule="auto"/>
        <w:ind w:firstLine="420" w:firstLineChars="200"/>
        <w:rPr>
          <w:rFonts w:hint="eastAsia" w:ascii="宋体" w:hAnsi="宋体"/>
        </w:rPr>
      </w:pPr>
      <w:r>
        <w:rPr>
          <w:rFonts w:hint="eastAsia" w:ascii="宋体" w:hAnsi="宋体"/>
        </w:rPr>
        <w:t>技改项目组成主要由生产装置、公用工程、辅助设施及配套建筑等项目组成，详见表3-1。</w:t>
      </w:r>
    </w:p>
    <w:p>
      <w:pPr>
        <w:spacing w:line="360" w:lineRule="auto"/>
        <w:outlineLvl w:val="2"/>
        <w:rPr>
          <w:rFonts w:hint="eastAsia"/>
          <w:b/>
          <w:bCs/>
          <w:szCs w:val="20"/>
        </w:rPr>
      </w:pPr>
      <w:bookmarkStart w:id="94" w:name="_Toc175479787"/>
      <w:bookmarkStart w:id="95" w:name="_Toc189814132"/>
      <w:bookmarkStart w:id="96" w:name="_Toc165607344"/>
      <w:bookmarkStart w:id="97" w:name="_Toc473281490"/>
      <w:r>
        <w:rPr>
          <w:rFonts w:hint="eastAsia"/>
          <w:b/>
          <w:bCs/>
          <w:szCs w:val="20"/>
        </w:rPr>
        <w:t>3.1.4主要生产设备</w:t>
      </w:r>
      <w:bookmarkEnd w:id="94"/>
      <w:bookmarkEnd w:id="95"/>
      <w:bookmarkEnd w:id="96"/>
      <w:bookmarkEnd w:id="97"/>
      <w:r>
        <w:rPr>
          <w:rFonts w:hint="eastAsia"/>
          <w:b/>
          <w:bCs/>
          <w:szCs w:val="20"/>
        </w:rPr>
        <w:t>及物料储存装置</w:t>
      </w:r>
    </w:p>
    <w:p>
      <w:pPr>
        <w:spacing w:line="360" w:lineRule="auto"/>
        <w:ind w:firstLine="420" w:firstLineChars="200"/>
        <w:rPr>
          <w:rFonts w:hint="eastAsia" w:ascii="宋体" w:hAnsi="宋体"/>
        </w:rPr>
      </w:pPr>
      <w:r>
        <w:rPr>
          <w:rFonts w:hint="eastAsia" w:ascii="宋体" w:hAnsi="宋体"/>
        </w:rPr>
        <w:t>技改项目主要生产设备见表3-2，物料储存见表3-3。</w:t>
      </w:r>
    </w:p>
    <w:p>
      <w:pPr>
        <w:spacing w:line="360" w:lineRule="auto"/>
        <w:outlineLvl w:val="2"/>
        <w:rPr>
          <w:rFonts w:hint="eastAsia"/>
          <w:b/>
          <w:bCs/>
          <w:szCs w:val="20"/>
        </w:rPr>
      </w:pPr>
      <w:bookmarkStart w:id="98" w:name="_Toc175479788"/>
      <w:bookmarkStart w:id="99" w:name="_Toc129763700"/>
      <w:bookmarkStart w:id="100" w:name="_Toc165607345"/>
      <w:bookmarkStart w:id="101" w:name="_Toc189814133"/>
      <w:bookmarkStart w:id="102" w:name="_Toc473281491"/>
      <w:r>
        <w:rPr>
          <w:rFonts w:hint="eastAsia"/>
          <w:b/>
          <w:bCs/>
          <w:szCs w:val="20"/>
        </w:rPr>
        <w:t>3.1.5主要原辅料和燃料来源、规格、消耗量</w:t>
      </w:r>
      <w:bookmarkEnd w:id="98"/>
      <w:bookmarkEnd w:id="99"/>
      <w:bookmarkEnd w:id="100"/>
      <w:r>
        <w:rPr>
          <w:rFonts w:hint="eastAsia"/>
          <w:b/>
          <w:bCs/>
          <w:szCs w:val="20"/>
        </w:rPr>
        <w:t>及化学组成</w:t>
      </w:r>
      <w:bookmarkEnd w:id="101"/>
      <w:bookmarkEnd w:id="102"/>
    </w:p>
    <w:p>
      <w:pPr>
        <w:spacing w:line="360" w:lineRule="auto"/>
        <w:ind w:firstLine="420" w:firstLineChars="200"/>
        <w:rPr>
          <w:rFonts w:hint="eastAsia" w:ascii="宋体" w:hAnsi="宋体"/>
        </w:rPr>
      </w:pPr>
      <w:r>
        <w:rPr>
          <w:rFonts w:hint="eastAsia" w:ascii="宋体" w:hAnsi="宋体"/>
        </w:rPr>
        <w:t>技改项目主要原辅料和燃料来源、规格、消耗量见表3-4，原辅料化学成分见表3-5，燃煤工业分析见表3-6。</w:t>
      </w:r>
    </w:p>
    <w:p>
      <w:pPr>
        <w:spacing w:line="360" w:lineRule="auto"/>
        <w:outlineLvl w:val="2"/>
        <w:rPr>
          <w:rFonts w:hint="eastAsia"/>
          <w:b/>
          <w:bCs/>
          <w:szCs w:val="20"/>
        </w:rPr>
      </w:pPr>
      <w:bookmarkStart w:id="103" w:name="_Toc189814134"/>
      <w:bookmarkStart w:id="104" w:name="_Toc473281492"/>
      <w:r>
        <w:rPr>
          <w:rFonts w:hint="eastAsia"/>
          <w:b/>
          <w:bCs/>
          <w:szCs w:val="20"/>
        </w:rPr>
        <w:t>3.1.6 原料配比</w:t>
      </w:r>
      <w:bookmarkEnd w:id="103"/>
      <w:bookmarkEnd w:id="104"/>
    </w:p>
    <w:p>
      <w:pPr>
        <w:spacing w:line="360" w:lineRule="auto"/>
        <w:ind w:firstLine="420" w:firstLineChars="200"/>
        <w:rPr>
          <w:rFonts w:hint="eastAsia" w:ascii="宋体" w:hAnsi="宋体"/>
        </w:rPr>
      </w:pPr>
      <w:r>
        <w:rPr>
          <w:rFonts w:hint="eastAsia" w:ascii="宋体" w:hAnsi="宋体"/>
        </w:rPr>
        <w:t>水泥熟料生产原料配比见表3-7。</w:t>
      </w:r>
    </w:p>
    <w:p>
      <w:pPr>
        <w:spacing w:line="360" w:lineRule="auto"/>
        <w:outlineLvl w:val="2"/>
        <w:rPr>
          <w:rFonts w:hint="eastAsia"/>
          <w:b/>
          <w:bCs/>
          <w:szCs w:val="20"/>
        </w:rPr>
      </w:pPr>
      <w:bookmarkStart w:id="105" w:name="_Toc189814135"/>
      <w:bookmarkStart w:id="106" w:name="_Toc175479789"/>
      <w:bookmarkStart w:id="107" w:name="_Toc165607346"/>
      <w:bookmarkStart w:id="108" w:name="_Toc129763701"/>
      <w:bookmarkStart w:id="109" w:name="_Toc473281493"/>
      <w:r>
        <w:rPr>
          <w:rFonts w:hint="eastAsia"/>
          <w:b/>
          <w:bCs/>
          <w:szCs w:val="20"/>
        </w:rPr>
        <w:t>3.1.7 劳动定员、工作制度</w:t>
      </w:r>
      <w:bookmarkEnd w:id="105"/>
      <w:bookmarkEnd w:id="106"/>
      <w:bookmarkEnd w:id="107"/>
      <w:bookmarkEnd w:id="108"/>
      <w:bookmarkEnd w:id="109"/>
    </w:p>
    <w:p>
      <w:pPr>
        <w:spacing w:line="360" w:lineRule="auto"/>
        <w:ind w:firstLine="420" w:firstLineChars="200"/>
        <w:rPr>
          <w:rFonts w:hint="eastAsia" w:ascii="宋体" w:hAnsi="宋体"/>
        </w:rPr>
      </w:pPr>
      <w:r>
        <w:rPr>
          <w:rFonts w:hint="eastAsia" w:ascii="宋体" w:hAnsi="宋体"/>
        </w:rPr>
        <w:t>劳动定员273人，其中管理及工程技术人员19人、生产人员254人，人员全部来自老厂。</w:t>
      </w:r>
    </w:p>
    <w:p>
      <w:pPr>
        <w:spacing w:line="500" w:lineRule="exact"/>
        <w:jc w:val="center"/>
        <w:rPr>
          <w:rFonts w:hint="eastAsia"/>
          <w:b/>
          <w:spacing w:val="8"/>
        </w:rPr>
      </w:pPr>
    </w:p>
    <w:p>
      <w:pPr>
        <w:spacing w:line="480" w:lineRule="exact"/>
        <w:ind w:firstLine="454" w:firstLineChars="200"/>
        <w:jc w:val="center"/>
        <w:rPr>
          <w:rFonts w:hint="eastAsia" w:ascii="宋体" w:hAnsi="宋体"/>
          <w:b/>
          <w:spacing w:val="8"/>
        </w:rPr>
      </w:pPr>
      <w:r>
        <w:rPr>
          <w:rFonts w:hint="eastAsia" w:ascii="宋体" w:hAnsi="宋体"/>
          <w:b/>
          <w:spacing w:val="8"/>
        </w:rPr>
        <w:t>表3-1  技改项目组成及依托公司工程内容</w:t>
      </w:r>
    </w:p>
    <w:tbl>
      <w:tblPr>
        <w:tblStyle w:val="21"/>
        <w:tblW w:w="90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4036"/>
        <w:gridCol w:w="3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36" w:type="dxa"/>
            <w:gridSpan w:val="2"/>
            <w:vAlign w:val="center"/>
          </w:tcPr>
          <w:p>
            <w:pPr>
              <w:autoSpaceDE w:val="0"/>
              <w:autoSpaceDN w:val="0"/>
              <w:adjustRightInd w:val="0"/>
              <w:rPr>
                <w:rFonts w:hint="eastAsia" w:ascii="宋体" w:hAnsi="宋体" w:cs="宋体"/>
                <w:sz w:val="21"/>
                <w:szCs w:val="21"/>
                <w:lang w:val="zh-CN"/>
              </w:rPr>
            </w:pPr>
            <w:r>
              <w:rPr>
                <w:rFonts w:hint="eastAsia" w:ascii="宋体" w:hAnsi="宋体" w:cs="宋体"/>
                <w:sz w:val="21"/>
                <w:szCs w:val="21"/>
                <w:lang w:val="zh-CN"/>
              </w:rPr>
              <w:t>技改项目组成</w:t>
            </w:r>
          </w:p>
        </w:tc>
        <w:tc>
          <w:tcPr>
            <w:tcW w:w="3303" w:type="dxa"/>
            <w:vAlign w:val="center"/>
          </w:tcPr>
          <w:p>
            <w:pPr>
              <w:autoSpaceDE w:val="0"/>
              <w:autoSpaceDN w:val="0"/>
              <w:adjustRightInd w:val="0"/>
              <w:rPr>
                <w:rFonts w:hint="eastAsia" w:ascii="宋体" w:hAnsi="宋体" w:cs="宋体"/>
                <w:sz w:val="21"/>
                <w:szCs w:val="21"/>
                <w:lang w:val="zh-CN"/>
              </w:rPr>
            </w:pPr>
            <w:r>
              <w:rPr>
                <w:rFonts w:hint="eastAsia" w:ascii="宋体" w:hAnsi="宋体" w:cs="宋体"/>
                <w:sz w:val="21"/>
                <w:szCs w:val="21"/>
                <w:lang w:val="zh-CN"/>
              </w:rPr>
              <w:t>依托重庆永荣青鹏煤业有限公司工程内容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vAlign w:val="center"/>
          </w:tcPr>
          <w:p>
            <w:pPr>
              <w:autoSpaceDE w:val="0"/>
              <w:autoSpaceDN w:val="0"/>
              <w:adjustRightInd w:val="0"/>
              <w:rPr>
                <w:rFonts w:ascii="宋体" w:hAnsi="宋体"/>
                <w:sz w:val="21"/>
                <w:szCs w:val="21"/>
                <w:lang w:val="zh-CN"/>
              </w:rPr>
            </w:pPr>
            <w:r>
              <w:rPr>
                <w:rFonts w:hint="eastAsia" w:ascii="宋体" w:hAnsi="宋体" w:cs="宋体"/>
                <w:sz w:val="21"/>
                <w:szCs w:val="21"/>
                <w:lang w:val="zh-CN"/>
              </w:rPr>
              <w:t>项目名称</w:t>
            </w:r>
          </w:p>
        </w:tc>
        <w:tc>
          <w:tcPr>
            <w:tcW w:w="4036" w:type="dxa"/>
            <w:vAlign w:val="center"/>
          </w:tcPr>
          <w:p>
            <w:pPr>
              <w:autoSpaceDE w:val="0"/>
              <w:autoSpaceDN w:val="0"/>
              <w:adjustRightInd w:val="0"/>
              <w:rPr>
                <w:rFonts w:ascii="宋体" w:hAnsi="宋体"/>
                <w:sz w:val="21"/>
                <w:szCs w:val="21"/>
                <w:lang w:val="zh-CN"/>
              </w:rPr>
            </w:pPr>
            <w:r>
              <w:rPr>
                <w:rFonts w:hint="eastAsia" w:ascii="宋体" w:hAnsi="宋体" w:cs="宋体"/>
                <w:sz w:val="21"/>
                <w:szCs w:val="21"/>
                <w:lang w:val="zh-CN"/>
              </w:rPr>
              <w:t>组成</w:t>
            </w:r>
          </w:p>
        </w:tc>
        <w:tc>
          <w:tcPr>
            <w:tcW w:w="3303" w:type="dxa"/>
            <w:vAlign w:val="center"/>
          </w:tcPr>
          <w:p>
            <w:pPr>
              <w:autoSpaceDE w:val="0"/>
              <w:autoSpaceDN w:val="0"/>
              <w:adjustRightInd w:val="0"/>
              <w:rPr>
                <w:rFonts w:hint="eastAsia" w:ascii="宋体" w:hAnsi="宋体" w:cs="宋体"/>
                <w:sz w:val="21"/>
                <w:szCs w:val="21"/>
                <w:lang w:val="zh-CN"/>
              </w:rPr>
            </w:pPr>
            <w:r>
              <w:rPr>
                <w:rFonts w:hint="eastAsia" w:ascii="宋体" w:hAnsi="宋体" w:cs="宋体"/>
                <w:sz w:val="21"/>
                <w:szCs w:val="21"/>
                <w:lang w:val="zh-CN"/>
              </w:rPr>
              <w:t>①供水系统（适当改造即可）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vAlign w:val="center"/>
          </w:tcPr>
          <w:p>
            <w:pPr>
              <w:autoSpaceDE w:val="0"/>
              <w:autoSpaceDN w:val="0"/>
              <w:adjustRightInd w:val="0"/>
              <w:rPr>
                <w:rFonts w:ascii="宋体" w:hAnsi="宋体"/>
                <w:b/>
                <w:sz w:val="21"/>
                <w:szCs w:val="21"/>
                <w:lang w:val="zh-CN"/>
              </w:rPr>
            </w:pPr>
            <w:r>
              <w:rPr>
                <w:rFonts w:hint="eastAsia" w:ascii="宋体" w:hAnsi="宋体" w:cs="宋体"/>
                <w:b/>
                <w:sz w:val="21"/>
                <w:szCs w:val="21"/>
                <w:lang w:val="zh-CN"/>
              </w:rPr>
              <w:t>①主要生产装置</w:t>
            </w:r>
          </w:p>
        </w:tc>
        <w:tc>
          <w:tcPr>
            <w:tcW w:w="4036" w:type="dxa"/>
            <w:vAlign w:val="center"/>
          </w:tcPr>
          <w:p>
            <w:pPr>
              <w:autoSpaceDE w:val="0"/>
              <w:autoSpaceDN w:val="0"/>
              <w:adjustRightInd w:val="0"/>
              <w:rPr>
                <w:rFonts w:hint="eastAsia" w:ascii="宋体" w:hAnsi="宋体"/>
                <w:sz w:val="21"/>
                <w:szCs w:val="21"/>
                <w:lang w:val="zh-CN"/>
              </w:rPr>
            </w:pPr>
          </w:p>
        </w:tc>
        <w:tc>
          <w:tcPr>
            <w:tcW w:w="3303" w:type="dxa"/>
            <w:vAlign w:val="center"/>
          </w:tcPr>
          <w:p>
            <w:pPr>
              <w:autoSpaceDE w:val="0"/>
              <w:autoSpaceDN w:val="0"/>
              <w:adjustRightInd w:val="0"/>
              <w:rPr>
                <w:rFonts w:hint="eastAsia" w:ascii="宋体" w:hAnsi="宋体"/>
                <w:sz w:val="21"/>
                <w:szCs w:val="21"/>
                <w:lang w:val="zh-CN"/>
              </w:rPr>
            </w:pPr>
            <w:r>
              <w:rPr>
                <w:rFonts w:hint="eastAsia" w:ascii="宋体" w:hAnsi="宋体" w:cs="宋体"/>
                <w:sz w:val="21"/>
                <w:szCs w:val="21"/>
                <w:lang w:val="zh-CN"/>
              </w:rPr>
              <w:t>②生活设施（食堂、浴室、宿舍）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vAlign w:val="center"/>
          </w:tcPr>
          <w:p>
            <w:pPr>
              <w:autoSpaceDE w:val="0"/>
              <w:autoSpaceDN w:val="0"/>
              <w:adjustRightInd w:val="0"/>
              <w:rPr>
                <w:rFonts w:hint="eastAsia" w:ascii="宋体" w:hAnsi="宋体" w:cs="宋体"/>
                <w:sz w:val="21"/>
                <w:szCs w:val="21"/>
                <w:lang w:val="zh-CN"/>
              </w:rPr>
            </w:pPr>
            <w:r>
              <w:rPr>
                <w:rFonts w:hint="eastAsia" w:ascii="宋体" w:hAnsi="宋体" w:cs="宋体"/>
                <w:sz w:val="21"/>
                <w:szCs w:val="21"/>
                <w:lang w:val="zh-CN"/>
              </w:rPr>
              <w:t>原料调配系统</w:t>
            </w:r>
          </w:p>
        </w:tc>
        <w:tc>
          <w:tcPr>
            <w:tcW w:w="4036" w:type="dxa"/>
            <w:vAlign w:val="center"/>
          </w:tcPr>
          <w:p>
            <w:pPr>
              <w:autoSpaceDE w:val="0"/>
              <w:autoSpaceDN w:val="0"/>
              <w:adjustRightInd w:val="0"/>
              <w:rPr>
                <w:rFonts w:hint="eastAsia" w:ascii="宋体" w:hAnsi="宋体"/>
                <w:sz w:val="21"/>
                <w:szCs w:val="21"/>
                <w:lang w:val="zh-CN"/>
              </w:rPr>
            </w:pPr>
            <w:r>
              <w:rPr>
                <w:rFonts w:hint="eastAsia" w:ascii="宋体" w:hAnsi="宋体"/>
                <w:sz w:val="21"/>
                <w:szCs w:val="21"/>
                <w:lang w:val="zh-CN"/>
              </w:rPr>
              <w:t>矿石堆存及输送、砂岩破碎及预均化堆场</w:t>
            </w:r>
          </w:p>
        </w:tc>
        <w:tc>
          <w:tcPr>
            <w:tcW w:w="3303" w:type="dxa"/>
            <w:vAlign w:val="center"/>
          </w:tcPr>
          <w:p>
            <w:pPr>
              <w:autoSpaceDE w:val="0"/>
              <w:autoSpaceDN w:val="0"/>
              <w:adjustRightInd w:val="0"/>
              <w:rPr>
                <w:rFonts w:hint="eastAsia" w:ascii="宋体" w:hAnsi="宋体"/>
                <w:sz w:val="21"/>
                <w:szCs w:val="21"/>
                <w:lang w:val="zh-CN"/>
              </w:rPr>
            </w:pPr>
            <w:r>
              <w:rPr>
                <w:rFonts w:hint="eastAsia" w:ascii="宋体" w:hAnsi="宋体" w:cs="宋体"/>
                <w:sz w:val="21"/>
                <w:szCs w:val="21"/>
                <w:lang w:val="zh-CN"/>
              </w:rPr>
              <w:t>③厂外运输道路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vAlign w:val="center"/>
          </w:tcPr>
          <w:p>
            <w:pPr>
              <w:autoSpaceDE w:val="0"/>
              <w:autoSpaceDN w:val="0"/>
              <w:adjustRightInd w:val="0"/>
              <w:rPr>
                <w:rFonts w:hint="eastAsia" w:ascii="宋体" w:hAnsi="宋体" w:cs="宋体"/>
                <w:sz w:val="21"/>
                <w:szCs w:val="21"/>
                <w:lang w:val="zh-CN"/>
              </w:rPr>
            </w:pPr>
            <w:r>
              <w:rPr>
                <w:rFonts w:hint="eastAsia" w:ascii="宋体" w:hAnsi="宋体" w:cs="宋体"/>
                <w:sz w:val="21"/>
                <w:szCs w:val="21"/>
                <w:lang w:val="zh-CN"/>
              </w:rPr>
              <w:t>生料调配系统</w:t>
            </w:r>
          </w:p>
        </w:tc>
        <w:tc>
          <w:tcPr>
            <w:tcW w:w="4036" w:type="dxa"/>
            <w:vAlign w:val="center"/>
          </w:tcPr>
          <w:p>
            <w:pPr>
              <w:autoSpaceDE w:val="0"/>
              <w:autoSpaceDN w:val="0"/>
              <w:adjustRightInd w:val="0"/>
              <w:rPr>
                <w:rFonts w:hint="eastAsia" w:ascii="宋体" w:hAnsi="宋体"/>
                <w:sz w:val="21"/>
                <w:szCs w:val="21"/>
                <w:lang w:val="zh-CN"/>
              </w:rPr>
            </w:pPr>
            <w:r>
              <w:rPr>
                <w:rFonts w:hint="eastAsia" w:ascii="宋体" w:hAnsi="宋体"/>
                <w:sz w:val="21"/>
                <w:szCs w:val="21"/>
                <w:lang w:val="zh-CN"/>
              </w:rPr>
              <w:t>生料粉磨、生料均化</w:t>
            </w:r>
          </w:p>
        </w:tc>
        <w:tc>
          <w:tcPr>
            <w:tcW w:w="3303" w:type="dxa"/>
            <w:vAlign w:val="center"/>
          </w:tcPr>
          <w:p>
            <w:pPr>
              <w:autoSpaceDE w:val="0"/>
              <w:autoSpaceDN w:val="0"/>
              <w:adjustRightInd w:val="0"/>
              <w:rPr>
                <w:rFonts w:hint="eastAsia" w:ascii="宋体" w:hAnsi="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vAlign w:val="center"/>
          </w:tcPr>
          <w:p>
            <w:pPr>
              <w:autoSpaceDE w:val="0"/>
              <w:autoSpaceDN w:val="0"/>
              <w:adjustRightInd w:val="0"/>
              <w:rPr>
                <w:rFonts w:hint="eastAsia" w:ascii="宋体" w:hAnsi="宋体" w:cs="宋体"/>
                <w:sz w:val="21"/>
                <w:szCs w:val="21"/>
                <w:lang w:val="zh-CN"/>
              </w:rPr>
            </w:pPr>
            <w:r>
              <w:rPr>
                <w:rFonts w:hint="eastAsia" w:ascii="宋体" w:hAnsi="宋体" w:cs="宋体"/>
                <w:sz w:val="21"/>
                <w:szCs w:val="21"/>
                <w:lang w:val="zh-CN"/>
              </w:rPr>
              <w:t>煤粉系统</w:t>
            </w:r>
          </w:p>
        </w:tc>
        <w:tc>
          <w:tcPr>
            <w:tcW w:w="4036" w:type="dxa"/>
            <w:vAlign w:val="center"/>
          </w:tcPr>
          <w:p>
            <w:pPr>
              <w:autoSpaceDE w:val="0"/>
              <w:autoSpaceDN w:val="0"/>
              <w:adjustRightInd w:val="0"/>
              <w:rPr>
                <w:rFonts w:hint="eastAsia" w:ascii="宋体" w:hAnsi="宋体"/>
                <w:sz w:val="21"/>
                <w:szCs w:val="21"/>
                <w:lang w:val="zh-CN"/>
              </w:rPr>
            </w:pPr>
            <w:r>
              <w:rPr>
                <w:rFonts w:hint="eastAsia" w:ascii="宋体" w:hAnsi="宋体"/>
                <w:sz w:val="21"/>
                <w:szCs w:val="21"/>
                <w:lang w:val="zh-CN"/>
              </w:rPr>
              <w:t>原煤堆场及破碎、煤粉磨、煤粉仓</w:t>
            </w:r>
          </w:p>
        </w:tc>
        <w:tc>
          <w:tcPr>
            <w:tcW w:w="3303" w:type="dxa"/>
            <w:vAlign w:val="center"/>
          </w:tcPr>
          <w:p>
            <w:pPr>
              <w:autoSpaceDE w:val="0"/>
              <w:autoSpaceDN w:val="0"/>
              <w:adjustRightInd w:val="0"/>
              <w:rPr>
                <w:rFonts w:hint="eastAsia" w:ascii="宋体" w:hAnsi="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vAlign w:val="center"/>
          </w:tcPr>
          <w:p>
            <w:pPr>
              <w:autoSpaceDE w:val="0"/>
              <w:autoSpaceDN w:val="0"/>
              <w:adjustRightInd w:val="0"/>
              <w:rPr>
                <w:rFonts w:hint="eastAsia" w:ascii="宋体" w:hAnsi="宋体" w:cs="宋体"/>
                <w:sz w:val="21"/>
                <w:szCs w:val="21"/>
                <w:lang w:val="zh-CN"/>
              </w:rPr>
            </w:pPr>
            <w:r>
              <w:rPr>
                <w:rFonts w:hint="eastAsia" w:ascii="宋体" w:hAnsi="宋体" w:cs="宋体"/>
                <w:sz w:val="21"/>
                <w:szCs w:val="21"/>
                <w:lang w:val="zh-CN"/>
              </w:rPr>
              <w:t>熟料烧成系统</w:t>
            </w:r>
          </w:p>
        </w:tc>
        <w:tc>
          <w:tcPr>
            <w:tcW w:w="4036" w:type="dxa"/>
            <w:vAlign w:val="center"/>
          </w:tcPr>
          <w:p>
            <w:pPr>
              <w:autoSpaceDE w:val="0"/>
              <w:autoSpaceDN w:val="0"/>
              <w:adjustRightInd w:val="0"/>
              <w:rPr>
                <w:rFonts w:hint="eastAsia" w:ascii="宋体" w:hAnsi="宋体"/>
                <w:sz w:val="21"/>
                <w:szCs w:val="21"/>
                <w:lang w:val="zh-CN"/>
              </w:rPr>
            </w:pPr>
            <w:r>
              <w:rPr>
                <w:rFonts w:hint="eastAsia" w:ascii="宋体" w:hAnsi="宋体"/>
                <w:sz w:val="21"/>
                <w:szCs w:val="21"/>
              </w:rPr>
              <w:t>预热器、分解炉、回转窑</w:t>
            </w:r>
          </w:p>
        </w:tc>
        <w:tc>
          <w:tcPr>
            <w:tcW w:w="3303" w:type="dxa"/>
            <w:vAlign w:val="center"/>
          </w:tcPr>
          <w:p>
            <w:pPr>
              <w:autoSpaceDE w:val="0"/>
              <w:autoSpaceDN w:val="0"/>
              <w:adjustRightInd w:val="0"/>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vAlign w:val="center"/>
          </w:tcPr>
          <w:p>
            <w:pPr>
              <w:autoSpaceDE w:val="0"/>
              <w:autoSpaceDN w:val="0"/>
              <w:adjustRightInd w:val="0"/>
              <w:rPr>
                <w:rFonts w:hint="eastAsia" w:ascii="宋体" w:hAnsi="宋体" w:cs="宋体"/>
                <w:sz w:val="21"/>
                <w:szCs w:val="21"/>
                <w:lang w:val="zh-CN"/>
              </w:rPr>
            </w:pPr>
            <w:r>
              <w:rPr>
                <w:rFonts w:hint="eastAsia" w:ascii="宋体" w:hAnsi="宋体" w:cs="宋体"/>
                <w:sz w:val="21"/>
                <w:szCs w:val="21"/>
                <w:lang w:val="zh-CN"/>
              </w:rPr>
              <w:t>水泥调配系统</w:t>
            </w:r>
          </w:p>
        </w:tc>
        <w:tc>
          <w:tcPr>
            <w:tcW w:w="4036" w:type="dxa"/>
            <w:vAlign w:val="center"/>
          </w:tcPr>
          <w:p>
            <w:pPr>
              <w:autoSpaceDE w:val="0"/>
              <w:autoSpaceDN w:val="0"/>
              <w:adjustRightInd w:val="0"/>
              <w:rPr>
                <w:rFonts w:hint="eastAsia" w:ascii="宋体" w:hAnsi="宋体"/>
                <w:bCs/>
                <w:sz w:val="21"/>
                <w:szCs w:val="21"/>
              </w:rPr>
            </w:pPr>
            <w:r>
              <w:rPr>
                <w:rFonts w:hint="eastAsia" w:ascii="宋体" w:hAnsi="宋体" w:cs="宋体"/>
                <w:sz w:val="21"/>
                <w:szCs w:val="21"/>
                <w:lang w:val="zh-CN"/>
              </w:rPr>
              <w:t>熟料储存、</w:t>
            </w:r>
            <w:r>
              <w:rPr>
                <w:rFonts w:hint="eastAsia" w:ascii="宋体" w:hAnsi="宋体"/>
                <w:bCs/>
                <w:sz w:val="21"/>
                <w:szCs w:val="21"/>
              </w:rPr>
              <w:t>石膏破碎、水泥磨</w:t>
            </w:r>
          </w:p>
        </w:tc>
        <w:tc>
          <w:tcPr>
            <w:tcW w:w="3303" w:type="dxa"/>
            <w:vAlign w:val="center"/>
          </w:tcPr>
          <w:p>
            <w:pPr>
              <w:autoSpaceDE w:val="0"/>
              <w:autoSpaceDN w:val="0"/>
              <w:adjustRightInd w:val="0"/>
              <w:rPr>
                <w:rFonts w:hint="eastAsia" w:ascii="宋体" w:hAnsi="宋体" w:cs="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vAlign w:val="center"/>
          </w:tcPr>
          <w:p>
            <w:pPr>
              <w:autoSpaceDE w:val="0"/>
              <w:autoSpaceDN w:val="0"/>
              <w:adjustRightInd w:val="0"/>
              <w:rPr>
                <w:rFonts w:hint="eastAsia" w:ascii="宋体" w:hAnsi="宋体" w:cs="宋体"/>
                <w:sz w:val="21"/>
                <w:szCs w:val="21"/>
                <w:lang w:val="zh-CN"/>
              </w:rPr>
            </w:pPr>
            <w:r>
              <w:rPr>
                <w:rFonts w:hint="eastAsia" w:ascii="宋体" w:hAnsi="宋体" w:cs="宋体"/>
                <w:sz w:val="21"/>
                <w:szCs w:val="21"/>
                <w:lang w:val="zh-CN"/>
              </w:rPr>
              <w:t>余热发电装置</w:t>
            </w:r>
          </w:p>
        </w:tc>
        <w:tc>
          <w:tcPr>
            <w:tcW w:w="4036" w:type="dxa"/>
            <w:vAlign w:val="center"/>
          </w:tcPr>
          <w:p>
            <w:pPr>
              <w:autoSpaceDE w:val="0"/>
              <w:autoSpaceDN w:val="0"/>
              <w:adjustRightInd w:val="0"/>
              <w:rPr>
                <w:rFonts w:hint="eastAsia" w:ascii="宋体" w:hAnsi="宋体" w:cs="宋体"/>
                <w:sz w:val="21"/>
                <w:szCs w:val="21"/>
                <w:lang w:val="zh-CN"/>
              </w:rPr>
            </w:pPr>
            <w:r>
              <w:rPr>
                <w:rFonts w:hint="eastAsia" w:ascii="宋体" w:hAnsi="宋体" w:cs="宋体"/>
                <w:sz w:val="21"/>
                <w:szCs w:val="21"/>
                <w:lang w:val="zh-CN"/>
              </w:rPr>
              <w:t>余热锅炉、汽轮机、发电机</w:t>
            </w:r>
          </w:p>
        </w:tc>
        <w:tc>
          <w:tcPr>
            <w:tcW w:w="3303" w:type="dxa"/>
            <w:vAlign w:val="center"/>
          </w:tcPr>
          <w:p>
            <w:pPr>
              <w:autoSpaceDE w:val="0"/>
              <w:autoSpaceDN w:val="0"/>
              <w:adjustRightInd w:val="0"/>
              <w:rPr>
                <w:rFonts w:hint="eastAsia" w:ascii="宋体" w:hAnsi="宋体" w:cs="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vAlign w:val="center"/>
          </w:tcPr>
          <w:p>
            <w:pPr>
              <w:autoSpaceDE w:val="0"/>
              <w:autoSpaceDN w:val="0"/>
              <w:adjustRightInd w:val="0"/>
              <w:rPr>
                <w:rFonts w:ascii="宋体" w:hAnsi="宋体"/>
                <w:b/>
                <w:sz w:val="21"/>
                <w:szCs w:val="21"/>
                <w:lang w:val="zh-CN"/>
              </w:rPr>
            </w:pPr>
            <w:r>
              <w:rPr>
                <w:rFonts w:hint="eastAsia" w:ascii="宋体" w:hAnsi="宋体" w:cs="宋体"/>
                <w:b/>
                <w:sz w:val="21"/>
                <w:szCs w:val="21"/>
                <w:lang w:val="zh-CN"/>
              </w:rPr>
              <w:t>②公用工程</w:t>
            </w:r>
          </w:p>
        </w:tc>
        <w:tc>
          <w:tcPr>
            <w:tcW w:w="4036" w:type="dxa"/>
            <w:vAlign w:val="center"/>
          </w:tcPr>
          <w:p>
            <w:pPr>
              <w:autoSpaceDE w:val="0"/>
              <w:autoSpaceDN w:val="0"/>
              <w:adjustRightInd w:val="0"/>
              <w:rPr>
                <w:rFonts w:ascii="宋体" w:hAnsi="宋体"/>
                <w:sz w:val="21"/>
                <w:szCs w:val="21"/>
                <w:lang w:val="zh-CN"/>
              </w:rPr>
            </w:pPr>
          </w:p>
        </w:tc>
        <w:tc>
          <w:tcPr>
            <w:tcW w:w="3303" w:type="dxa"/>
            <w:vAlign w:val="center"/>
          </w:tcPr>
          <w:p>
            <w:pPr>
              <w:autoSpaceDE w:val="0"/>
              <w:autoSpaceDN w:val="0"/>
              <w:adjustRightInd w:val="0"/>
              <w:rPr>
                <w:rFonts w:ascii="宋体" w:hAnsi="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vAlign w:val="center"/>
          </w:tcPr>
          <w:p>
            <w:pPr>
              <w:autoSpaceDE w:val="0"/>
              <w:autoSpaceDN w:val="0"/>
              <w:adjustRightInd w:val="0"/>
              <w:rPr>
                <w:rFonts w:hint="eastAsia" w:ascii="宋体" w:hAnsi="宋体" w:cs="宋体"/>
                <w:sz w:val="21"/>
                <w:szCs w:val="21"/>
                <w:lang w:val="zh-CN"/>
              </w:rPr>
            </w:pPr>
            <w:r>
              <w:rPr>
                <w:rFonts w:hint="eastAsia" w:ascii="宋体" w:hAnsi="宋体"/>
                <w:sz w:val="21"/>
                <w:szCs w:val="21"/>
                <w:lang w:val="zh-CN"/>
              </w:rPr>
              <w:t>给水</w:t>
            </w:r>
          </w:p>
        </w:tc>
        <w:tc>
          <w:tcPr>
            <w:tcW w:w="4036" w:type="dxa"/>
            <w:vAlign w:val="center"/>
          </w:tcPr>
          <w:p>
            <w:pPr>
              <w:autoSpaceDE w:val="0"/>
              <w:autoSpaceDN w:val="0"/>
              <w:adjustRightInd w:val="0"/>
              <w:rPr>
                <w:rFonts w:ascii="宋体" w:hAnsi="宋体"/>
                <w:sz w:val="21"/>
                <w:szCs w:val="21"/>
                <w:lang w:val="zh-CN"/>
              </w:rPr>
            </w:pPr>
            <w:r>
              <w:rPr>
                <w:rFonts w:hint="eastAsia" w:ascii="宋体" w:hAnsi="宋体"/>
                <w:sz w:val="21"/>
                <w:szCs w:val="21"/>
              </w:rPr>
              <w:t>生产和生活用水供水管网。</w:t>
            </w:r>
          </w:p>
        </w:tc>
        <w:tc>
          <w:tcPr>
            <w:tcW w:w="3303" w:type="dxa"/>
            <w:vAlign w:val="center"/>
          </w:tcPr>
          <w:p>
            <w:pPr>
              <w:autoSpaceDE w:val="0"/>
              <w:autoSpaceDN w:val="0"/>
              <w:adjustRightInd w:val="0"/>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vAlign w:val="center"/>
          </w:tcPr>
          <w:p>
            <w:pPr>
              <w:autoSpaceDE w:val="0"/>
              <w:autoSpaceDN w:val="0"/>
              <w:adjustRightInd w:val="0"/>
              <w:rPr>
                <w:rFonts w:hint="eastAsia" w:ascii="宋体" w:hAnsi="宋体" w:cs="宋体"/>
                <w:sz w:val="21"/>
                <w:szCs w:val="21"/>
                <w:lang w:val="zh-CN"/>
              </w:rPr>
            </w:pPr>
            <w:r>
              <w:rPr>
                <w:rFonts w:hint="eastAsia" w:ascii="宋体" w:hAnsi="宋体" w:cs="宋体"/>
                <w:sz w:val="21"/>
                <w:szCs w:val="21"/>
                <w:lang w:val="zh-CN"/>
              </w:rPr>
              <w:t>排水</w:t>
            </w:r>
          </w:p>
        </w:tc>
        <w:tc>
          <w:tcPr>
            <w:tcW w:w="4036" w:type="dxa"/>
            <w:vAlign w:val="center"/>
          </w:tcPr>
          <w:p>
            <w:pPr>
              <w:autoSpaceDE w:val="0"/>
              <w:autoSpaceDN w:val="0"/>
              <w:adjustRightInd w:val="0"/>
              <w:rPr>
                <w:rFonts w:ascii="宋体" w:hAnsi="宋体"/>
                <w:sz w:val="21"/>
                <w:szCs w:val="21"/>
                <w:lang w:val="zh-CN"/>
              </w:rPr>
            </w:pPr>
            <w:r>
              <w:rPr>
                <w:rFonts w:hint="eastAsia" w:ascii="宋体" w:hAnsi="宋体"/>
                <w:sz w:val="21"/>
                <w:szCs w:val="21"/>
              </w:rPr>
              <w:t>排水系统采用清污分流，配套建设雨水管网、生产废水管网、生活污水管网</w:t>
            </w:r>
          </w:p>
        </w:tc>
        <w:tc>
          <w:tcPr>
            <w:tcW w:w="3303" w:type="dxa"/>
            <w:vAlign w:val="center"/>
          </w:tcPr>
          <w:p>
            <w:pPr>
              <w:autoSpaceDE w:val="0"/>
              <w:autoSpaceDN w:val="0"/>
              <w:adjustRightInd w:val="0"/>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vAlign w:val="center"/>
          </w:tcPr>
          <w:p>
            <w:pPr>
              <w:spacing w:line="340" w:lineRule="exact"/>
              <w:rPr>
                <w:rFonts w:hint="eastAsia" w:ascii="宋体" w:hAnsi="宋体"/>
                <w:spacing w:val="20"/>
                <w:sz w:val="21"/>
                <w:szCs w:val="21"/>
              </w:rPr>
            </w:pPr>
            <w:r>
              <w:rPr>
                <w:rFonts w:hint="eastAsia" w:ascii="宋体" w:hAnsi="宋体"/>
                <w:spacing w:val="20"/>
                <w:sz w:val="21"/>
                <w:szCs w:val="21"/>
              </w:rPr>
              <w:t>循环冷却水</w:t>
            </w:r>
          </w:p>
        </w:tc>
        <w:tc>
          <w:tcPr>
            <w:tcW w:w="4036" w:type="dxa"/>
            <w:vAlign w:val="center"/>
          </w:tcPr>
          <w:p>
            <w:pPr>
              <w:spacing w:line="340" w:lineRule="exact"/>
              <w:rPr>
                <w:rFonts w:hint="eastAsia" w:ascii="宋体" w:hAnsi="宋体"/>
                <w:sz w:val="21"/>
                <w:szCs w:val="21"/>
              </w:rPr>
            </w:pPr>
            <w:r>
              <w:rPr>
                <w:rFonts w:hint="eastAsia" w:ascii="宋体" w:hAnsi="宋体"/>
                <w:sz w:val="21"/>
                <w:szCs w:val="21"/>
              </w:rPr>
              <w:t>设置2套循环水装置，水泥生产装置和发电装置各1套。其中发电装置采用1台玻璃钢逆流式方形机械通风冷却塔。</w:t>
            </w:r>
          </w:p>
        </w:tc>
        <w:tc>
          <w:tcPr>
            <w:tcW w:w="3303" w:type="dxa"/>
            <w:vAlign w:val="center"/>
          </w:tcPr>
          <w:p>
            <w:pPr>
              <w:spacing w:line="340" w:lineRule="exact"/>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vAlign w:val="center"/>
          </w:tcPr>
          <w:p>
            <w:pPr>
              <w:spacing w:line="340" w:lineRule="exact"/>
              <w:rPr>
                <w:rFonts w:hint="eastAsia" w:ascii="宋体" w:hAnsi="宋体"/>
                <w:spacing w:val="20"/>
                <w:sz w:val="21"/>
                <w:szCs w:val="21"/>
              </w:rPr>
            </w:pPr>
            <w:r>
              <w:rPr>
                <w:rFonts w:hint="eastAsia" w:ascii="宋体" w:hAnsi="宋体"/>
                <w:spacing w:val="20"/>
                <w:sz w:val="21"/>
                <w:szCs w:val="21"/>
              </w:rPr>
              <w:t>供配电</w:t>
            </w:r>
          </w:p>
        </w:tc>
        <w:tc>
          <w:tcPr>
            <w:tcW w:w="4036" w:type="dxa"/>
            <w:vAlign w:val="center"/>
          </w:tcPr>
          <w:p>
            <w:pPr>
              <w:spacing w:line="340" w:lineRule="exact"/>
              <w:rPr>
                <w:rFonts w:hint="eastAsia" w:ascii="宋体" w:hAnsi="宋体"/>
                <w:sz w:val="21"/>
                <w:szCs w:val="21"/>
              </w:rPr>
            </w:pPr>
            <w:r>
              <w:rPr>
                <w:rFonts w:ascii="宋体" w:hAnsi="宋体"/>
                <w:sz w:val="21"/>
                <w:szCs w:val="21"/>
              </w:rPr>
              <w:t>拟从距矿区3</w:t>
            </w:r>
            <w:r>
              <w:rPr>
                <w:rFonts w:hint="eastAsia" w:ascii="宋体" w:hAnsi="宋体"/>
                <w:sz w:val="21"/>
                <w:szCs w:val="21"/>
              </w:rPr>
              <w:t>km</w:t>
            </w:r>
            <w:r>
              <w:rPr>
                <w:rFonts w:ascii="宋体" w:hAnsi="宋体"/>
                <w:sz w:val="21"/>
                <w:szCs w:val="21"/>
              </w:rPr>
              <w:t>的</w:t>
            </w:r>
            <w:r>
              <w:rPr>
                <w:rFonts w:hint="eastAsia" w:ascii="宋体" w:hAnsi="宋体"/>
                <w:sz w:val="21"/>
                <w:szCs w:val="21"/>
              </w:rPr>
              <w:t>沙坪坝</w:t>
            </w:r>
            <w:r>
              <w:rPr>
                <w:rFonts w:ascii="宋体" w:hAnsi="宋体"/>
                <w:sz w:val="21"/>
                <w:szCs w:val="21"/>
              </w:rPr>
              <w:t>马铁线T接一回路35KV架空线路至本公司，新建35KV降压站一座</w:t>
            </w:r>
            <w:r>
              <w:rPr>
                <w:rFonts w:hint="eastAsia" w:ascii="宋体" w:hAnsi="宋体"/>
                <w:sz w:val="21"/>
                <w:szCs w:val="21"/>
              </w:rPr>
              <w:t>。</w:t>
            </w:r>
          </w:p>
        </w:tc>
        <w:tc>
          <w:tcPr>
            <w:tcW w:w="3303" w:type="dxa"/>
            <w:vAlign w:val="center"/>
          </w:tcPr>
          <w:p>
            <w:pPr>
              <w:spacing w:line="340" w:lineRule="exact"/>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vAlign w:val="center"/>
          </w:tcPr>
          <w:p>
            <w:pPr>
              <w:spacing w:line="340" w:lineRule="exact"/>
              <w:rPr>
                <w:rFonts w:hint="eastAsia" w:ascii="宋体" w:hAnsi="宋体"/>
                <w:spacing w:val="20"/>
                <w:sz w:val="21"/>
                <w:szCs w:val="21"/>
              </w:rPr>
            </w:pPr>
            <w:r>
              <w:rPr>
                <w:rFonts w:hint="eastAsia" w:ascii="宋体" w:hAnsi="宋体"/>
                <w:spacing w:val="20"/>
                <w:sz w:val="21"/>
                <w:szCs w:val="21"/>
              </w:rPr>
              <w:t>脱盐水</w:t>
            </w:r>
          </w:p>
        </w:tc>
        <w:tc>
          <w:tcPr>
            <w:tcW w:w="4036" w:type="dxa"/>
            <w:vAlign w:val="center"/>
          </w:tcPr>
          <w:p>
            <w:pPr>
              <w:spacing w:line="340" w:lineRule="exact"/>
              <w:rPr>
                <w:rFonts w:hint="eastAsia" w:ascii="宋体" w:hAnsi="宋体"/>
                <w:sz w:val="21"/>
                <w:szCs w:val="21"/>
              </w:rPr>
            </w:pPr>
            <w:r>
              <w:rPr>
                <w:rFonts w:hint="eastAsia" w:ascii="宋体" w:hAnsi="宋体"/>
                <w:sz w:val="21"/>
                <w:szCs w:val="21"/>
              </w:rPr>
              <w:t>新建1套脱盐水处理系统，设计规模60m</w:t>
            </w:r>
            <w:r>
              <w:rPr>
                <w:rFonts w:hint="eastAsia" w:ascii="宋体" w:hAnsi="宋体"/>
                <w:sz w:val="21"/>
                <w:szCs w:val="21"/>
                <w:vertAlign w:val="superscript"/>
              </w:rPr>
              <w:t>3</w:t>
            </w:r>
            <w:r>
              <w:rPr>
                <w:rFonts w:hint="eastAsia" w:ascii="宋体" w:hAnsi="宋体"/>
                <w:sz w:val="21"/>
                <w:szCs w:val="21"/>
              </w:rPr>
              <w:t>/d。采用二级RO装置。</w:t>
            </w:r>
          </w:p>
        </w:tc>
        <w:tc>
          <w:tcPr>
            <w:tcW w:w="3303" w:type="dxa"/>
            <w:vAlign w:val="center"/>
          </w:tcPr>
          <w:p>
            <w:pPr>
              <w:spacing w:line="340" w:lineRule="exact"/>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vAlign w:val="center"/>
          </w:tcPr>
          <w:p>
            <w:pPr>
              <w:spacing w:line="340" w:lineRule="exact"/>
              <w:rPr>
                <w:rFonts w:hint="eastAsia" w:ascii="宋体" w:hAnsi="宋体"/>
                <w:b/>
                <w:spacing w:val="20"/>
                <w:sz w:val="21"/>
                <w:szCs w:val="21"/>
              </w:rPr>
            </w:pPr>
            <w:r>
              <w:rPr>
                <w:rFonts w:hint="eastAsia" w:ascii="宋体" w:hAnsi="宋体"/>
                <w:b/>
                <w:spacing w:val="20"/>
                <w:sz w:val="21"/>
                <w:szCs w:val="21"/>
              </w:rPr>
              <w:t>③辅助设施</w:t>
            </w:r>
          </w:p>
        </w:tc>
        <w:tc>
          <w:tcPr>
            <w:tcW w:w="4036" w:type="dxa"/>
            <w:vAlign w:val="center"/>
          </w:tcPr>
          <w:p>
            <w:pPr>
              <w:spacing w:line="340" w:lineRule="exact"/>
              <w:rPr>
                <w:rFonts w:hint="eastAsia" w:ascii="宋体" w:hAnsi="宋体"/>
                <w:sz w:val="21"/>
                <w:szCs w:val="21"/>
              </w:rPr>
            </w:pPr>
          </w:p>
        </w:tc>
        <w:tc>
          <w:tcPr>
            <w:tcW w:w="3303" w:type="dxa"/>
            <w:vAlign w:val="center"/>
          </w:tcPr>
          <w:p>
            <w:pPr>
              <w:spacing w:line="340" w:lineRule="exact"/>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vAlign w:val="center"/>
          </w:tcPr>
          <w:p>
            <w:pPr>
              <w:spacing w:line="340" w:lineRule="exact"/>
              <w:rPr>
                <w:rFonts w:hint="eastAsia" w:ascii="宋体" w:hAnsi="宋体"/>
                <w:spacing w:val="20"/>
                <w:sz w:val="21"/>
                <w:szCs w:val="21"/>
              </w:rPr>
            </w:pPr>
            <w:r>
              <w:rPr>
                <w:rFonts w:hint="eastAsia" w:ascii="宋体" w:hAnsi="宋体"/>
                <w:spacing w:val="20"/>
                <w:sz w:val="21"/>
                <w:szCs w:val="21"/>
              </w:rPr>
              <w:t>空压站</w:t>
            </w:r>
          </w:p>
        </w:tc>
        <w:tc>
          <w:tcPr>
            <w:tcW w:w="4036" w:type="dxa"/>
            <w:vAlign w:val="center"/>
          </w:tcPr>
          <w:p>
            <w:pPr>
              <w:spacing w:line="340" w:lineRule="exact"/>
              <w:rPr>
                <w:rFonts w:hint="eastAsia" w:ascii="宋体" w:hAnsi="宋体"/>
                <w:sz w:val="21"/>
                <w:szCs w:val="21"/>
              </w:rPr>
            </w:pPr>
            <w:r>
              <w:rPr>
                <w:rFonts w:hint="eastAsia" w:ascii="宋体" w:hAnsi="宋体"/>
                <w:sz w:val="21"/>
                <w:szCs w:val="21"/>
              </w:rPr>
              <w:t>新建1座空压站，由5</w:t>
            </w:r>
            <w:r>
              <w:rPr>
                <w:rFonts w:ascii="宋体" w:hAnsi="宋体"/>
                <w:sz w:val="21"/>
                <w:szCs w:val="21"/>
              </w:rPr>
              <w:t>台螺杆式空气压缩机，用于全厂的压缩空气供气，排气量为</w:t>
            </w:r>
            <w:r>
              <w:rPr>
                <w:rFonts w:hint="eastAsia" w:ascii="宋体" w:hAnsi="宋体"/>
                <w:sz w:val="21"/>
                <w:szCs w:val="21"/>
              </w:rPr>
              <w:t>25</w:t>
            </w:r>
            <w:r>
              <w:rPr>
                <w:rFonts w:ascii="宋体" w:hAnsi="宋体"/>
                <w:sz w:val="21"/>
                <w:szCs w:val="21"/>
              </w:rPr>
              <w:t>m</w:t>
            </w:r>
            <w:r>
              <w:rPr>
                <w:rFonts w:ascii="宋体" w:hAnsi="宋体"/>
                <w:sz w:val="21"/>
                <w:szCs w:val="21"/>
                <w:vertAlign w:val="superscript"/>
              </w:rPr>
              <w:t>3</w:t>
            </w:r>
            <w:r>
              <w:rPr>
                <w:rFonts w:ascii="宋体" w:hAnsi="宋体"/>
                <w:sz w:val="21"/>
                <w:szCs w:val="21"/>
              </w:rPr>
              <w:t>/min，排气压力0.</w:t>
            </w:r>
            <w:r>
              <w:rPr>
                <w:rFonts w:hint="eastAsia" w:ascii="宋体" w:hAnsi="宋体"/>
                <w:sz w:val="21"/>
                <w:szCs w:val="21"/>
              </w:rPr>
              <w:t>8</w:t>
            </w:r>
            <w:r>
              <w:rPr>
                <w:rFonts w:ascii="宋体" w:hAnsi="宋体"/>
                <w:sz w:val="21"/>
                <w:szCs w:val="21"/>
              </w:rPr>
              <w:t>MPa</w:t>
            </w:r>
            <w:r>
              <w:rPr>
                <w:rFonts w:hint="eastAsia" w:ascii="宋体" w:hAnsi="宋体"/>
                <w:sz w:val="21"/>
                <w:szCs w:val="21"/>
              </w:rPr>
              <w:t>。</w:t>
            </w:r>
          </w:p>
        </w:tc>
        <w:tc>
          <w:tcPr>
            <w:tcW w:w="3303" w:type="dxa"/>
            <w:vAlign w:val="center"/>
          </w:tcPr>
          <w:p>
            <w:pPr>
              <w:spacing w:line="340" w:lineRule="exact"/>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vAlign w:val="center"/>
          </w:tcPr>
          <w:p>
            <w:pPr>
              <w:spacing w:line="340" w:lineRule="exact"/>
              <w:rPr>
                <w:rFonts w:hint="eastAsia" w:ascii="宋体" w:hAnsi="宋体"/>
                <w:spacing w:val="20"/>
                <w:sz w:val="21"/>
                <w:szCs w:val="21"/>
              </w:rPr>
            </w:pPr>
            <w:r>
              <w:rPr>
                <w:rFonts w:hint="eastAsia" w:ascii="宋体" w:hAnsi="宋体"/>
                <w:spacing w:val="20"/>
                <w:sz w:val="21"/>
                <w:szCs w:val="21"/>
              </w:rPr>
              <w:t>污水处理站</w:t>
            </w:r>
          </w:p>
        </w:tc>
        <w:tc>
          <w:tcPr>
            <w:tcW w:w="4036" w:type="dxa"/>
            <w:vAlign w:val="center"/>
          </w:tcPr>
          <w:p>
            <w:pPr>
              <w:spacing w:line="340" w:lineRule="exact"/>
              <w:rPr>
                <w:rFonts w:hint="eastAsia" w:ascii="宋体" w:hAnsi="宋体"/>
                <w:sz w:val="21"/>
                <w:szCs w:val="21"/>
              </w:rPr>
            </w:pPr>
            <w:r>
              <w:rPr>
                <w:rFonts w:hint="eastAsia" w:ascii="宋体" w:hAnsi="宋体"/>
                <w:sz w:val="21"/>
                <w:szCs w:val="21"/>
              </w:rPr>
              <w:t>新建1座60</w:t>
            </w:r>
            <w:r>
              <w:rPr>
                <w:rFonts w:ascii="宋体" w:hAnsi="宋体"/>
                <w:sz w:val="21"/>
                <w:szCs w:val="21"/>
              </w:rPr>
              <w:t>m</w:t>
            </w:r>
            <w:r>
              <w:rPr>
                <w:rFonts w:hint="eastAsia" w:ascii="宋体" w:hAnsi="宋体"/>
                <w:sz w:val="21"/>
                <w:szCs w:val="21"/>
                <w:vertAlign w:val="superscript"/>
              </w:rPr>
              <w:t>8</w:t>
            </w:r>
            <w:r>
              <w:rPr>
                <w:rFonts w:hint="eastAsia" w:ascii="宋体" w:hAnsi="宋体"/>
                <w:sz w:val="21"/>
                <w:szCs w:val="21"/>
              </w:rPr>
              <w:t>/d生活污水处理站，处理达标后的生活污水排入厂区北侧的无名小河沟。</w:t>
            </w:r>
          </w:p>
        </w:tc>
        <w:tc>
          <w:tcPr>
            <w:tcW w:w="3303" w:type="dxa"/>
            <w:vAlign w:val="center"/>
          </w:tcPr>
          <w:p>
            <w:pPr>
              <w:spacing w:line="340" w:lineRule="exact"/>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vAlign w:val="center"/>
          </w:tcPr>
          <w:p>
            <w:pPr>
              <w:spacing w:line="340" w:lineRule="exact"/>
              <w:rPr>
                <w:rFonts w:hint="eastAsia" w:ascii="宋体" w:hAnsi="宋体"/>
                <w:spacing w:val="20"/>
                <w:sz w:val="21"/>
                <w:szCs w:val="21"/>
              </w:rPr>
            </w:pPr>
            <w:r>
              <w:rPr>
                <w:rFonts w:hint="eastAsia" w:ascii="宋体" w:hAnsi="宋体"/>
                <w:spacing w:val="20"/>
                <w:sz w:val="21"/>
                <w:szCs w:val="21"/>
              </w:rPr>
              <w:t>机电修车间</w:t>
            </w:r>
          </w:p>
        </w:tc>
        <w:tc>
          <w:tcPr>
            <w:tcW w:w="4036" w:type="dxa"/>
            <w:vAlign w:val="center"/>
          </w:tcPr>
          <w:p>
            <w:pPr>
              <w:spacing w:line="340" w:lineRule="exact"/>
              <w:rPr>
                <w:rFonts w:hint="eastAsia" w:ascii="宋体" w:hAnsi="宋体"/>
                <w:sz w:val="21"/>
                <w:szCs w:val="21"/>
              </w:rPr>
            </w:pPr>
            <w:r>
              <w:rPr>
                <w:rFonts w:hint="eastAsia" w:ascii="宋体" w:hAnsi="宋体"/>
                <w:sz w:val="21"/>
                <w:szCs w:val="21"/>
              </w:rPr>
              <w:t>负责全厂机械设备日常维护及保养</w:t>
            </w:r>
          </w:p>
        </w:tc>
        <w:tc>
          <w:tcPr>
            <w:tcW w:w="3303" w:type="dxa"/>
            <w:vAlign w:val="center"/>
          </w:tcPr>
          <w:p>
            <w:pPr>
              <w:spacing w:line="340" w:lineRule="exact"/>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vAlign w:val="center"/>
          </w:tcPr>
          <w:p>
            <w:pPr>
              <w:spacing w:line="340" w:lineRule="exact"/>
              <w:rPr>
                <w:rFonts w:hint="eastAsia" w:ascii="宋体" w:hAnsi="宋体"/>
                <w:spacing w:val="20"/>
                <w:sz w:val="21"/>
                <w:szCs w:val="21"/>
              </w:rPr>
            </w:pPr>
            <w:r>
              <w:rPr>
                <w:rFonts w:hint="eastAsia" w:ascii="宋体" w:hAnsi="宋体"/>
                <w:spacing w:val="20"/>
                <w:sz w:val="21"/>
                <w:szCs w:val="21"/>
              </w:rPr>
              <w:t>材料库</w:t>
            </w:r>
          </w:p>
        </w:tc>
        <w:tc>
          <w:tcPr>
            <w:tcW w:w="4036" w:type="dxa"/>
            <w:vAlign w:val="center"/>
          </w:tcPr>
          <w:p>
            <w:pPr>
              <w:spacing w:line="340" w:lineRule="exact"/>
              <w:rPr>
                <w:rFonts w:hint="eastAsia" w:ascii="宋体" w:hAnsi="宋体"/>
                <w:sz w:val="21"/>
                <w:szCs w:val="21"/>
              </w:rPr>
            </w:pPr>
            <w:r>
              <w:rPr>
                <w:rFonts w:hint="eastAsia" w:ascii="宋体" w:hAnsi="宋体"/>
                <w:sz w:val="21"/>
                <w:szCs w:val="21"/>
              </w:rPr>
              <w:t>耐火材料储存</w:t>
            </w:r>
          </w:p>
        </w:tc>
        <w:tc>
          <w:tcPr>
            <w:tcW w:w="3303" w:type="dxa"/>
            <w:vAlign w:val="center"/>
          </w:tcPr>
          <w:p>
            <w:pPr>
              <w:spacing w:line="340" w:lineRule="exact"/>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0" w:type="dxa"/>
            <w:vAlign w:val="center"/>
          </w:tcPr>
          <w:p>
            <w:pPr>
              <w:spacing w:line="340" w:lineRule="exact"/>
              <w:rPr>
                <w:rFonts w:hint="eastAsia" w:ascii="宋体" w:hAnsi="宋体"/>
                <w:spacing w:val="20"/>
                <w:sz w:val="21"/>
                <w:szCs w:val="21"/>
              </w:rPr>
            </w:pPr>
            <w:r>
              <w:rPr>
                <w:rFonts w:hint="eastAsia" w:ascii="宋体" w:hAnsi="宋体" w:cs="宋体"/>
                <w:sz w:val="21"/>
                <w:szCs w:val="21"/>
                <w:lang w:val="zh-CN"/>
              </w:rPr>
              <w:t>中控</w:t>
            </w:r>
            <w:r>
              <w:rPr>
                <w:rFonts w:ascii="宋体" w:hAnsi="宋体" w:cs="宋体"/>
                <w:sz w:val="21"/>
                <w:szCs w:val="21"/>
                <w:lang w:val="zh-CN"/>
              </w:rPr>
              <w:t>楼</w:t>
            </w:r>
          </w:p>
        </w:tc>
        <w:tc>
          <w:tcPr>
            <w:tcW w:w="4036" w:type="dxa"/>
            <w:vAlign w:val="center"/>
          </w:tcPr>
          <w:p>
            <w:pPr>
              <w:spacing w:line="340" w:lineRule="exact"/>
              <w:rPr>
                <w:rFonts w:hint="eastAsia" w:ascii="宋体" w:hAnsi="宋体"/>
                <w:sz w:val="21"/>
                <w:szCs w:val="21"/>
              </w:rPr>
            </w:pPr>
            <w:r>
              <w:rPr>
                <w:rFonts w:hint="eastAsia" w:ascii="宋体" w:hAnsi="宋体"/>
                <w:sz w:val="21"/>
                <w:szCs w:val="21"/>
              </w:rPr>
              <w:t>包括中控、化验等功能</w:t>
            </w:r>
          </w:p>
        </w:tc>
        <w:tc>
          <w:tcPr>
            <w:tcW w:w="3303" w:type="dxa"/>
            <w:vAlign w:val="center"/>
          </w:tcPr>
          <w:p>
            <w:pPr>
              <w:spacing w:line="340" w:lineRule="exact"/>
              <w:rPr>
                <w:rFonts w:hint="eastAsia" w:ascii="宋体" w:hAnsi="宋体"/>
                <w:sz w:val="21"/>
                <w:szCs w:val="21"/>
              </w:rPr>
            </w:pPr>
          </w:p>
        </w:tc>
      </w:tr>
    </w:tbl>
    <w:p>
      <w:pPr>
        <w:rPr>
          <w:rFonts w:hint="eastAsia"/>
        </w:rPr>
      </w:pPr>
    </w:p>
    <w:p>
      <w:pPr>
        <w:spacing w:line="480" w:lineRule="exact"/>
        <w:jc w:val="center"/>
        <w:rPr>
          <w:rFonts w:hint="eastAsia" w:ascii="宋体" w:hAnsi="宋体"/>
          <w:b/>
        </w:rPr>
      </w:pPr>
      <w:r>
        <w:rPr>
          <w:rFonts w:hint="eastAsia" w:ascii="宋体" w:hAnsi="宋体"/>
          <w:b/>
        </w:rPr>
        <w:t>表3-2     技改项目主要生产设备</w:t>
      </w:r>
    </w:p>
    <w:tbl>
      <w:tblPr>
        <w:tblStyle w:val="21"/>
        <w:tblW w:w="91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1447"/>
        <w:gridCol w:w="3430"/>
        <w:gridCol w:w="1188"/>
        <w:gridCol w:w="540"/>
        <w:gridCol w:w="1264"/>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46" w:type="dxa"/>
            <w:vAlign w:val="center"/>
          </w:tcPr>
          <w:p>
            <w:pPr>
              <w:suppressAutoHyphens/>
              <w:adjustRightInd w:val="0"/>
              <w:snapToGrid w:val="0"/>
              <w:jc w:val="center"/>
              <w:rPr>
                <w:rFonts w:ascii="宋体" w:hAnsi="宋体"/>
                <w:snapToGrid w:val="0"/>
                <w:kern w:val="0"/>
                <w:sz w:val="21"/>
                <w:szCs w:val="21"/>
              </w:rPr>
            </w:pPr>
            <w:r>
              <w:rPr>
                <w:rFonts w:hint="eastAsia" w:ascii="宋体" w:hAnsi="宋体" w:cs="宋体"/>
                <w:snapToGrid w:val="0"/>
                <w:kern w:val="0"/>
                <w:sz w:val="21"/>
                <w:szCs w:val="21"/>
              </w:rPr>
              <w:t>序号</w:t>
            </w:r>
          </w:p>
        </w:tc>
        <w:tc>
          <w:tcPr>
            <w:tcW w:w="1447"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项目名称</w:t>
            </w:r>
          </w:p>
        </w:tc>
        <w:tc>
          <w:tcPr>
            <w:tcW w:w="3430" w:type="dxa"/>
            <w:vAlign w:val="center"/>
          </w:tcPr>
          <w:p>
            <w:pPr>
              <w:pStyle w:val="30"/>
              <w:keepNext w:val="0"/>
              <w:suppressAutoHyphens/>
              <w:snapToGrid w:val="0"/>
              <w:spacing w:before="0" w:after="0" w:line="240" w:lineRule="auto"/>
              <w:rPr>
                <w:rFonts w:ascii="宋体" w:hAnsi="宋体"/>
                <w:snapToGrid w:val="0"/>
                <w:sz w:val="21"/>
                <w:szCs w:val="21"/>
              </w:rPr>
            </w:pPr>
            <w:r>
              <w:rPr>
                <w:rFonts w:ascii="宋体" w:hAnsi="宋体"/>
                <w:snapToGrid w:val="0"/>
                <w:sz w:val="21"/>
                <w:szCs w:val="21"/>
              </w:rPr>
              <w:t>设备名称、规格及技术性能</w:t>
            </w:r>
          </w:p>
        </w:tc>
        <w:tc>
          <w:tcPr>
            <w:tcW w:w="1188"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生产能力（t/h）</w:t>
            </w:r>
          </w:p>
        </w:tc>
        <w:tc>
          <w:tcPr>
            <w:tcW w:w="540"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台数</w:t>
            </w:r>
          </w:p>
        </w:tc>
        <w:tc>
          <w:tcPr>
            <w:tcW w:w="1264"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年利用率(%)</w:t>
            </w:r>
          </w:p>
        </w:tc>
        <w:tc>
          <w:tcPr>
            <w:tcW w:w="750" w:type="dxa"/>
            <w:vAlign w:val="center"/>
          </w:tcPr>
          <w:p>
            <w:pPr>
              <w:pStyle w:val="30"/>
              <w:keepNext w:val="0"/>
              <w:suppressAutoHyphens/>
              <w:snapToGrid w:val="0"/>
              <w:spacing w:before="0" w:after="0" w:line="240" w:lineRule="auto"/>
              <w:rPr>
                <w:rFonts w:ascii="宋体" w:hAnsi="宋体"/>
                <w:snapToGrid w:val="0"/>
                <w:sz w:val="21"/>
                <w:szCs w:val="21"/>
              </w:rPr>
            </w:pPr>
            <w:r>
              <w:rPr>
                <w:rFonts w:ascii="宋体" w:hAnsi="宋体"/>
                <w:snapToGrid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546" w:type="dxa"/>
            <w:vMerge w:val="restart"/>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447" w:type="dxa"/>
            <w:vMerge w:val="restart"/>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石灰石破碎</w:t>
            </w:r>
          </w:p>
        </w:tc>
        <w:tc>
          <w:tcPr>
            <w:tcW w:w="343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重型板式喂料机</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规格:B2200×10000</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给料粒度:1100×1100×1000mm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功率: 60 kW</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设备重量:116t</w:t>
            </w:r>
          </w:p>
        </w:tc>
        <w:tc>
          <w:tcPr>
            <w:tcW w:w="1188"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350-400</w:t>
            </w:r>
          </w:p>
        </w:tc>
        <w:tc>
          <w:tcPr>
            <w:tcW w:w="54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24.98</w:t>
            </w:r>
          </w:p>
        </w:tc>
        <w:tc>
          <w:tcPr>
            <w:tcW w:w="750" w:type="dxa"/>
            <w:vAlign w:val="center"/>
          </w:tcPr>
          <w:p>
            <w:pPr>
              <w:pStyle w:val="30"/>
              <w:keepNext w:val="0"/>
              <w:suppressAutoHyphens/>
              <w:snapToGrid w:val="0"/>
              <w:spacing w:before="0" w:after="0" w:line="240" w:lineRule="auto"/>
              <w:ind w:firstLine="420"/>
              <w:jc w:val="both"/>
              <w:rPr>
                <w:rFonts w:ascii="宋体" w:hAnsi="宋体"/>
                <w:snapToGrid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546" w:type="dxa"/>
            <w:vMerge w:val="continue"/>
            <w:vAlign w:val="center"/>
          </w:tcPr>
          <w:p>
            <w:pPr>
              <w:suppressAutoHyphens/>
              <w:adjustRightInd w:val="0"/>
              <w:snapToGrid w:val="0"/>
              <w:rPr>
                <w:rFonts w:ascii="宋体" w:hAnsi="宋体"/>
                <w:snapToGrid w:val="0"/>
                <w:kern w:val="0"/>
                <w:sz w:val="21"/>
                <w:szCs w:val="21"/>
              </w:rPr>
            </w:pPr>
          </w:p>
        </w:tc>
        <w:tc>
          <w:tcPr>
            <w:tcW w:w="1447" w:type="dxa"/>
            <w:vMerge w:val="continue"/>
            <w:vAlign w:val="center"/>
          </w:tcPr>
          <w:p>
            <w:pPr>
              <w:suppressAutoHyphens/>
              <w:adjustRightInd w:val="0"/>
              <w:snapToGrid w:val="0"/>
              <w:rPr>
                <w:rFonts w:ascii="宋体" w:hAnsi="宋体"/>
                <w:snapToGrid w:val="0"/>
                <w:kern w:val="0"/>
                <w:sz w:val="21"/>
                <w:szCs w:val="21"/>
              </w:rPr>
            </w:pPr>
          </w:p>
        </w:tc>
        <w:tc>
          <w:tcPr>
            <w:tcW w:w="343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单段锤式破碎机</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给料粒度: 1100×1100×1200mm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功率: 630 Kw～800 Kw</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设备重量:89t</w:t>
            </w:r>
          </w:p>
        </w:tc>
        <w:tc>
          <w:tcPr>
            <w:tcW w:w="1188"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350～450</w:t>
            </w:r>
          </w:p>
        </w:tc>
        <w:tc>
          <w:tcPr>
            <w:tcW w:w="54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24.98</w:t>
            </w:r>
          </w:p>
        </w:tc>
        <w:tc>
          <w:tcPr>
            <w:tcW w:w="750" w:type="dxa"/>
            <w:vAlign w:val="center"/>
          </w:tcPr>
          <w:p>
            <w:pPr>
              <w:pStyle w:val="30"/>
              <w:keepNext w:val="0"/>
              <w:suppressAutoHyphens/>
              <w:snapToGrid w:val="0"/>
              <w:spacing w:before="0" w:after="0" w:line="240" w:lineRule="auto"/>
              <w:ind w:firstLine="420"/>
              <w:jc w:val="both"/>
              <w:rPr>
                <w:rFonts w:ascii="宋体" w:hAnsi="宋体"/>
                <w:snapToGrid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3" w:hRule="atLeast"/>
          <w:jc w:val="center"/>
        </w:trPr>
        <w:tc>
          <w:tcPr>
            <w:tcW w:w="546"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2</w:t>
            </w:r>
          </w:p>
        </w:tc>
        <w:tc>
          <w:tcPr>
            <w:tcW w:w="1447"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石灰石预均化堆场</w:t>
            </w:r>
          </w:p>
        </w:tc>
        <w:tc>
          <w:tcPr>
            <w:tcW w:w="343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堆场</w:t>
            </w:r>
            <w:r>
              <w:rPr>
                <w:rFonts w:hint="eastAsia" w:ascii="宋体" w:hAnsi="宋体"/>
                <w:snapToGrid w:val="0"/>
                <w:kern w:val="0"/>
                <w:sz w:val="21"/>
                <w:szCs w:val="21"/>
              </w:rPr>
              <w:t>Φ60</w:t>
            </w:r>
            <w:r>
              <w:rPr>
                <w:rFonts w:ascii="宋体" w:hAnsi="宋体"/>
                <w:snapToGrid w:val="0"/>
                <w:kern w:val="0"/>
                <w:sz w:val="21"/>
                <w:szCs w:val="21"/>
              </w:rPr>
              <w:t xml:space="preserve">mm: </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堆料机</w:t>
            </w:r>
            <w:r>
              <w:rPr>
                <w:rFonts w:ascii="宋体" w:hAnsi="宋体"/>
                <w:snapToGrid w:val="0"/>
                <w:kern w:val="0"/>
                <w:sz w:val="21"/>
                <w:szCs w:val="21"/>
              </w:rPr>
              <w:tab/>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取料机</w:t>
            </w:r>
          </w:p>
        </w:tc>
        <w:tc>
          <w:tcPr>
            <w:tcW w:w="1188"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600～300</w:t>
            </w:r>
          </w:p>
        </w:tc>
        <w:tc>
          <w:tcPr>
            <w:tcW w:w="540" w:type="dxa"/>
            <w:vAlign w:val="center"/>
          </w:tcPr>
          <w:p>
            <w:pPr>
              <w:suppressAutoHyphens/>
              <w:adjustRightInd w:val="0"/>
              <w:snapToGrid w:val="0"/>
              <w:rPr>
                <w:rFonts w:ascii="宋体" w:hAnsi="宋体"/>
                <w:snapToGrid w:val="0"/>
                <w:kern w:val="0"/>
                <w:sz w:val="21"/>
                <w:szCs w:val="21"/>
              </w:rPr>
            </w:pP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Align w:val="center"/>
          </w:tcPr>
          <w:p>
            <w:pPr>
              <w:suppressAutoHyphens/>
              <w:adjustRightInd w:val="0"/>
              <w:snapToGrid w:val="0"/>
              <w:rPr>
                <w:rFonts w:ascii="宋体" w:hAnsi="宋体"/>
                <w:snapToGrid w:val="0"/>
                <w:kern w:val="0"/>
                <w:sz w:val="21"/>
                <w:szCs w:val="21"/>
              </w:rPr>
            </w:pP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24.98</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34.78</w:t>
            </w:r>
          </w:p>
        </w:tc>
        <w:tc>
          <w:tcPr>
            <w:tcW w:w="750" w:type="dxa"/>
            <w:vAlign w:val="center"/>
          </w:tcPr>
          <w:p>
            <w:pPr>
              <w:pStyle w:val="30"/>
              <w:keepNext w:val="0"/>
              <w:suppressAutoHyphens/>
              <w:snapToGrid w:val="0"/>
              <w:spacing w:before="0" w:after="0" w:line="240" w:lineRule="auto"/>
              <w:ind w:firstLine="420"/>
              <w:jc w:val="both"/>
              <w:rPr>
                <w:rFonts w:ascii="宋体" w:hAnsi="宋体"/>
                <w:snapToGrid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1" w:hRule="atLeast"/>
          <w:jc w:val="center"/>
        </w:trPr>
        <w:tc>
          <w:tcPr>
            <w:tcW w:w="546"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3</w:t>
            </w:r>
          </w:p>
        </w:tc>
        <w:tc>
          <w:tcPr>
            <w:tcW w:w="1447" w:type="dxa"/>
            <w:vAlign w:val="center"/>
          </w:tcPr>
          <w:p>
            <w:pPr>
              <w:suppressAutoHyphens/>
              <w:adjustRightInd w:val="0"/>
              <w:snapToGrid w:val="0"/>
              <w:ind w:left="-59" w:right="-64"/>
              <w:rPr>
                <w:rFonts w:ascii="宋体" w:hAnsi="宋体"/>
                <w:snapToGrid w:val="0"/>
                <w:kern w:val="0"/>
                <w:sz w:val="21"/>
                <w:szCs w:val="21"/>
              </w:rPr>
            </w:pPr>
            <w:r>
              <w:rPr>
                <w:rFonts w:ascii="宋体" w:hAnsi="宋体"/>
                <w:snapToGrid w:val="0"/>
                <w:kern w:val="0"/>
                <w:sz w:val="21"/>
                <w:szCs w:val="21"/>
              </w:rPr>
              <w:t>砂岩破碎及</w:t>
            </w:r>
          </w:p>
          <w:p>
            <w:pPr>
              <w:suppressAutoHyphens/>
              <w:adjustRightInd w:val="0"/>
              <w:snapToGrid w:val="0"/>
              <w:ind w:left="-59" w:right="-64"/>
              <w:rPr>
                <w:rFonts w:ascii="宋体" w:hAnsi="宋体"/>
                <w:snapToGrid w:val="0"/>
                <w:kern w:val="0"/>
                <w:sz w:val="21"/>
                <w:szCs w:val="21"/>
              </w:rPr>
            </w:pPr>
            <w:r>
              <w:rPr>
                <w:rFonts w:ascii="宋体" w:hAnsi="宋体"/>
                <w:snapToGrid w:val="0"/>
                <w:kern w:val="0"/>
                <w:sz w:val="21"/>
                <w:szCs w:val="21"/>
              </w:rPr>
              <w:t>输送</w:t>
            </w:r>
          </w:p>
        </w:tc>
        <w:tc>
          <w:tcPr>
            <w:tcW w:w="3430" w:type="dxa"/>
            <w:vAlign w:val="center"/>
          </w:tcPr>
          <w:p>
            <w:pPr>
              <w:autoSpaceDE w:val="0"/>
              <w:autoSpaceDN w:val="0"/>
              <w:adjustRightInd w:val="0"/>
              <w:snapToGrid w:val="0"/>
              <w:rPr>
                <w:rFonts w:ascii="宋体" w:hAnsi="宋体"/>
                <w:snapToGrid w:val="0"/>
                <w:kern w:val="0"/>
                <w:sz w:val="21"/>
                <w:szCs w:val="21"/>
              </w:rPr>
            </w:pPr>
            <w:r>
              <w:rPr>
                <w:rFonts w:ascii="宋体" w:hAnsi="宋体"/>
                <w:snapToGrid w:val="0"/>
                <w:kern w:val="0"/>
                <w:sz w:val="21"/>
                <w:szCs w:val="21"/>
              </w:rPr>
              <w:t>反击锤式破碎机</w:t>
            </w:r>
          </w:p>
          <w:p>
            <w:pPr>
              <w:autoSpaceDE w:val="0"/>
              <w:autoSpaceDN w:val="0"/>
              <w:adjustRightInd w:val="0"/>
              <w:snapToGrid w:val="0"/>
              <w:rPr>
                <w:rFonts w:ascii="宋体" w:hAnsi="宋体"/>
                <w:snapToGrid w:val="0"/>
                <w:kern w:val="0"/>
                <w:sz w:val="21"/>
                <w:szCs w:val="21"/>
              </w:rPr>
            </w:pPr>
            <w:r>
              <w:rPr>
                <w:rFonts w:ascii="宋体" w:hAnsi="宋体"/>
                <w:snapToGrid w:val="0"/>
                <w:kern w:val="0"/>
                <w:sz w:val="21"/>
                <w:szCs w:val="21"/>
              </w:rPr>
              <w:t>型号:PFC-1609</w:t>
            </w:r>
          </w:p>
          <w:p>
            <w:pPr>
              <w:autoSpaceDE w:val="0"/>
              <w:autoSpaceDN w:val="0"/>
              <w:adjustRightInd w:val="0"/>
              <w:snapToGrid w:val="0"/>
              <w:rPr>
                <w:rFonts w:ascii="宋体" w:hAnsi="宋体"/>
                <w:snapToGrid w:val="0"/>
                <w:kern w:val="0"/>
                <w:sz w:val="21"/>
                <w:szCs w:val="21"/>
              </w:rPr>
            </w:pPr>
            <w:r>
              <w:rPr>
                <w:rFonts w:ascii="宋体" w:hAnsi="宋体"/>
                <w:snapToGrid w:val="0"/>
                <w:kern w:val="0"/>
                <w:sz w:val="21"/>
                <w:szCs w:val="21"/>
              </w:rPr>
              <w:t>转子工作圆尺寸:φ1680×918 mm</w:t>
            </w:r>
          </w:p>
          <w:p>
            <w:pPr>
              <w:autoSpaceDE w:val="0"/>
              <w:autoSpaceDN w:val="0"/>
              <w:adjustRightInd w:val="0"/>
              <w:snapToGrid w:val="0"/>
              <w:rPr>
                <w:rFonts w:ascii="宋体" w:hAnsi="宋体"/>
                <w:snapToGrid w:val="0"/>
                <w:kern w:val="0"/>
                <w:sz w:val="21"/>
                <w:szCs w:val="21"/>
              </w:rPr>
            </w:pPr>
            <w:r>
              <w:rPr>
                <w:rFonts w:ascii="宋体" w:hAnsi="宋体"/>
                <w:snapToGrid w:val="0"/>
                <w:kern w:val="0"/>
                <w:sz w:val="21"/>
                <w:szCs w:val="21"/>
              </w:rPr>
              <w:t>最大进料粒度:＜600mm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出料粒度(筛余10％):≤25mm</w:t>
            </w:r>
          </w:p>
        </w:tc>
        <w:tc>
          <w:tcPr>
            <w:tcW w:w="1188" w:type="dxa"/>
            <w:vAlign w:val="center"/>
          </w:tcPr>
          <w:p>
            <w:pPr>
              <w:pStyle w:val="30"/>
              <w:keepNext w:val="0"/>
              <w:suppressAutoHyphens/>
              <w:snapToGrid w:val="0"/>
              <w:spacing w:before="0" w:after="0" w:line="240" w:lineRule="auto"/>
              <w:jc w:val="both"/>
              <w:rPr>
                <w:rFonts w:ascii="宋体" w:hAnsi="宋体"/>
                <w:snapToGrid w:val="0"/>
                <w:sz w:val="21"/>
                <w:szCs w:val="21"/>
              </w:rPr>
            </w:pPr>
            <w:r>
              <w:rPr>
                <w:rFonts w:ascii="宋体" w:hAnsi="宋体"/>
                <w:snapToGrid w:val="0"/>
                <w:sz w:val="21"/>
                <w:szCs w:val="21"/>
              </w:rPr>
              <w:t>50～70</w:t>
            </w:r>
          </w:p>
        </w:tc>
        <w:tc>
          <w:tcPr>
            <w:tcW w:w="54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13.28</w:t>
            </w:r>
          </w:p>
        </w:tc>
        <w:tc>
          <w:tcPr>
            <w:tcW w:w="750" w:type="dxa"/>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1" w:hRule="atLeast"/>
          <w:jc w:val="center"/>
        </w:trPr>
        <w:tc>
          <w:tcPr>
            <w:tcW w:w="546"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4</w:t>
            </w:r>
          </w:p>
          <w:p>
            <w:pPr>
              <w:suppressAutoHyphens/>
              <w:adjustRightInd w:val="0"/>
              <w:snapToGrid w:val="0"/>
              <w:rPr>
                <w:rFonts w:ascii="宋体" w:hAnsi="宋体"/>
                <w:snapToGrid w:val="0"/>
                <w:kern w:val="0"/>
                <w:sz w:val="21"/>
                <w:szCs w:val="21"/>
              </w:rPr>
            </w:pPr>
          </w:p>
        </w:tc>
        <w:tc>
          <w:tcPr>
            <w:tcW w:w="1447" w:type="dxa"/>
            <w:vAlign w:val="center"/>
          </w:tcPr>
          <w:p>
            <w:pPr>
              <w:suppressAutoHyphens/>
              <w:adjustRightInd w:val="0"/>
              <w:snapToGrid w:val="0"/>
              <w:ind w:left="-59" w:right="-64"/>
              <w:rPr>
                <w:rFonts w:ascii="宋体" w:hAnsi="宋体"/>
                <w:snapToGrid w:val="0"/>
                <w:kern w:val="0"/>
                <w:sz w:val="21"/>
                <w:szCs w:val="21"/>
              </w:rPr>
            </w:pPr>
            <w:r>
              <w:rPr>
                <w:rFonts w:ascii="宋体" w:hAnsi="宋体"/>
                <w:snapToGrid w:val="0"/>
                <w:kern w:val="0"/>
                <w:sz w:val="21"/>
                <w:szCs w:val="21"/>
              </w:rPr>
              <w:t>辅助原料</w:t>
            </w:r>
          </w:p>
          <w:p>
            <w:pPr>
              <w:suppressAutoHyphens/>
              <w:adjustRightInd w:val="0"/>
              <w:snapToGrid w:val="0"/>
              <w:ind w:left="-59" w:right="-64"/>
              <w:rPr>
                <w:rFonts w:ascii="宋体" w:hAnsi="宋体"/>
                <w:snapToGrid w:val="0"/>
                <w:kern w:val="0"/>
                <w:sz w:val="21"/>
                <w:szCs w:val="21"/>
              </w:rPr>
            </w:pPr>
            <w:r>
              <w:rPr>
                <w:rFonts w:ascii="宋体" w:hAnsi="宋体"/>
                <w:snapToGrid w:val="0"/>
                <w:kern w:val="0"/>
                <w:sz w:val="21"/>
                <w:szCs w:val="21"/>
              </w:rPr>
              <w:t>预均化</w:t>
            </w:r>
          </w:p>
        </w:tc>
        <w:tc>
          <w:tcPr>
            <w:tcW w:w="3430" w:type="dxa"/>
            <w:vAlign w:val="center"/>
          </w:tcPr>
          <w:p>
            <w:pPr>
              <w:autoSpaceDE w:val="0"/>
              <w:autoSpaceDN w:val="0"/>
              <w:adjustRightInd w:val="0"/>
              <w:snapToGrid w:val="0"/>
              <w:rPr>
                <w:rFonts w:ascii="宋体" w:hAnsi="宋体"/>
                <w:snapToGrid w:val="0"/>
                <w:kern w:val="0"/>
                <w:sz w:val="21"/>
                <w:szCs w:val="21"/>
              </w:rPr>
            </w:pPr>
            <w:r>
              <w:rPr>
                <w:rFonts w:ascii="宋体" w:hAnsi="宋体"/>
                <w:snapToGrid w:val="0"/>
                <w:kern w:val="0"/>
                <w:sz w:val="21"/>
                <w:szCs w:val="21"/>
              </w:rPr>
              <w:t>悬臂侧取式刮板取料机</w:t>
            </w:r>
          </w:p>
          <w:p>
            <w:pPr>
              <w:autoSpaceDE w:val="0"/>
              <w:autoSpaceDN w:val="0"/>
              <w:adjustRightInd w:val="0"/>
              <w:snapToGrid w:val="0"/>
              <w:rPr>
                <w:rFonts w:ascii="宋体" w:hAnsi="宋体"/>
                <w:snapToGrid w:val="0"/>
                <w:kern w:val="0"/>
                <w:sz w:val="21"/>
                <w:szCs w:val="21"/>
              </w:rPr>
            </w:pPr>
            <w:r>
              <w:rPr>
                <w:rFonts w:ascii="宋体" w:hAnsi="宋体"/>
                <w:snapToGrid w:val="0"/>
                <w:kern w:val="0"/>
                <w:sz w:val="21"/>
                <w:szCs w:val="21"/>
              </w:rPr>
              <w:t>型号：CQ130/23</w:t>
            </w:r>
          </w:p>
          <w:p>
            <w:pPr>
              <w:autoSpaceDE w:val="0"/>
              <w:autoSpaceDN w:val="0"/>
              <w:adjustRightInd w:val="0"/>
              <w:snapToGrid w:val="0"/>
              <w:rPr>
                <w:rFonts w:ascii="宋体" w:hAnsi="宋体"/>
                <w:snapToGrid w:val="0"/>
                <w:kern w:val="0"/>
                <w:sz w:val="21"/>
                <w:szCs w:val="21"/>
              </w:rPr>
            </w:pPr>
            <w:r>
              <w:rPr>
                <w:rFonts w:ascii="宋体" w:hAnsi="宋体"/>
                <w:snapToGrid w:val="0"/>
                <w:kern w:val="0"/>
                <w:sz w:val="21"/>
                <w:szCs w:val="21"/>
              </w:rPr>
              <w:t xml:space="preserve">刮板臂长度:  23m                  </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 xml:space="preserve">取料机构:   轨距:4m    </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行走速度:0.2~2m/min</w:t>
            </w:r>
          </w:p>
        </w:tc>
        <w:tc>
          <w:tcPr>
            <w:tcW w:w="1188" w:type="dxa"/>
            <w:vAlign w:val="center"/>
          </w:tcPr>
          <w:p>
            <w:pPr>
              <w:pStyle w:val="30"/>
              <w:keepNext w:val="0"/>
              <w:suppressAutoHyphens/>
              <w:snapToGrid w:val="0"/>
              <w:spacing w:before="0" w:after="0" w:line="240" w:lineRule="auto"/>
              <w:ind w:firstLine="420"/>
              <w:jc w:val="both"/>
              <w:rPr>
                <w:rFonts w:ascii="宋体" w:hAnsi="宋体"/>
                <w:snapToGrid w:val="0"/>
                <w:sz w:val="21"/>
                <w:szCs w:val="21"/>
              </w:rPr>
            </w:pPr>
            <w:r>
              <w:rPr>
                <w:rFonts w:ascii="宋体" w:hAnsi="宋体"/>
                <w:snapToGrid w:val="0"/>
                <w:sz w:val="21"/>
                <w:szCs w:val="21"/>
              </w:rPr>
              <w:t>130</w:t>
            </w:r>
          </w:p>
        </w:tc>
        <w:tc>
          <w:tcPr>
            <w:tcW w:w="54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18.82</w:t>
            </w:r>
          </w:p>
        </w:tc>
        <w:tc>
          <w:tcPr>
            <w:tcW w:w="750" w:type="dxa"/>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1" w:hRule="atLeast"/>
          <w:jc w:val="center"/>
        </w:trPr>
        <w:tc>
          <w:tcPr>
            <w:tcW w:w="546"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5</w:t>
            </w:r>
          </w:p>
        </w:tc>
        <w:tc>
          <w:tcPr>
            <w:tcW w:w="1447" w:type="dxa"/>
            <w:vAlign w:val="center"/>
          </w:tcPr>
          <w:p>
            <w:pPr>
              <w:suppressAutoHyphens/>
              <w:adjustRightInd w:val="0"/>
              <w:snapToGrid w:val="0"/>
              <w:ind w:left="-59" w:right="-64"/>
              <w:rPr>
                <w:rFonts w:ascii="宋体" w:hAnsi="宋体"/>
                <w:snapToGrid w:val="0"/>
                <w:kern w:val="0"/>
                <w:sz w:val="21"/>
                <w:szCs w:val="21"/>
              </w:rPr>
            </w:pPr>
            <w:r>
              <w:rPr>
                <w:rFonts w:ascii="宋体" w:hAnsi="宋体"/>
                <w:snapToGrid w:val="0"/>
                <w:kern w:val="0"/>
                <w:sz w:val="21"/>
                <w:szCs w:val="21"/>
              </w:rPr>
              <w:t>原煤破碎</w:t>
            </w:r>
          </w:p>
        </w:tc>
        <w:tc>
          <w:tcPr>
            <w:tcW w:w="343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环锤式破碎机：PCH-1010</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进料粒度:</w:t>
            </w:r>
            <w:r>
              <w:rPr>
                <w:rFonts w:ascii="宋体" w:hAnsi="宋体"/>
                <w:snapToGrid w:val="0"/>
                <w:kern w:val="0"/>
                <w:sz w:val="21"/>
                <w:szCs w:val="21"/>
              </w:rPr>
              <w:tab/>
            </w:r>
            <w:r>
              <w:rPr>
                <w:rFonts w:ascii="宋体" w:hAnsi="宋体"/>
                <w:snapToGrid w:val="0"/>
                <w:kern w:val="0"/>
                <w:sz w:val="21"/>
                <w:szCs w:val="21"/>
              </w:rPr>
              <w:t>≤300mm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出料粒度:</w:t>
            </w:r>
            <w:r>
              <w:rPr>
                <w:rFonts w:ascii="宋体" w:hAnsi="宋体"/>
                <w:snapToGrid w:val="0"/>
                <w:kern w:val="0"/>
                <w:sz w:val="21"/>
                <w:szCs w:val="21"/>
              </w:rPr>
              <w:tab/>
            </w:r>
            <w:r>
              <w:rPr>
                <w:rFonts w:ascii="宋体" w:hAnsi="宋体"/>
                <w:snapToGrid w:val="0"/>
                <w:kern w:val="0"/>
                <w:sz w:val="21"/>
                <w:szCs w:val="21"/>
              </w:rPr>
              <w:t>≤30mm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电机功率:   110kW</w:t>
            </w:r>
          </w:p>
        </w:tc>
        <w:tc>
          <w:tcPr>
            <w:tcW w:w="1188" w:type="dxa"/>
            <w:vAlign w:val="center"/>
          </w:tcPr>
          <w:p>
            <w:pPr>
              <w:pStyle w:val="30"/>
              <w:keepNext w:val="0"/>
              <w:suppressAutoHyphens/>
              <w:snapToGrid w:val="0"/>
              <w:spacing w:before="0" w:after="0" w:line="240" w:lineRule="auto"/>
              <w:ind w:firstLine="420"/>
              <w:jc w:val="both"/>
              <w:rPr>
                <w:rFonts w:ascii="宋体" w:hAnsi="宋体"/>
                <w:snapToGrid w:val="0"/>
                <w:sz w:val="21"/>
                <w:szCs w:val="21"/>
              </w:rPr>
            </w:pPr>
            <w:r>
              <w:rPr>
                <w:rFonts w:ascii="宋体" w:hAnsi="宋体"/>
                <w:snapToGrid w:val="0"/>
                <w:sz w:val="21"/>
                <w:szCs w:val="21"/>
              </w:rPr>
              <w:t>160</w:t>
            </w:r>
          </w:p>
        </w:tc>
        <w:tc>
          <w:tcPr>
            <w:tcW w:w="54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6.95</w:t>
            </w:r>
          </w:p>
        </w:tc>
        <w:tc>
          <w:tcPr>
            <w:tcW w:w="750" w:type="dxa"/>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6"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6</w:t>
            </w:r>
          </w:p>
        </w:tc>
        <w:tc>
          <w:tcPr>
            <w:tcW w:w="1447" w:type="dxa"/>
            <w:vAlign w:val="center"/>
          </w:tcPr>
          <w:p>
            <w:pPr>
              <w:suppressAutoHyphens/>
              <w:adjustRightInd w:val="0"/>
              <w:snapToGrid w:val="0"/>
              <w:ind w:left="-59" w:right="-64"/>
              <w:rPr>
                <w:rFonts w:ascii="宋体" w:hAnsi="宋体"/>
                <w:snapToGrid w:val="0"/>
                <w:kern w:val="0"/>
                <w:sz w:val="21"/>
                <w:szCs w:val="21"/>
              </w:rPr>
            </w:pPr>
            <w:r>
              <w:rPr>
                <w:rFonts w:ascii="宋体" w:hAnsi="宋体"/>
                <w:snapToGrid w:val="0"/>
                <w:kern w:val="0"/>
                <w:sz w:val="21"/>
                <w:szCs w:val="21"/>
              </w:rPr>
              <w:t>煤预均化</w:t>
            </w:r>
          </w:p>
          <w:p>
            <w:pPr>
              <w:suppressAutoHyphens/>
              <w:adjustRightInd w:val="0"/>
              <w:snapToGrid w:val="0"/>
              <w:ind w:left="-59" w:right="-64"/>
              <w:rPr>
                <w:rFonts w:ascii="宋体" w:hAnsi="宋体"/>
                <w:snapToGrid w:val="0"/>
                <w:kern w:val="0"/>
                <w:sz w:val="21"/>
                <w:szCs w:val="21"/>
              </w:rPr>
            </w:pPr>
            <w:r>
              <w:rPr>
                <w:rFonts w:ascii="宋体" w:hAnsi="宋体"/>
                <w:snapToGrid w:val="0"/>
                <w:kern w:val="0"/>
                <w:sz w:val="21"/>
                <w:szCs w:val="21"/>
              </w:rPr>
              <w:t>堆场</w:t>
            </w:r>
          </w:p>
        </w:tc>
        <w:tc>
          <w:tcPr>
            <w:tcW w:w="343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煤堆料机:S型卸料小车</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煤取料机:桥式刮板取料机</w:t>
            </w:r>
          </w:p>
        </w:tc>
        <w:tc>
          <w:tcPr>
            <w:tcW w:w="1188"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220～60</w:t>
            </w:r>
          </w:p>
        </w:tc>
        <w:tc>
          <w:tcPr>
            <w:tcW w:w="54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5.05</w:t>
            </w:r>
          </w:p>
          <w:p>
            <w:pPr>
              <w:pStyle w:val="30"/>
              <w:keepNext w:val="0"/>
              <w:suppressAutoHyphens/>
              <w:snapToGrid w:val="0"/>
              <w:spacing w:before="0" w:after="0" w:line="240" w:lineRule="auto"/>
              <w:ind w:firstLine="420"/>
              <w:jc w:val="both"/>
              <w:rPr>
                <w:rFonts w:ascii="宋体" w:hAnsi="宋体"/>
                <w:snapToGrid w:val="0"/>
                <w:sz w:val="21"/>
                <w:szCs w:val="21"/>
              </w:rPr>
            </w:pPr>
            <w:r>
              <w:rPr>
                <w:rFonts w:ascii="宋体" w:hAnsi="宋体"/>
                <w:snapToGrid w:val="0"/>
                <w:sz w:val="21"/>
                <w:szCs w:val="21"/>
              </w:rPr>
              <w:t>18.53</w:t>
            </w:r>
          </w:p>
        </w:tc>
        <w:tc>
          <w:tcPr>
            <w:tcW w:w="750" w:type="dxa"/>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5" w:hRule="atLeast"/>
          <w:jc w:val="center"/>
        </w:trPr>
        <w:tc>
          <w:tcPr>
            <w:tcW w:w="546" w:type="dxa"/>
            <w:vMerge w:val="restart"/>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7</w:t>
            </w:r>
          </w:p>
        </w:tc>
        <w:tc>
          <w:tcPr>
            <w:tcW w:w="1447" w:type="dxa"/>
            <w:vMerge w:val="restart"/>
            <w:vAlign w:val="center"/>
          </w:tcPr>
          <w:p>
            <w:pPr>
              <w:suppressAutoHyphens/>
              <w:adjustRightInd w:val="0"/>
              <w:snapToGrid w:val="0"/>
              <w:rPr>
                <w:rFonts w:ascii="宋体" w:hAnsi="宋体"/>
                <w:sz w:val="21"/>
                <w:szCs w:val="21"/>
              </w:rPr>
            </w:pPr>
            <w:r>
              <w:rPr>
                <w:rFonts w:ascii="宋体" w:hAnsi="宋体"/>
                <w:sz w:val="21"/>
                <w:szCs w:val="21"/>
              </w:rPr>
              <w:t>生料粉磨</w:t>
            </w:r>
          </w:p>
        </w:tc>
        <w:tc>
          <w:tcPr>
            <w:tcW w:w="3430" w:type="dxa"/>
            <w:vAlign w:val="center"/>
          </w:tcPr>
          <w:p>
            <w:pPr>
              <w:suppressAutoHyphens/>
              <w:adjustRightInd w:val="0"/>
              <w:snapToGrid w:val="0"/>
              <w:rPr>
                <w:rFonts w:ascii="宋体" w:hAnsi="宋体"/>
                <w:sz w:val="21"/>
                <w:szCs w:val="21"/>
              </w:rPr>
            </w:pPr>
            <w:r>
              <w:rPr>
                <w:rFonts w:ascii="宋体" w:hAnsi="宋体"/>
                <w:sz w:val="21"/>
                <w:szCs w:val="21"/>
              </w:rPr>
              <w:t>立磨:</w:t>
            </w:r>
            <w:r>
              <w:rPr>
                <w:rFonts w:ascii="宋体" w:hAnsi="宋体"/>
                <w:sz w:val="21"/>
                <w:szCs w:val="21"/>
              </w:rPr>
              <w:tab/>
            </w:r>
            <w:r>
              <w:rPr>
                <w:rFonts w:ascii="宋体" w:hAnsi="宋体"/>
                <w:sz w:val="21"/>
                <w:szCs w:val="21"/>
              </w:rPr>
              <w:tab/>
            </w:r>
            <w:r>
              <w:rPr>
                <w:rFonts w:ascii="宋体" w:hAnsi="宋体"/>
                <w:sz w:val="21"/>
                <w:szCs w:val="21"/>
              </w:rPr>
              <w:t>MLS3626</w:t>
            </w:r>
          </w:p>
          <w:p>
            <w:pPr>
              <w:suppressAutoHyphens/>
              <w:adjustRightInd w:val="0"/>
              <w:snapToGrid w:val="0"/>
              <w:rPr>
                <w:rFonts w:ascii="宋体" w:hAnsi="宋体"/>
                <w:sz w:val="21"/>
                <w:szCs w:val="21"/>
              </w:rPr>
            </w:pPr>
            <w:r>
              <w:rPr>
                <w:rFonts w:ascii="宋体" w:hAnsi="宋体"/>
                <w:sz w:val="21"/>
                <w:szCs w:val="21"/>
              </w:rPr>
              <w:t>入磨水分:</w:t>
            </w:r>
            <w:r>
              <w:rPr>
                <w:rFonts w:ascii="宋体" w:hAnsi="宋体"/>
                <w:sz w:val="21"/>
                <w:szCs w:val="21"/>
              </w:rPr>
              <w:tab/>
            </w:r>
            <w:r>
              <w:rPr>
                <w:rFonts w:ascii="宋体" w:hAnsi="宋体"/>
                <w:sz w:val="21"/>
                <w:szCs w:val="21"/>
              </w:rPr>
              <w:t>≤10%</w:t>
            </w:r>
          </w:p>
          <w:p>
            <w:pPr>
              <w:suppressAutoHyphens/>
              <w:adjustRightInd w:val="0"/>
              <w:snapToGrid w:val="0"/>
              <w:rPr>
                <w:rFonts w:ascii="宋体" w:hAnsi="宋体"/>
                <w:sz w:val="21"/>
                <w:szCs w:val="21"/>
              </w:rPr>
            </w:pPr>
            <w:r>
              <w:rPr>
                <w:rFonts w:ascii="宋体" w:hAnsi="宋体"/>
                <w:sz w:val="21"/>
                <w:szCs w:val="21"/>
              </w:rPr>
              <w:t>入磨粒度:</w:t>
            </w:r>
            <w:r>
              <w:rPr>
                <w:rFonts w:ascii="宋体" w:hAnsi="宋体"/>
                <w:sz w:val="21"/>
                <w:szCs w:val="21"/>
              </w:rPr>
              <w:tab/>
            </w:r>
            <w:r>
              <w:rPr>
                <w:rFonts w:ascii="宋体" w:hAnsi="宋体"/>
                <w:sz w:val="21"/>
                <w:szCs w:val="21"/>
              </w:rPr>
              <w:t>≤80mm</w:t>
            </w:r>
          </w:p>
          <w:p>
            <w:pPr>
              <w:suppressAutoHyphens/>
              <w:adjustRightInd w:val="0"/>
              <w:snapToGrid w:val="0"/>
              <w:rPr>
                <w:rFonts w:ascii="宋体" w:hAnsi="宋体"/>
                <w:sz w:val="21"/>
                <w:szCs w:val="21"/>
              </w:rPr>
            </w:pPr>
            <w:r>
              <w:rPr>
                <w:rFonts w:ascii="宋体" w:hAnsi="宋体"/>
                <w:sz w:val="21"/>
                <w:szCs w:val="21"/>
              </w:rPr>
              <w:t>出磨水分:</w:t>
            </w:r>
            <w:r>
              <w:rPr>
                <w:rFonts w:ascii="宋体" w:hAnsi="宋体"/>
                <w:sz w:val="21"/>
                <w:szCs w:val="21"/>
              </w:rPr>
              <w:tab/>
            </w:r>
            <w:r>
              <w:rPr>
                <w:rFonts w:ascii="宋体" w:hAnsi="宋体"/>
                <w:sz w:val="21"/>
                <w:szCs w:val="21"/>
              </w:rPr>
              <w:t>≤0.5%</w:t>
            </w:r>
          </w:p>
          <w:p>
            <w:pPr>
              <w:suppressAutoHyphens/>
              <w:adjustRightInd w:val="0"/>
              <w:snapToGrid w:val="0"/>
              <w:rPr>
                <w:rFonts w:ascii="宋体" w:hAnsi="宋体"/>
                <w:sz w:val="21"/>
                <w:szCs w:val="21"/>
              </w:rPr>
            </w:pPr>
            <w:r>
              <w:rPr>
                <w:rFonts w:ascii="宋体" w:hAnsi="宋体"/>
                <w:sz w:val="21"/>
                <w:szCs w:val="21"/>
              </w:rPr>
              <w:t>出磨粒度:0.08mm筛余≤10%</w:t>
            </w:r>
          </w:p>
          <w:p>
            <w:pPr>
              <w:suppressAutoHyphens/>
              <w:adjustRightInd w:val="0"/>
              <w:snapToGrid w:val="0"/>
              <w:rPr>
                <w:rFonts w:hint="eastAsia" w:ascii="宋体" w:hAnsi="宋体"/>
                <w:sz w:val="21"/>
                <w:szCs w:val="21"/>
              </w:rPr>
            </w:pPr>
            <w:r>
              <w:rPr>
                <w:rFonts w:ascii="宋体" w:hAnsi="宋体"/>
                <w:sz w:val="21"/>
                <w:szCs w:val="21"/>
              </w:rPr>
              <w:t>电机功率:</w:t>
            </w:r>
            <w:r>
              <w:rPr>
                <w:rFonts w:ascii="宋体" w:hAnsi="宋体"/>
                <w:sz w:val="21"/>
                <w:szCs w:val="21"/>
              </w:rPr>
              <w:tab/>
            </w:r>
            <w:r>
              <w:rPr>
                <w:rFonts w:ascii="宋体" w:hAnsi="宋体"/>
                <w:sz w:val="21"/>
                <w:szCs w:val="21"/>
              </w:rPr>
              <w:t>～1850kW</w:t>
            </w:r>
          </w:p>
        </w:tc>
        <w:tc>
          <w:tcPr>
            <w:tcW w:w="1188" w:type="dxa"/>
            <w:vAlign w:val="center"/>
          </w:tcPr>
          <w:p>
            <w:pPr>
              <w:suppressAutoHyphens/>
              <w:adjustRightInd w:val="0"/>
              <w:snapToGrid w:val="0"/>
              <w:rPr>
                <w:rFonts w:ascii="宋体" w:hAnsi="宋体"/>
                <w:sz w:val="21"/>
                <w:szCs w:val="21"/>
              </w:rPr>
            </w:pPr>
            <w:r>
              <w:rPr>
                <w:rFonts w:ascii="宋体" w:hAnsi="宋体"/>
                <w:sz w:val="21"/>
                <w:szCs w:val="21"/>
              </w:rPr>
              <w:t>＞190</w:t>
            </w:r>
          </w:p>
        </w:tc>
        <w:tc>
          <w:tcPr>
            <w:tcW w:w="540" w:type="dxa"/>
            <w:vAlign w:val="center"/>
          </w:tcPr>
          <w:p>
            <w:pPr>
              <w:suppressAutoHyphens/>
              <w:adjustRightInd w:val="0"/>
              <w:snapToGrid w:val="0"/>
              <w:rPr>
                <w:rFonts w:ascii="宋体" w:hAnsi="宋体"/>
                <w:sz w:val="21"/>
                <w:szCs w:val="21"/>
              </w:rPr>
            </w:pPr>
            <w:r>
              <w:rPr>
                <w:rFonts w:ascii="宋体" w:hAnsi="宋体"/>
                <w:sz w:val="21"/>
                <w:szCs w:val="21"/>
              </w:rPr>
              <w:t>1</w:t>
            </w:r>
          </w:p>
        </w:tc>
        <w:tc>
          <w:tcPr>
            <w:tcW w:w="1264" w:type="dxa"/>
            <w:vAlign w:val="center"/>
          </w:tcPr>
          <w:p>
            <w:pPr>
              <w:pStyle w:val="30"/>
              <w:keepNext w:val="0"/>
              <w:suppressAutoHyphens/>
              <w:snapToGrid w:val="0"/>
              <w:spacing w:before="0" w:after="0" w:line="240" w:lineRule="auto"/>
              <w:ind w:firstLine="420"/>
              <w:jc w:val="both"/>
              <w:rPr>
                <w:rFonts w:ascii="宋体" w:hAnsi="宋体"/>
                <w:kern w:val="2"/>
                <w:sz w:val="21"/>
                <w:szCs w:val="21"/>
              </w:rPr>
            </w:pPr>
            <w:r>
              <w:rPr>
                <w:rFonts w:ascii="宋体" w:hAnsi="宋体"/>
                <w:kern w:val="2"/>
                <w:sz w:val="21"/>
                <w:szCs w:val="21"/>
              </w:rPr>
              <w:t>70.07</w:t>
            </w:r>
          </w:p>
        </w:tc>
        <w:tc>
          <w:tcPr>
            <w:tcW w:w="750" w:type="dxa"/>
            <w:vAlign w:val="center"/>
          </w:tcPr>
          <w:p>
            <w:pPr>
              <w:suppressAutoHyphens/>
              <w:adjustRightInd w:val="0"/>
              <w:snapToGrid w:val="0"/>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546" w:type="dxa"/>
            <w:vMerge w:val="continue"/>
            <w:vAlign w:val="center"/>
          </w:tcPr>
          <w:p>
            <w:pPr>
              <w:suppressAutoHyphens/>
              <w:adjustRightInd w:val="0"/>
              <w:snapToGrid w:val="0"/>
              <w:rPr>
                <w:rFonts w:ascii="宋体" w:hAnsi="宋体"/>
                <w:snapToGrid w:val="0"/>
                <w:kern w:val="0"/>
                <w:sz w:val="21"/>
                <w:szCs w:val="21"/>
              </w:rPr>
            </w:pPr>
          </w:p>
        </w:tc>
        <w:tc>
          <w:tcPr>
            <w:tcW w:w="1447" w:type="dxa"/>
            <w:vMerge w:val="continue"/>
            <w:vAlign w:val="center"/>
          </w:tcPr>
          <w:p>
            <w:pPr>
              <w:suppressAutoHyphens/>
              <w:adjustRightInd w:val="0"/>
              <w:snapToGrid w:val="0"/>
              <w:rPr>
                <w:rFonts w:ascii="宋体" w:hAnsi="宋体"/>
                <w:snapToGrid w:val="0"/>
                <w:kern w:val="0"/>
                <w:sz w:val="21"/>
                <w:szCs w:val="21"/>
              </w:rPr>
            </w:pPr>
          </w:p>
        </w:tc>
        <w:tc>
          <w:tcPr>
            <w:tcW w:w="3430" w:type="dxa"/>
            <w:vAlign w:val="center"/>
          </w:tcPr>
          <w:p>
            <w:pPr>
              <w:suppressAutoHyphens/>
              <w:adjustRightInd w:val="0"/>
              <w:snapToGrid w:val="0"/>
              <w:rPr>
                <w:rFonts w:ascii="宋体" w:hAnsi="宋体"/>
                <w:sz w:val="21"/>
                <w:szCs w:val="21"/>
              </w:rPr>
            </w:pPr>
            <w:r>
              <w:rPr>
                <w:rFonts w:ascii="宋体" w:hAnsi="宋体"/>
                <w:sz w:val="21"/>
                <w:szCs w:val="21"/>
              </w:rPr>
              <w:t>选粉机:</w:t>
            </w:r>
            <w:r>
              <w:rPr>
                <w:rFonts w:ascii="宋体" w:hAnsi="宋体"/>
                <w:sz w:val="21"/>
                <w:szCs w:val="21"/>
              </w:rPr>
              <w:tab/>
            </w:r>
            <w:r>
              <w:rPr>
                <w:rFonts w:ascii="宋体" w:hAnsi="宋体"/>
                <w:sz w:val="21"/>
                <w:szCs w:val="21"/>
              </w:rPr>
              <w:t>SLS3750</w:t>
            </w:r>
          </w:p>
          <w:p>
            <w:pPr>
              <w:suppressAutoHyphens/>
              <w:adjustRightInd w:val="0"/>
              <w:snapToGrid w:val="0"/>
              <w:rPr>
                <w:rFonts w:ascii="宋体" w:hAnsi="宋体"/>
                <w:snapToGrid w:val="0"/>
                <w:kern w:val="0"/>
                <w:sz w:val="21"/>
                <w:szCs w:val="21"/>
              </w:rPr>
            </w:pPr>
            <w:r>
              <w:rPr>
                <w:rFonts w:ascii="宋体" w:hAnsi="宋体"/>
                <w:sz w:val="21"/>
                <w:szCs w:val="21"/>
              </w:rPr>
              <w:t>电机功率:</w:t>
            </w:r>
            <w:r>
              <w:rPr>
                <w:rFonts w:ascii="宋体" w:hAnsi="宋体"/>
                <w:sz w:val="21"/>
                <w:szCs w:val="21"/>
              </w:rPr>
              <w:tab/>
            </w:r>
            <w:r>
              <w:rPr>
                <w:rFonts w:ascii="宋体" w:hAnsi="宋体"/>
                <w:sz w:val="21"/>
                <w:szCs w:val="21"/>
              </w:rPr>
              <w:t>75kW</w:t>
            </w:r>
          </w:p>
        </w:tc>
        <w:tc>
          <w:tcPr>
            <w:tcW w:w="1188" w:type="dxa"/>
            <w:vAlign w:val="center"/>
          </w:tcPr>
          <w:p>
            <w:pPr>
              <w:suppressAutoHyphens/>
              <w:adjustRightInd w:val="0"/>
              <w:snapToGrid w:val="0"/>
              <w:rPr>
                <w:rFonts w:ascii="宋体" w:hAnsi="宋体"/>
                <w:snapToGrid w:val="0"/>
                <w:kern w:val="0"/>
                <w:sz w:val="21"/>
                <w:szCs w:val="21"/>
              </w:rPr>
            </w:pPr>
          </w:p>
        </w:tc>
        <w:tc>
          <w:tcPr>
            <w:tcW w:w="540" w:type="dxa"/>
            <w:vAlign w:val="center"/>
          </w:tcPr>
          <w:p>
            <w:pPr>
              <w:suppressAutoHyphens/>
              <w:adjustRightInd w:val="0"/>
              <w:snapToGrid w:val="0"/>
              <w:rPr>
                <w:rFonts w:ascii="宋体" w:hAnsi="宋体"/>
                <w:snapToGrid w:val="0"/>
                <w:kern w:val="0"/>
                <w:sz w:val="21"/>
                <w:szCs w:val="21"/>
              </w:rPr>
            </w:pPr>
            <w:r>
              <w:rPr>
                <w:rFonts w:ascii="宋体" w:hAnsi="宋体"/>
                <w:sz w:val="21"/>
                <w:szCs w:val="21"/>
              </w:rPr>
              <w:t>1</w:t>
            </w:r>
          </w:p>
        </w:tc>
        <w:tc>
          <w:tcPr>
            <w:tcW w:w="1264" w:type="dxa"/>
            <w:vAlign w:val="center"/>
          </w:tcPr>
          <w:p>
            <w:pPr>
              <w:suppressAutoHyphens/>
              <w:adjustRightInd w:val="0"/>
              <w:snapToGrid w:val="0"/>
              <w:rPr>
                <w:rFonts w:ascii="宋体" w:hAnsi="宋体"/>
                <w:snapToGrid w:val="0"/>
                <w:kern w:val="0"/>
                <w:sz w:val="21"/>
                <w:szCs w:val="21"/>
              </w:rPr>
            </w:pPr>
            <w:r>
              <w:rPr>
                <w:rFonts w:ascii="宋体" w:hAnsi="宋体"/>
                <w:sz w:val="21"/>
                <w:szCs w:val="21"/>
              </w:rPr>
              <w:t>70.07</w:t>
            </w:r>
          </w:p>
        </w:tc>
        <w:tc>
          <w:tcPr>
            <w:tcW w:w="750" w:type="dxa"/>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6" w:hRule="atLeast"/>
          <w:jc w:val="center"/>
        </w:trPr>
        <w:tc>
          <w:tcPr>
            <w:tcW w:w="546" w:type="dxa"/>
            <w:vMerge w:val="continue"/>
            <w:tcBorders>
              <w:top w:val="nil"/>
            </w:tcBorders>
            <w:vAlign w:val="center"/>
          </w:tcPr>
          <w:p>
            <w:pPr>
              <w:suppressAutoHyphens/>
              <w:adjustRightInd w:val="0"/>
              <w:snapToGrid w:val="0"/>
              <w:rPr>
                <w:rFonts w:ascii="宋体" w:hAnsi="宋体"/>
                <w:snapToGrid w:val="0"/>
                <w:kern w:val="0"/>
                <w:sz w:val="21"/>
                <w:szCs w:val="21"/>
              </w:rPr>
            </w:pPr>
          </w:p>
        </w:tc>
        <w:tc>
          <w:tcPr>
            <w:tcW w:w="1447" w:type="dxa"/>
            <w:vMerge w:val="continue"/>
            <w:tcBorders>
              <w:top w:val="nil"/>
              <w:bottom w:val="single" w:color="auto" w:sz="4" w:space="0"/>
            </w:tcBorders>
            <w:vAlign w:val="center"/>
          </w:tcPr>
          <w:p>
            <w:pPr>
              <w:suppressAutoHyphens/>
              <w:adjustRightInd w:val="0"/>
              <w:snapToGrid w:val="0"/>
              <w:rPr>
                <w:rFonts w:ascii="宋体" w:hAnsi="宋体"/>
                <w:snapToGrid w:val="0"/>
                <w:kern w:val="0"/>
                <w:sz w:val="21"/>
                <w:szCs w:val="21"/>
              </w:rPr>
            </w:pPr>
          </w:p>
        </w:tc>
        <w:tc>
          <w:tcPr>
            <w:tcW w:w="3430" w:type="dxa"/>
            <w:tcBorders>
              <w:bottom w:val="single" w:color="auto" w:sz="4" w:space="0"/>
            </w:tcBorders>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循环风机</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处理风量: 420000m3/h</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全压:</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11000Pa</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电机功率: 1600kW</w:t>
            </w:r>
          </w:p>
        </w:tc>
        <w:tc>
          <w:tcPr>
            <w:tcW w:w="1188" w:type="dxa"/>
            <w:vMerge w:val="restart"/>
            <w:tcBorders>
              <w:bottom w:val="single" w:color="auto" w:sz="4" w:space="0"/>
            </w:tcBorders>
            <w:vAlign w:val="center"/>
          </w:tcPr>
          <w:p>
            <w:pPr>
              <w:suppressAutoHyphens/>
              <w:adjustRightInd w:val="0"/>
              <w:snapToGrid w:val="0"/>
              <w:rPr>
                <w:rFonts w:ascii="宋体" w:hAnsi="宋体"/>
                <w:snapToGrid w:val="0"/>
                <w:kern w:val="0"/>
                <w:sz w:val="21"/>
                <w:szCs w:val="21"/>
              </w:rPr>
            </w:pPr>
          </w:p>
          <w:p>
            <w:pPr>
              <w:suppressAutoHyphens/>
              <w:adjustRightInd w:val="0"/>
              <w:snapToGrid w:val="0"/>
              <w:rPr>
                <w:rFonts w:ascii="宋体" w:hAnsi="宋体"/>
                <w:snapToGrid w:val="0"/>
                <w:kern w:val="0"/>
                <w:sz w:val="21"/>
                <w:szCs w:val="21"/>
              </w:rPr>
            </w:pPr>
          </w:p>
        </w:tc>
        <w:tc>
          <w:tcPr>
            <w:tcW w:w="540" w:type="dxa"/>
            <w:tcBorders>
              <w:bottom w:val="single" w:color="auto" w:sz="4" w:space="0"/>
            </w:tcBorders>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Merge w:val="restart"/>
            <w:tcBorders>
              <w:bottom w:val="single" w:color="auto" w:sz="4" w:space="0"/>
            </w:tcBorders>
            <w:vAlign w:val="center"/>
          </w:tcPr>
          <w:p>
            <w:pPr>
              <w:suppressAutoHyphens/>
              <w:adjustRightInd w:val="0"/>
              <w:snapToGrid w:val="0"/>
              <w:rPr>
                <w:rFonts w:ascii="宋体" w:hAnsi="宋体"/>
                <w:snapToGrid w:val="0"/>
                <w:kern w:val="0"/>
                <w:sz w:val="21"/>
                <w:szCs w:val="21"/>
              </w:rPr>
            </w:pPr>
          </w:p>
          <w:p>
            <w:pPr>
              <w:suppressAutoHyphens/>
              <w:adjustRightInd w:val="0"/>
              <w:snapToGrid w:val="0"/>
              <w:rPr>
                <w:rFonts w:ascii="宋体" w:hAnsi="宋体"/>
                <w:snapToGrid w:val="0"/>
                <w:kern w:val="0"/>
                <w:sz w:val="21"/>
                <w:szCs w:val="21"/>
              </w:rPr>
            </w:pP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84.93</w:t>
            </w:r>
          </w:p>
        </w:tc>
        <w:tc>
          <w:tcPr>
            <w:tcW w:w="750" w:type="dxa"/>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6" w:type="dxa"/>
            <w:vMerge w:val="restart"/>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8</w:t>
            </w:r>
          </w:p>
        </w:tc>
        <w:tc>
          <w:tcPr>
            <w:tcW w:w="1447" w:type="dxa"/>
            <w:vMerge w:val="restart"/>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烧成窑尾</w:t>
            </w:r>
          </w:p>
        </w:tc>
        <w:tc>
          <w:tcPr>
            <w:tcW w:w="343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高温风机:</w:t>
            </w:r>
            <w:r>
              <w:rPr>
                <w:rFonts w:ascii="宋体" w:hAnsi="宋体"/>
                <w:snapToGrid w:val="0"/>
                <w:kern w:val="0"/>
                <w:sz w:val="21"/>
                <w:szCs w:val="21"/>
              </w:rPr>
              <w:tab/>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处理风量: 480000m3/h</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全压:</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7200Pa</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电机功率:</w:t>
            </w:r>
            <w:r>
              <w:rPr>
                <w:rFonts w:ascii="宋体" w:hAnsi="宋体"/>
                <w:snapToGrid w:val="0"/>
                <w:kern w:val="0"/>
                <w:sz w:val="21"/>
                <w:szCs w:val="21"/>
              </w:rPr>
              <w:tab/>
            </w:r>
            <w:r>
              <w:rPr>
                <w:rFonts w:ascii="宋体" w:hAnsi="宋体"/>
                <w:snapToGrid w:val="0"/>
                <w:kern w:val="0"/>
                <w:sz w:val="21"/>
                <w:szCs w:val="21"/>
              </w:rPr>
              <w:t>1600kW</w:t>
            </w:r>
          </w:p>
        </w:tc>
        <w:tc>
          <w:tcPr>
            <w:tcW w:w="1188" w:type="dxa"/>
            <w:vMerge w:val="continue"/>
            <w:vAlign w:val="center"/>
          </w:tcPr>
          <w:p>
            <w:pPr>
              <w:suppressAutoHyphens/>
              <w:adjustRightInd w:val="0"/>
              <w:snapToGrid w:val="0"/>
              <w:rPr>
                <w:rFonts w:ascii="宋体" w:hAnsi="宋体"/>
                <w:snapToGrid w:val="0"/>
                <w:kern w:val="0"/>
                <w:sz w:val="21"/>
                <w:szCs w:val="21"/>
              </w:rPr>
            </w:pPr>
          </w:p>
        </w:tc>
        <w:tc>
          <w:tcPr>
            <w:tcW w:w="54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Merge w:val="continue"/>
            <w:vAlign w:val="center"/>
          </w:tcPr>
          <w:p>
            <w:pPr>
              <w:suppressAutoHyphens/>
              <w:adjustRightInd w:val="0"/>
              <w:snapToGrid w:val="0"/>
              <w:rPr>
                <w:rFonts w:ascii="宋体" w:hAnsi="宋体"/>
                <w:snapToGrid w:val="0"/>
                <w:kern w:val="0"/>
                <w:sz w:val="21"/>
                <w:szCs w:val="21"/>
              </w:rPr>
            </w:pPr>
          </w:p>
        </w:tc>
        <w:tc>
          <w:tcPr>
            <w:tcW w:w="750" w:type="dxa"/>
            <w:tcBorders>
              <w:bottom w:val="single" w:color="auto" w:sz="4" w:space="0"/>
            </w:tcBorders>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5" w:hRule="atLeast"/>
          <w:jc w:val="center"/>
        </w:trPr>
        <w:tc>
          <w:tcPr>
            <w:tcW w:w="546" w:type="dxa"/>
            <w:vMerge w:val="continue"/>
            <w:tcBorders>
              <w:bottom w:val="nil"/>
            </w:tcBorders>
            <w:vAlign w:val="center"/>
          </w:tcPr>
          <w:p>
            <w:pPr>
              <w:suppressAutoHyphens/>
              <w:adjustRightInd w:val="0"/>
              <w:snapToGrid w:val="0"/>
              <w:rPr>
                <w:rFonts w:ascii="宋体" w:hAnsi="宋体"/>
                <w:snapToGrid w:val="0"/>
                <w:kern w:val="0"/>
                <w:sz w:val="21"/>
                <w:szCs w:val="21"/>
              </w:rPr>
            </w:pPr>
          </w:p>
        </w:tc>
        <w:tc>
          <w:tcPr>
            <w:tcW w:w="1447" w:type="dxa"/>
            <w:vMerge w:val="continue"/>
            <w:vAlign w:val="center"/>
          </w:tcPr>
          <w:p>
            <w:pPr>
              <w:suppressAutoHyphens/>
              <w:adjustRightInd w:val="0"/>
              <w:snapToGrid w:val="0"/>
              <w:rPr>
                <w:rFonts w:ascii="宋体" w:hAnsi="宋体"/>
                <w:snapToGrid w:val="0"/>
                <w:kern w:val="0"/>
                <w:sz w:val="21"/>
                <w:szCs w:val="21"/>
              </w:rPr>
            </w:pPr>
          </w:p>
        </w:tc>
        <w:tc>
          <w:tcPr>
            <w:tcW w:w="343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增湿塔:</w:t>
            </w:r>
            <w:r>
              <w:rPr>
                <w:rFonts w:ascii="宋体" w:hAnsi="宋体"/>
                <w:snapToGrid w:val="0"/>
                <w:kern w:val="0"/>
                <w:sz w:val="21"/>
                <w:szCs w:val="21"/>
              </w:rPr>
              <w:tab/>
            </w:r>
            <w:r>
              <w:rPr>
                <w:rFonts w:ascii="宋体" w:hAnsi="宋体"/>
                <w:snapToGrid w:val="0"/>
                <w:kern w:val="0"/>
                <w:sz w:val="21"/>
                <w:szCs w:val="21"/>
              </w:rPr>
              <w:t>Φ8.5×34m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处理风量:480000 m3/h</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喷水量:</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3.2-20t/h</w:t>
            </w:r>
          </w:p>
        </w:tc>
        <w:tc>
          <w:tcPr>
            <w:tcW w:w="1188" w:type="dxa"/>
            <w:vAlign w:val="center"/>
          </w:tcPr>
          <w:p>
            <w:pPr>
              <w:suppressAutoHyphens/>
              <w:adjustRightInd w:val="0"/>
              <w:snapToGrid w:val="0"/>
              <w:rPr>
                <w:rFonts w:ascii="宋体" w:hAnsi="宋体"/>
                <w:snapToGrid w:val="0"/>
                <w:kern w:val="0"/>
                <w:sz w:val="21"/>
                <w:szCs w:val="21"/>
              </w:rPr>
            </w:pPr>
          </w:p>
        </w:tc>
        <w:tc>
          <w:tcPr>
            <w:tcW w:w="54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Merge w:val="continue"/>
            <w:vAlign w:val="center"/>
          </w:tcPr>
          <w:p>
            <w:pPr>
              <w:suppressAutoHyphens/>
              <w:adjustRightInd w:val="0"/>
              <w:snapToGrid w:val="0"/>
              <w:rPr>
                <w:rFonts w:ascii="宋体" w:hAnsi="宋体"/>
                <w:snapToGrid w:val="0"/>
                <w:kern w:val="0"/>
                <w:sz w:val="21"/>
                <w:szCs w:val="21"/>
              </w:rPr>
            </w:pPr>
          </w:p>
        </w:tc>
        <w:tc>
          <w:tcPr>
            <w:tcW w:w="750" w:type="dxa"/>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6" w:type="dxa"/>
            <w:vMerge w:val="continue"/>
            <w:vAlign w:val="center"/>
          </w:tcPr>
          <w:p>
            <w:pPr>
              <w:suppressAutoHyphens/>
              <w:adjustRightInd w:val="0"/>
              <w:snapToGrid w:val="0"/>
              <w:rPr>
                <w:rFonts w:ascii="宋体" w:hAnsi="宋体"/>
                <w:snapToGrid w:val="0"/>
                <w:kern w:val="0"/>
                <w:sz w:val="21"/>
                <w:szCs w:val="21"/>
              </w:rPr>
            </w:pPr>
          </w:p>
        </w:tc>
        <w:tc>
          <w:tcPr>
            <w:tcW w:w="1447" w:type="dxa"/>
            <w:vMerge w:val="continue"/>
            <w:vAlign w:val="center"/>
          </w:tcPr>
          <w:p>
            <w:pPr>
              <w:suppressAutoHyphens/>
              <w:adjustRightInd w:val="0"/>
              <w:snapToGrid w:val="0"/>
              <w:rPr>
                <w:rFonts w:ascii="宋体" w:hAnsi="宋体"/>
                <w:snapToGrid w:val="0"/>
                <w:kern w:val="0"/>
                <w:sz w:val="21"/>
                <w:szCs w:val="21"/>
              </w:rPr>
            </w:pPr>
          </w:p>
        </w:tc>
        <w:tc>
          <w:tcPr>
            <w:tcW w:w="3430" w:type="dxa"/>
            <w:vAlign w:val="center"/>
          </w:tcPr>
          <w:p>
            <w:pPr>
              <w:suppressAutoHyphens/>
              <w:adjustRightInd w:val="0"/>
              <w:snapToGrid w:val="0"/>
              <w:rPr>
                <w:rFonts w:ascii="宋体" w:hAnsi="宋体"/>
                <w:snapToGrid w:val="0"/>
                <w:kern w:val="0"/>
                <w:sz w:val="21"/>
                <w:szCs w:val="21"/>
              </w:rPr>
            </w:pPr>
            <w:r>
              <w:rPr>
                <w:rFonts w:hint="eastAsia" w:ascii="宋体" w:hAnsi="宋体"/>
                <w:snapToGrid w:val="0"/>
                <w:kern w:val="0"/>
                <w:sz w:val="21"/>
                <w:szCs w:val="21"/>
              </w:rPr>
              <w:t>袋</w:t>
            </w:r>
            <w:r>
              <w:rPr>
                <w:rFonts w:ascii="宋体" w:hAnsi="宋体"/>
                <w:snapToGrid w:val="0"/>
                <w:kern w:val="0"/>
                <w:sz w:val="21"/>
                <w:szCs w:val="21"/>
              </w:rPr>
              <w:t>收尘器</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处理风量:480000m3/h</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出口浓度:≤100mg/Nm3</w:t>
            </w:r>
          </w:p>
        </w:tc>
        <w:tc>
          <w:tcPr>
            <w:tcW w:w="1188" w:type="dxa"/>
            <w:vAlign w:val="center"/>
          </w:tcPr>
          <w:p>
            <w:pPr>
              <w:suppressAutoHyphens/>
              <w:adjustRightInd w:val="0"/>
              <w:snapToGrid w:val="0"/>
              <w:rPr>
                <w:rFonts w:ascii="宋体" w:hAnsi="宋体"/>
                <w:snapToGrid w:val="0"/>
                <w:kern w:val="0"/>
                <w:sz w:val="21"/>
                <w:szCs w:val="21"/>
              </w:rPr>
            </w:pPr>
          </w:p>
        </w:tc>
        <w:tc>
          <w:tcPr>
            <w:tcW w:w="54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Merge w:val="restart"/>
            <w:vAlign w:val="center"/>
          </w:tcPr>
          <w:p>
            <w:pPr>
              <w:suppressAutoHyphens/>
              <w:adjustRightInd w:val="0"/>
              <w:snapToGrid w:val="0"/>
              <w:rPr>
                <w:rFonts w:ascii="宋体" w:hAnsi="宋体"/>
                <w:snapToGrid w:val="0"/>
                <w:kern w:val="0"/>
                <w:sz w:val="21"/>
                <w:szCs w:val="21"/>
              </w:rPr>
            </w:pP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84.93</w:t>
            </w:r>
          </w:p>
        </w:tc>
        <w:tc>
          <w:tcPr>
            <w:tcW w:w="750" w:type="dxa"/>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6" w:type="dxa"/>
            <w:vMerge w:val="continue"/>
            <w:vAlign w:val="center"/>
          </w:tcPr>
          <w:p>
            <w:pPr>
              <w:suppressAutoHyphens/>
              <w:adjustRightInd w:val="0"/>
              <w:snapToGrid w:val="0"/>
              <w:rPr>
                <w:rFonts w:ascii="宋体" w:hAnsi="宋体"/>
                <w:snapToGrid w:val="0"/>
                <w:kern w:val="0"/>
                <w:sz w:val="21"/>
                <w:szCs w:val="21"/>
              </w:rPr>
            </w:pPr>
          </w:p>
        </w:tc>
        <w:tc>
          <w:tcPr>
            <w:tcW w:w="1447" w:type="dxa"/>
            <w:vMerge w:val="continue"/>
            <w:vAlign w:val="center"/>
          </w:tcPr>
          <w:p>
            <w:pPr>
              <w:suppressAutoHyphens/>
              <w:adjustRightInd w:val="0"/>
              <w:snapToGrid w:val="0"/>
              <w:rPr>
                <w:rFonts w:ascii="宋体" w:hAnsi="宋体"/>
                <w:snapToGrid w:val="0"/>
                <w:kern w:val="0"/>
                <w:sz w:val="21"/>
                <w:szCs w:val="21"/>
              </w:rPr>
            </w:pPr>
          </w:p>
        </w:tc>
        <w:tc>
          <w:tcPr>
            <w:tcW w:w="343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废气风机</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处理风量:480000m3/h</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全压:</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1800Pa</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电机功率:</w:t>
            </w:r>
            <w:r>
              <w:rPr>
                <w:rFonts w:ascii="宋体" w:hAnsi="宋体"/>
                <w:snapToGrid w:val="0"/>
                <w:kern w:val="0"/>
                <w:sz w:val="21"/>
                <w:szCs w:val="21"/>
              </w:rPr>
              <w:tab/>
            </w:r>
            <w:r>
              <w:rPr>
                <w:rFonts w:ascii="宋体" w:hAnsi="宋体"/>
                <w:snapToGrid w:val="0"/>
                <w:kern w:val="0"/>
                <w:sz w:val="21"/>
                <w:szCs w:val="21"/>
              </w:rPr>
              <w:t>400kW</w:t>
            </w:r>
          </w:p>
        </w:tc>
        <w:tc>
          <w:tcPr>
            <w:tcW w:w="1188" w:type="dxa"/>
            <w:vAlign w:val="center"/>
          </w:tcPr>
          <w:p>
            <w:pPr>
              <w:suppressAutoHyphens/>
              <w:adjustRightInd w:val="0"/>
              <w:snapToGrid w:val="0"/>
              <w:rPr>
                <w:rFonts w:ascii="宋体" w:hAnsi="宋体"/>
                <w:snapToGrid w:val="0"/>
                <w:kern w:val="0"/>
                <w:sz w:val="21"/>
                <w:szCs w:val="21"/>
              </w:rPr>
            </w:pPr>
          </w:p>
        </w:tc>
        <w:tc>
          <w:tcPr>
            <w:tcW w:w="54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Merge w:val="continue"/>
            <w:vAlign w:val="center"/>
          </w:tcPr>
          <w:p>
            <w:pPr>
              <w:suppressAutoHyphens/>
              <w:adjustRightInd w:val="0"/>
              <w:snapToGrid w:val="0"/>
              <w:rPr>
                <w:rFonts w:ascii="宋体" w:hAnsi="宋体"/>
                <w:snapToGrid w:val="0"/>
                <w:kern w:val="0"/>
                <w:sz w:val="21"/>
                <w:szCs w:val="21"/>
              </w:rPr>
            </w:pPr>
          </w:p>
        </w:tc>
        <w:tc>
          <w:tcPr>
            <w:tcW w:w="750" w:type="dxa"/>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6" w:type="dxa"/>
            <w:vMerge w:val="continue"/>
            <w:vAlign w:val="center"/>
          </w:tcPr>
          <w:p>
            <w:pPr>
              <w:suppressAutoHyphens/>
              <w:adjustRightInd w:val="0"/>
              <w:snapToGrid w:val="0"/>
              <w:rPr>
                <w:rFonts w:ascii="宋体" w:hAnsi="宋体"/>
                <w:snapToGrid w:val="0"/>
                <w:kern w:val="0"/>
                <w:sz w:val="21"/>
                <w:szCs w:val="21"/>
              </w:rPr>
            </w:pPr>
          </w:p>
        </w:tc>
        <w:tc>
          <w:tcPr>
            <w:tcW w:w="1447" w:type="dxa"/>
            <w:vMerge w:val="continue"/>
            <w:vAlign w:val="center"/>
          </w:tcPr>
          <w:p>
            <w:pPr>
              <w:suppressAutoHyphens/>
              <w:adjustRightInd w:val="0"/>
              <w:snapToGrid w:val="0"/>
              <w:rPr>
                <w:rFonts w:ascii="宋体" w:hAnsi="宋体"/>
                <w:snapToGrid w:val="0"/>
                <w:kern w:val="0"/>
                <w:sz w:val="21"/>
                <w:szCs w:val="21"/>
              </w:rPr>
            </w:pPr>
          </w:p>
        </w:tc>
        <w:tc>
          <w:tcPr>
            <w:tcW w:w="343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五级旋风预热器及分解炉系统:</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CDCS2535</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C1:</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2-Φ4300mm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C2:</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1-Φ6500mm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C3:</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1-Φ6500mm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C4:</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1-Φ7100mm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C5:</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1-Φ7100mm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分解炉:</w:t>
            </w:r>
            <w:r>
              <w:rPr>
                <w:rFonts w:ascii="宋体" w:hAnsi="宋体"/>
                <w:snapToGrid w:val="0"/>
                <w:kern w:val="0"/>
                <w:sz w:val="21"/>
                <w:szCs w:val="21"/>
              </w:rPr>
              <w:tab/>
            </w:r>
            <w:r>
              <w:rPr>
                <w:rFonts w:ascii="宋体" w:hAnsi="宋体"/>
                <w:snapToGrid w:val="0"/>
                <w:kern w:val="0"/>
                <w:sz w:val="21"/>
                <w:szCs w:val="21"/>
              </w:rPr>
              <w:t>Φ6300 mm</w:t>
            </w:r>
          </w:p>
        </w:tc>
        <w:tc>
          <w:tcPr>
            <w:tcW w:w="1188"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104.17</w:t>
            </w:r>
          </w:p>
        </w:tc>
        <w:tc>
          <w:tcPr>
            <w:tcW w:w="54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Merge w:val="continue"/>
            <w:vAlign w:val="center"/>
          </w:tcPr>
          <w:p>
            <w:pPr>
              <w:suppressAutoHyphens/>
              <w:adjustRightInd w:val="0"/>
              <w:snapToGrid w:val="0"/>
              <w:rPr>
                <w:rFonts w:ascii="宋体" w:hAnsi="宋体"/>
                <w:snapToGrid w:val="0"/>
                <w:kern w:val="0"/>
                <w:sz w:val="21"/>
                <w:szCs w:val="21"/>
              </w:rPr>
            </w:pPr>
          </w:p>
        </w:tc>
        <w:tc>
          <w:tcPr>
            <w:tcW w:w="750" w:type="dxa"/>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6"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9</w:t>
            </w:r>
          </w:p>
        </w:tc>
        <w:tc>
          <w:tcPr>
            <w:tcW w:w="1447"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窑  中</w:t>
            </w:r>
          </w:p>
        </w:tc>
        <w:tc>
          <w:tcPr>
            <w:tcW w:w="343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回转窑:</w:t>
            </w:r>
            <w:r>
              <w:rPr>
                <w:rFonts w:ascii="宋体" w:hAnsi="宋体"/>
                <w:snapToGrid w:val="0"/>
                <w:kern w:val="0"/>
                <w:sz w:val="21"/>
                <w:szCs w:val="21"/>
              </w:rPr>
              <w:tab/>
            </w:r>
            <w:r>
              <w:rPr>
                <w:rFonts w:ascii="宋体" w:hAnsi="宋体"/>
                <w:snapToGrid w:val="0"/>
                <w:kern w:val="0"/>
                <w:sz w:val="21"/>
                <w:szCs w:val="21"/>
              </w:rPr>
              <w:t xml:space="preserve">Φ4×60m </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斜度:</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3.5%</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转速:</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0.40-4.05r/min</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电机功率:</w:t>
            </w:r>
            <w:r>
              <w:rPr>
                <w:rFonts w:ascii="宋体" w:hAnsi="宋体"/>
                <w:snapToGrid w:val="0"/>
                <w:kern w:val="0"/>
                <w:sz w:val="21"/>
                <w:szCs w:val="21"/>
              </w:rPr>
              <w:tab/>
            </w:r>
            <w:r>
              <w:rPr>
                <w:rFonts w:ascii="宋体" w:hAnsi="宋体"/>
                <w:snapToGrid w:val="0"/>
                <w:kern w:val="0"/>
                <w:sz w:val="21"/>
                <w:szCs w:val="21"/>
              </w:rPr>
              <w:t>315kW(DC)</w:t>
            </w:r>
          </w:p>
        </w:tc>
        <w:tc>
          <w:tcPr>
            <w:tcW w:w="1188"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104.17</w:t>
            </w:r>
          </w:p>
        </w:tc>
        <w:tc>
          <w:tcPr>
            <w:tcW w:w="54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Merge w:val="continue"/>
            <w:vAlign w:val="center"/>
          </w:tcPr>
          <w:p>
            <w:pPr>
              <w:suppressAutoHyphens/>
              <w:adjustRightInd w:val="0"/>
              <w:snapToGrid w:val="0"/>
              <w:rPr>
                <w:rFonts w:ascii="宋体" w:hAnsi="宋体"/>
                <w:snapToGrid w:val="0"/>
                <w:kern w:val="0"/>
                <w:sz w:val="21"/>
                <w:szCs w:val="21"/>
              </w:rPr>
            </w:pPr>
          </w:p>
        </w:tc>
        <w:tc>
          <w:tcPr>
            <w:tcW w:w="750" w:type="dxa"/>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6"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10</w:t>
            </w:r>
          </w:p>
        </w:tc>
        <w:tc>
          <w:tcPr>
            <w:tcW w:w="1447"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窑头熟料</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冷却</w:t>
            </w:r>
          </w:p>
        </w:tc>
        <w:tc>
          <w:tcPr>
            <w:tcW w:w="343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篦冷机：第三代空气梁</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篦床有效面积:</w:t>
            </w:r>
            <w:r>
              <w:rPr>
                <w:rFonts w:ascii="宋体" w:hAnsi="宋体"/>
                <w:snapToGrid w:val="0"/>
                <w:kern w:val="0"/>
                <w:sz w:val="21"/>
                <w:szCs w:val="21"/>
              </w:rPr>
              <w:tab/>
            </w:r>
            <w:r>
              <w:rPr>
                <w:rFonts w:ascii="宋体" w:hAnsi="宋体"/>
                <w:snapToGrid w:val="0"/>
                <w:kern w:val="0"/>
                <w:sz w:val="21"/>
                <w:szCs w:val="21"/>
              </w:rPr>
              <w:t>61.8m2</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出料温度:环境温度+65℃</w:t>
            </w:r>
          </w:p>
        </w:tc>
        <w:tc>
          <w:tcPr>
            <w:tcW w:w="1188"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104.17</w:t>
            </w:r>
          </w:p>
        </w:tc>
        <w:tc>
          <w:tcPr>
            <w:tcW w:w="54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84.93</w:t>
            </w:r>
          </w:p>
        </w:tc>
        <w:tc>
          <w:tcPr>
            <w:tcW w:w="750" w:type="dxa"/>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6"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11</w:t>
            </w:r>
          </w:p>
        </w:tc>
        <w:tc>
          <w:tcPr>
            <w:tcW w:w="1447"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窑头废气</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处理</w:t>
            </w:r>
          </w:p>
        </w:tc>
        <w:tc>
          <w:tcPr>
            <w:tcW w:w="343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电收尘器:</w:t>
            </w:r>
            <w:r>
              <w:rPr>
                <w:rFonts w:ascii="宋体" w:hAnsi="宋体"/>
                <w:snapToGrid w:val="0"/>
                <w:kern w:val="0"/>
                <w:sz w:val="21"/>
                <w:szCs w:val="21"/>
              </w:rPr>
              <w:tab/>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处理风量:</w:t>
            </w:r>
            <w:r>
              <w:rPr>
                <w:rFonts w:ascii="宋体" w:hAnsi="宋体"/>
                <w:snapToGrid w:val="0"/>
                <w:kern w:val="0"/>
                <w:sz w:val="21"/>
                <w:szCs w:val="21"/>
              </w:rPr>
              <w:tab/>
            </w:r>
            <w:r>
              <w:rPr>
                <w:rFonts w:ascii="宋体" w:hAnsi="宋体"/>
                <w:snapToGrid w:val="0"/>
                <w:kern w:val="0"/>
                <w:sz w:val="21"/>
                <w:szCs w:val="21"/>
              </w:rPr>
              <w:t>315000m3/h</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出口浓度:</w:t>
            </w:r>
            <w:r>
              <w:rPr>
                <w:rFonts w:ascii="宋体" w:hAnsi="宋体"/>
                <w:snapToGrid w:val="0"/>
                <w:kern w:val="0"/>
                <w:sz w:val="21"/>
                <w:szCs w:val="21"/>
              </w:rPr>
              <w:tab/>
            </w:r>
            <w:r>
              <w:rPr>
                <w:rFonts w:ascii="宋体" w:hAnsi="宋体"/>
                <w:snapToGrid w:val="0"/>
                <w:kern w:val="0"/>
                <w:sz w:val="21"/>
                <w:szCs w:val="21"/>
              </w:rPr>
              <w:t>≤80mg/Nm3</w:t>
            </w:r>
          </w:p>
          <w:p>
            <w:pPr>
              <w:suppressAutoHyphens/>
              <w:adjustRightInd w:val="0"/>
              <w:snapToGrid w:val="0"/>
              <w:rPr>
                <w:rFonts w:ascii="宋体" w:hAnsi="宋体"/>
                <w:snapToGrid w:val="0"/>
                <w:kern w:val="0"/>
                <w:sz w:val="21"/>
                <w:szCs w:val="21"/>
              </w:rPr>
            </w:pPr>
          </w:p>
          <w:p>
            <w:pPr>
              <w:suppressAutoHyphens/>
              <w:adjustRightInd w:val="0"/>
              <w:snapToGrid w:val="0"/>
              <w:rPr>
                <w:rFonts w:ascii="宋体" w:hAnsi="宋体"/>
                <w:snapToGrid w:val="0"/>
                <w:kern w:val="0"/>
                <w:sz w:val="21"/>
                <w:szCs w:val="21"/>
              </w:rPr>
            </w:pPr>
          </w:p>
        </w:tc>
        <w:tc>
          <w:tcPr>
            <w:tcW w:w="1188" w:type="dxa"/>
            <w:vAlign w:val="center"/>
          </w:tcPr>
          <w:p>
            <w:pPr>
              <w:suppressAutoHyphens/>
              <w:adjustRightInd w:val="0"/>
              <w:snapToGrid w:val="0"/>
              <w:rPr>
                <w:rFonts w:ascii="宋体" w:hAnsi="宋体"/>
                <w:snapToGrid w:val="0"/>
                <w:kern w:val="0"/>
                <w:sz w:val="21"/>
                <w:szCs w:val="21"/>
              </w:rPr>
            </w:pPr>
          </w:p>
        </w:tc>
        <w:tc>
          <w:tcPr>
            <w:tcW w:w="54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84.93</w:t>
            </w:r>
          </w:p>
        </w:tc>
        <w:tc>
          <w:tcPr>
            <w:tcW w:w="750" w:type="dxa"/>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6"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12</w:t>
            </w:r>
          </w:p>
        </w:tc>
        <w:tc>
          <w:tcPr>
            <w:tcW w:w="1447"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煤粉制备</w:t>
            </w:r>
          </w:p>
        </w:tc>
        <w:tc>
          <w:tcPr>
            <w:tcW w:w="343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立磨:</w:t>
            </w:r>
            <w:r>
              <w:rPr>
                <w:rFonts w:ascii="宋体" w:hAnsi="宋体"/>
                <w:snapToGrid w:val="0"/>
                <w:kern w:val="0"/>
                <w:sz w:val="21"/>
                <w:szCs w:val="21"/>
              </w:rPr>
              <w:tab/>
            </w:r>
            <w:r>
              <w:rPr>
                <w:rFonts w:ascii="宋体" w:hAnsi="宋体"/>
                <w:snapToGrid w:val="0"/>
                <w:kern w:val="0"/>
                <w:sz w:val="21"/>
                <w:szCs w:val="21"/>
              </w:rPr>
              <w:t>ZGM80G</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入料水分:</w:t>
            </w:r>
            <w:r>
              <w:rPr>
                <w:rFonts w:ascii="宋体" w:hAnsi="宋体"/>
                <w:snapToGrid w:val="0"/>
                <w:kern w:val="0"/>
                <w:sz w:val="21"/>
                <w:szCs w:val="21"/>
              </w:rPr>
              <w:tab/>
            </w:r>
            <w:r>
              <w:rPr>
                <w:rFonts w:ascii="宋体" w:hAnsi="宋体"/>
                <w:snapToGrid w:val="0"/>
                <w:kern w:val="0"/>
                <w:sz w:val="21"/>
                <w:szCs w:val="21"/>
              </w:rPr>
              <w:t>≤18%</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入料粒度:</w:t>
            </w:r>
            <w:r>
              <w:rPr>
                <w:rFonts w:ascii="宋体" w:hAnsi="宋体"/>
                <w:snapToGrid w:val="0"/>
                <w:kern w:val="0"/>
                <w:sz w:val="21"/>
                <w:szCs w:val="21"/>
              </w:rPr>
              <w:tab/>
            </w:r>
            <w:r>
              <w:rPr>
                <w:rFonts w:ascii="宋体" w:hAnsi="宋体"/>
                <w:snapToGrid w:val="0"/>
                <w:kern w:val="0"/>
                <w:sz w:val="21"/>
                <w:szCs w:val="21"/>
              </w:rPr>
              <w:t>≤40mm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出磨水分:</w:t>
            </w:r>
            <w:r>
              <w:rPr>
                <w:rFonts w:ascii="宋体" w:hAnsi="宋体"/>
                <w:snapToGrid w:val="0"/>
                <w:kern w:val="0"/>
                <w:sz w:val="21"/>
                <w:szCs w:val="21"/>
              </w:rPr>
              <w:tab/>
            </w:r>
            <w:r>
              <w:rPr>
                <w:rFonts w:ascii="宋体" w:hAnsi="宋体"/>
                <w:snapToGrid w:val="0"/>
                <w:kern w:val="0"/>
                <w:sz w:val="21"/>
                <w:szCs w:val="21"/>
              </w:rPr>
              <w:t>≤0.5%</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出磨粒度:</w:t>
            </w:r>
            <w:r>
              <w:rPr>
                <w:rFonts w:ascii="宋体" w:hAnsi="宋体"/>
                <w:snapToGrid w:val="0"/>
                <w:kern w:val="0"/>
                <w:sz w:val="21"/>
                <w:szCs w:val="21"/>
              </w:rPr>
              <w:tab/>
            </w:r>
            <w:r>
              <w:rPr>
                <w:rFonts w:ascii="宋体" w:hAnsi="宋体"/>
                <w:snapToGrid w:val="0"/>
                <w:kern w:val="0"/>
                <w:sz w:val="21"/>
                <w:szCs w:val="21"/>
              </w:rPr>
              <w:t>0.08mm筛余8-10%</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主电机功率:</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280kW</w:t>
            </w:r>
          </w:p>
        </w:tc>
        <w:tc>
          <w:tcPr>
            <w:tcW w:w="1188"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＞18</w:t>
            </w:r>
          </w:p>
        </w:tc>
        <w:tc>
          <w:tcPr>
            <w:tcW w:w="54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62.15</w:t>
            </w:r>
          </w:p>
        </w:tc>
        <w:tc>
          <w:tcPr>
            <w:tcW w:w="750" w:type="dxa"/>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6" w:type="dxa"/>
            <w:vMerge w:val="restart"/>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13</w:t>
            </w:r>
          </w:p>
        </w:tc>
        <w:tc>
          <w:tcPr>
            <w:tcW w:w="1447" w:type="dxa"/>
            <w:vMerge w:val="restart"/>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水泥粉磨</w:t>
            </w:r>
          </w:p>
        </w:tc>
        <w:tc>
          <w:tcPr>
            <w:tcW w:w="343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辊压机</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型号: Φ1400×6</w:t>
            </w:r>
            <w:r>
              <w:rPr>
                <w:rFonts w:hint="eastAsia" w:ascii="宋体" w:hAnsi="宋体"/>
                <w:snapToGrid w:val="0"/>
                <w:kern w:val="0"/>
                <w:sz w:val="21"/>
                <w:szCs w:val="21"/>
              </w:rPr>
              <w:t>3</w:t>
            </w:r>
            <w:r>
              <w:rPr>
                <w:rFonts w:ascii="宋体" w:hAnsi="宋体"/>
                <w:snapToGrid w:val="0"/>
                <w:kern w:val="0"/>
                <w:sz w:val="21"/>
                <w:szCs w:val="21"/>
              </w:rPr>
              <w:t>0</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设备重量:92吨</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电机功率: 2×500 kW</w:t>
            </w:r>
          </w:p>
        </w:tc>
        <w:tc>
          <w:tcPr>
            <w:tcW w:w="1188"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330</w:t>
            </w:r>
          </w:p>
        </w:tc>
        <w:tc>
          <w:tcPr>
            <w:tcW w:w="54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77.33</w:t>
            </w:r>
          </w:p>
        </w:tc>
        <w:tc>
          <w:tcPr>
            <w:tcW w:w="750" w:type="dxa"/>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6" w:type="dxa"/>
            <w:vMerge w:val="continue"/>
            <w:vAlign w:val="center"/>
          </w:tcPr>
          <w:p>
            <w:pPr>
              <w:suppressAutoHyphens/>
              <w:adjustRightInd w:val="0"/>
              <w:snapToGrid w:val="0"/>
              <w:rPr>
                <w:rFonts w:ascii="宋体" w:hAnsi="宋体"/>
                <w:snapToGrid w:val="0"/>
                <w:kern w:val="0"/>
                <w:sz w:val="21"/>
                <w:szCs w:val="21"/>
              </w:rPr>
            </w:pPr>
          </w:p>
        </w:tc>
        <w:tc>
          <w:tcPr>
            <w:tcW w:w="1447" w:type="dxa"/>
            <w:vMerge w:val="continue"/>
            <w:vAlign w:val="center"/>
          </w:tcPr>
          <w:p>
            <w:pPr>
              <w:suppressAutoHyphens/>
              <w:adjustRightInd w:val="0"/>
              <w:snapToGrid w:val="0"/>
              <w:rPr>
                <w:rFonts w:ascii="宋体" w:hAnsi="宋体"/>
                <w:snapToGrid w:val="0"/>
                <w:kern w:val="0"/>
                <w:sz w:val="21"/>
                <w:szCs w:val="21"/>
              </w:rPr>
            </w:pPr>
          </w:p>
        </w:tc>
        <w:tc>
          <w:tcPr>
            <w:tcW w:w="343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水泥磨:</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Ф4.2×13.0m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入料粒度:</w:t>
            </w:r>
            <w:r>
              <w:rPr>
                <w:rFonts w:ascii="宋体" w:hAnsi="宋体"/>
                <w:snapToGrid w:val="0"/>
                <w:kern w:val="0"/>
                <w:sz w:val="21"/>
                <w:szCs w:val="21"/>
              </w:rPr>
              <w:tab/>
            </w:r>
            <w:r>
              <w:rPr>
                <w:rFonts w:ascii="宋体" w:hAnsi="宋体"/>
                <w:snapToGrid w:val="0"/>
                <w:kern w:val="0"/>
                <w:sz w:val="21"/>
                <w:szCs w:val="21"/>
              </w:rPr>
              <w:t>≤25mm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产品细度:</w:t>
            </w:r>
            <w:r>
              <w:rPr>
                <w:rFonts w:ascii="宋体" w:hAnsi="宋体"/>
                <w:snapToGrid w:val="0"/>
                <w:kern w:val="0"/>
                <w:sz w:val="21"/>
                <w:szCs w:val="21"/>
              </w:rPr>
              <w:tab/>
            </w:r>
            <w:r>
              <w:rPr>
                <w:rFonts w:ascii="宋体" w:hAnsi="宋体"/>
                <w:snapToGrid w:val="0"/>
                <w:kern w:val="0"/>
                <w:sz w:val="21"/>
                <w:szCs w:val="21"/>
              </w:rPr>
              <w:t>比表面积3500cm2/g</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主电机功率:</w:t>
            </w:r>
            <w:r>
              <w:rPr>
                <w:rFonts w:ascii="宋体" w:hAnsi="宋体"/>
                <w:snapToGrid w:val="0"/>
                <w:kern w:val="0"/>
                <w:sz w:val="21"/>
                <w:szCs w:val="21"/>
              </w:rPr>
              <w:tab/>
            </w:r>
            <w:r>
              <w:rPr>
                <w:rFonts w:ascii="宋体" w:hAnsi="宋体"/>
                <w:snapToGrid w:val="0"/>
                <w:kern w:val="0"/>
                <w:sz w:val="21"/>
                <w:szCs w:val="21"/>
              </w:rPr>
              <w:t>3250kW</w:t>
            </w:r>
          </w:p>
        </w:tc>
        <w:tc>
          <w:tcPr>
            <w:tcW w:w="1188"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155</w:t>
            </w:r>
          </w:p>
        </w:tc>
        <w:tc>
          <w:tcPr>
            <w:tcW w:w="54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77.33</w:t>
            </w:r>
          </w:p>
        </w:tc>
        <w:tc>
          <w:tcPr>
            <w:tcW w:w="750" w:type="dxa"/>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546" w:type="dxa"/>
            <w:vMerge w:val="continue"/>
            <w:vAlign w:val="center"/>
          </w:tcPr>
          <w:p>
            <w:pPr>
              <w:suppressAutoHyphens/>
              <w:adjustRightInd w:val="0"/>
              <w:snapToGrid w:val="0"/>
              <w:rPr>
                <w:rFonts w:ascii="宋体" w:hAnsi="宋体"/>
                <w:snapToGrid w:val="0"/>
                <w:kern w:val="0"/>
                <w:sz w:val="21"/>
                <w:szCs w:val="21"/>
              </w:rPr>
            </w:pPr>
          </w:p>
        </w:tc>
        <w:tc>
          <w:tcPr>
            <w:tcW w:w="1447" w:type="dxa"/>
            <w:vMerge w:val="continue"/>
            <w:vAlign w:val="center"/>
          </w:tcPr>
          <w:p>
            <w:pPr>
              <w:suppressAutoHyphens/>
              <w:adjustRightInd w:val="0"/>
              <w:snapToGrid w:val="0"/>
              <w:rPr>
                <w:rFonts w:ascii="宋体" w:hAnsi="宋体"/>
                <w:snapToGrid w:val="0"/>
                <w:kern w:val="0"/>
                <w:sz w:val="21"/>
                <w:szCs w:val="21"/>
              </w:rPr>
            </w:pPr>
          </w:p>
        </w:tc>
        <w:tc>
          <w:tcPr>
            <w:tcW w:w="343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选粉机:</w:t>
            </w:r>
            <w:r>
              <w:rPr>
                <w:rFonts w:ascii="宋体" w:hAnsi="宋体"/>
                <w:snapToGrid w:val="0"/>
                <w:kern w:val="0"/>
                <w:sz w:val="21"/>
                <w:szCs w:val="21"/>
              </w:rPr>
              <w:tab/>
            </w:r>
            <w:r>
              <w:rPr>
                <w:rFonts w:ascii="宋体" w:hAnsi="宋体"/>
                <w:snapToGrid w:val="0"/>
                <w:kern w:val="0"/>
                <w:sz w:val="21"/>
                <w:szCs w:val="21"/>
              </w:rPr>
              <w:t>O-Sepa N3000</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电机功率:</w:t>
            </w:r>
            <w:r>
              <w:rPr>
                <w:rFonts w:ascii="宋体" w:hAnsi="宋体"/>
                <w:snapToGrid w:val="0"/>
                <w:kern w:val="0"/>
                <w:sz w:val="21"/>
                <w:szCs w:val="21"/>
              </w:rPr>
              <w:tab/>
            </w:r>
            <w:r>
              <w:rPr>
                <w:rFonts w:ascii="宋体" w:hAnsi="宋体"/>
                <w:snapToGrid w:val="0"/>
                <w:kern w:val="0"/>
                <w:sz w:val="21"/>
                <w:szCs w:val="21"/>
              </w:rPr>
              <w:t>160kW</w:t>
            </w:r>
          </w:p>
        </w:tc>
        <w:tc>
          <w:tcPr>
            <w:tcW w:w="1188"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80-150</w:t>
            </w:r>
          </w:p>
        </w:tc>
        <w:tc>
          <w:tcPr>
            <w:tcW w:w="54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77.33</w:t>
            </w:r>
          </w:p>
        </w:tc>
        <w:tc>
          <w:tcPr>
            <w:tcW w:w="750" w:type="dxa"/>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3" w:hRule="atLeast"/>
          <w:jc w:val="center"/>
        </w:trPr>
        <w:tc>
          <w:tcPr>
            <w:tcW w:w="546"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14</w:t>
            </w:r>
          </w:p>
        </w:tc>
        <w:tc>
          <w:tcPr>
            <w:tcW w:w="1447"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石膏</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破碎</w:t>
            </w:r>
          </w:p>
        </w:tc>
        <w:tc>
          <w:tcPr>
            <w:tcW w:w="3430" w:type="dxa"/>
            <w:vAlign w:val="center"/>
          </w:tcPr>
          <w:p>
            <w:pPr>
              <w:autoSpaceDE w:val="0"/>
              <w:autoSpaceDN w:val="0"/>
              <w:adjustRightInd w:val="0"/>
              <w:snapToGrid w:val="0"/>
              <w:rPr>
                <w:rFonts w:ascii="宋体" w:hAnsi="宋体"/>
                <w:snapToGrid w:val="0"/>
                <w:kern w:val="0"/>
                <w:sz w:val="21"/>
                <w:szCs w:val="21"/>
              </w:rPr>
            </w:pPr>
            <w:r>
              <w:rPr>
                <w:rFonts w:ascii="宋体" w:hAnsi="宋体"/>
                <w:snapToGrid w:val="0"/>
                <w:kern w:val="0"/>
                <w:sz w:val="21"/>
                <w:szCs w:val="21"/>
              </w:rPr>
              <w:t>锤式破碎机</w:t>
            </w:r>
          </w:p>
          <w:p>
            <w:pPr>
              <w:autoSpaceDE w:val="0"/>
              <w:autoSpaceDN w:val="0"/>
              <w:adjustRightInd w:val="0"/>
              <w:snapToGrid w:val="0"/>
              <w:rPr>
                <w:rFonts w:ascii="宋体" w:hAnsi="宋体"/>
                <w:snapToGrid w:val="0"/>
                <w:kern w:val="0"/>
                <w:sz w:val="21"/>
                <w:szCs w:val="21"/>
              </w:rPr>
            </w:pPr>
            <w:r>
              <w:rPr>
                <w:rFonts w:ascii="宋体" w:hAnsi="宋体"/>
                <w:snapToGrid w:val="0"/>
                <w:kern w:val="0"/>
                <w:sz w:val="21"/>
                <w:szCs w:val="21"/>
              </w:rPr>
              <w:t>型号:   PFC-1609</w:t>
            </w:r>
          </w:p>
          <w:p>
            <w:pPr>
              <w:autoSpaceDE w:val="0"/>
              <w:autoSpaceDN w:val="0"/>
              <w:adjustRightInd w:val="0"/>
              <w:snapToGrid w:val="0"/>
              <w:rPr>
                <w:rFonts w:ascii="宋体" w:hAnsi="宋体"/>
                <w:snapToGrid w:val="0"/>
                <w:kern w:val="0"/>
                <w:sz w:val="21"/>
                <w:szCs w:val="21"/>
              </w:rPr>
            </w:pPr>
            <w:r>
              <w:rPr>
                <w:rFonts w:ascii="宋体" w:hAnsi="宋体"/>
                <w:snapToGrid w:val="0"/>
                <w:kern w:val="0"/>
                <w:sz w:val="21"/>
                <w:szCs w:val="21"/>
              </w:rPr>
              <w:t>转子工作圆尺寸:φ1680×918</w:t>
            </w:r>
          </w:p>
          <w:p>
            <w:pPr>
              <w:autoSpaceDE w:val="0"/>
              <w:autoSpaceDN w:val="0"/>
              <w:adjustRightInd w:val="0"/>
              <w:snapToGrid w:val="0"/>
              <w:rPr>
                <w:rFonts w:ascii="宋体" w:hAnsi="宋体"/>
                <w:snapToGrid w:val="0"/>
                <w:kern w:val="0"/>
                <w:sz w:val="21"/>
                <w:szCs w:val="21"/>
              </w:rPr>
            </w:pPr>
            <w:r>
              <w:rPr>
                <w:rFonts w:ascii="宋体" w:hAnsi="宋体"/>
                <w:snapToGrid w:val="0"/>
                <w:kern w:val="0"/>
                <w:sz w:val="21"/>
                <w:szCs w:val="21"/>
              </w:rPr>
              <w:t>最大进料粒度＜600 mm</w:t>
            </w:r>
          </w:p>
          <w:p>
            <w:pPr>
              <w:autoSpaceDE w:val="0"/>
              <w:autoSpaceDN w:val="0"/>
              <w:adjustRightInd w:val="0"/>
              <w:snapToGrid w:val="0"/>
              <w:rPr>
                <w:rFonts w:ascii="宋体" w:hAnsi="宋体"/>
                <w:snapToGrid w:val="0"/>
                <w:kern w:val="0"/>
                <w:sz w:val="21"/>
                <w:szCs w:val="21"/>
              </w:rPr>
            </w:pPr>
            <w:r>
              <w:rPr>
                <w:rFonts w:ascii="宋体" w:hAnsi="宋体"/>
                <w:snapToGrid w:val="0"/>
                <w:kern w:val="0"/>
                <w:sz w:val="21"/>
                <w:szCs w:val="21"/>
              </w:rPr>
              <w:t>出料粒度 :≤25 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转子转速:745  r/min</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电机功率: 2×500 kW</w:t>
            </w:r>
          </w:p>
        </w:tc>
        <w:tc>
          <w:tcPr>
            <w:tcW w:w="1188"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50～70</w:t>
            </w:r>
          </w:p>
        </w:tc>
        <w:tc>
          <w:tcPr>
            <w:tcW w:w="54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5.77</w:t>
            </w:r>
          </w:p>
        </w:tc>
        <w:tc>
          <w:tcPr>
            <w:tcW w:w="750" w:type="dxa"/>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4" w:hRule="atLeast"/>
          <w:jc w:val="center"/>
        </w:trPr>
        <w:tc>
          <w:tcPr>
            <w:tcW w:w="546"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15</w:t>
            </w:r>
          </w:p>
        </w:tc>
        <w:tc>
          <w:tcPr>
            <w:tcW w:w="1447"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水泥包装</w:t>
            </w:r>
          </w:p>
        </w:tc>
        <w:tc>
          <w:tcPr>
            <w:tcW w:w="343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八嘴回转式包装机</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计量精度: +0.5kg</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 xml:space="preserve">          -0.2kg</w:t>
            </w:r>
          </w:p>
        </w:tc>
        <w:tc>
          <w:tcPr>
            <w:tcW w:w="1188"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100</w:t>
            </w:r>
          </w:p>
        </w:tc>
        <w:tc>
          <w:tcPr>
            <w:tcW w:w="54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2</w:t>
            </w:r>
          </w:p>
        </w:tc>
        <w:tc>
          <w:tcPr>
            <w:tcW w:w="1264"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48.66</w:t>
            </w:r>
          </w:p>
        </w:tc>
        <w:tc>
          <w:tcPr>
            <w:tcW w:w="750" w:type="dxa"/>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546"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16</w:t>
            </w:r>
          </w:p>
        </w:tc>
        <w:tc>
          <w:tcPr>
            <w:tcW w:w="1447" w:type="dxa"/>
            <w:vAlign w:val="center"/>
          </w:tcPr>
          <w:p>
            <w:pPr>
              <w:suppressAutoHyphens/>
              <w:adjustRightInd w:val="0"/>
              <w:snapToGrid w:val="0"/>
              <w:rPr>
                <w:rFonts w:ascii="宋体" w:hAnsi="宋体"/>
                <w:snapToGrid w:val="0"/>
                <w:kern w:val="0"/>
                <w:sz w:val="21"/>
                <w:szCs w:val="21"/>
              </w:rPr>
            </w:pP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空压机站</w:t>
            </w:r>
          </w:p>
        </w:tc>
        <w:tc>
          <w:tcPr>
            <w:tcW w:w="343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螺杆式空压机</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排气量:      25m3/min</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排气压力:    0.8MPa</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电机功率:    132kW</w:t>
            </w:r>
          </w:p>
        </w:tc>
        <w:tc>
          <w:tcPr>
            <w:tcW w:w="1188" w:type="dxa"/>
            <w:vAlign w:val="center"/>
          </w:tcPr>
          <w:p>
            <w:pPr>
              <w:suppressAutoHyphens/>
              <w:adjustRightInd w:val="0"/>
              <w:snapToGrid w:val="0"/>
              <w:rPr>
                <w:rFonts w:ascii="宋体" w:hAnsi="宋体"/>
                <w:snapToGrid w:val="0"/>
                <w:kern w:val="0"/>
                <w:sz w:val="21"/>
                <w:szCs w:val="21"/>
              </w:rPr>
            </w:pPr>
          </w:p>
        </w:tc>
        <w:tc>
          <w:tcPr>
            <w:tcW w:w="540" w:type="dxa"/>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5</w:t>
            </w:r>
          </w:p>
        </w:tc>
        <w:tc>
          <w:tcPr>
            <w:tcW w:w="1264" w:type="dxa"/>
            <w:vAlign w:val="center"/>
          </w:tcPr>
          <w:p>
            <w:pPr>
              <w:suppressAutoHyphens/>
              <w:adjustRightInd w:val="0"/>
              <w:snapToGrid w:val="0"/>
              <w:rPr>
                <w:rFonts w:ascii="宋体" w:hAnsi="宋体"/>
                <w:snapToGrid w:val="0"/>
                <w:kern w:val="0"/>
                <w:sz w:val="21"/>
                <w:szCs w:val="21"/>
              </w:rPr>
            </w:pPr>
          </w:p>
        </w:tc>
        <w:tc>
          <w:tcPr>
            <w:tcW w:w="750" w:type="dxa"/>
            <w:vAlign w:val="center"/>
          </w:tcPr>
          <w:p>
            <w:pPr>
              <w:suppressAutoHyphens/>
              <w:adjustRightInd w:val="0"/>
              <w:snapToGrid w:val="0"/>
              <w:rPr>
                <w:rFonts w:ascii="宋体" w:hAnsi="宋体"/>
                <w:snapToGrid w:val="0"/>
                <w:kern w:val="0"/>
                <w:sz w:val="21"/>
                <w:szCs w:val="21"/>
              </w:rPr>
            </w:pPr>
          </w:p>
        </w:tc>
      </w:tr>
    </w:tbl>
    <w:p>
      <w:pPr>
        <w:spacing w:line="300" w:lineRule="auto"/>
        <w:ind w:firstLine="420" w:firstLineChars="200"/>
        <w:rPr>
          <w:rFonts w:hint="eastAsia"/>
          <w:szCs w:val="28"/>
        </w:rPr>
      </w:pPr>
    </w:p>
    <w:p>
      <w:pPr>
        <w:spacing w:line="480" w:lineRule="exact"/>
        <w:jc w:val="center"/>
        <w:rPr>
          <w:rFonts w:hint="eastAsia" w:ascii="宋体" w:hAnsi="宋体"/>
          <w:b/>
        </w:rPr>
      </w:pPr>
    </w:p>
    <w:p>
      <w:pPr>
        <w:spacing w:line="480" w:lineRule="exact"/>
        <w:jc w:val="center"/>
        <w:rPr>
          <w:rFonts w:hint="eastAsia" w:ascii="宋体" w:hAnsi="宋体"/>
          <w:b/>
        </w:rPr>
      </w:pPr>
      <w:r>
        <w:rPr>
          <w:rFonts w:hint="eastAsia" w:ascii="宋体" w:hAnsi="宋体"/>
          <w:b/>
        </w:rPr>
        <w:t>表3-3   物料储存方式、储存量及储存期</w:t>
      </w:r>
    </w:p>
    <w:tbl>
      <w:tblPr>
        <w:tblStyle w:val="21"/>
        <w:tblW w:w="78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200"/>
        <w:gridCol w:w="2473"/>
        <w:gridCol w:w="1302"/>
        <w:gridCol w:w="1302"/>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tblHeader/>
          <w:jc w:val="center"/>
        </w:trPr>
        <w:tc>
          <w:tcPr>
            <w:tcW w:w="793"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序号</w:t>
            </w:r>
          </w:p>
        </w:tc>
        <w:tc>
          <w:tcPr>
            <w:tcW w:w="1200"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物料名称</w:t>
            </w:r>
          </w:p>
        </w:tc>
        <w:tc>
          <w:tcPr>
            <w:tcW w:w="2473"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储 库 形 式</w:t>
            </w:r>
          </w:p>
        </w:tc>
        <w:tc>
          <w:tcPr>
            <w:tcW w:w="1302"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储存量(t)</w:t>
            </w:r>
          </w:p>
        </w:tc>
        <w:tc>
          <w:tcPr>
            <w:tcW w:w="1302"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储存期(d)</w:t>
            </w:r>
          </w:p>
        </w:tc>
        <w:tc>
          <w:tcPr>
            <w:tcW w:w="792" w:type="dxa"/>
            <w:vAlign w:val="center"/>
          </w:tcPr>
          <w:p>
            <w:pPr>
              <w:suppressAutoHyphens/>
              <w:adjustRightInd w:val="0"/>
              <w:snapToGrid w:val="0"/>
              <w:spacing w:line="560" w:lineRule="exact"/>
              <w:jc w:val="center"/>
              <w:rPr>
                <w:rFonts w:ascii="宋体" w:hAnsi="宋体"/>
                <w:snapToGrid w:val="0"/>
                <w:kern w:val="0"/>
                <w:sz w:val="21"/>
                <w:szCs w:val="21"/>
              </w:rPr>
            </w:pPr>
            <w:r>
              <w:rPr>
                <w:rFonts w:ascii="宋体" w:hAnsi="宋体"/>
                <w:snapToGrid w:val="0"/>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tblHeader/>
          <w:jc w:val="center"/>
        </w:trPr>
        <w:tc>
          <w:tcPr>
            <w:tcW w:w="793" w:type="dxa"/>
            <w:vMerge w:val="restart"/>
            <w:vAlign w:val="center"/>
          </w:tcPr>
          <w:p>
            <w:pPr>
              <w:suppressAutoHyphens/>
              <w:adjustRightInd w:val="0"/>
              <w:snapToGrid w:val="0"/>
              <w:jc w:val="center"/>
              <w:rPr>
                <w:rFonts w:ascii="宋体" w:hAnsi="宋体"/>
                <w:snapToGrid w:val="0"/>
                <w:kern w:val="0"/>
                <w:sz w:val="21"/>
                <w:szCs w:val="21"/>
              </w:rPr>
            </w:pPr>
            <w:r>
              <w:rPr>
                <w:rFonts w:hint="eastAsia" w:ascii="宋体" w:hAnsi="宋体"/>
                <w:snapToGrid w:val="0"/>
                <w:kern w:val="0"/>
                <w:sz w:val="21"/>
                <w:szCs w:val="21"/>
              </w:rPr>
              <w:t>1</w:t>
            </w:r>
          </w:p>
        </w:tc>
        <w:tc>
          <w:tcPr>
            <w:tcW w:w="1200" w:type="dxa"/>
            <w:vMerge w:val="restart"/>
            <w:vAlign w:val="center"/>
          </w:tcPr>
          <w:p>
            <w:pPr>
              <w:suppressAutoHyphens/>
              <w:adjustRightInd w:val="0"/>
              <w:snapToGrid w:val="0"/>
              <w:jc w:val="center"/>
              <w:rPr>
                <w:rFonts w:ascii="宋体" w:hAnsi="宋体"/>
                <w:snapToGrid w:val="0"/>
                <w:kern w:val="0"/>
                <w:sz w:val="21"/>
                <w:szCs w:val="21"/>
              </w:rPr>
            </w:pPr>
            <w:r>
              <w:rPr>
                <w:rFonts w:hint="eastAsia" w:ascii="宋体" w:hAnsi="宋体"/>
                <w:snapToGrid w:val="0"/>
                <w:kern w:val="0"/>
                <w:sz w:val="21"/>
                <w:szCs w:val="21"/>
              </w:rPr>
              <w:t>石灰石</w:t>
            </w:r>
          </w:p>
        </w:tc>
        <w:tc>
          <w:tcPr>
            <w:tcW w:w="2473" w:type="dxa"/>
            <w:vAlign w:val="center"/>
          </w:tcPr>
          <w:p>
            <w:pPr>
              <w:suppressAutoHyphens/>
              <w:adjustRightInd w:val="0"/>
              <w:snapToGrid w:val="0"/>
              <w:jc w:val="center"/>
              <w:rPr>
                <w:rFonts w:hint="eastAsia" w:ascii="宋体" w:hAnsi="宋体"/>
                <w:snapToGrid w:val="0"/>
                <w:kern w:val="0"/>
                <w:sz w:val="21"/>
                <w:szCs w:val="21"/>
              </w:rPr>
            </w:pPr>
            <w:r>
              <w:rPr>
                <w:rFonts w:hint="eastAsia" w:ascii="宋体" w:hAnsi="宋体"/>
                <w:snapToGrid w:val="0"/>
                <w:kern w:val="0"/>
                <w:sz w:val="21"/>
                <w:szCs w:val="21"/>
              </w:rPr>
              <w:t>堆棚60</w:t>
            </w:r>
            <w:r>
              <w:rPr>
                <w:rFonts w:ascii="宋体" w:hAnsi="宋体"/>
                <w:snapToGrid w:val="0"/>
                <w:kern w:val="0"/>
                <w:sz w:val="21"/>
                <w:szCs w:val="21"/>
              </w:rPr>
              <w:t xml:space="preserve"> x</w:t>
            </w:r>
            <w:r>
              <w:rPr>
                <w:rFonts w:hint="eastAsia" w:ascii="宋体" w:hAnsi="宋体"/>
                <w:snapToGrid w:val="0"/>
                <w:kern w:val="0"/>
                <w:sz w:val="21"/>
                <w:szCs w:val="21"/>
              </w:rPr>
              <w:t>40</w:t>
            </w:r>
            <w:r>
              <w:rPr>
                <w:rFonts w:ascii="宋体" w:hAnsi="宋体"/>
                <w:snapToGrid w:val="0"/>
                <w:kern w:val="0"/>
                <w:sz w:val="21"/>
                <w:szCs w:val="21"/>
              </w:rPr>
              <w:t>m</w:t>
            </w:r>
          </w:p>
        </w:tc>
        <w:tc>
          <w:tcPr>
            <w:tcW w:w="1302" w:type="dxa"/>
            <w:vAlign w:val="center"/>
          </w:tcPr>
          <w:p>
            <w:pPr>
              <w:suppressAutoHyphens/>
              <w:adjustRightInd w:val="0"/>
              <w:snapToGrid w:val="0"/>
              <w:jc w:val="center"/>
              <w:rPr>
                <w:rFonts w:ascii="宋体" w:hAnsi="宋体"/>
                <w:snapToGrid w:val="0"/>
                <w:kern w:val="0"/>
                <w:sz w:val="21"/>
                <w:szCs w:val="21"/>
              </w:rPr>
            </w:pPr>
            <w:r>
              <w:rPr>
                <w:rFonts w:hint="eastAsia" w:ascii="宋体" w:hAnsi="宋体"/>
                <w:snapToGrid w:val="0"/>
                <w:kern w:val="0"/>
                <w:sz w:val="21"/>
                <w:szCs w:val="21"/>
              </w:rPr>
              <w:t>12000</w:t>
            </w:r>
          </w:p>
        </w:tc>
        <w:tc>
          <w:tcPr>
            <w:tcW w:w="1302" w:type="dxa"/>
            <w:vAlign w:val="center"/>
          </w:tcPr>
          <w:p>
            <w:pPr>
              <w:pStyle w:val="30"/>
              <w:keepNext w:val="0"/>
              <w:suppressAutoHyphens/>
              <w:snapToGrid w:val="0"/>
              <w:spacing w:before="0" w:after="0" w:line="240" w:lineRule="auto"/>
              <w:ind w:firstLine="422"/>
              <w:rPr>
                <w:rFonts w:hint="eastAsia" w:ascii="宋体" w:hAnsi="宋体"/>
                <w:snapToGrid w:val="0"/>
                <w:sz w:val="21"/>
                <w:szCs w:val="21"/>
              </w:rPr>
            </w:pPr>
            <w:r>
              <w:rPr>
                <w:rFonts w:hint="eastAsia" w:ascii="宋体" w:hAnsi="宋体"/>
                <w:snapToGrid w:val="0"/>
                <w:sz w:val="21"/>
                <w:szCs w:val="21"/>
              </w:rPr>
              <w:t>3.78</w:t>
            </w:r>
          </w:p>
        </w:tc>
        <w:tc>
          <w:tcPr>
            <w:tcW w:w="792" w:type="dxa"/>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jc w:val="center"/>
        </w:trPr>
        <w:tc>
          <w:tcPr>
            <w:tcW w:w="793" w:type="dxa"/>
            <w:vMerge w:val="continue"/>
            <w:vAlign w:val="center"/>
          </w:tcPr>
          <w:p>
            <w:pPr>
              <w:suppressAutoHyphens/>
              <w:adjustRightInd w:val="0"/>
              <w:snapToGrid w:val="0"/>
              <w:jc w:val="center"/>
              <w:rPr>
                <w:rFonts w:hint="eastAsia" w:ascii="宋体" w:hAnsi="宋体"/>
                <w:snapToGrid w:val="0"/>
                <w:kern w:val="0"/>
                <w:sz w:val="21"/>
                <w:szCs w:val="21"/>
              </w:rPr>
            </w:pPr>
          </w:p>
        </w:tc>
        <w:tc>
          <w:tcPr>
            <w:tcW w:w="1200" w:type="dxa"/>
            <w:vMerge w:val="continue"/>
            <w:vAlign w:val="center"/>
          </w:tcPr>
          <w:p>
            <w:pPr>
              <w:suppressAutoHyphens/>
              <w:adjustRightInd w:val="0"/>
              <w:snapToGrid w:val="0"/>
              <w:jc w:val="center"/>
              <w:rPr>
                <w:rFonts w:hint="eastAsia" w:ascii="宋体" w:hAnsi="宋体"/>
                <w:snapToGrid w:val="0"/>
                <w:kern w:val="0"/>
                <w:sz w:val="21"/>
                <w:szCs w:val="21"/>
              </w:rPr>
            </w:pPr>
          </w:p>
        </w:tc>
        <w:tc>
          <w:tcPr>
            <w:tcW w:w="2473" w:type="dxa"/>
            <w:vAlign w:val="center"/>
          </w:tcPr>
          <w:p>
            <w:pPr>
              <w:suppressAutoHyphens/>
              <w:adjustRightInd w:val="0"/>
              <w:snapToGrid w:val="0"/>
              <w:jc w:val="center"/>
              <w:rPr>
                <w:rFonts w:hint="eastAsia" w:ascii="宋体" w:hAnsi="宋体"/>
                <w:snapToGrid w:val="0"/>
                <w:kern w:val="0"/>
                <w:sz w:val="21"/>
                <w:szCs w:val="21"/>
              </w:rPr>
            </w:pPr>
            <w:r>
              <w:rPr>
                <w:rFonts w:hint="eastAsia" w:ascii="宋体" w:hAnsi="宋体"/>
                <w:snapToGrid w:val="0"/>
                <w:kern w:val="0"/>
                <w:sz w:val="21"/>
                <w:szCs w:val="21"/>
              </w:rPr>
              <w:t>2</w:t>
            </w:r>
            <w:r>
              <w:rPr>
                <w:rFonts w:ascii="宋体" w:hAnsi="宋体"/>
                <w:snapToGrid w:val="0"/>
                <w:kern w:val="0"/>
                <w:sz w:val="21"/>
                <w:szCs w:val="21"/>
              </w:rPr>
              <w:t>-Φ</w:t>
            </w:r>
            <w:r>
              <w:rPr>
                <w:rFonts w:hint="eastAsia" w:ascii="宋体" w:hAnsi="宋体"/>
                <w:snapToGrid w:val="0"/>
                <w:kern w:val="0"/>
                <w:sz w:val="21"/>
                <w:szCs w:val="21"/>
              </w:rPr>
              <w:t>12</w:t>
            </w:r>
            <w:r>
              <w:rPr>
                <w:rFonts w:ascii="宋体" w:hAnsi="宋体"/>
                <w:snapToGrid w:val="0"/>
                <w:kern w:val="0"/>
                <w:sz w:val="21"/>
                <w:szCs w:val="21"/>
              </w:rPr>
              <w:t>m</w:t>
            </w:r>
            <w:r>
              <w:rPr>
                <w:rFonts w:hint="eastAsia" w:ascii="宋体" w:hAnsi="宋体"/>
                <w:snapToGrid w:val="0"/>
                <w:kern w:val="0"/>
                <w:sz w:val="21"/>
                <w:szCs w:val="21"/>
              </w:rPr>
              <w:t xml:space="preserve"> x30m</w:t>
            </w:r>
            <w:r>
              <w:rPr>
                <w:rFonts w:ascii="宋体" w:hAnsi="宋体"/>
                <w:snapToGrid w:val="0"/>
                <w:kern w:val="0"/>
                <w:sz w:val="21"/>
                <w:szCs w:val="21"/>
              </w:rPr>
              <w:t>均化</w:t>
            </w:r>
            <w:r>
              <w:rPr>
                <w:rFonts w:hint="eastAsia" w:ascii="宋体" w:hAnsi="宋体"/>
                <w:snapToGrid w:val="0"/>
                <w:kern w:val="0"/>
                <w:sz w:val="21"/>
                <w:szCs w:val="21"/>
              </w:rPr>
              <w:t>库</w:t>
            </w:r>
          </w:p>
        </w:tc>
        <w:tc>
          <w:tcPr>
            <w:tcW w:w="1302" w:type="dxa"/>
            <w:vAlign w:val="center"/>
          </w:tcPr>
          <w:p>
            <w:pPr>
              <w:suppressAutoHyphens/>
              <w:adjustRightInd w:val="0"/>
              <w:snapToGrid w:val="0"/>
              <w:jc w:val="center"/>
              <w:rPr>
                <w:rFonts w:hint="eastAsia" w:ascii="宋体" w:hAnsi="宋体"/>
                <w:snapToGrid w:val="0"/>
                <w:kern w:val="0"/>
                <w:sz w:val="21"/>
                <w:szCs w:val="21"/>
              </w:rPr>
            </w:pPr>
            <w:r>
              <w:rPr>
                <w:rFonts w:hint="eastAsia" w:ascii="宋体" w:hAnsi="宋体"/>
                <w:snapToGrid w:val="0"/>
                <w:kern w:val="0"/>
                <w:sz w:val="21"/>
                <w:szCs w:val="21"/>
              </w:rPr>
              <w:t>20000</w:t>
            </w:r>
          </w:p>
        </w:tc>
        <w:tc>
          <w:tcPr>
            <w:tcW w:w="1302" w:type="dxa"/>
            <w:vAlign w:val="center"/>
          </w:tcPr>
          <w:p>
            <w:pPr>
              <w:pStyle w:val="30"/>
              <w:keepNext w:val="0"/>
              <w:suppressAutoHyphens/>
              <w:snapToGrid w:val="0"/>
              <w:spacing w:before="0" w:after="0" w:line="240" w:lineRule="auto"/>
              <w:ind w:firstLine="422"/>
              <w:rPr>
                <w:rFonts w:hint="eastAsia" w:ascii="宋体" w:hAnsi="宋体"/>
                <w:snapToGrid w:val="0"/>
                <w:sz w:val="21"/>
                <w:szCs w:val="21"/>
              </w:rPr>
            </w:pPr>
            <w:r>
              <w:rPr>
                <w:rFonts w:hint="eastAsia" w:ascii="宋体" w:hAnsi="宋体"/>
                <w:snapToGrid w:val="0"/>
                <w:sz w:val="21"/>
                <w:szCs w:val="21"/>
              </w:rPr>
              <w:t>6.08</w:t>
            </w:r>
          </w:p>
        </w:tc>
        <w:tc>
          <w:tcPr>
            <w:tcW w:w="792" w:type="dxa"/>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jc w:val="center"/>
        </w:trPr>
        <w:tc>
          <w:tcPr>
            <w:tcW w:w="793" w:type="dxa"/>
            <w:vMerge w:val="continue"/>
            <w:vAlign w:val="center"/>
          </w:tcPr>
          <w:p>
            <w:pPr>
              <w:suppressAutoHyphens/>
              <w:adjustRightInd w:val="0"/>
              <w:snapToGrid w:val="0"/>
              <w:jc w:val="center"/>
              <w:rPr>
                <w:rFonts w:ascii="宋体" w:hAnsi="宋体"/>
                <w:snapToGrid w:val="0"/>
                <w:kern w:val="0"/>
                <w:sz w:val="21"/>
                <w:szCs w:val="21"/>
              </w:rPr>
            </w:pPr>
          </w:p>
        </w:tc>
        <w:tc>
          <w:tcPr>
            <w:tcW w:w="1200" w:type="dxa"/>
            <w:vMerge w:val="continue"/>
            <w:vAlign w:val="center"/>
          </w:tcPr>
          <w:p>
            <w:pPr>
              <w:suppressAutoHyphens/>
              <w:adjustRightInd w:val="0"/>
              <w:snapToGrid w:val="0"/>
              <w:jc w:val="center"/>
              <w:rPr>
                <w:rFonts w:ascii="宋体" w:hAnsi="宋体"/>
                <w:snapToGrid w:val="0"/>
                <w:kern w:val="0"/>
                <w:sz w:val="21"/>
                <w:szCs w:val="21"/>
              </w:rPr>
            </w:pPr>
          </w:p>
        </w:tc>
        <w:tc>
          <w:tcPr>
            <w:tcW w:w="2473"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1-Φ8m配料库</w:t>
            </w:r>
          </w:p>
        </w:tc>
        <w:tc>
          <w:tcPr>
            <w:tcW w:w="1302"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464</w:t>
            </w:r>
          </w:p>
        </w:tc>
        <w:tc>
          <w:tcPr>
            <w:tcW w:w="1302"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0.15</w:t>
            </w:r>
          </w:p>
        </w:tc>
        <w:tc>
          <w:tcPr>
            <w:tcW w:w="792" w:type="dxa"/>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jc w:val="center"/>
        </w:trPr>
        <w:tc>
          <w:tcPr>
            <w:tcW w:w="793" w:type="dxa"/>
            <w:vMerge w:val="restart"/>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2</w:t>
            </w:r>
          </w:p>
        </w:tc>
        <w:tc>
          <w:tcPr>
            <w:tcW w:w="1200" w:type="dxa"/>
            <w:vMerge w:val="restart"/>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砂岩</w:t>
            </w:r>
          </w:p>
        </w:tc>
        <w:tc>
          <w:tcPr>
            <w:tcW w:w="2473"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1-Φ6m配料库</w:t>
            </w:r>
          </w:p>
        </w:tc>
        <w:tc>
          <w:tcPr>
            <w:tcW w:w="1302"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103</w:t>
            </w:r>
          </w:p>
        </w:tc>
        <w:tc>
          <w:tcPr>
            <w:tcW w:w="1302"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0.26</w:t>
            </w:r>
          </w:p>
        </w:tc>
        <w:tc>
          <w:tcPr>
            <w:tcW w:w="792" w:type="dxa"/>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jc w:val="center"/>
        </w:trPr>
        <w:tc>
          <w:tcPr>
            <w:tcW w:w="793" w:type="dxa"/>
            <w:vMerge w:val="continue"/>
            <w:vAlign w:val="center"/>
          </w:tcPr>
          <w:p>
            <w:pPr>
              <w:suppressAutoHyphens/>
              <w:adjustRightInd w:val="0"/>
              <w:snapToGrid w:val="0"/>
              <w:jc w:val="center"/>
              <w:rPr>
                <w:rFonts w:ascii="宋体" w:hAnsi="宋体"/>
                <w:snapToGrid w:val="0"/>
                <w:kern w:val="0"/>
                <w:sz w:val="21"/>
                <w:szCs w:val="21"/>
              </w:rPr>
            </w:pPr>
          </w:p>
        </w:tc>
        <w:tc>
          <w:tcPr>
            <w:tcW w:w="1200" w:type="dxa"/>
            <w:vMerge w:val="continue"/>
            <w:vAlign w:val="center"/>
          </w:tcPr>
          <w:p>
            <w:pPr>
              <w:suppressAutoHyphens/>
              <w:adjustRightInd w:val="0"/>
              <w:snapToGrid w:val="0"/>
              <w:jc w:val="center"/>
              <w:rPr>
                <w:rFonts w:ascii="宋体" w:hAnsi="宋体"/>
                <w:snapToGrid w:val="0"/>
                <w:kern w:val="0"/>
                <w:sz w:val="21"/>
                <w:szCs w:val="21"/>
              </w:rPr>
            </w:pPr>
          </w:p>
        </w:tc>
        <w:tc>
          <w:tcPr>
            <w:tcW w:w="2473"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预均化堆场</w:t>
            </w:r>
            <w:r>
              <w:rPr>
                <w:rFonts w:hint="eastAsia" w:ascii="宋体" w:hAnsi="宋体"/>
                <w:snapToGrid w:val="0"/>
                <w:kern w:val="0"/>
                <w:sz w:val="21"/>
                <w:szCs w:val="21"/>
              </w:rPr>
              <w:t>40.8</w:t>
            </w:r>
            <w:r>
              <w:rPr>
                <w:rFonts w:ascii="宋体" w:hAnsi="宋体"/>
                <w:snapToGrid w:val="0"/>
                <w:kern w:val="0"/>
                <w:sz w:val="21"/>
                <w:szCs w:val="21"/>
              </w:rPr>
              <w:t>x</w:t>
            </w:r>
            <w:r>
              <w:rPr>
                <w:rFonts w:hint="eastAsia" w:ascii="宋体" w:hAnsi="宋体"/>
                <w:snapToGrid w:val="0"/>
                <w:kern w:val="0"/>
                <w:sz w:val="21"/>
                <w:szCs w:val="21"/>
              </w:rPr>
              <w:t>14.6</w:t>
            </w:r>
            <w:r>
              <w:rPr>
                <w:rFonts w:ascii="宋体" w:hAnsi="宋体"/>
                <w:snapToGrid w:val="0"/>
                <w:kern w:val="0"/>
                <w:sz w:val="21"/>
                <w:szCs w:val="21"/>
              </w:rPr>
              <w:t>m</w:t>
            </w:r>
          </w:p>
        </w:tc>
        <w:tc>
          <w:tcPr>
            <w:tcW w:w="1302" w:type="dxa"/>
            <w:vAlign w:val="center"/>
          </w:tcPr>
          <w:p>
            <w:pPr>
              <w:pStyle w:val="30"/>
              <w:keepNext w:val="0"/>
              <w:suppressAutoHyphens/>
              <w:snapToGrid w:val="0"/>
              <w:spacing w:before="0" w:after="0" w:line="240" w:lineRule="auto"/>
              <w:ind w:firstLine="422"/>
              <w:rPr>
                <w:rFonts w:ascii="宋体" w:hAnsi="宋体"/>
                <w:snapToGrid w:val="0"/>
                <w:sz w:val="21"/>
                <w:szCs w:val="21"/>
              </w:rPr>
            </w:pPr>
            <w:r>
              <w:rPr>
                <w:rFonts w:hint="eastAsia" w:ascii="宋体" w:hAnsi="宋体"/>
                <w:snapToGrid w:val="0"/>
                <w:sz w:val="21"/>
                <w:szCs w:val="21"/>
              </w:rPr>
              <w:t>1755</w:t>
            </w:r>
          </w:p>
        </w:tc>
        <w:tc>
          <w:tcPr>
            <w:tcW w:w="1302" w:type="dxa"/>
            <w:vAlign w:val="center"/>
          </w:tcPr>
          <w:p>
            <w:pPr>
              <w:suppressAutoHyphens/>
              <w:adjustRightInd w:val="0"/>
              <w:snapToGrid w:val="0"/>
              <w:jc w:val="center"/>
              <w:rPr>
                <w:rFonts w:hint="eastAsia" w:ascii="宋体" w:hAnsi="宋体"/>
                <w:snapToGrid w:val="0"/>
                <w:kern w:val="0"/>
                <w:sz w:val="21"/>
                <w:szCs w:val="21"/>
              </w:rPr>
            </w:pPr>
            <w:r>
              <w:rPr>
                <w:rFonts w:hint="eastAsia" w:ascii="宋体" w:hAnsi="宋体"/>
                <w:snapToGrid w:val="0"/>
                <w:kern w:val="0"/>
                <w:sz w:val="21"/>
                <w:szCs w:val="21"/>
              </w:rPr>
              <w:t>5.08</w:t>
            </w:r>
          </w:p>
        </w:tc>
        <w:tc>
          <w:tcPr>
            <w:tcW w:w="792" w:type="dxa"/>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jc w:val="center"/>
        </w:trPr>
        <w:tc>
          <w:tcPr>
            <w:tcW w:w="793" w:type="dxa"/>
            <w:vMerge w:val="restart"/>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3</w:t>
            </w:r>
          </w:p>
        </w:tc>
        <w:tc>
          <w:tcPr>
            <w:tcW w:w="1200" w:type="dxa"/>
            <w:vMerge w:val="restart"/>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煤矸石</w:t>
            </w:r>
          </w:p>
        </w:tc>
        <w:tc>
          <w:tcPr>
            <w:tcW w:w="2473"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1-Φ6m配料库</w:t>
            </w:r>
          </w:p>
        </w:tc>
        <w:tc>
          <w:tcPr>
            <w:tcW w:w="1302"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106</w:t>
            </w:r>
          </w:p>
        </w:tc>
        <w:tc>
          <w:tcPr>
            <w:tcW w:w="1302"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0.23</w:t>
            </w:r>
          </w:p>
        </w:tc>
        <w:tc>
          <w:tcPr>
            <w:tcW w:w="792" w:type="dxa"/>
            <w:vAlign w:val="center"/>
          </w:tcPr>
          <w:p>
            <w:pPr>
              <w:suppressAutoHyphens/>
              <w:adjustRightInd w:val="0"/>
              <w:snapToGrid w:val="0"/>
              <w:spacing w:line="560" w:lineRule="exact"/>
              <w:jc w:val="left"/>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jc w:val="center"/>
        </w:trPr>
        <w:tc>
          <w:tcPr>
            <w:tcW w:w="793" w:type="dxa"/>
            <w:vMerge w:val="continue"/>
            <w:vAlign w:val="center"/>
          </w:tcPr>
          <w:p>
            <w:pPr>
              <w:suppressAutoHyphens/>
              <w:adjustRightInd w:val="0"/>
              <w:snapToGrid w:val="0"/>
              <w:jc w:val="center"/>
              <w:rPr>
                <w:rFonts w:ascii="宋体" w:hAnsi="宋体"/>
                <w:snapToGrid w:val="0"/>
                <w:kern w:val="0"/>
                <w:sz w:val="21"/>
                <w:szCs w:val="21"/>
              </w:rPr>
            </w:pPr>
          </w:p>
        </w:tc>
        <w:tc>
          <w:tcPr>
            <w:tcW w:w="1200" w:type="dxa"/>
            <w:vMerge w:val="continue"/>
            <w:vAlign w:val="center"/>
          </w:tcPr>
          <w:p>
            <w:pPr>
              <w:suppressAutoHyphens/>
              <w:adjustRightInd w:val="0"/>
              <w:snapToGrid w:val="0"/>
              <w:jc w:val="center"/>
              <w:rPr>
                <w:rFonts w:ascii="宋体" w:hAnsi="宋体"/>
                <w:snapToGrid w:val="0"/>
                <w:kern w:val="0"/>
                <w:sz w:val="21"/>
                <w:szCs w:val="21"/>
              </w:rPr>
            </w:pPr>
          </w:p>
        </w:tc>
        <w:tc>
          <w:tcPr>
            <w:tcW w:w="2473"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预均化堆场</w:t>
            </w:r>
            <w:r>
              <w:rPr>
                <w:rFonts w:hint="eastAsia" w:ascii="宋体" w:hAnsi="宋体"/>
                <w:snapToGrid w:val="0"/>
                <w:kern w:val="0"/>
                <w:sz w:val="21"/>
                <w:szCs w:val="21"/>
              </w:rPr>
              <w:t>40.8</w:t>
            </w:r>
            <w:r>
              <w:rPr>
                <w:rFonts w:ascii="宋体" w:hAnsi="宋体"/>
                <w:snapToGrid w:val="0"/>
                <w:kern w:val="0"/>
                <w:sz w:val="21"/>
                <w:szCs w:val="21"/>
              </w:rPr>
              <w:t>x</w:t>
            </w:r>
            <w:r>
              <w:rPr>
                <w:rFonts w:hint="eastAsia" w:ascii="宋体" w:hAnsi="宋体"/>
                <w:snapToGrid w:val="0"/>
                <w:kern w:val="0"/>
                <w:sz w:val="21"/>
                <w:szCs w:val="21"/>
              </w:rPr>
              <w:t>14.6</w:t>
            </w:r>
            <w:r>
              <w:rPr>
                <w:rFonts w:ascii="宋体" w:hAnsi="宋体"/>
                <w:snapToGrid w:val="0"/>
                <w:kern w:val="0"/>
                <w:sz w:val="21"/>
                <w:szCs w:val="21"/>
              </w:rPr>
              <w:t>m</w:t>
            </w:r>
          </w:p>
        </w:tc>
        <w:tc>
          <w:tcPr>
            <w:tcW w:w="1302" w:type="dxa"/>
            <w:vAlign w:val="center"/>
          </w:tcPr>
          <w:p>
            <w:pPr>
              <w:suppressAutoHyphens/>
              <w:adjustRightInd w:val="0"/>
              <w:snapToGrid w:val="0"/>
              <w:jc w:val="center"/>
              <w:rPr>
                <w:rFonts w:ascii="宋体" w:hAnsi="宋体"/>
                <w:snapToGrid w:val="0"/>
                <w:kern w:val="0"/>
                <w:sz w:val="21"/>
                <w:szCs w:val="21"/>
              </w:rPr>
            </w:pPr>
            <w:r>
              <w:rPr>
                <w:rFonts w:hint="eastAsia" w:ascii="宋体" w:hAnsi="宋体"/>
                <w:snapToGrid w:val="0"/>
                <w:kern w:val="0"/>
                <w:sz w:val="21"/>
                <w:szCs w:val="21"/>
              </w:rPr>
              <w:t>3370</w:t>
            </w:r>
          </w:p>
        </w:tc>
        <w:tc>
          <w:tcPr>
            <w:tcW w:w="1302" w:type="dxa"/>
            <w:vAlign w:val="center"/>
          </w:tcPr>
          <w:p>
            <w:pPr>
              <w:suppressAutoHyphens/>
              <w:adjustRightInd w:val="0"/>
              <w:snapToGrid w:val="0"/>
              <w:jc w:val="center"/>
              <w:rPr>
                <w:rFonts w:hint="eastAsia" w:ascii="宋体" w:hAnsi="宋体"/>
                <w:snapToGrid w:val="0"/>
                <w:kern w:val="0"/>
                <w:sz w:val="21"/>
                <w:szCs w:val="21"/>
              </w:rPr>
            </w:pPr>
            <w:r>
              <w:rPr>
                <w:rFonts w:hint="eastAsia" w:ascii="宋体" w:hAnsi="宋体"/>
                <w:snapToGrid w:val="0"/>
                <w:kern w:val="0"/>
                <w:sz w:val="21"/>
                <w:szCs w:val="21"/>
              </w:rPr>
              <w:t>5.08</w:t>
            </w:r>
          </w:p>
        </w:tc>
        <w:tc>
          <w:tcPr>
            <w:tcW w:w="792" w:type="dxa"/>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jc w:val="center"/>
        </w:trPr>
        <w:tc>
          <w:tcPr>
            <w:tcW w:w="793" w:type="dxa"/>
            <w:vMerge w:val="restart"/>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4</w:t>
            </w:r>
          </w:p>
        </w:tc>
        <w:tc>
          <w:tcPr>
            <w:tcW w:w="1200" w:type="dxa"/>
            <w:vMerge w:val="restart"/>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硫酸渣</w:t>
            </w:r>
          </w:p>
        </w:tc>
        <w:tc>
          <w:tcPr>
            <w:tcW w:w="2473"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1-Φ6m配料库</w:t>
            </w:r>
          </w:p>
        </w:tc>
        <w:tc>
          <w:tcPr>
            <w:tcW w:w="1302"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98.18</w:t>
            </w:r>
          </w:p>
        </w:tc>
        <w:tc>
          <w:tcPr>
            <w:tcW w:w="1302"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0.53</w:t>
            </w:r>
          </w:p>
        </w:tc>
        <w:tc>
          <w:tcPr>
            <w:tcW w:w="792" w:type="dxa"/>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jc w:val="center"/>
        </w:trPr>
        <w:tc>
          <w:tcPr>
            <w:tcW w:w="793" w:type="dxa"/>
            <w:vMerge w:val="continue"/>
            <w:vAlign w:val="center"/>
          </w:tcPr>
          <w:p>
            <w:pPr>
              <w:suppressAutoHyphens/>
              <w:adjustRightInd w:val="0"/>
              <w:snapToGrid w:val="0"/>
              <w:jc w:val="center"/>
              <w:rPr>
                <w:rFonts w:ascii="宋体" w:hAnsi="宋体"/>
                <w:snapToGrid w:val="0"/>
                <w:kern w:val="0"/>
                <w:sz w:val="21"/>
                <w:szCs w:val="21"/>
              </w:rPr>
            </w:pPr>
          </w:p>
        </w:tc>
        <w:tc>
          <w:tcPr>
            <w:tcW w:w="1200" w:type="dxa"/>
            <w:vMerge w:val="continue"/>
            <w:vAlign w:val="center"/>
          </w:tcPr>
          <w:p>
            <w:pPr>
              <w:suppressAutoHyphens/>
              <w:adjustRightInd w:val="0"/>
              <w:snapToGrid w:val="0"/>
              <w:jc w:val="center"/>
              <w:rPr>
                <w:rFonts w:ascii="宋体" w:hAnsi="宋体"/>
                <w:snapToGrid w:val="0"/>
                <w:kern w:val="0"/>
                <w:sz w:val="21"/>
                <w:szCs w:val="21"/>
              </w:rPr>
            </w:pPr>
          </w:p>
        </w:tc>
        <w:tc>
          <w:tcPr>
            <w:tcW w:w="2473"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预均化堆场</w:t>
            </w:r>
            <w:r>
              <w:rPr>
                <w:rFonts w:hint="eastAsia" w:ascii="宋体" w:hAnsi="宋体"/>
                <w:snapToGrid w:val="0"/>
                <w:kern w:val="0"/>
                <w:sz w:val="21"/>
                <w:szCs w:val="21"/>
              </w:rPr>
              <w:t>40.8</w:t>
            </w:r>
            <w:r>
              <w:rPr>
                <w:rFonts w:ascii="宋体" w:hAnsi="宋体"/>
                <w:snapToGrid w:val="0"/>
                <w:kern w:val="0"/>
                <w:sz w:val="21"/>
                <w:szCs w:val="21"/>
              </w:rPr>
              <w:t>x</w:t>
            </w:r>
            <w:r>
              <w:rPr>
                <w:rFonts w:hint="eastAsia" w:ascii="宋体" w:hAnsi="宋体"/>
                <w:snapToGrid w:val="0"/>
                <w:kern w:val="0"/>
                <w:sz w:val="21"/>
                <w:szCs w:val="21"/>
              </w:rPr>
              <w:t>14.6</w:t>
            </w:r>
            <w:r>
              <w:rPr>
                <w:rFonts w:ascii="宋体" w:hAnsi="宋体"/>
                <w:snapToGrid w:val="0"/>
                <w:kern w:val="0"/>
                <w:sz w:val="21"/>
                <w:szCs w:val="21"/>
              </w:rPr>
              <w:t>m</w:t>
            </w:r>
          </w:p>
        </w:tc>
        <w:tc>
          <w:tcPr>
            <w:tcW w:w="1302" w:type="dxa"/>
            <w:vAlign w:val="center"/>
          </w:tcPr>
          <w:p>
            <w:pPr>
              <w:pStyle w:val="30"/>
              <w:keepNext w:val="0"/>
              <w:suppressAutoHyphens/>
              <w:snapToGrid w:val="0"/>
              <w:spacing w:before="0" w:after="0" w:line="240" w:lineRule="auto"/>
              <w:ind w:firstLine="422"/>
              <w:rPr>
                <w:rFonts w:ascii="宋体" w:hAnsi="宋体"/>
                <w:snapToGrid w:val="0"/>
                <w:sz w:val="21"/>
                <w:szCs w:val="21"/>
              </w:rPr>
            </w:pPr>
            <w:r>
              <w:rPr>
                <w:rFonts w:hint="eastAsia" w:ascii="宋体" w:hAnsi="宋体"/>
                <w:snapToGrid w:val="0"/>
                <w:sz w:val="21"/>
                <w:szCs w:val="21"/>
              </w:rPr>
              <w:t>853</w:t>
            </w:r>
          </w:p>
        </w:tc>
        <w:tc>
          <w:tcPr>
            <w:tcW w:w="1302" w:type="dxa"/>
            <w:vAlign w:val="center"/>
          </w:tcPr>
          <w:p>
            <w:pPr>
              <w:suppressAutoHyphens/>
              <w:adjustRightInd w:val="0"/>
              <w:snapToGrid w:val="0"/>
              <w:jc w:val="center"/>
              <w:rPr>
                <w:rFonts w:hint="eastAsia" w:ascii="宋体" w:hAnsi="宋体"/>
                <w:snapToGrid w:val="0"/>
                <w:kern w:val="0"/>
                <w:sz w:val="21"/>
                <w:szCs w:val="21"/>
              </w:rPr>
            </w:pPr>
            <w:r>
              <w:rPr>
                <w:rFonts w:hint="eastAsia" w:ascii="宋体" w:hAnsi="宋体"/>
                <w:snapToGrid w:val="0"/>
                <w:kern w:val="0"/>
                <w:sz w:val="21"/>
                <w:szCs w:val="21"/>
              </w:rPr>
              <w:t>4.13</w:t>
            </w:r>
          </w:p>
        </w:tc>
        <w:tc>
          <w:tcPr>
            <w:tcW w:w="792" w:type="dxa"/>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exact"/>
          <w:jc w:val="center"/>
        </w:trPr>
        <w:tc>
          <w:tcPr>
            <w:tcW w:w="793"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5</w:t>
            </w:r>
          </w:p>
        </w:tc>
        <w:tc>
          <w:tcPr>
            <w:tcW w:w="1200"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生  料</w:t>
            </w:r>
          </w:p>
        </w:tc>
        <w:tc>
          <w:tcPr>
            <w:tcW w:w="2473"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1-Φ15m均化库</w:t>
            </w:r>
          </w:p>
        </w:tc>
        <w:tc>
          <w:tcPr>
            <w:tcW w:w="1302" w:type="dxa"/>
            <w:vAlign w:val="center"/>
          </w:tcPr>
          <w:p>
            <w:pPr>
              <w:pStyle w:val="30"/>
              <w:keepNext w:val="0"/>
              <w:suppressAutoHyphens/>
              <w:snapToGrid w:val="0"/>
              <w:spacing w:before="0" w:after="0" w:line="240" w:lineRule="auto"/>
              <w:ind w:firstLine="422"/>
              <w:rPr>
                <w:rFonts w:ascii="宋体" w:hAnsi="宋体"/>
                <w:snapToGrid w:val="0"/>
                <w:sz w:val="21"/>
                <w:szCs w:val="21"/>
              </w:rPr>
            </w:pPr>
            <w:r>
              <w:rPr>
                <w:rFonts w:ascii="宋体" w:hAnsi="宋体"/>
                <w:snapToGrid w:val="0"/>
                <w:sz w:val="21"/>
                <w:szCs w:val="21"/>
              </w:rPr>
              <w:t>8225</w:t>
            </w:r>
          </w:p>
        </w:tc>
        <w:tc>
          <w:tcPr>
            <w:tcW w:w="1302"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2.25</w:t>
            </w:r>
          </w:p>
        </w:tc>
        <w:tc>
          <w:tcPr>
            <w:tcW w:w="792" w:type="dxa"/>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jc w:val="center"/>
        </w:trPr>
        <w:tc>
          <w:tcPr>
            <w:tcW w:w="793" w:type="dxa"/>
            <w:vMerge w:val="restart"/>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6</w:t>
            </w:r>
          </w:p>
        </w:tc>
        <w:tc>
          <w:tcPr>
            <w:tcW w:w="1200" w:type="dxa"/>
            <w:vMerge w:val="restart"/>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熟  料</w:t>
            </w:r>
          </w:p>
        </w:tc>
        <w:tc>
          <w:tcPr>
            <w:tcW w:w="2473"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1-Φ8m配料库</w:t>
            </w:r>
          </w:p>
        </w:tc>
        <w:tc>
          <w:tcPr>
            <w:tcW w:w="1302"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850</w:t>
            </w:r>
          </w:p>
        </w:tc>
        <w:tc>
          <w:tcPr>
            <w:tcW w:w="1302"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0.34</w:t>
            </w:r>
          </w:p>
        </w:tc>
        <w:tc>
          <w:tcPr>
            <w:tcW w:w="792" w:type="dxa"/>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jc w:val="center"/>
        </w:trPr>
        <w:tc>
          <w:tcPr>
            <w:tcW w:w="793" w:type="dxa"/>
            <w:vMerge w:val="continue"/>
            <w:vAlign w:val="center"/>
          </w:tcPr>
          <w:p>
            <w:pPr>
              <w:suppressAutoHyphens/>
              <w:adjustRightInd w:val="0"/>
              <w:snapToGrid w:val="0"/>
              <w:jc w:val="center"/>
              <w:rPr>
                <w:rFonts w:ascii="宋体" w:hAnsi="宋体"/>
                <w:snapToGrid w:val="0"/>
                <w:kern w:val="0"/>
                <w:sz w:val="21"/>
                <w:szCs w:val="21"/>
              </w:rPr>
            </w:pPr>
          </w:p>
        </w:tc>
        <w:tc>
          <w:tcPr>
            <w:tcW w:w="1200" w:type="dxa"/>
            <w:vMerge w:val="continue"/>
            <w:vAlign w:val="center"/>
          </w:tcPr>
          <w:p>
            <w:pPr>
              <w:suppressAutoHyphens/>
              <w:adjustRightInd w:val="0"/>
              <w:snapToGrid w:val="0"/>
              <w:jc w:val="center"/>
              <w:rPr>
                <w:rFonts w:ascii="宋体" w:hAnsi="宋体"/>
                <w:snapToGrid w:val="0"/>
                <w:kern w:val="0"/>
                <w:sz w:val="21"/>
                <w:szCs w:val="21"/>
              </w:rPr>
            </w:pPr>
          </w:p>
        </w:tc>
        <w:tc>
          <w:tcPr>
            <w:tcW w:w="2473"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Φ</w:t>
            </w:r>
            <w:r>
              <w:rPr>
                <w:rFonts w:hint="eastAsia" w:ascii="宋体" w:hAnsi="宋体"/>
                <w:snapToGrid w:val="0"/>
                <w:kern w:val="0"/>
                <w:sz w:val="21"/>
                <w:szCs w:val="21"/>
              </w:rPr>
              <w:t>17.6</w:t>
            </w:r>
            <w:r>
              <w:rPr>
                <w:rFonts w:ascii="宋体" w:hAnsi="宋体"/>
                <w:snapToGrid w:val="0"/>
                <w:kern w:val="0"/>
                <w:sz w:val="21"/>
                <w:szCs w:val="21"/>
              </w:rPr>
              <w:t>m熟料库</w:t>
            </w:r>
          </w:p>
        </w:tc>
        <w:tc>
          <w:tcPr>
            <w:tcW w:w="1302" w:type="dxa"/>
            <w:vAlign w:val="center"/>
          </w:tcPr>
          <w:p>
            <w:pPr>
              <w:suppressAutoHyphens/>
              <w:adjustRightInd w:val="0"/>
              <w:snapToGrid w:val="0"/>
              <w:jc w:val="center"/>
              <w:rPr>
                <w:rFonts w:ascii="宋体" w:hAnsi="宋体"/>
                <w:snapToGrid w:val="0"/>
                <w:kern w:val="0"/>
                <w:sz w:val="21"/>
                <w:szCs w:val="21"/>
              </w:rPr>
            </w:pPr>
            <w:r>
              <w:rPr>
                <w:rFonts w:hint="eastAsia" w:ascii="宋体" w:hAnsi="宋体"/>
                <w:snapToGrid w:val="0"/>
                <w:kern w:val="0"/>
                <w:sz w:val="21"/>
                <w:szCs w:val="21"/>
              </w:rPr>
              <w:t>15</w:t>
            </w:r>
            <w:r>
              <w:rPr>
                <w:rFonts w:ascii="宋体" w:hAnsi="宋体"/>
                <w:snapToGrid w:val="0"/>
                <w:kern w:val="0"/>
                <w:sz w:val="21"/>
                <w:szCs w:val="21"/>
              </w:rPr>
              <w:t>000</w:t>
            </w:r>
          </w:p>
        </w:tc>
        <w:tc>
          <w:tcPr>
            <w:tcW w:w="1302" w:type="dxa"/>
            <w:vAlign w:val="center"/>
          </w:tcPr>
          <w:p>
            <w:pPr>
              <w:suppressAutoHyphens/>
              <w:adjustRightInd w:val="0"/>
              <w:snapToGrid w:val="0"/>
              <w:jc w:val="center"/>
              <w:rPr>
                <w:rFonts w:ascii="宋体" w:hAnsi="宋体"/>
                <w:snapToGrid w:val="0"/>
                <w:kern w:val="0"/>
                <w:sz w:val="21"/>
                <w:szCs w:val="21"/>
              </w:rPr>
            </w:pPr>
            <w:r>
              <w:rPr>
                <w:rFonts w:hint="eastAsia" w:ascii="宋体" w:hAnsi="宋体"/>
                <w:snapToGrid w:val="0"/>
                <w:kern w:val="0"/>
                <w:sz w:val="21"/>
                <w:szCs w:val="21"/>
              </w:rPr>
              <w:t>6</w:t>
            </w:r>
            <w:r>
              <w:rPr>
                <w:rFonts w:ascii="宋体" w:hAnsi="宋体"/>
                <w:snapToGrid w:val="0"/>
                <w:kern w:val="0"/>
                <w:sz w:val="21"/>
                <w:szCs w:val="21"/>
              </w:rPr>
              <w:t>.0</w:t>
            </w:r>
          </w:p>
        </w:tc>
        <w:tc>
          <w:tcPr>
            <w:tcW w:w="792" w:type="dxa"/>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jc w:val="center"/>
        </w:trPr>
        <w:tc>
          <w:tcPr>
            <w:tcW w:w="793" w:type="dxa"/>
            <w:vMerge w:val="restart"/>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7</w:t>
            </w:r>
          </w:p>
        </w:tc>
        <w:tc>
          <w:tcPr>
            <w:tcW w:w="1200" w:type="dxa"/>
            <w:vMerge w:val="restart"/>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原  煤</w:t>
            </w:r>
          </w:p>
        </w:tc>
        <w:tc>
          <w:tcPr>
            <w:tcW w:w="2473"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堆场</w:t>
            </w:r>
            <w:r>
              <w:rPr>
                <w:rFonts w:hint="eastAsia" w:ascii="宋体" w:hAnsi="宋体"/>
                <w:snapToGrid w:val="0"/>
                <w:kern w:val="0"/>
                <w:sz w:val="21"/>
                <w:szCs w:val="21"/>
              </w:rPr>
              <w:t>35</w:t>
            </w:r>
            <w:r>
              <w:rPr>
                <w:rFonts w:ascii="宋体" w:hAnsi="宋体"/>
                <w:snapToGrid w:val="0"/>
                <w:kern w:val="0"/>
                <w:sz w:val="21"/>
                <w:szCs w:val="21"/>
              </w:rPr>
              <w:t>×</w:t>
            </w:r>
            <w:r>
              <w:rPr>
                <w:rFonts w:hint="eastAsia" w:ascii="宋体" w:hAnsi="宋体"/>
                <w:snapToGrid w:val="0"/>
                <w:kern w:val="0"/>
                <w:sz w:val="21"/>
                <w:szCs w:val="21"/>
              </w:rPr>
              <w:t>4</w:t>
            </w:r>
            <w:r>
              <w:rPr>
                <w:rFonts w:ascii="宋体" w:hAnsi="宋体"/>
                <w:snapToGrid w:val="0"/>
                <w:kern w:val="0"/>
                <w:sz w:val="21"/>
                <w:szCs w:val="21"/>
              </w:rPr>
              <w:t>0m</w:t>
            </w:r>
          </w:p>
        </w:tc>
        <w:tc>
          <w:tcPr>
            <w:tcW w:w="1302" w:type="dxa"/>
            <w:vAlign w:val="center"/>
          </w:tcPr>
          <w:p>
            <w:pPr>
              <w:suppressAutoHyphens/>
              <w:adjustRightInd w:val="0"/>
              <w:snapToGrid w:val="0"/>
              <w:jc w:val="center"/>
              <w:rPr>
                <w:rFonts w:hint="eastAsia" w:ascii="宋体" w:hAnsi="宋体"/>
                <w:snapToGrid w:val="0"/>
                <w:kern w:val="0"/>
                <w:sz w:val="21"/>
                <w:szCs w:val="21"/>
              </w:rPr>
            </w:pPr>
            <w:r>
              <w:rPr>
                <w:rFonts w:hint="eastAsia" w:ascii="宋体" w:hAnsi="宋体"/>
                <w:snapToGrid w:val="0"/>
                <w:kern w:val="0"/>
                <w:sz w:val="21"/>
                <w:szCs w:val="21"/>
              </w:rPr>
              <w:t>4500</w:t>
            </w:r>
          </w:p>
        </w:tc>
        <w:tc>
          <w:tcPr>
            <w:tcW w:w="1302" w:type="dxa"/>
            <w:vAlign w:val="center"/>
          </w:tcPr>
          <w:p>
            <w:pPr>
              <w:suppressAutoHyphens/>
              <w:adjustRightInd w:val="0"/>
              <w:snapToGrid w:val="0"/>
              <w:jc w:val="center"/>
              <w:rPr>
                <w:rFonts w:hint="eastAsia" w:ascii="宋体" w:hAnsi="宋体"/>
                <w:snapToGrid w:val="0"/>
                <w:kern w:val="0"/>
                <w:sz w:val="21"/>
                <w:szCs w:val="21"/>
              </w:rPr>
            </w:pPr>
            <w:r>
              <w:rPr>
                <w:rFonts w:hint="eastAsia" w:ascii="宋体" w:hAnsi="宋体"/>
                <w:snapToGrid w:val="0"/>
                <w:kern w:val="0"/>
                <w:sz w:val="21"/>
                <w:szCs w:val="21"/>
              </w:rPr>
              <w:t>13.2</w:t>
            </w:r>
          </w:p>
        </w:tc>
        <w:tc>
          <w:tcPr>
            <w:tcW w:w="792" w:type="dxa"/>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jc w:val="center"/>
        </w:trPr>
        <w:tc>
          <w:tcPr>
            <w:tcW w:w="793" w:type="dxa"/>
            <w:vMerge w:val="continue"/>
            <w:vAlign w:val="center"/>
          </w:tcPr>
          <w:p>
            <w:pPr>
              <w:suppressAutoHyphens/>
              <w:adjustRightInd w:val="0"/>
              <w:snapToGrid w:val="0"/>
              <w:jc w:val="center"/>
              <w:rPr>
                <w:rFonts w:ascii="宋体" w:hAnsi="宋体"/>
                <w:snapToGrid w:val="0"/>
                <w:kern w:val="0"/>
                <w:sz w:val="21"/>
                <w:szCs w:val="21"/>
              </w:rPr>
            </w:pPr>
          </w:p>
        </w:tc>
        <w:tc>
          <w:tcPr>
            <w:tcW w:w="1200" w:type="dxa"/>
            <w:vMerge w:val="continue"/>
            <w:vAlign w:val="center"/>
          </w:tcPr>
          <w:p>
            <w:pPr>
              <w:suppressAutoHyphens/>
              <w:adjustRightInd w:val="0"/>
              <w:snapToGrid w:val="0"/>
              <w:jc w:val="center"/>
              <w:rPr>
                <w:rFonts w:ascii="宋体" w:hAnsi="宋体"/>
                <w:snapToGrid w:val="0"/>
                <w:kern w:val="0"/>
                <w:sz w:val="21"/>
                <w:szCs w:val="21"/>
              </w:rPr>
            </w:pPr>
          </w:p>
        </w:tc>
        <w:tc>
          <w:tcPr>
            <w:tcW w:w="2473" w:type="dxa"/>
            <w:vAlign w:val="center"/>
          </w:tcPr>
          <w:p>
            <w:pPr>
              <w:suppressAutoHyphens/>
              <w:adjustRightInd w:val="0"/>
              <w:snapToGrid w:val="0"/>
              <w:jc w:val="center"/>
              <w:rPr>
                <w:rFonts w:ascii="宋体" w:hAnsi="宋体"/>
                <w:snapToGrid w:val="0"/>
                <w:kern w:val="0"/>
                <w:sz w:val="21"/>
                <w:szCs w:val="21"/>
              </w:rPr>
            </w:pPr>
            <w:r>
              <w:rPr>
                <w:rFonts w:hint="eastAsia" w:ascii="宋体" w:hAnsi="宋体"/>
                <w:snapToGrid w:val="0"/>
                <w:kern w:val="0"/>
                <w:sz w:val="21"/>
                <w:szCs w:val="21"/>
              </w:rPr>
              <w:t>1-</w:t>
            </w:r>
            <w:r>
              <w:rPr>
                <w:rFonts w:ascii="宋体" w:hAnsi="宋体"/>
                <w:snapToGrid w:val="0"/>
                <w:kern w:val="0"/>
                <w:sz w:val="21"/>
                <w:szCs w:val="21"/>
              </w:rPr>
              <w:t>Φ</w:t>
            </w:r>
            <w:r>
              <w:rPr>
                <w:rFonts w:hint="eastAsia" w:ascii="宋体" w:hAnsi="宋体"/>
                <w:snapToGrid w:val="0"/>
                <w:kern w:val="0"/>
                <w:sz w:val="21"/>
                <w:szCs w:val="21"/>
              </w:rPr>
              <w:t>28.8</w:t>
            </w:r>
            <w:r>
              <w:rPr>
                <w:rFonts w:ascii="宋体" w:hAnsi="宋体"/>
                <w:snapToGrid w:val="0"/>
                <w:kern w:val="0"/>
                <w:sz w:val="21"/>
                <w:szCs w:val="21"/>
              </w:rPr>
              <w:t>m预均化堆场</w:t>
            </w:r>
          </w:p>
        </w:tc>
        <w:tc>
          <w:tcPr>
            <w:tcW w:w="1302" w:type="dxa"/>
            <w:vAlign w:val="center"/>
          </w:tcPr>
          <w:p>
            <w:pPr>
              <w:suppressAutoHyphens/>
              <w:adjustRightInd w:val="0"/>
              <w:snapToGrid w:val="0"/>
              <w:jc w:val="center"/>
              <w:rPr>
                <w:rFonts w:hint="eastAsia" w:ascii="宋体" w:hAnsi="宋体"/>
                <w:snapToGrid w:val="0"/>
                <w:kern w:val="0"/>
                <w:sz w:val="21"/>
                <w:szCs w:val="21"/>
              </w:rPr>
            </w:pPr>
            <w:r>
              <w:rPr>
                <w:rFonts w:hint="eastAsia" w:ascii="宋体" w:hAnsi="宋体"/>
                <w:snapToGrid w:val="0"/>
                <w:kern w:val="0"/>
                <w:sz w:val="21"/>
                <w:szCs w:val="21"/>
              </w:rPr>
              <w:t>4600</w:t>
            </w:r>
          </w:p>
        </w:tc>
        <w:tc>
          <w:tcPr>
            <w:tcW w:w="1302" w:type="dxa"/>
            <w:vAlign w:val="center"/>
          </w:tcPr>
          <w:p>
            <w:pPr>
              <w:suppressAutoHyphens/>
              <w:adjustRightInd w:val="0"/>
              <w:snapToGrid w:val="0"/>
              <w:jc w:val="center"/>
              <w:rPr>
                <w:rFonts w:hint="eastAsia" w:ascii="宋体" w:hAnsi="宋体"/>
                <w:snapToGrid w:val="0"/>
                <w:kern w:val="0"/>
                <w:sz w:val="21"/>
                <w:szCs w:val="21"/>
              </w:rPr>
            </w:pPr>
            <w:r>
              <w:rPr>
                <w:rFonts w:hint="eastAsia" w:ascii="宋体" w:hAnsi="宋体"/>
                <w:snapToGrid w:val="0"/>
                <w:kern w:val="0"/>
                <w:sz w:val="21"/>
                <w:szCs w:val="21"/>
              </w:rPr>
              <w:t>12</w:t>
            </w:r>
          </w:p>
        </w:tc>
        <w:tc>
          <w:tcPr>
            <w:tcW w:w="792" w:type="dxa"/>
            <w:vAlign w:val="center"/>
          </w:tcPr>
          <w:p>
            <w:pPr>
              <w:pStyle w:val="30"/>
              <w:keepNext w:val="0"/>
              <w:suppressAutoHyphens/>
              <w:snapToGrid w:val="0"/>
              <w:spacing w:before="0" w:after="0" w:line="560" w:lineRule="exact"/>
              <w:ind w:firstLine="422"/>
              <w:rPr>
                <w:rFonts w:ascii="宋体" w:hAnsi="宋体"/>
                <w:snapToGrid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jc w:val="center"/>
        </w:trPr>
        <w:tc>
          <w:tcPr>
            <w:tcW w:w="793" w:type="dxa"/>
            <w:vMerge w:val="restart"/>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8</w:t>
            </w:r>
          </w:p>
        </w:tc>
        <w:tc>
          <w:tcPr>
            <w:tcW w:w="1200" w:type="dxa"/>
            <w:vMerge w:val="restart"/>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水  泥</w:t>
            </w:r>
          </w:p>
        </w:tc>
        <w:tc>
          <w:tcPr>
            <w:tcW w:w="2473" w:type="dxa"/>
            <w:vAlign w:val="center"/>
          </w:tcPr>
          <w:p>
            <w:pPr>
              <w:suppressAutoHyphens/>
              <w:adjustRightInd w:val="0"/>
              <w:snapToGrid w:val="0"/>
              <w:jc w:val="center"/>
              <w:rPr>
                <w:rFonts w:ascii="宋体" w:hAnsi="宋体"/>
                <w:snapToGrid w:val="0"/>
                <w:kern w:val="0"/>
                <w:sz w:val="21"/>
                <w:szCs w:val="21"/>
              </w:rPr>
            </w:pPr>
            <w:r>
              <w:rPr>
                <w:rFonts w:hint="eastAsia" w:ascii="宋体" w:hAnsi="宋体"/>
                <w:snapToGrid w:val="0"/>
                <w:kern w:val="0"/>
                <w:sz w:val="21"/>
                <w:szCs w:val="21"/>
              </w:rPr>
              <w:t>6</w:t>
            </w:r>
            <w:r>
              <w:rPr>
                <w:rFonts w:ascii="宋体" w:hAnsi="宋体"/>
                <w:snapToGrid w:val="0"/>
                <w:kern w:val="0"/>
                <w:sz w:val="21"/>
                <w:szCs w:val="21"/>
              </w:rPr>
              <w:t>-Φ15m圆库</w:t>
            </w:r>
          </w:p>
        </w:tc>
        <w:tc>
          <w:tcPr>
            <w:tcW w:w="1302" w:type="dxa"/>
            <w:vAlign w:val="center"/>
          </w:tcPr>
          <w:p>
            <w:pPr>
              <w:suppressAutoHyphens/>
              <w:adjustRightInd w:val="0"/>
              <w:snapToGrid w:val="0"/>
              <w:jc w:val="center"/>
              <w:rPr>
                <w:rFonts w:hint="eastAsia" w:ascii="宋体" w:hAnsi="宋体"/>
                <w:snapToGrid w:val="0"/>
                <w:kern w:val="0"/>
                <w:sz w:val="21"/>
                <w:szCs w:val="21"/>
              </w:rPr>
            </w:pPr>
            <w:r>
              <w:rPr>
                <w:rFonts w:hint="eastAsia" w:ascii="宋体" w:hAnsi="宋体"/>
                <w:snapToGrid w:val="0"/>
                <w:kern w:val="0"/>
                <w:sz w:val="21"/>
                <w:szCs w:val="21"/>
              </w:rPr>
              <w:t>30000</w:t>
            </w:r>
          </w:p>
        </w:tc>
        <w:tc>
          <w:tcPr>
            <w:tcW w:w="1302" w:type="dxa"/>
            <w:vAlign w:val="center"/>
          </w:tcPr>
          <w:p>
            <w:pPr>
              <w:suppressAutoHyphens/>
              <w:adjustRightInd w:val="0"/>
              <w:snapToGrid w:val="0"/>
              <w:jc w:val="center"/>
              <w:rPr>
                <w:rFonts w:hint="eastAsia" w:ascii="宋体" w:hAnsi="宋体"/>
                <w:snapToGrid w:val="0"/>
                <w:kern w:val="0"/>
                <w:sz w:val="21"/>
                <w:szCs w:val="21"/>
              </w:rPr>
            </w:pPr>
            <w:r>
              <w:rPr>
                <w:rFonts w:hint="eastAsia" w:ascii="宋体" w:hAnsi="宋体"/>
                <w:snapToGrid w:val="0"/>
                <w:kern w:val="0"/>
                <w:sz w:val="21"/>
                <w:szCs w:val="21"/>
              </w:rPr>
              <w:t>10.10</w:t>
            </w:r>
          </w:p>
        </w:tc>
        <w:tc>
          <w:tcPr>
            <w:tcW w:w="792" w:type="dxa"/>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exact"/>
          <w:jc w:val="center"/>
        </w:trPr>
        <w:tc>
          <w:tcPr>
            <w:tcW w:w="793" w:type="dxa"/>
            <w:vMerge w:val="continue"/>
            <w:vAlign w:val="center"/>
          </w:tcPr>
          <w:p>
            <w:pPr>
              <w:suppressAutoHyphens/>
              <w:adjustRightInd w:val="0"/>
              <w:snapToGrid w:val="0"/>
              <w:jc w:val="center"/>
              <w:rPr>
                <w:rFonts w:ascii="宋体" w:hAnsi="宋体"/>
                <w:snapToGrid w:val="0"/>
                <w:kern w:val="0"/>
                <w:sz w:val="21"/>
                <w:szCs w:val="21"/>
              </w:rPr>
            </w:pPr>
          </w:p>
        </w:tc>
        <w:tc>
          <w:tcPr>
            <w:tcW w:w="1200" w:type="dxa"/>
            <w:vMerge w:val="continue"/>
            <w:vAlign w:val="center"/>
          </w:tcPr>
          <w:p>
            <w:pPr>
              <w:suppressAutoHyphens/>
              <w:adjustRightInd w:val="0"/>
              <w:snapToGrid w:val="0"/>
              <w:jc w:val="left"/>
              <w:rPr>
                <w:rFonts w:ascii="宋体" w:hAnsi="宋体"/>
                <w:snapToGrid w:val="0"/>
                <w:kern w:val="0"/>
                <w:sz w:val="21"/>
                <w:szCs w:val="21"/>
              </w:rPr>
            </w:pPr>
          </w:p>
        </w:tc>
        <w:tc>
          <w:tcPr>
            <w:tcW w:w="2473"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2</w:t>
            </w:r>
            <w:r>
              <w:rPr>
                <w:rFonts w:hint="eastAsia" w:ascii="宋体" w:hAnsi="宋体"/>
                <w:snapToGrid w:val="0"/>
                <w:kern w:val="0"/>
                <w:sz w:val="21"/>
                <w:szCs w:val="21"/>
              </w:rPr>
              <w:t>0</w:t>
            </w:r>
            <w:r>
              <w:rPr>
                <w:rFonts w:ascii="宋体" w:hAnsi="宋体"/>
                <w:snapToGrid w:val="0"/>
                <w:kern w:val="0"/>
                <w:sz w:val="21"/>
                <w:szCs w:val="21"/>
              </w:rPr>
              <w:t>×</w:t>
            </w:r>
            <w:r>
              <w:rPr>
                <w:rFonts w:hint="eastAsia" w:ascii="宋体" w:hAnsi="宋体"/>
                <w:snapToGrid w:val="0"/>
                <w:kern w:val="0"/>
                <w:sz w:val="21"/>
                <w:szCs w:val="21"/>
              </w:rPr>
              <w:t>50</w:t>
            </w:r>
            <w:r>
              <w:rPr>
                <w:rFonts w:ascii="宋体" w:hAnsi="宋体"/>
                <w:snapToGrid w:val="0"/>
                <w:kern w:val="0"/>
                <w:sz w:val="21"/>
                <w:szCs w:val="21"/>
              </w:rPr>
              <w:t>m成品库</w:t>
            </w:r>
          </w:p>
        </w:tc>
        <w:tc>
          <w:tcPr>
            <w:tcW w:w="1302" w:type="dxa"/>
            <w:vAlign w:val="center"/>
          </w:tcPr>
          <w:p>
            <w:pPr>
              <w:suppressAutoHyphens/>
              <w:adjustRightInd w:val="0"/>
              <w:snapToGrid w:val="0"/>
              <w:jc w:val="center"/>
              <w:rPr>
                <w:rFonts w:ascii="宋体" w:hAnsi="宋体"/>
                <w:snapToGrid w:val="0"/>
                <w:kern w:val="0"/>
                <w:sz w:val="21"/>
                <w:szCs w:val="21"/>
              </w:rPr>
            </w:pPr>
            <w:r>
              <w:rPr>
                <w:rFonts w:hint="eastAsia" w:ascii="宋体" w:hAnsi="宋体"/>
                <w:snapToGrid w:val="0"/>
                <w:kern w:val="0"/>
                <w:sz w:val="21"/>
                <w:szCs w:val="21"/>
              </w:rPr>
              <w:t>10</w:t>
            </w:r>
            <w:r>
              <w:rPr>
                <w:rFonts w:ascii="宋体" w:hAnsi="宋体"/>
                <w:snapToGrid w:val="0"/>
                <w:kern w:val="0"/>
                <w:sz w:val="21"/>
                <w:szCs w:val="21"/>
              </w:rPr>
              <w:t>00</w:t>
            </w:r>
          </w:p>
        </w:tc>
        <w:tc>
          <w:tcPr>
            <w:tcW w:w="1302" w:type="dxa"/>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0.80</w:t>
            </w:r>
          </w:p>
        </w:tc>
        <w:tc>
          <w:tcPr>
            <w:tcW w:w="792" w:type="dxa"/>
            <w:vAlign w:val="center"/>
          </w:tcPr>
          <w:p>
            <w:pPr>
              <w:suppressAutoHyphens/>
              <w:adjustRightInd w:val="0"/>
              <w:snapToGrid w:val="0"/>
              <w:spacing w:line="560" w:lineRule="exact"/>
              <w:jc w:val="center"/>
              <w:rPr>
                <w:rFonts w:ascii="宋体" w:hAnsi="宋体"/>
                <w:snapToGrid w:val="0"/>
                <w:kern w:val="0"/>
                <w:sz w:val="21"/>
                <w:szCs w:val="21"/>
              </w:rPr>
            </w:pPr>
          </w:p>
        </w:tc>
      </w:tr>
    </w:tbl>
    <w:p>
      <w:pPr>
        <w:spacing w:line="480" w:lineRule="exact"/>
        <w:jc w:val="center"/>
        <w:rPr>
          <w:rFonts w:hint="eastAsia" w:ascii="宋体" w:hAnsi="宋体"/>
          <w:b/>
        </w:rPr>
      </w:pPr>
    </w:p>
    <w:p>
      <w:pPr>
        <w:spacing w:line="480" w:lineRule="exact"/>
        <w:jc w:val="center"/>
        <w:rPr>
          <w:rFonts w:hint="eastAsia" w:ascii="宋体" w:hAnsi="宋体"/>
          <w:b/>
        </w:rPr>
      </w:pPr>
      <w:r>
        <w:rPr>
          <w:rFonts w:hint="eastAsia" w:ascii="宋体" w:hAnsi="宋体"/>
          <w:b/>
        </w:rPr>
        <w:t>表3-4    原辅材料及燃料消耗一览表</w:t>
      </w:r>
    </w:p>
    <w:tbl>
      <w:tblPr>
        <w:tblStyle w:val="21"/>
        <w:tblW w:w="87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1177"/>
        <w:gridCol w:w="1466"/>
        <w:gridCol w:w="1238"/>
        <w:gridCol w:w="808"/>
        <w:gridCol w:w="2690"/>
        <w:gridCol w:w="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5" w:type="dxa"/>
            <w:vAlign w:val="center"/>
          </w:tcPr>
          <w:p>
            <w:pPr>
              <w:spacing w:line="360" w:lineRule="exact"/>
              <w:jc w:val="center"/>
              <w:rPr>
                <w:rFonts w:hint="eastAsia" w:ascii="宋体" w:hAnsi="宋体"/>
                <w:sz w:val="21"/>
                <w:szCs w:val="21"/>
              </w:rPr>
            </w:pPr>
            <w:r>
              <w:rPr>
                <w:rFonts w:hint="eastAsia" w:ascii="宋体" w:hAnsi="宋体"/>
                <w:sz w:val="21"/>
                <w:szCs w:val="21"/>
              </w:rPr>
              <w:t>序</w:t>
            </w:r>
          </w:p>
          <w:p>
            <w:pPr>
              <w:spacing w:line="360" w:lineRule="exact"/>
              <w:jc w:val="center"/>
              <w:rPr>
                <w:rFonts w:hint="eastAsia" w:ascii="宋体" w:hAnsi="宋体"/>
                <w:sz w:val="21"/>
                <w:szCs w:val="21"/>
              </w:rPr>
            </w:pPr>
            <w:r>
              <w:rPr>
                <w:rFonts w:hint="eastAsia" w:ascii="宋体" w:hAnsi="宋体"/>
                <w:sz w:val="21"/>
                <w:szCs w:val="21"/>
              </w:rPr>
              <w:t>号</w:t>
            </w:r>
          </w:p>
        </w:tc>
        <w:tc>
          <w:tcPr>
            <w:tcW w:w="1177" w:type="dxa"/>
            <w:vAlign w:val="center"/>
          </w:tcPr>
          <w:p>
            <w:pPr>
              <w:spacing w:line="360" w:lineRule="exact"/>
              <w:jc w:val="center"/>
              <w:rPr>
                <w:rFonts w:hint="eastAsia" w:ascii="宋体" w:hAnsi="宋体"/>
                <w:sz w:val="21"/>
                <w:szCs w:val="21"/>
              </w:rPr>
            </w:pPr>
            <w:r>
              <w:rPr>
                <w:rFonts w:hint="eastAsia" w:ascii="宋体" w:hAnsi="宋体"/>
                <w:sz w:val="21"/>
                <w:szCs w:val="21"/>
              </w:rPr>
              <w:t>物料</w:t>
            </w:r>
          </w:p>
          <w:p>
            <w:pPr>
              <w:spacing w:line="360" w:lineRule="exact"/>
              <w:jc w:val="center"/>
              <w:rPr>
                <w:rFonts w:hint="eastAsia" w:ascii="宋体" w:hAnsi="宋体"/>
                <w:sz w:val="21"/>
                <w:szCs w:val="21"/>
              </w:rPr>
            </w:pPr>
            <w:r>
              <w:rPr>
                <w:rFonts w:hint="eastAsia" w:ascii="宋体" w:hAnsi="宋体"/>
                <w:sz w:val="21"/>
                <w:szCs w:val="21"/>
              </w:rPr>
              <w:t>名称</w:t>
            </w:r>
          </w:p>
        </w:tc>
        <w:tc>
          <w:tcPr>
            <w:tcW w:w="1466" w:type="dxa"/>
            <w:vAlign w:val="center"/>
          </w:tcPr>
          <w:p>
            <w:pPr>
              <w:spacing w:line="360" w:lineRule="exact"/>
              <w:jc w:val="center"/>
              <w:rPr>
                <w:rFonts w:hint="eastAsia" w:ascii="宋体" w:hAnsi="宋体"/>
                <w:sz w:val="21"/>
                <w:szCs w:val="21"/>
              </w:rPr>
            </w:pPr>
            <w:r>
              <w:rPr>
                <w:rFonts w:hint="eastAsia" w:ascii="宋体" w:hAnsi="宋体"/>
                <w:sz w:val="21"/>
                <w:szCs w:val="21"/>
              </w:rPr>
              <w:t>湿基年</w:t>
            </w:r>
          </w:p>
          <w:p>
            <w:pPr>
              <w:spacing w:line="360" w:lineRule="exact"/>
              <w:jc w:val="center"/>
              <w:rPr>
                <w:rFonts w:hint="eastAsia" w:ascii="宋体" w:hAnsi="宋体"/>
                <w:sz w:val="21"/>
                <w:szCs w:val="21"/>
              </w:rPr>
            </w:pPr>
            <w:r>
              <w:rPr>
                <w:rFonts w:hint="eastAsia" w:ascii="宋体" w:hAnsi="宋体"/>
                <w:sz w:val="21"/>
                <w:szCs w:val="21"/>
              </w:rPr>
              <w:t>消耗量（</w:t>
            </w:r>
            <w:r>
              <w:rPr>
                <w:rFonts w:ascii="宋体" w:hAnsi="宋体"/>
                <w:sz w:val="21"/>
                <w:szCs w:val="21"/>
              </w:rPr>
              <w:t>t/a</w:t>
            </w:r>
            <w:r>
              <w:rPr>
                <w:rFonts w:hint="eastAsia" w:ascii="宋体" w:hAnsi="宋体"/>
                <w:sz w:val="21"/>
                <w:szCs w:val="21"/>
              </w:rPr>
              <w:t>）</w:t>
            </w:r>
          </w:p>
        </w:tc>
        <w:tc>
          <w:tcPr>
            <w:tcW w:w="1238" w:type="dxa"/>
            <w:vAlign w:val="center"/>
          </w:tcPr>
          <w:p>
            <w:pPr>
              <w:spacing w:line="360" w:lineRule="exact"/>
              <w:jc w:val="center"/>
              <w:rPr>
                <w:rFonts w:hint="eastAsia" w:ascii="宋体" w:hAnsi="宋体"/>
                <w:sz w:val="21"/>
                <w:szCs w:val="21"/>
              </w:rPr>
            </w:pPr>
            <w:r>
              <w:rPr>
                <w:rFonts w:hint="eastAsia" w:ascii="宋体" w:hAnsi="宋体"/>
                <w:sz w:val="21"/>
                <w:szCs w:val="21"/>
              </w:rPr>
              <w:t>干基年消耗量（</w:t>
            </w:r>
            <w:r>
              <w:rPr>
                <w:rFonts w:ascii="宋体" w:hAnsi="宋体"/>
                <w:sz w:val="21"/>
                <w:szCs w:val="21"/>
              </w:rPr>
              <w:t>t/a</w:t>
            </w:r>
            <w:r>
              <w:rPr>
                <w:rFonts w:hint="eastAsia" w:ascii="宋体" w:hAnsi="宋体"/>
                <w:sz w:val="21"/>
                <w:szCs w:val="21"/>
              </w:rPr>
              <w:t>）</w:t>
            </w:r>
          </w:p>
        </w:tc>
        <w:tc>
          <w:tcPr>
            <w:tcW w:w="808" w:type="dxa"/>
            <w:vAlign w:val="center"/>
          </w:tcPr>
          <w:p>
            <w:pPr>
              <w:spacing w:line="360" w:lineRule="exact"/>
              <w:jc w:val="center"/>
              <w:rPr>
                <w:rFonts w:hint="eastAsia" w:ascii="宋体" w:hAnsi="宋体"/>
                <w:sz w:val="21"/>
                <w:szCs w:val="21"/>
              </w:rPr>
            </w:pPr>
            <w:r>
              <w:rPr>
                <w:rFonts w:hint="eastAsia" w:ascii="宋体" w:hAnsi="宋体"/>
                <w:sz w:val="21"/>
                <w:szCs w:val="21"/>
              </w:rPr>
              <w:t>水分</w:t>
            </w:r>
          </w:p>
          <w:p>
            <w:pPr>
              <w:spacing w:line="360" w:lineRule="exact"/>
              <w:jc w:val="center"/>
              <w:rPr>
                <w:rFonts w:hint="eastAsia" w:ascii="宋体" w:hAnsi="宋体"/>
                <w:sz w:val="21"/>
                <w:szCs w:val="21"/>
              </w:rPr>
            </w:pPr>
            <w:r>
              <w:rPr>
                <w:rFonts w:hint="eastAsia" w:ascii="宋体" w:hAnsi="宋体"/>
                <w:sz w:val="21"/>
                <w:szCs w:val="21"/>
              </w:rPr>
              <w:t>（%）</w:t>
            </w:r>
          </w:p>
        </w:tc>
        <w:tc>
          <w:tcPr>
            <w:tcW w:w="2690" w:type="dxa"/>
            <w:vAlign w:val="center"/>
          </w:tcPr>
          <w:p>
            <w:pPr>
              <w:spacing w:line="360" w:lineRule="exact"/>
              <w:jc w:val="center"/>
              <w:rPr>
                <w:rFonts w:hint="eastAsia" w:ascii="宋体" w:hAnsi="宋体"/>
                <w:sz w:val="21"/>
                <w:szCs w:val="21"/>
              </w:rPr>
            </w:pPr>
            <w:r>
              <w:rPr>
                <w:rFonts w:hint="eastAsia" w:ascii="宋体" w:hAnsi="宋体"/>
                <w:sz w:val="21"/>
                <w:szCs w:val="21"/>
              </w:rPr>
              <w:t>来源</w:t>
            </w:r>
          </w:p>
        </w:tc>
        <w:tc>
          <w:tcPr>
            <w:tcW w:w="894" w:type="dxa"/>
            <w:vAlign w:val="center"/>
          </w:tcPr>
          <w:p>
            <w:pPr>
              <w:spacing w:line="360" w:lineRule="exact"/>
              <w:jc w:val="center"/>
              <w:rPr>
                <w:rFonts w:hint="eastAsia" w:ascii="宋体" w:hAnsi="宋体"/>
                <w:sz w:val="21"/>
                <w:szCs w:val="21"/>
              </w:rPr>
            </w:pPr>
            <w:r>
              <w:rPr>
                <w:rFonts w:hint="eastAsia" w:ascii="宋体" w:hAnsi="宋体"/>
                <w:sz w:val="21"/>
                <w:szCs w:val="21"/>
              </w:rPr>
              <w:t>运距</w:t>
            </w:r>
            <w:r>
              <w:rPr>
                <w:rFonts w:ascii="宋体" w:hAnsi="宋体"/>
                <w:sz w:val="21"/>
                <w:szCs w:val="21"/>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495" w:type="dxa"/>
            <w:vAlign w:val="center"/>
          </w:tcPr>
          <w:p>
            <w:pPr>
              <w:spacing w:line="360" w:lineRule="exact"/>
              <w:jc w:val="center"/>
              <w:rPr>
                <w:rFonts w:hint="eastAsia" w:ascii="宋体" w:hAnsi="宋体"/>
                <w:sz w:val="21"/>
                <w:szCs w:val="21"/>
              </w:rPr>
            </w:pPr>
            <w:r>
              <w:rPr>
                <w:rFonts w:hint="eastAsia" w:ascii="宋体" w:hAnsi="宋体"/>
                <w:sz w:val="21"/>
                <w:szCs w:val="21"/>
              </w:rPr>
              <w:t>1</w:t>
            </w:r>
          </w:p>
        </w:tc>
        <w:tc>
          <w:tcPr>
            <w:tcW w:w="1177" w:type="dxa"/>
            <w:vAlign w:val="center"/>
          </w:tcPr>
          <w:p>
            <w:pPr>
              <w:spacing w:line="360" w:lineRule="exact"/>
              <w:jc w:val="center"/>
              <w:rPr>
                <w:rFonts w:hint="eastAsia" w:ascii="宋体" w:hAnsi="宋体"/>
                <w:sz w:val="21"/>
                <w:szCs w:val="21"/>
              </w:rPr>
            </w:pPr>
            <w:r>
              <w:rPr>
                <w:rFonts w:hint="eastAsia" w:ascii="宋体" w:hAnsi="宋体"/>
                <w:sz w:val="21"/>
                <w:szCs w:val="21"/>
              </w:rPr>
              <w:t>石灰石</w:t>
            </w:r>
          </w:p>
        </w:tc>
        <w:tc>
          <w:tcPr>
            <w:tcW w:w="1466" w:type="dxa"/>
            <w:vAlign w:val="center"/>
          </w:tcPr>
          <w:p>
            <w:pPr>
              <w:jc w:val="center"/>
              <w:rPr>
                <w:rFonts w:ascii="宋体" w:hAnsi="宋体"/>
                <w:sz w:val="21"/>
                <w:szCs w:val="21"/>
              </w:rPr>
            </w:pPr>
            <w:r>
              <w:rPr>
                <w:rFonts w:ascii="宋体" w:hAnsi="宋体"/>
                <w:sz w:val="21"/>
                <w:szCs w:val="21"/>
              </w:rPr>
              <w:t>1018660</w:t>
            </w:r>
          </w:p>
        </w:tc>
        <w:tc>
          <w:tcPr>
            <w:tcW w:w="1238" w:type="dxa"/>
            <w:vAlign w:val="center"/>
          </w:tcPr>
          <w:p>
            <w:pPr>
              <w:jc w:val="center"/>
              <w:rPr>
                <w:rFonts w:ascii="宋体" w:hAnsi="宋体"/>
                <w:sz w:val="21"/>
                <w:szCs w:val="21"/>
              </w:rPr>
            </w:pPr>
            <w:r>
              <w:rPr>
                <w:rFonts w:ascii="宋体" w:hAnsi="宋体"/>
                <w:sz w:val="21"/>
                <w:szCs w:val="21"/>
              </w:rPr>
              <w:t>1008430</w:t>
            </w:r>
          </w:p>
        </w:tc>
        <w:tc>
          <w:tcPr>
            <w:tcW w:w="808" w:type="dxa"/>
            <w:vAlign w:val="center"/>
          </w:tcPr>
          <w:p>
            <w:pPr>
              <w:jc w:val="center"/>
              <w:rPr>
                <w:szCs w:val="21"/>
              </w:rPr>
            </w:pPr>
            <w:r>
              <w:rPr>
                <w:szCs w:val="21"/>
              </w:rPr>
              <w:t>1</w:t>
            </w:r>
          </w:p>
        </w:tc>
        <w:tc>
          <w:tcPr>
            <w:tcW w:w="2690" w:type="dxa"/>
            <w:vAlign w:val="center"/>
          </w:tcPr>
          <w:p>
            <w:pPr>
              <w:spacing w:line="360" w:lineRule="exact"/>
              <w:jc w:val="center"/>
              <w:rPr>
                <w:rFonts w:hint="eastAsia" w:ascii="宋体" w:hAnsi="宋体"/>
                <w:sz w:val="21"/>
                <w:szCs w:val="21"/>
              </w:rPr>
            </w:pPr>
            <w:r>
              <w:rPr>
                <w:rFonts w:hint="eastAsia" w:ascii="宋体" w:hAnsi="宋体"/>
                <w:sz w:val="21"/>
                <w:szCs w:val="21"/>
              </w:rPr>
              <w:t>璧山县福禄镇</w:t>
            </w:r>
          </w:p>
        </w:tc>
        <w:tc>
          <w:tcPr>
            <w:tcW w:w="894" w:type="dxa"/>
            <w:vAlign w:val="center"/>
          </w:tcPr>
          <w:p>
            <w:pPr>
              <w:spacing w:line="360" w:lineRule="exact"/>
              <w:jc w:val="center"/>
              <w:rPr>
                <w:rFonts w:hint="eastAsia" w:ascii="宋体" w:hAnsi="宋体"/>
                <w:sz w:val="21"/>
                <w:szCs w:val="21"/>
              </w:rPr>
            </w:pPr>
            <w:r>
              <w:rPr>
                <w:rFonts w:hint="eastAsia" w:ascii="宋体" w:hAnsi="宋体"/>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495" w:type="dxa"/>
            <w:vAlign w:val="center"/>
          </w:tcPr>
          <w:p>
            <w:pPr>
              <w:spacing w:line="360" w:lineRule="exact"/>
              <w:jc w:val="center"/>
              <w:rPr>
                <w:rFonts w:hint="eastAsia" w:ascii="宋体" w:hAnsi="宋体"/>
                <w:sz w:val="21"/>
                <w:szCs w:val="21"/>
              </w:rPr>
            </w:pPr>
            <w:r>
              <w:rPr>
                <w:rFonts w:hint="eastAsia" w:ascii="宋体" w:hAnsi="宋体"/>
                <w:sz w:val="21"/>
                <w:szCs w:val="21"/>
              </w:rPr>
              <w:t>2</w:t>
            </w:r>
          </w:p>
        </w:tc>
        <w:tc>
          <w:tcPr>
            <w:tcW w:w="1177" w:type="dxa"/>
            <w:vAlign w:val="center"/>
          </w:tcPr>
          <w:p>
            <w:pPr>
              <w:spacing w:line="360" w:lineRule="exact"/>
              <w:jc w:val="center"/>
              <w:rPr>
                <w:rFonts w:hint="eastAsia" w:ascii="宋体" w:hAnsi="宋体"/>
                <w:sz w:val="21"/>
                <w:szCs w:val="21"/>
              </w:rPr>
            </w:pPr>
            <w:r>
              <w:rPr>
                <w:rFonts w:hint="eastAsia" w:ascii="宋体" w:hAnsi="宋体"/>
                <w:sz w:val="21"/>
                <w:szCs w:val="21"/>
              </w:rPr>
              <w:t>砂岩</w:t>
            </w:r>
          </w:p>
        </w:tc>
        <w:tc>
          <w:tcPr>
            <w:tcW w:w="1466" w:type="dxa"/>
            <w:vAlign w:val="center"/>
          </w:tcPr>
          <w:p>
            <w:pPr>
              <w:jc w:val="center"/>
              <w:rPr>
                <w:rFonts w:ascii="宋体" w:hAnsi="宋体"/>
                <w:sz w:val="21"/>
                <w:szCs w:val="21"/>
              </w:rPr>
            </w:pPr>
            <w:r>
              <w:rPr>
                <w:rFonts w:ascii="宋体" w:hAnsi="宋体"/>
                <w:sz w:val="21"/>
                <w:szCs w:val="21"/>
              </w:rPr>
              <w:t>66960</w:t>
            </w:r>
          </w:p>
        </w:tc>
        <w:tc>
          <w:tcPr>
            <w:tcW w:w="1238" w:type="dxa"/>
            <w:vAlign w:val="center"/>
          </w:tcPr>
          <w:p>
            <w:pPr>
              <w:jc w:val="center"/>
              <w:rPr>
                <w:rFonts w:ascii="宋体" w:hAnsi="宋体"/>
                <w:sz w:val="21"/>
                <w:szCs w:val="21"/>
              </w:rPr>
            </w:pPr>
            <w:r>
              <w:rPr>
                <w:rFonts w:ascii="宋体" w:hAnsi="宋体"/>
                <w:sz w:val="21"/>
                <w:szCs w:val="21"/>
              </w:rPr>
              <w:t>66650</w:t>
            </w:r>
          </w:p>
        </w:tc>
        <w:tc>
          <w:tcPr>
            <w:tcW w:w="808" w:type="dxa"/>
            <w:vAlign w:val="center"/>
          </w:tcPr>
          <w:p>
            <w:pPr>
              <w:jc w:val="center"/>
              <w:rPr>
                <w:szCs w:val="21"/>
              </w:rPr>
            </w:pPr>
            <w:r>
              <w:rPr>
                <w:szCs w:val="21"/>
              </w:rPr>
              <w:t>1</w:t>
            </w:r>
          </w:p>
        </w:tc>
        <w:tc>
          <w:tcPr>
            <w:tcW w:w="2690" w:type="dxa"/>
            <w:vAlign w:val="center"/>
          </w:tcPr>
          <w:p>
            <w:pPr>
              <w:spacing w:line="360" w:lineRule="exact"/>
              <w:jc w:val="center"/>
              <w:rPr>
                <w:rFonts w:hint="eastAsia" w:ascii="宋体" w:hAnsi="宋体"/>
                <w:sz w:val="21"/>
                <w:szCs w:val="21"/>
              </w:rPr>
            </w:pPr>
            <w:r>
              <w:rPr>
                <w:rFonts w:hint="eastAsia" w:ascii="宋体" w:hAnsi="宋体"/>
                <w:sz w:val="21"/>
                <w:szCs w:val="21"/>
              </w:rPr>
              <w:t>合川盐井镇塘坝村</w:t>
            </w:r>
          </w:p>
        </w:tc>
        <w:tc>
          <w:tcPr>
            <w:tcW w:w="894" w:type="dxa"/>
            <w:vAlign w:val="center"/>
          </w:tcPr>
          <w:p>
            <w:pPr>
              <w:spacing w:line="360" w:lineRule="exact"/>
              <w:jc w:val="center"/>
              <w:rPr>
                <w:rFonts w:hint="eastAsia" w:ascii="宋体" w:hAnsi="宋体"/>
                <w:sz w:val="21"/>
                <w:szCs w:val="21"/>
              </w:rPr>
            </w:pPr>
            <w:r>
              <w:rPr>
                <w:rFonts w:hint="eastAsia" w:ascii="宋体" w:hAnsi="宋体"/>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 w:hRule="atLeast"/>
          <w:jc w:val="center"/>
        </w:trPr>
        <w:tc>
          <w:tcPr>
            <w:tcW w:w="495" w:type="dxa"/>
            <w:vAlign w:val="center"/>
          </w:tcPr>
          <w:p>
            <w:pPr>
              <w:spacing w:line="360" w:lineRule="exact"/>
              <w:jc w:val="center"/>
              <w:rPr>
                <w:rFonts w:hint="eastAsia" w:ascii="宋体" w:hAnsi="宋体"/>
                <w:sz w:val="21"/>
                <w:szCs w:val="21"/>
              </w:rPr>
            </w:pPr>
            <w:r>
              <w:rPr>
                <w:rFonts w:hint="eastAsia" w:ascii="宋体" w:hAnsi="宋体"/>
                <w:sz w:val="21"/>
                <w:szCs w:val="21"/>
              </w:rPr>
              <w:t>3</w:t>
            </w:r>
          </w:p>
        </w:tc>
        <w:tc>
          <w:tcPr>
            <w:tcW w:w="1177" w:type="dxa"/>
            <w:vAlign w:val="center"/>
          </w:tcPr>
          <w:p>
            <w:pPr>
              <w:spacing w:line="360" w:lineRule="exact"/>
              <w:jc w:val="center"/>
              <w:rPr>
                <w:rFonts w:hint="eastAsia" w:ascii="宋体" w:hAnsi="宋体"/>
                <w:sz w:val="21"/>
                <w:szCs w:val="21"/>
              </w:rPr>
            </w:pPr>
            <w:r>
              <w:rPr>
                <w:rFonts w:hint="eastAsia" w:ascii="宋体" w:hAnsi="宋体"/>
                <w:sz w:val="21"/>
                <w:szCs w:val="21"/>
              </w:rPr>
              <w:t>煤矸石</w:t>
            </w:r>
          </w:p>
        </w:tc>
        <w:tc>
          <w:tcPr>
            <w:tcW w:w="1466" w:type="dxa"/>
            <w:vAlign w:val="center"/>
          </w:tcPr>
          <w:p>
            <w:pPr>
              <w:jc w:val="center"/>
              <w:rPr>
                <w:rFonts w:ascii="宋体" w:hAnsi="宋体"/>
                <w:sz w:val="21"/>
                <w:szCs w:val="21"/>
              </w:rPr>
            </w:pPr>
            <w:r>
              <w:rPr>
                <w:rFonts w:ascii="宋体" w:hAnsi="宋体"/>
                <w:sz w:val="21"/>
                <w:szCs w:val="21"/>
              </w:rPr>
              <w:t>92039</w:t>
            </w:r>
          </w:p>
        </w:tc>
        <w:tc>
          <w:tcPr>
            <w:tcW w:w="1238" w:type="dxa"/>
            <w:vAlign w:val="center"/>
          </w:tcPr>
          <w:p>
            <w:pPr>
              <w:jc w:val="center"/>
              <w:rPr>
                <w:rFonts w:ascii="宋体" w:hAnsi="宋体"/>
                <w:sz w:val="21"/>
                <w:szCs w:val="21"/>
              </w:rPr>
            </w:pPr>
            <w:r>
              <w:rPr>
                <w:rFonts w:ascii="宋体" w:hAnsi="宋体"/>
                <w:sz w:val="21"/>
                <w:szCs w:val="21"/>
              </w:rPr>
              <w:t>87730</w:t>
            </w:r>
          </w:p>
        </w:tc>
        <w:tc>
          <w:tcPr>
            <w:tcW w:w="808" w:type="dxa"/>
            <w:vAlign w:val="center"/>
          </w:tcPr>
          <w:p>
            <w:pPr>
              <w:jc w:val="center"/>
              <w:rPr>
                <w:szCs w:val="21"/>
              </w:rPr>
            </w:pPr>
            <w:r>
              <w:rPr>
                <w:szCs w:val="21"/>
              </w:rPr>
              <w:t>5</w:t>
            </w:r>
          </w:p>
        </w:tc>
        <w:tc>
          <w:tcPr>
            <w:tcW w:w="2690" w:type="dxa"/>
            <w:vAlign w:val="center"/>
          </w:tcPr>
          <w:p>
            <w:pPr>
              <w:spacing w:line="360" w:lineRule="exact"/>
              <w:jc w:val="center"/>
              <w:rPr>
                <w:rFonts w:hint="eastAsia" w:ascii="宋体" w:hAnsi="宋体"/>
                <w:sz w:val="21"/>
                <w:szCs w:val="21"/>
              </w:rPr>
            </w:pPr>
            <w:r>
              <w:rPr>
                <w:rFonts w:hint="eastAsia" w:ascii="宋体" w:hAnsi="宋体"/>
                <w:sz w:val="21"/>
                <w:szCs w:val="21"/>
              </w:rPr>
              <w:t>厂区内</w:t>
            </w:r>
          </w:p>
        </w:tc>
        <w:tc>
          <w:tcPr>
            <w:tcW w:w="894" w:type="dxa"/>
            <w:vAlign w:val="center"/>
          </w:tcPr>
          <w:p>
            <w:pPr>
              <w:spacing w:line="360" w:lineRule="exact"/>
              <w:jc w:val="center"/>
              <w:rPr>
                <w:rFonts w:hint="eastAsia" w:ascii="宋体" w:hAnsi="宋体"/>
                <w:sz w:val="21"/>
                <w:szCs w:val="21"/>
              </w:rPr>
            </w:pP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495" w:type="dxa"/>
            <w:vAlign w:val="center"/>
          </w:tcPr>
          <w:p>
            <w:pPr>
              <w:spacing w:line="360" w:lineRule="exact"/>
              <w:jc w:val="center"/>
              <w:rPr>
                <w:rFonts w:hint="eastAsia" w:ascii="宋体" w:hAnsi="宋体"/>
                <w:sz w:val="21"/>
                <w:szCs w:val="21"/>
              </w:rPr>
            </w:pPr>
            <w:r>
              <w:rPr>
                <w:rFonts w:hint="eastAsia" w:ascii="宋体" w:hAnsi="宋体"/>
                <w:sz w:val="21"/>
                <w:szCs w:val="21"/>
              </w:rPr>
              <w:t>4</w:t>
            </w:r>
          </w:p>
        </w:tc>
        <w:tc>
          <w:tcPr>
            <w:tcW w:w="1177" w:type="dxa"/>
            <w:vAlign w:val="center"/>
          </w:tcPr>
          <w:p>
            <w:pPr>
              <w:spacing w:line="360" w:lineRule="exact"/>
              <w:jc w:val="center"/>
              <w:rPr>
                <w:rFonts w:hint="eastAsia" w:ascii="宋体" w:hAnsi="宋体"/>
                <w:sz w:val="21"/>
                <w:szCs w:val="21"/>
              </w:rPr>
            </w:pPr>
            <w:r>
              <w:rPr>
                <w:rFonts w:hint="eastAsia" w:ascii="宋体" w:hAnsi="宋体"/>
                <w:sz w:val="21"/>
                <w:szCs w:val="21"/>
              </w:rPr>
              <w:t>硫酸渣</w:t>
            </w:r>
          </w:p>
        </w:tc>
        <w:tc>
          <w:tcPr>
            <w:tcW w:w="1466" w:type="dxa"/>
            <w:vAlign w:val="center"/>
          </w:tcPr>
          <w:p>
            <w:pPr>
              <w:jc w:val="center"/>
              <w:rPr>
                <w:rFonts w:ascii="宋体" w:hAnsi="宋体"/>
                <w:sz w:val="21"/>
                <w:szCs w:val="21"/>
              </w:rPr>
            </w:pPr>
            <w:r>
              <w:rPr>
                <w:rFonts w:ascii="宋体" w:hAnsi="宋体"/>
                <w:sz w:val="21"/>
                <w:szCs w:val="21"/>
              </w:rPr>
              <w:t>15847</w:t>
            </w:r>
          </w:p>
        </w:tc>
        <w:tc>
          <w:tcPr>
            <w:tcW w:w="1238" w:type="dxa"/>
            <w:vAlign w:val="center"/>
          </w:tcPr>
          <w:p>
            <w:pPr>
              <w:jc w:val="center"/>
              <w:rPr>
                <w:rFonts w:ascii="宋体" w:hAnsi="宋体"/>
                <w:sz w:val="21"/>
                <w:szCs w:val="21"/>
              </w:rPr>
            </w:pPr>
            <w:r>
              <w:rPr>
                <w:rFonts w:ascii="宋体" w:hAnsi="宋体"/>
                <w:sz w:val="21"/>
                <w:szCs w:val="21"/>
              </w:rPr>
              <w:t>13330</w:t>
            </w:r>
          </w:p>
        </w:tc>
        <w:tc>
          <w:tcPr>
            <w:tcW w:w="808" w:type="dxa"/>
            <w:vAlign w:val="center"/>
          </w:tcPr>
          <w:p>
            <w:pPr>
              <w:jc w:val="center"/>
              <w:rPr>
                <w:szCs w:val="21"/>
              </w:rPr>
            </w:pPr>
            <w:r>
              <w:rPr>
                <w:szCs w:val="21"/>
              </w:rPr>
              <w:t>18</w:t>
            </w:r>
          </w:p>
        </w:tc>
        <w:tc>
          <w:tcPr>
            <w:tcW w:w="2690" w:type="dxa"/>
            <w:vAlign w:val="center"/>
          </w:tcPr>
          <w:p>
            <w:pPr>
              <w:spacing w:line="360" w:lineRule="exact"/>
              <w:jc w:val="center"/>
              <w:rPr>
                <w:rFonts w:hint="eastAsia" w:ascii="宋体" w:hAnsi="宋体"/>
                <w:sz w:val="21"/>
                <w:szCs w:val="21"/>
              </w:rPr>
            </w:pPr>
            <w:r>
              <w:rPr>
                <w:rFonts w:hint="eastAsia" w:ascii="宋体" w:hAnsi="宋体"/>
                <w:sz w:val="21"/>
                <w:szCs w:val="21"/>
              </w:rPr>
              <w:t>江津前进化工厂</w:t>
            </w:r>
          </w:p>
        </w:tc>
        <w:tc>
          <w:tcPr>
            <w:tcW w:w="894" w:type="dxa"/>
            <w:vAlign w:val="center"/>
          </w:tcPr>
          <w:p>
            <w:pPr>
              <w:spacing w:line="360" w:lineRule="exact"/>
              <w:jc w:val="center"/>
              <w:rPr>
                <w:rFonts w:hint="eastAsia" w:ascii="宋体" w:hAnsi="宋体"/>
                <w:sz w:val="21"/>
                <w:szCs w:val="21"/>
              </w:rPr>
            </w:pPr>
            <w:r>
              <w:rPr>
                <w:rFonts w:hint="eastAsia" w:ascii="宋体" w:hAnsi="宋体"/>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495" w:type="dxa"/>
            <w:vAlign w:val="center"/>
          </w:tcPr>
          <w:p>
            <w:pPr>
              <w:spacing w:line="360" w:lineRule="exact"/>
              <w:jc w:val="center"/>
              <w:rPr>
                <w:rFonts w:hint="eastAsia" w:ascii="宋体" w:hAnsi="宋体"/>
                <w:sz w:val="21"/>
                <w:szCs w:val="21"/>
              </w:rPr>
            </w:pPr>
            <w:r>
              <w:rPr>
                <w:rFonts w:hint="eastAsia" w:ascii="宋体" w:hAnsi="宋体"/>
                <w:sz w:val="21"/>
                <w:szCs w:val="21"/>
              </w:rPr>
              <w:t>5</w:t>
            </w:r>
          </w:p>
        </w:tc>
        <w:tc>
          <w:tcPr>
            <w:tcW w:w="1177" w:type="dxa"/>
            <w:vAlign w:val="center"/>
          </w:tcPr>
          <w:p>
            <w:pPr>
              <w:spacing w:line="360" w:lineRule="exact"/>
              <w:jc w:val="center"/>
              <w:rPr>
                <w:rFonts w:hint="eastAsia" w:ascii="宋体" w:hAnsi="宋体"/>
                <w:sz w:val="21"/>
                <w:szCs w:val="21"/>
              </w:rPr>
            </w:pPr>
            <w:r>
              <w:rPr>
                <w:rFonts w:hint="eastAsia" w:ascii="宋体" w:hAnsi="宋体"/>
                <w:sz w:val="21"/>
                <w:szCs w:val="21"/>
              </w:rPr>
              <w:t>烟煤</w:t>
            </w:r>
          </w:p>
        </w:tc>
        <w:tc>
          <w:tcPr>
            <w:tcW w:w="1466" w:type="dxa"/>
            <w:vAlign w:val="center"/>
          </w:tcPr>
          <w:p>
            <w:pPr>
              <w:spacing w:line="360" w:lineRule="exact"/>
              <w:jc w:val="center"/>
              <w:rPr>
                <w:rFonts w:hint="eastAsia" w:ascii="宋体" w:hAnsi="宋体"/>
                <w:sz w:val="21"/>
                <w:szCs w:val="21"/>
              </w:rPr>
            </w:pPr>
            <w:r>
              <w:rPr>
                <w:rFonts w:hint="eastAsia" w:ascii="宋体" w:hAnsi="宋体"/>
                <w:sz w:val="21"/>
                <w:szCs w:val="21"/>
              </w:rPr>
              <w:t>118632</w:t>
            </w:r>
          </w:p>
        </w:tc>
        <w:tc>
          <w:tcPr>
            <w:tcW w:w="1238" w:type="dxa"/>
            <w:vAlign w:val="center"/>
          </w:tcPr>
          <w:p>
            <w:pPr>
              <w:spacing w:line="360" w:lineRule="exact"/>
              <w:jc w:val="center"/>
              <w:rPr>
                <w:rFonts w:hint="eastAsia" w:ascii="宋体" w:hAnsi="宋体"/>
                <w:sz w:val="21"/>
                <w:szCs w:val="21"/>
              </w:rPr>
            </w:pPr>
            <w:r>
              <w:rPr>
                <w:rFonts w:hint="eastAsia" w:ascii="宋体" w:hAnsi="宋体"/>
                <w:sz w:val="21"/>
                <w:szCs w:val="21"/>
              </w:rPr>
              <w:t>109142</w:t>
            </w:r>
          </w:p>
        </w:tc>
        <w:tc>
          <w:tcPr>
            <w:tcW w:w="808" w:type="dxa"/>
            <w:vAlign w:val="center"/>
          </w:tcPr>
          <w:p>
            <w:pPr>
              <w:jc w:val="center"/>
              <w:rPr>
                <w:rFonts w:hint="eastAsia" w:ascii="宋体" w:hAnsi="宋体" w:cs="宋体"/>
                <w:sz w:val="21"/>
                <w:szCs w:val="21"/>
              </w:rPr>
            </w:pPr>
            <w:r>
              <w:rPr>
                <w:rFonts w:hint="eastAsia" w:ascii="宋体" w:hAnsi="宋体" w:cs="宋体"/>
                <w:sz w:val="21"/>
                <w:szCs w:val="21"/>
              </w:rPr>
              <w:t>8</w:t>
            </w:r>
          </w:p>
        </w:tc>
        <w:tc>
          <w:tcPr>
            <w:tcW w:w="2690" w:type="dxa"/>
            <w:vAlign w:val="center"/>
          </w:tcPr>
          <w:p>
            <w:pPr>
              <w:spacing w:line="360" w:lineRule="exact"/>
              <w:jc w:val="center"/>
              <w:rPr>
                <w:rFonts w:hint="eastAsia" w:ascii="宋体" w:hAnsi="宋体"/>
                <w:sz w:val="21"/>
                <w:szCs w:val="21"/>
              </w:rPr>
            </w:pPr>
            <w:r>
              <w:rPr>
                <w:rFonts w:hint="eastAsia" w:ascii="宋体" w:hAnsi="宋体"/>
                <w:sz w:val="21"/>
                <w:szCs w:val="21"/>
              </w:rPr>
              <w:t>厂区内</w:t>
            </w:r>
          </w:p>
        </w:tc>
        <w:tc>
          <w:tcPr>
            <w:tcW w:w="894" w:type="dxa"/>
            <w:vAlign w:val="center"/>
          </w:tcPr>
          <w:p>
            <w:pPr>
              <w:spacing w:line="360" w:lineRule="exact"/>
              <w:jc w:val="center"/>
              <w:rPr>
                <w:rFonts w:hint="eastAsia" w:ascii="宋体" w:hAnsi="宋体"/>
                <w:sz w:val="21"/>
                <w:szCs w:val="21"/>
              </w:rPr>
            </w:pP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495" w:type="dxa"/>
            <w:vAlign w:val="center"/>
          </w:tcPr>
          <w:p>
            <w:pPr>
              <w:spacing w:line="360" w:lineRule="exact"/>
              <w:jc w:val="center"/>
              <w:rPr>
                <w:rFonts w:hint="eastAsia" w:ascii="宋体" w:hAnsi="宋体"/>
                <w:sz w:val="21"/>
                <w:szCs w:val="21"/>
              </w:rPr>
            </w:pPr>
            <w:r>
              <w:rPr>
                <w:rFonts w:hint="eastAsia" w:ascii="宋体" w:hAnsi="宋体"/>
                <w:sz w:val="21"/>
                <w:szCs w:val="21"/>
              </w:rPr>
              <w:t>6</w:t>
            </w:r>
          </w:p>
        </w:tc>
        <w:tc>
          <w:tcPr>
            <w:tcW w:w="1177" w:type="dxa"/>
            <w:vAlign w:val="center"/>
          </w:tcPr>
          <w:p>
            <w:pPr>
              <w:spacing w:line="360" w:lineRule="exact"/>
              <w:jc w:val="center"/>
              <w:rPr>
                <w:rFonts w:hint="eastAsia" w:ascii="宋体" w:hAnsi="宋体"/>
                <w:sz w:val="21"/>
                <w:szCs w:val="21"/>
              </w:rPr>
            </w:pPr>
            <w:r>
              <w:rPr>
                <w:rFonts w:hint="eastAsia" w:ascii="宋体" w:hAnsi="宋体"/>
                <w:sz w:val="21"/>
                <w:szCs w:val="21"/>
              </w:rPr>
              <w:t>炉渣</w:t>
            </w:r>
          </w:p>
        </w:tc>
        <w:tc>
          <w:tcPr>
            <w:tcW w:w="1466" w:type="dxa"/>
            <w:vAlign w:val="center"/>
          </w:tcPr>
          <w:p>
            <w:pPr>
              <w:spacing w:line="360" w:lineRule="exact"/>
              <w:jc w:val="center"/>
              <w:rPr>
                <w:rFonts w:hint="eastAsia" w:ascii="宋体" w:hAnsi="宋体"/>
                <w:sz w:val="21"/>
                <w:szCs w:val="21"/>
              </w:rPr>
            </w:pPr>
            <w:r>
              <w:rPr>
                <w:rFonts w:hint="eastAsia" w:ascii="宋体" w:hAnsi="宋体"/>
                <w:sz w:val="21"/>
                <w:szCs w:val="21"/>
              </w:rPr>
              <w:t>189100</w:t>
            </w:r>
          </w:p>
        </w:tc>
        <w:tc>
          <w:tcPr>
            <w:tcW w:w="1238" w:type="dxa"/>
            <w:vAlign w:val="center"/>
          </w:tcPr>
          <w:p>
            <w:pPr>
              <w:spacing w:line="360" w:lineRule="exact"/>
              <w:jc w:val="center"/>
              <w:rPr>
                <w:rFonts w:hint="eastAsia" w:ascii="宋体" w:hAnsi="宋体"/>
                <w:sz w:val="21"/>
                <w:szCs w:val="21"/>
              </w:rPr>
            </w:pPr>
            <w:r>
              <w:rPr>
                <w:rFonts w:hint="eastAsia" w:ascii="宋体" w:hAnsi="宋体"/>
                <w:sz w:val="21"/>
                <w:szCs w:val="21"/>
              </w:rPr>
              <w:t>/</w:t>
            </w:r>
          </w:p>
        </w:tc>
        <w:tc>
          <w:tcPr>
            <w:tcW w:w="808" w:type="dxa"/>
            <w:vAlign w:val="center"/>
          </w:tcPr>
          <w:p>
            <w:pPr>
              <w:jc w:val="center"/>
              <w:rPr>
                <w:rFonts w:hint="eastAsia" w:ascii="宋体" w:hAnsi="宋体" w:cs="宋体"/>
                <w:sz w:val="21"/>
                <w:szCs w:val="21"/>
              </w:rPr>
            </w:pPr>
            <w:r>
              <w:rPr>
                <w:rFonts w:hint="eastAsia" w:ascii="宋体" w:hAnsi="宋体" w:cs="宋体"/>
                <w:sz w:val="21"/>
                <w:szCs w:val="21"/>
              </w:rPr>
              <w:t>/</w:t>
            </w:r>
          </w:p>
        </w:tc>
        <w:tc>
          <w:tcPr>
            <w:tcW w:w="2690" w:type="dxa"/>
            <w:vAlign w:val="center"/>
          </w:tcPr>
          <w:p>
            <w:pPr>
              <w:spacing w:line="360" w:lineRule="exact"/>
              <w:jc w:val="center"/>
              <w:rPr>
                <w:rFonts w:hint="eastAsia" w:ascii="宋体" w:hAnsi="宋体"/>
                <w:sz w:val="21"/>
                <w:szCs w:val="21"/>
              </w:rPr>
            </w:pPr>
            <w:r>
              <w:rPr>
                <w:rFonts w:hint="eastAsia" w:ascii="宋体" w:hAnsi="宋体"/>
                <w:sz w:val="21"/>
                <w:szCs w:val="21"/>
              </w:rPr>
              <w:t>重庆乾帝物资有限责任公司</w:t>
            </w:r>
          </w:p>
        </w:tc>
        <w:tc>
          <w:tcPr>
            <w:tcW w:w="894" w:type="dxa"/>
            <w:vAlign w:val="center"/>
          </w:tcPr>
          <w:p>
            <w:pPr>
              <w:spacing w:line="360" w:lineRule="exact"/>
              <w:jc w:val="center"/>
              <w:rPr>
                <w:rFonts w:hint="eastAsia" w:ascii="宋体" w:hAnsi="宋体"/>
                <w:sz w:val="21"/>
                <w:szCs w:val="21"/>
              </w:rPr>
            </w:pPr>
            <w:r>
              <w:rPr>
                <w:rFonts w:hint="eastAsia" w:ascii="宋体" w:hAnsi="宋体"/>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495" w:type="dxa"/>
            <w:vAlign w:val="center"/>
          </w:tcPr>
          <w:p>
            <w:pPr>
              <w:spacing w:line="360" w:lineRule="exact"/>
              <w:jc w:val="center"/>
              <w:rPr>
                <w:rFonts w:hint="eastAsia" w:ascii="宋体" w:hAnsi="宋体"/>
                <w:sz w:val="21"/>
                <w:szCs w:val="21"/>
              </w:rPr>
            </w:pPr>
            <w:r>
              <w:rPr>
                <w:rFonts w:hint="eastAsia" w:ascii="宋体" w:hAnsi="宋体"/>
                <w:sz w:val="21"/>
                <w:szCs w:val="21"/>
              </w:rPr>
              <w:t>7</w:t>
            </w:r>
          </w:p>
        </w:tc>
        <w:tc>
          <w:tcPr>
            <w:tcW w:w="1177" w:type="dxa"/>
            <w:vAlign w:val="center"/>
          </w:tcPr>
          <w:p>
            <w:pPr>
              <w:spacing w:line="360" w:lineRule="exact"/>
              <w:jc w:val="center"/>
              <w:rPr>
                <w:rFonts w:hint="eastAsia" w:ascii="宋体" w:hAnsi="宋体"/>
                <w:sz w:val="21"/>
                <w:szCs w:val="21"/>
              </w:rPr>
            </w:pPr>
            <w:r>
              <w:rPr>
                <w:rFonts w:hint="eastAsia" w:ascii="宋体" w:hAnsi="宋体"/>
                <w:sz w:val="21"/>
                <w:szCs w:val="21"/>
              </w:rPr>
              <w:t>石膏</w:t>
            </w:r>
          </w:p>
        </w:tc>
        <w:tc>
          <w:tcPr>
            <w:tcW w:w="1466" w:type="dxa"/>
            <w:vAlign w:val="center"/>
          </w:tcPr>
          <w:p>
            <w:pPr>
              <w:spacing w:line="360" w:lineRule="exact"/>
              <w:jc w:val="center"/>
              <w:rPr>
                <w:rFonts w:hint="eastAsia" w:ascii="宋体" w:hAnsi="宋体"/>
                <w:sz w:val="21"/>
                <w:szCs w:val="21"/>
              </w:rPr>
            </w:pPr>
            <w:r>
              <w:rPr>
                <w:rFonts w:hint="eastAsia" w:ascii="宋体" w:hAnsi="宋体"/>
                <w:sz w:val="21"/>
                <w:szCs w:val="21"/>
              </w:rPr>
              <w:t>37200</w:t>
            </w:r>
          </w:p>
        </w:tc>
        <w:tc>
          <w:tcPr>
            <w:tcW w:w="1238" w:type="dxa"/>
            <w:vAlign w:val="center"/>
          </w:tcPr>
          <w:p>
            <w:pPr>
              <w:spacing w:line="360" w:lineRule="exact"/>
              <w:jc w:val="center"/>
              <w:rPr>
                <w:rFonts w:hint="eastAsia" w:ascii="宋体" w:hAnsi="宋体"/>
                <w:sz w:val="21"/>
                <w:szCs w:val="21"/>
              </w:rPr>
            </w:pPr>
            <w:r>
              <w:rPr>
                <w:rFonts w:hint="eastAsia" w:ascii="宋体" w:hAnsi="宋体"/>
                <w:sz w:val="21"/>
                <w:szCs w:val="21"/>
              </w:rPr>
              <w:t>/</w:t>
            </w:r>
          </w:p>
        </w:tc>
        <w:tc>
          <w:tcPr>
            <w:tcW w:w="808" w:type="dxa"/>
            <w:vAlign w:val="center"/>
          </w:tcPr>
          <w:p>
            <w:pPr>
              <w:jc w:val="center"/>
              <w:rPr>
                <w:rFonts w:ascii="宋体" w:hAnsi="宋体" w:cs="宋体"/>
                <w:sz w:val="21"/>
                <w:szCs w:val="21"/>
              </w:rPr>
            </w:pPr>
            <w:r>
              <w:rPr>
                <w:rFonts w:hint="eastAsia" w:ascii="宋体" w:hAnsi="宋体" w:cs="宋体"/>
                <w:sz w:val="21"/>
                <w:szCs w:val="21"/>
              </w:rPr>
              <w:t>/</w:t>
            </w:r>
          </w:p>
        </w:tc>
        <w:tc>
          <w:tcPr>
            <w:tcW w:w="2690" w:type="dxa"/>
            <w:vAlign w:val="center"/>
          </w:tcPr>
          <w:p>
            <w:pPr>
              <w:spacing w:line="360" w:lineRule="exact"/>
              <w:jc w:val="center"/>
              <w:rPr>
                <w:rFonts w:hint="eastAsia" w:ascii="宋体" w:hAnsi="宋体"/>
                <w:sz w:val="21"/>
                <w:szCs w:val="21"/>
              </w:rPr>
            </w:pPr>
            <w:r>
              <w:rPr>
                <w:rFonts w:hint="eastAsia" w:ascii="宋体" w:hAnsi="宋体"/>
                <w:sz w:val="21"/>
                <w:szCs w:val="21"/>
              </w:rPr>
              <w:t>江北特种建材建材有限公司</w:t>
            </w:r>
          </w:p>
        </w:tc>
        <w:tc>
          <w:tcPr>
            <w:tcW w:w="894" w:type="dxa"/>
            <w:vAlign w:val="center"/>
          </w:tcPr>
          <w:p>
            <w:pPr>
              <w:spacing w:line="360" w:lineRule="exact"/>
              <w:jc w:val="center"/>
              <w:rPr>
                <w:rFonts w:hint="eastAsia" w:ascii="宋体" w:hAnsi="宋体"/>
                <w:sz w:val="21"/>
                <w:szCs w:val="21"/>
              </w:rPr>
            </w:pPr>
            <w:r>
              <w:rPr>
                <w:rFonts w:hint="eastAsia" w:ascii="宋体" w:hAnsi="宋体"/>
                <w:sz w:val="21"/>
                <w:szCs w:val="21"/>
              </w:rPr>
              <w:t>83</w:t>
            </w:r>
          </w:p>
        </w:tc>
      </w:tr>
    </w:tbl>
    <w:p>
      <w:pPr>
        <w:spacing w:line="480" w:lineRule="exact"/>
        <w:ind w:firstLine="422" w:firstLineChars="200"/>
        <w:jc w:val="center"/>
        <w:rPr>
          <w:rFonts w:hint="eastAsia" w:ascii="宋体" w:hAnsi="宋体"/>
          <w:b/>
        </w:rPr>
      </w:pPr>
    </w:p>
    <w:p>
      <w:pPr>
        <w:spacing w:line="480" w:lineRule="exact"/>
        <w:jc w:val="center"/>
        <w:rPr>
          <w:rFonts w:hint="eastAsia" w:ascii="宋体" w:hAnsi="宋体"/>
          <w:b/>
        </w:rPr>
      </w:pPr>
      <w:r>
        <w:rPr>
          <w:rFonts w:hint="eastAsia" w:ascii="宋体" w:hAnsi="宋体"/>
          <w:b/>
        </w:rPr>
        <w:t>表3-5  原料化学成分一览表  （%）</w:t>
      </w:r>
    </w:p>
    <w:tbl>
      <w:tblPr>
        <w:tblStyle w:val="21"/>
        <w:tblW w:w="7353" w:type="dxa"/>
        <w:jc w:val="center"/>
        <w:tblInd w:w="5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260"/>
        <w:gridCol w:w="1050"/>
        <w:gridCol w:w="1365"/>
        <w:gridCol w:w="1260"/>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3" w:type="dxa"/>
            <w:vAlign w:val="center"/>
          </w:tcPr>
          <w:p>
            <w:pPr>
              <w:spacing w:line="360" w:lineRule="exact"/>
              <w:jc w:val="center"/>
              <w:rPr>
                <w:rFonts w:ascii="宋体" w:hAnsi="宋体"/>
                <w:sz w:val="21"/>
                <w:szCs w:val="21"/>
              </w:rPr>
            </w:pPr>
            <w:r>
              <w:rPr>
                <w:rFonts w:ascii="宋体" w:hAnsi="宋体"/>
                <w:sz w:val="21"/>
                <w:szCs w:val="21"/>
              </w:rPr>
              <w:t>物  料</w:t>
            </w:r>
          </w:p>
        </w:tc>
        <w:tc>
          <w:tcPr>
            <w:tcW w:w="1260" w:type="dxa"/>
            <w:vAlign w:val="center"/>
          </w:tcPr>
          <w:p>
            <w:pPr>
              <w:spacing w:line="360" w:lineRule="exact"/>
              <w:jc w:val="center"/>
              <w:rPr>
                <w:rFonts w:ascii="宋体" w:hAnsi="宋体"/>
                <w:sz w:val="21"/>
                <w:szCs w:val="21"/>
              </w:rPr>
            </w:pPr>
            <w:r>
              <w:rPr>
                <w:rFonts w:ascii="宋体" w:hAnsi="宋体"/>
                <w:sz w:val="21"/>
                <w:szCs w:val="21"/>
              </w:rPr>
              <w:t>石灰石</w:t>
            </w:r>
          </w:p>
        </w:tc>
        <w:tc>
          <w:tcPr>
            <w:tcW w:w="1050" w:type="dxa"/>
            <w:vAlign w:val="center"/>
          </w:tcPr>
          <w:p>
            <w:pPr>
              <w:spacing w:line="360" w:lineRule="exact"/>
              <w:jc w:val="center"/>
              <w:rPr>
                <w:rFonts w:hint="eastAsia" w:ascii="宋体" w:hAnsi="宋体"/>
                <w:sz w:val="21"/>
                <w:szCs w:val="21"/>
              </w:rPr>
            </w:pPr>
            <w:r>
              <w:rPr>
                <w:rFonts w:hint="eastAsia" w:ascii="宋体" w:hAnsi="宋体"/>
                <w:sz w:val="21"/>
                <w:szCs w:val="21"/>
              </w:rPr>
              <w:t>砂岩</w:t>
            </w:r>
          </w:p>
        </w:tc>
        <w:tc>
          <w:tcPr>
            <w:tcW w:w="1365" w:type="dxa"/>
            <w:vAlign w:val="center"/>
          </w:tcPr>
          <w:p>
            <w:pPr>
              <w:spacing w:line="360" w:lineRule="exact"/>
              <w:jc w:val="center"/>
              <w:rPr>
                <w:rFonts w:hint="eastAsia" w:ascii="宋体" w:hAnsi="宋体"/>
                <w:sz w:val="21"/>
                <w:szCs w:val="21"/>
              </w:rPr>
            </w:pPr>
            <w:r>
              <w:rPr>
                <w:rFonts w:hint="eastAsia" w:ascii="宋体" w:hAnsi="宋体"/>
                <w:sz w:val="21"/>
                <w:szCs w:val="21"/>
              </w:rPr>
              <w:t>煤矸石</w:t>
            </w:r>
          </w:p>
        </w:tc>
        <w:tc>
          <w:tcPr>
            <w:tcW w:w="1260" w:type="dxa"/>
            <w:vAlign w:val="center"/>
          </w:tcPr>
          <w:p>
            <w:pPr>
              <w:spacing w:line="360" w:lineRule="exact"/>
              <w:jc w:val="center"/>
              <w:rPr>
                <w:rFonts w:hint="eastAsia" w:ascii="宋体" w:hAnsi="宋体"/>
                <w:sz w:val="21"/>
                <w:szCs w:val="21"/>
              </w:rPr>
            </w:pPr>
            <w:r>
              <w:rPr>
                <w:rFonts w:hint="eastAsia" w:ascii="宋体" w:hAnsi="宋体"/>
                <w:sz w:val="21"/>
                <w:szCs w:val="21"/>
              </w:rPr>
              <w:t>硫酸渣</w:t>
            </w:r>
          </w:p>
        </w:tc>
        <w:tc>
          <w:tcPr>
            <w:tcW w:w="1155" w:type="dxa"/>
            <w:vAlign w:val="center"/>
          </w:tcPr>
          <w:p>
            <w:pPr>
              <w:spacing w:line="360" w:lineRule="exact"/>
              <w:jc w:val="center"/>
              <w:rPr>
                <w:rFonts w:ascii="宋体" w:hAnsi="宋体"/>
                <w:sz w:val="21"/>
                <w:szCs w:val="21"/>
              </w:rPr>
            </w:pPr>
            <w:r>
              <w:rPr>
                <w:rFonts w:hint="eastAsia" w:ascii="宋体" w:hAnsi="宋体"/>
                <w:sz w:val="21"/>
                <w:szCs w:val="21"/>
              </w:rPr>
              <w:t>炉渣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3" w:type="dxa"/>
            <w:vAlign w:val="center"/>
          </w:tcPr>
          <w:p>
            <w:pPr>
              <w:spacing w:line="360" w:lineRule="exact"/>
              <w:jc w:val="center"/>
              <w:rPr>
                <w:rFonts w:ascii="宋体" w:hAnsi="宋体"/>
                <w:sz w:val="21"/>
                <w:szCs w:val="21"/>
              </w:rPr>
            </w:pPr>
            <w:r>
              <w:rPr>
                <w:rFonts w:ascii="宋体" w:hAnsi="宋体"/>
                <w:sz w:val="21"/>
                <w:szCs w:val="21"/>
              </w:rPr>
              <w:t>Loss</w:t>
            </w:r>
          </w:p>
        </w:tc>
        <w:tc>
          <w:tcPr>
            <w:tcW w:w="1260" w:type="dxa"/>
            <w:vAlign w:val="center"/>
          </w:tcPr>
          <w:p>
            <w:pPr>
              <w:spacing w:line="360" w:lineRule="exact"/>
              <w:jc w:val="center"/>
              <w:rPr>
                <w:rFonts w:hint="eastAsia" w:ascii="宋体" w:hAnsi="宋体"/>
                <w:sz w:val="21"/>
                <w:szCs w:val="21"/>
              </w:rPr>
            </w:pPr>
            <w:r>
              <w:rPr>
                <w:rFonts w:hint="eastAsia" w:ascii="宋体" w:hAnsi="宋体"/>
                <w:sz w:val="21"/>
                <w:szCs w:val="21"/>
              </w:rPr>
              <w:t>40.63</w:t>
            </w:r>
          </w:p>
        </w:tc>
        <w:tc>
          <w:tcPr>
            <w:tcW w:w="1050" w:type="dxa"/>
            <w:vAlign w:val="center"/>
          </w:tcPr>
          <w:p>
            <w:pPr>
              <w:spacing w:line="360" w:lineRule="exact"/>
              <w:jc w:val="center"/>
              <w:rPr>
                <w:rFonts w:hint="eastAsia" w:ascii="宋体" w:hAnsi="宋体"/>
                <w:sz w:val="21"/>
                <w:szCs w:val="21"/>
              </w:rPr>
            </w:pPr>
            <w:r>
              <w:rPr>
                <w:rFonts w:hint="eastAsia" w:ascii="宋体" w:hAnsi="宋体"/>
                <w:sz w:val="21"/>
                <w:szCs w:val="21"/>
              </w:rPr>
              <w:t>2.45</w:t>
            </w:r>
          </w:p>
        </w:tc>
        <w:tc>
          <w:tcPr>
            <w:tcW w:w="1365" w:type="dxa"/>
            <w:vAlign w:val="center"/>
          </w:tcPr>
          <w:p>
            <w:pPr>
              <w:spacing w:line="360" w:lineRule="exact"/>
              <w:jc w:val="center"/>
              <w:rPr>
                <w:rFonts w:hint="eastAsia" w:ascii="宋体" w:hAnsi="宋体"/>
                <w:sz w:val="21"/>
                <w:szCs w:val="21"/>
              </w:rPr>
            </w:pPr>
            <w:r>
              <w:rPr>
                <w:rFonts w:hint="eastAsia" w:ascii="宋体" w:hAnsi="宋体"/>
                <w:sz w:val="21"/>
                <w:szCs w:val="21"/>
              </w:rPr>
              <w:t>8.68</w:t>
            </w:r>
          </w:p>
        </w:tc>
        <w:tc>
          <w:tcPr>
            <w:tcW w:w="1260" w:type="dxa"/>
            <w:vAlign w:val="center"/>
          </w:tcPr>
          <w:p>
            <w:pPr>
              <w:spacing w:line="360" w:lineRule="exact"/>
              <w:jc w:val="center"/>
              <w:rPr>
                <w:rFonts w:hint="eastAsia" w:ascii="宋体" w:hAnsi="宋体"/>
                <w:sz w:val="21"/>
                <w:szCs w:val="21"/>
              </w:rPr>
            </w:pPr>
            <w:r>
              <w:rPr>
                <w:rFonts w:hint="eastAsia" w:ascii="宋体" w:hAnsi="宋体"/>
                <w:sz w:val="21"/>
                <w:szCs w:val="21"/>
              </w:rPr>
              <w:t>2.58</w:t>
            </w:r>
          </w:p>
        </w:tc>
        <w:tc>
          <w:tcPr>
            <w:tcW w:w="1155" w:type="dxa"/>
            <w:vAlign w:val="center"/>
          </w:tcPr>
          <w:p>
            <w:pPr>
              <w:spacing w:line="360" w:lineRule="exact"/>
              <w:jc w:val="center"/>
              <w:rPr>
                <w:rFonts w:hint="eastAsia" w:ascii="宋体" w:hAnsi="宋体"/>
                <w:sz w:val="21"/>
                <w:szCs w:val="21"/>
              </w:rPr>
            </w:pPr>
            <w:r>
              <w:rPr>
                <w:rFonts w:hint="eastAsia" w:ascii="宋体" w:hAnsi="宋体"/>
                <w:sz w:val="21"/>
                <w:szCs w:val="21"/>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3" w:type="dxa"/>
            <w:vAlign w:val="center"/>
          </w:tcPr>
          <w:p>
            <w:pPr>
              <w:spacing w:line="360" w:lineRule="exact"/>
              <w:jc w:val="center"/>
              <w:rPr>
                <w:rFonts w:ascii="宋体" w:hAnsi="宋体"/>
                <w:sz w:val="21"/>
                <w:szCs w:val="21"/>
              </w:rPr>
            </w:pPr>
            <w:r>
              <w:rPr>
                <w:rFonts w:ascii="宋体" w:hAnsi="宋体"/>
                <w:sz w:val="21"/>
                <w:szCs w:val="21"/>
              </w:rPr>
              <w:t>SiO</w:t>
            </w:r>
            <w:r>
              <w:rPr>
                <w:rFonts w:ascii="宋体" w:hAnsi="宋体"/>
                <w:sz w:val="21"/>
                <w:szCs w:val="21"/>
                <w:vertAlign w:val="subscript"/>
              </w:rPr>
              <w:t>2</w:t>
            </w:r>
          </w:p>
        </w:tc>
        <w:tc>
          <w:tcPr>
            <w:tcW w:w="1260" w:type="dxa"/>
            <w:vAlign w:val="center"/>
          </w:tcPr>
          <w:p>
            <w:pPr>
              <w:spacing w:line="360" w:lineRule="exact"/>
              <w:jc w:val="center"/>
              <w:rPr>
                <w:rFonts w:hint="eastAsia" w:ascii="宋体" w:hAnsi="宋体"/>
                <w:sz w:val="21"/>
                <w:szCs w:val="21"/>
              </w:rPr>
            </w:pPr>
            <w:r>
              <w:rPr>
                <w:rFonts w:hint="eastAsia" w:ascii="宋体" w:hAnsi="宋体"/>
                <w:sz w:val="21"/>
                <w:szCs w:val="21"/>
              </w:rPr>
              <w:t>4.82</w:t>
            </w:r>
          </w:p>
        </w:tc>
        <w:tc>
          <w:tcPr>
            <w:tcW w:w="1050" w:type="dxa"/>
            <w:vAlign w:val="center"/>
          </w:tcPr>
          <w:p>
            <w:pPr>
              <w:spacing w:line="360" w:lineRule="exact"/>
              <w:jc w:val="center"/>
              <w:rPr>
                <w:rFonts w:hint="eastAsia" w:ascii="宋体" w:hAnsi="宋体"/>
                <w:sz w:val="21"/>
                <w:szCs w:val="21"/>
              </w:rPr>
            </w:pPr>
            <w:r>
              <w:rPr>
                <w:rFonts w:hint="eastAsia" w:ascii="宋体" w:hAnsi="宋体"/>
                <w:sz w:val="21"/>
                <w:szCs w:val="21"/>
              </w:rPr>
              <w:t>85.53</w:t>
            </w:r>
          </w:p>
        </w:tc>
        <w:tc>
          <w:tcPr>
            <w:tcW w:w="1365" w:type="dxa"/>
            <w:vAlign w:val="center"/>
          </w:tcPr>
          <w:p>
            <w:pPr>
              <w:spacing w:line="360" w:lineRule="exact"/>
              <w:jc w:val="center"/>
              <w:rPr>
                <w:rFonts w:hint="eastAsia" w:ascii="宋体" w:hAnsi="宋体"/>
                <w:sz w:val="21"/>
                <w:szCs w:val="21"/>
              </w:rPr>
            </w:pPr>
            <w:r>
              <w:rPr>
                <w:rFonts w:hint="eastAsia" w:ascii="宋体" w:hAnsi="宋体"/>
                <w:sz w:val="21"/>
                <w:szCs w:val="21"/>
              </w:rPr>
              <w:t>60.18</w:t>
            </w:r>
          </w:p>
        </w:tc>
        <w:tc>
          <w:tcPr>
            <w:tcW w:w="1260" w:type="dxa"/>
            <w:vAlign w:val="center"/>
          </w:tcPr>
          <w:p>
            <w:pPr>
              <w:spacing w:line="360" w:lineRule="exact"/>
              <w:jc w:val="center"/>
              <w:rPr>
                <w:rFonts w:hint="eastAsia" w:ascii="宋体" w:hAnsi="宋体"/>
                <w:sz w:val="21"/>
                <w:szCs w:val="21"/>
              </w:rPr>
            </w:pPr>
            <w:r>
              <w:rPr>
                <w:rFonts w:hint="eastAsia" w:ascii="宋体" w:hAnsi="宋体"/>
                <w:sz w:val="21"/>
                <w:szCs w:val="21"/>
              </w:rPr>
              <w:t>19.33</w:t>
            </w:r>
          </w:p>
        </w:tc>
        <w:tc>
          <w:tcPr>
            <w:tcW w:w="1155" w:type="dxa"/>
            <w:vAlign w:val="center"/>
          </w:tcPr>
          <w:p>
            <w:pPr>
              <w:spacing w:line="360" w:lineRule="exact"/>
              <w:jc w:val="center"/>
              <w:rPr>
                <w:rFonts w:hint="eastAsia" w:ascii="宋体" w:hAnsi="宋体"/>
                <w:sz w:val="21"/>
                <w:szCs w:val="21"/>
              </w:rPr>
            </w:pPr>
            <w:r>
              <w:rPr>
                <w:rFonts w:hint="eastAsia" w:ascii="宋体" w:hAnsi="宋体"/>
                <w:sz w:val="21"/>
                <w:szCs w:val="21"/>
              </w:rPr>
              <w:t>32.74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3" w:type="dxa"/>
            <w:vAlign w:val="center"/>
          </w:tcPr>
          <w:p>
            <w:pPr>
              <w:spacing w:line="360" w:lineRule="exact"/>
              <w:jc w:val="center"/>
              <w:rPr>
                <w:rFonts w:ascii="宋体" w:hAnsi="宋体"/>
                <w:sz w:val="21"/>
                <w:szCs w:val="21"/>
              </w:rPr>
            </w:pPr>
            <w:r>
              <w:rPr>
                <w:rFonts w:ascii="宋体" w:hAnsi="宋体"/>
                <w:sz w:val="21"/>
                <w:szCs w:val="21"/>
              </w:rPr>
              <w:t>Al</w:t>
            </w:r>
            <w:r>
              <w:rPr>
                <w:rFonts w:ascii="宋体" w:hAnsi="宋体"/>
                <w:sz w:val="21"/>
                <w:szCs w:val="21"/>
                <w:vertAlign w:val="subscript"/>
              </w:rPr>
              <w:t>2</w:t>
            </w:r>
            <w:r>
              <w:rPr>
                <w:rFonts w:ascii="宋体" w:hAnsi="宋体"/>
                <w:sz w:val="21"/>
                <w:szCs w:val="21"/>
              </w:rPr>
              <w:t>O</w:t>
            </w:r>
            <w:r>
              <w:rPr>
                <w:rFonts w:ascii="宋体" w:hAnsi="宋体"/>
                <w:sz w:val="21"/>
                <w:szCs w:val="21"/>
                <w:vertAlign w:val="subscript"/>
              </w:rPr>
              <w:t>3</w:t>
            </w:r>
          </w:p>
        </w:tc>
        <w:tc>
          <w:tcPr>
            <w:tcW w:w="1260" w:type="dxa"/>
            <w:vAlign w:val="center"/>
          </w:tcPr>
          <w:p>
            <w:pPr>
              <w:spacing w:line="360" w:lineRule="exact"/>
              <w:jc w:val="center"/>
              <w:rPr>
                <w:rFonts w:hint="eastAsia" w:ascii="宋体" w:hAnsi="宋体"/>
                <w:sz w:val="21"/>
                <w:szCs w:val="21"/>
              </w:rPr>
            </w:pPr>
            <w:r>
              <w:rPr>
                <w:rFonts w:hint="eastAsia" w:ascii="宋体" w:hAnsi="宋体"/>
                <w:sz w:val="21"/>
                <w:szCs w:val="21"/>
              </w:rPr>
              <w:t>1.41</w:t>
            </w:r>
          </w:p>
        </w:tc>
        <w:tc>
          <w:tcPr>
            <w:tcW w:w="1050" w:type="dxa"/>
            <w:vAlign w:val="center"/>
          </w:tcPr>
          <w:p>
            <w:pPr>
              <w:spacing w:line="360" w:lineRule="exact"/>
              <w:jc w:val="center"/>
              <w:rPr>
                <w:rFonts w:hint="eastAsia" w:ascii="宋体" w:hAnsi="宋体"/>
                <w:sz w:val="21"/>
                <w:szCs w:val="21"/>
              </w:rPr>
            </w:pPr>
            <w:r>
              <w:rPr>
                <w:rFonts w:hint="eastAsia" w:ascii="宋体" w:hAnsi="宋体"/>
                <w:sz w:val="21"/>
                <w:szCs w:val="21"/>
              </w:rPr>
              <w:t>8.02</w:t>
            </w:r>
          </w:p>
        </w:tc>
        <w:tc>
          <w:tcPr>
            <w:tcW w:w="1365" w:type="dxa"/>
            <w:vAlign w:val="center"/>
          </w:tcPr>
          <w:p>
            <w:pPr>
              <w:spacing w:line="360" w:lineRule="exact"/>
              <w:jc w:val="center"/>
              <w:rPr>
                <w:rFonts w:hint="eastAsia" w:ascii="宋体" w:hAnsi="宋体"/>
                <w:sz w:val="21"/>
                <w:szCs w:val="21"/>
              </w:rPr>
            </w:pPr>
            <w:r>
              <w:rPr>
                <w:rFonts w:hint="eastAsia" w:ascii="宋体" w:hAnsi="宋体"/>
                <w:sz w:val="21"/>
                <w:szCs w:val="21"/>
              </w:rPr>
              <w:t>18.74</w:t>
            </w:r>
          </w:p>
        </w:tc>
        <w:tc>
          <w:tcPr>
            <w:tcW w:w="1260" w:type="dxa"/>
            <w:vAlign w:val="center"/>
          </w:tcPr>
          <w:p>
            <w:pPr>
              <w:spacing w:line="360" w:lineRule="exact"/>
              <w:jc w:val="center"/>
              <w:rPr>
                <w:rFonts w:hint="eastAsia" w:ascii="宋体" w:hAnsi="宋体"/>
                <w:sz w:val="21"/>
                <w:szCs w:val="21"/>
              </w:rPr>
            </w:pPr>
            <w:r>
              <w:rPr>
                <w:rFonts w:hint="eastAsia" w:ascii="宋体" w:hAnsi="宋体"/>
                <w:sz w:val="21"/>
                <w:szCs w:val="21"/>
              </w:rPr>
              <w:t>15.10</w:t>
            </w:r>
          </w:p>
        </w:tc>
        <w:tc>
          <w:tcPr>
            <w:tcW w:w="1155" w:type="dxa"/>
            <w:vAlign w:val="center"/>
          </w:tcPr>
          <w:p>
            <w:pPr>
              <w:spacing w:line="360" w:lineRule="exact"/>
              <w:jc w:val="center"/>
              <w:rPr>
                <w:rFonts w:hint="eastAsia" w:ascii="宋体" w:hAnsi="宋体"/>
                <w:sz w:val="21"/>
                <w:szCs w:val="21"/>
              </w:rPr>
            </w:pPr>
            <w:r>
              <w:rPr>
                <w:rFonts w:hint="eastAsia" w:ascii="宋体" w:hAnsi="宋体"/>
                <w:sz w:val="21"/>
                <w:szCs w:val="21"/>
              </w:rPr>
              <w:t>14.77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3" w:type="dxa"/>
            <w:vAlign w:val="center"/>
          </w:tcPr>
          <w:p>
            <w:pPr>
              <w:spacing w:line="360" w:lineRule="exact"/>
              <w:jc w:val="center"/>
              <w:rPr>
                <w:rFonts w:ascii="宋体" w:hAnsi="宋体"/>
                <w:sz w:val="21"/>
                <w:szCs w:val="21"/>
              </w:rPr>
            </w:pPr>
            <w:r>
              <w:rPr>
                <w:rFonts w:ascii="宋体" w:hAnsi="宋体"/>
                <w:sz w:val="21"/>
                <w:szCs w:val="21"/>
              </w:rPr>
              <w:t>Fe</w:t>
            </w:r>
            <w:r>
              <w:rPr>
                <w:rFonts w:ascii="宋体" w:hAnsi="宋体"/>
                <w:sz w:val="21"/>
                <w:szCs w:val="21"/>
                <w:vertAlign w:val="subscript"/>
              </w:rPr>
              <w:t>2</w:t>
            </w:r>
            <w:r>
              <w:rPr>
                <w:rFonts w:ascii="宋体" w:hAnsi="宋体"/>
                <w:sz w:val="21"/>
                <w:szCs w:val="21"/>
              </w:rPr>
              <w:t>O</w:t>
            </w:r>
            <w:r>
              <w:rPr>
                <w:rFonts w:ascii="宋体" w:hAnsi="宋体"/>
                <w:sz w:val="21"/>
                <w:szCs w:val="21"/>
                <w:vertAlign w:val="subscript"/>
              </w:rPr>
              <w:t>3</w:t>
            </w:r>
          </w:p>
        </w:tc>
        <w:tc>
          <w:tcPr>
            <w:tcW w:w="1260" w:type="dxa"/>
            <w:vAlign w:val="center"/>
          </w:tcPr>
          <w:p>
            <w:pPr>
              <w:spacing w:line="360" w:lineRule="exact"/>
              <w:jc w:val="center"/>
              <w:rPr>
                <w:rFonts w:hint="eastAsia" w:ascii="宋体" w:hAnsi="宋体"/>
                <w:sz w:val="21"/>
                <w:szCs w:val="21"/>
              </w:rPr>
            </w:pPr>
            <w:r>
              <w:rPr>
                <w:rFonts w:hint="eastAsia" w:ascii="宋体" w:hAnsi="宋体"/>
                <w:sz w:val="21"/>
                <w:szCs w:val="21"/>
              </w:rPr>
              <w:t>0.66</w:t>
            </w:r>
          </w:p>
        </w:tc>
        <w:tc>
          <w:tcPr>
            <w:tcW w:w="1050" w:type="dxa"/>
            <w:vAlign w:val="center"/>
          </w:tcPr>
          <w:p>
            <w:pPr>
              <w:spacing w:line="360" w:lineRule="exact"/>
              <w:jc w:val="center"/>
              <w:rPr>
                <w:rFonts w:hint="eastAsia" w:ascii="宋体" w:hAnsi="宋体"/>
                <w:sz w:val="21"/>
                <w:szCs w:val="21"/>
              </w:rPr>
            </w:pPr>
            <w:r>
              <w:rPr>
                <w:rFonts w:hint="eastAsia" w:ascii="宋体" w:hAnsi="宋体"/>
                <w:sz w:val="21"/>
                <w:szCs w:val="21"/>
              </w:rPr>
              <w:t>1.29</w:t>
            </w:r>
          </w:p>
        </w:tc>
        <w:tc>
          <w:tcPr>
            <w:tcW w:w="1365" w:type="dxa"/>
            <w:vAlign w:val="center"/>
          </w:tcPr>
          <w:p>
            <w:pPr>
              <w:spacing w:line="360" w:lineRule="exact"/>
              <w:jc w:val="center"/>
              <w:rPr>
                <w:rFonts w:hint="eastAsia" w:ascii="宋体" w:hAnsi="宋体"/>
                <w:sz w:val="21"/>
                <w:szCs w:val="21"/>
              </w:rPr>
            </w:pPr>
            <w:r>
              <w:rPr>
                <w:rFonts w:hint="eastAsia" w:ascii="宋体" w:hAnsi="宋体"/>
                <w:sz w:val="21"/>
                <w:szCs w:val="21"/>
              </w:rPr>
              <w:t>4.28</w:t>
            </w:r>
          </w:p>
        </w:tc>
        <w:tc>
          <w:tcPr>
            <w:tcW w:w="1260" w:type="dxa"/>
            <w:vAlign w:val="center"/>
          </w:tcPr>
          <w:p>
            <w:pPr>
              <w:spacing w:line="360" w:lineRule="exact"/>
              <w:jc w:val="center"/>
              <w:rPr>
                <w:rFonts w:hint="eastAsia" w:ascii="宋体" w:hAnsi="宋体"/>
                <w:sz w:val="21"/>
                <w:szCs w:val="21"/>
              </w:rPr>
            </w:pPr>
            <w:r>
              <w:rPr>
                <w:rFonts w:hint="eastAsia" w:ascii="宋体" w:hAnsi="宋体"/>
                <w:sz w:val="21"/>
                <w:szCs w:val="21"/>
              </w:rPr>
              <w:t>60.31</w:t>
            </w:r>
          </w:p>
        </w:tc>
        <w:tc>
          <w:tcPr>
            <w:tcW w:w="1155" w:type="dxa"/>
            <w:vAlign w:val="center"/>
          </w:tcPr>
          <w:p>
            <w:pPr>
              <w:spacing w:line="360" w:lineRule="exact"/>
              <w:jc w:val="center"/>
              <w:rPr>
                <w:rFonts w:hint="eastAsia" w:ascii="宋体" w:hAnsi="宋体"/>
                <w:sz w:val="21"/>
                <w:szCs w:val="21"/>
              </w:rPr>
            </w:pPr>
            <w:r>
              <w:rPr>
                <w:rFonts w:hint="eastAsia" w:ascii="宋体" w:hAnsi="宋体"/>
                <w:sz w:val="21"/>
                <w:szCs w:val="21"/>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3" w:type="dxa"/>
            <w:vAlign w:val="center"/>
          </w:tcPr>
          <w:p>
            <w:pPr>
              <w:spacing w:line="360" w:lineRule="exact"/>
              <w:jc w:val="center"/>
              <w:rPr>
                <w:rFonts w:ascii="宋体" w:hAnsi="宋体"/>
                <w:sz w:val="21"/>
                <w:szCs w:val="21"/>
              </w:rPr>
            </w:pPr>
            <w:r>
              <w:rPr>
                <w:rFonts w:ascii="宋体" w:hAnsi="宋体"/>
                <w:sz w:val="21"/>
                <w:szCs w:val="21"/>
              </w:rPr>
              <w:t>CaO</w:t>
            </w:r>
          </w:p>
        </w:tc>
        <w:tc>
          <w:tcPr>
            <w:tcW w:w="1260" w:type="dxa"/>
            <w:vAlign w:val="center"/>
          </w:tcPr>
          <w:p>
            <w:pPr>
              <w:spacing w:line="360" w:lineRule="exact"/>
              <w:jc w:val="center"/>
              <w:rPr>
                <w:rFonts w:hint="eastAsia" w:ascii="宋体" w:hAnsi="宋体"/>
                <w:sz w:val="21"/>
                <w:szCs w:val="21"/>
              </w:rPr>
            </w:pPr>
            <w:r>
              <w:rPr>
                <w:rFonts w:hint="eastAsia" w:ascii="宋体" w:hAnsi="宋体"/>
                <w:sz w:val="21"/>
                <w:szCs w:val="21"/>
              </w:rPr>
              <w:t>49.76</w:t>
            </w:r>
          </w:p>
        </w:tc>
        <w:tc>
          <w:tcPr>
            <w:tcW w:w="1050" w:type="dxa"/>
            <w:vAlign w:val="center"/>
          </w:tcPr>
          <w:p>
            <w:pPr>
              <w:spacing w:line="360" w:lineRule="exact"/>
              <w:jc w:val="center"/>
              <w:rPr>
                <w:rFonts w:hint="eastAsia" w:ascii="宋体" w:hAnsi="宋体"/>
                <w:sz w:val="21"/>
                <w:szCs w:val="21"/>
              </w:rPr>
            </w:pPr>
            <w:r>
              <w:rPr>
                <w:rFonts w:hint="eastAsia" w:ascii="宋体" w:hAnsi="宋体"/>
                <w:sz w:val="21"/>
                <w:szCs w:val="21"/>
              </w:rPr>
              <w:t>0.21</w:t>
            </w:r>
          </w:p>
        </w:tc>
        <w:tc>
          <w:tcPr>
            <w:tcW w:w="1365" w:type="dxa"/>
            <w:vAlign w:val="center"/>
          </w:tcPr>
          <w:p>
            <w:pPr>
              <w:spacing w:line="360" w:lineRule="exact"/>
              <w:jc w:val="center"/>
              <w:rPr>
                <w:rFonts w:hint="eastAsia" w:ascii="宋体" w:hAnsi="宋体"/>
                <w:sz w:val="21"/>
                <w:szCs w:val="21"/>
              </w:rPr>
            </w:pPr>
            <w:r>
              <w:rPr>
                <w:rFonts w:hint="eastAsia" w:ascii="宋体" w:hAnsi="宋体"/>
                <w:sz w:val="21"/>
                <w:szCs w:val="21"/>
              </w:rPr>
              <w:t>0.72</w:t>
            </w:r>
          </w:p>
        </w:tc>
        <w:tc>
          <w:tcPr>
            <w:tcW w:w="1260" w:type="dxa"/>
            <w:vAlign w:val="center"/>
          </w:tcPr>
          <w:p>
            <w:pPr>
              <w:spacing w:line="360" w:lineRule="exact"/>
              <w:jc w:val="center"/>
              <w:rPr>
                <w:rFonts w:hint="eastAsia" w:ascii="宋体" w:hAnsi="宋体"/>
                <w:sz w:val="21"/>
                <w:szCs w:val="21"/>
              </w:rPr>
            </w:pPr>
            <w:r>
              <w:rPr>
                <w:rFonts w:hint="eastAsia" w:ascii="宋体" w:hAnsi="宋体"/>
                <w:sz w:val="21"/>
                <w:szCs w:val="21"/>
              </w:rPr>
              <w:t>0.86</w:t>
            </w:r>
          </w:p>
        </w:tc>
        <w:tc>
          <w:tcPr>
            <w:tcW w:w="1155" w:type="dxa"/>
            <w:vAlign w:val="center"/>
          </w:tcPr>
          <w:p>
            <w:pPr>
              <w:spacing w:line="360" w:lineRule="exact"/>
              <w:jc w:val="center"/>
              <w:rPr>
                <w:rFonts w:hint="eastAsia" w:ascii="宋体" w:hAnsi="宋体"/>
                <w:sz w:val="21"/>
                <w:szCs w:val="21"/>
              </w:rPr>
            </w:pPr>
            <w:r>
              <w:rPr>
                <w:rFonts w:hint="eastAsia" w:ascii="宋体" w:hAnsi="宋体"/>
                <w:sz w:val="21"/>
                <w:szCs w:val="21"/>
              </w:rPr>
              <w:t>38.40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3" w:type="dxa"/>
            <w:vAlign w:val="center"/>
          </w:tcPr>
          <w:p>
            <w:pPr>
              <w:spacing w:line="360" w:lineRule="exact"/>
              <w:jc w:val="center"/>
              <w:rPr>
                <w:rFonts w:ascii="宋体" w:hAnsi="宋体"/>
                <w:sz w:val="21"/>
                <w:szCs w:val="21"/>
              </w:rPr>
            </w:pPr>
            <w:r>
              <w:rPr>
                <w:rFonts w:ascii="宋体" w:hAnsi="宋体"/>
                <w:sz w:val="21"/>
                <w:szCs w:val="21"/>
              </w:rPr>
              <w:t>MgO</w:t>
            </w:r>
          </w:p>
        </w:tc>
        <w:tc>
          <w:tcPr>
            <w:tcW w:w="1260" w:type="dxa"/>
            <w:vAlign w:val="center"/>
          </w:tcPr>
          <w:p>
            <w:pPr>
              <w:spacing w:line="360" w:lineRule="exact"/>
              <w:jc w:val="center"/>
              <w:rPr>
                <w:rFonts w:hint="eastAsia" w:ascii="宋体" w:hAnsi="宋体"/>
                <w:sz w:val="21"/>
                <w:szCs w:val="21"/>
              </w:rPr>
            </w:pPr>
            <w:r>
              <w:rPr>
                <w:rFonts w:hint="eastAsia" w:ascii="宋体" w:hAnsi="宋体"/>
                <w:sz w:val="21"/>
                <w:szCs w:val="21"/>
              </w:rPr>
              <w:t>1.65</w:t>
            </w:r>
          </w:p>
        </w:tc>
        <w:tc>
          <w:tcPr>
            <w:tcW w:w="1050" w:type="dxa"/>
            <w:vAlign w:val="center"/>
          </w:tcPr>
          <w:p>
            <w:pPr>
              <w:spacing w:line="360" w:lineRule="exact"/>
              <w:jc w:val="center"/>
              <w:rPr>
                <w:rFonts w:hint="eastAsia" w:ascii="宋体" w:hAnsi="宋体"/>
                <w:sz w:val="21"/>
                <w:szCs w:val="21"/>
              </w:rPr>
            </w:pPr>
            <w:r>
              <w:rPr>
                <w:rFonts w:hint="eastAsia" w:ascii="宋体" w:hAnsi="宋体"/>
                <w:sz w:val="21"/>
                <w:szCs w:val="21"/>
              </w:rPr>
              <w:t>0.36</w:t>
            </w:r>
          </w:p>
        </w:tc>
        <w:tc>
          <w:tcPr>
            <w:tcW w:w="1365" w:type="dxa"/>
            <w:vAlign w:val="center"/>
          </w:tcPr>
          <w:p>
            <w:pPr>
              <w:spacing w:line="360" w:lineRule="exact"/>
              <w:jc w:val="center"/>
              <w:rPr>
                <w:rFonts w:hint="eastAsia" w:ascii="宋体" w:hAnsi="宋体"/>
                <w:sz w:val="21"/>
                <w:szCs w:val="21"/>
              </w:rPr>
            </w:pPr>
            <w:r>
              <w:rPr>
                <w:rFonts w:hint="eastAsia" w:ascii="宋体" w:hAnsi="宋体"/>
                <w:sz w:val="21"/>
                <w:szCs w:val="21"/>
              </w:rPr>
              <w:t>1.97</w:t>
            </w:r>
          </w:p>
        </w:tc>
        <w:tc>
          <w:tcPr>
            <w:tcW w:w="1260" w:type="dxa"/>
            <w:vAlign w:val="center"/>
          </w:tcPr>
          <w:p>
            <w:pPr>
              <w:spacing w:line="360" w:lineRule="exact"/>
              <w:jc w:val="center"/>
              <w:rPr>
                <w:rFonts w:hint="eastAsia" w:ascii="宋体" w:hAnsi="宋体"/>
                <w:sz w:val="21"/>
                <w:szCs w:val="21"/>
              </w:rPr>
            </w:pPr>
            <w:r>
              <w:rPr>
                <w:rFonts w:hint="eastAsia" w:ascii="宋体" w:hAnsi="宋体"/>
                <w:sz w:val="21"/>
                <w:szCs w:val="21"/>
              </w:rPr>
              <w:t>1.51</w:t>
            </w:r>
          </w:p>
        </w:tc>
        <w:tc>
          <w:tcPr>
            <w:tcW w:w="1155" w:type="dxa"/>
            <w:vAlign w:val="center"/>
          </w:tcPr>
          <w:p>
            <w:pPr>
              <w:spacing w:line="360" w:lineRule="exact"/>
              <w:jc w:val="center"/>
              <w:rPr>
                <w:rFonts w:hint="eastAsia" w:ascii="宋体" w:hAnsi="宋体"/>
                <w:sz w:val="21"/>
                <w:szCs w:val="21"/>
              </w:rPr>
            </w:pPr>
            <w:r>
              <w:rPr>
                <w:rFonts w:hint="eastAsia" w:ascii="宋体" w:hAnsi="宋体"/>
                <w:sz w:val="21"/>
                <w:szCs w:val="21"/>
              </w:rPr>
              <w:t>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3" w:type="dxa"/>
            <w:vAlign w:val="center"/>
          </w:tcPr>
          <w:p>
            <w:pPr>
              <w:spacing w:line="360" w:lineRule="exact"/>
              <w:jc w:val="center"/>
              <w:rPr>
                <w:rFonts w:ascii="宋体" w:hAnsi="宋体"/>
                <w:sz w:val="21"/>
                <w:szCs w:val="21"/>
              </w:rPr>
            </w:pPr>
            <w:r>
              <w:rPr>
                <w:rFonts w:ascii="宋体" w:hAnsi="宋体"/>
                <w:sz w:val="21"/>
                <w:szCs w:val="21"/>
              </w:rPr>
              <w:t>K</w:t>
            </w:r>
            <w:r>
              <w:rPr>
                <w:rFonts w:ascii="宋体" w:hAnsi="宋体"/>
                <w:sz w:val="21"/>
                <w:szCs w:val="21"/>
                <w:vertAlign w:val="subscript"/>
              </w:rPr>
              <w:t>2</w:t>
            </w:r>
            <w:r>
              <w:rPr>
                <w:rFonts w:ascii="宋体" w:hAnsi="宋体"/>
                <w:sz w:val="21"/>
                <w:szCs w:val="21"/>
              </w:rPr>
              <w:t>O</w:t>
            </w:r>
          </w:p>
        </w:tc>
        <w:tc>
          <w:tcPr>
            <w:tcW w:w="1260" w:type="dxa"/>
            <w:vAlign w:val="center"/>
          </w:tcPr>
          <w:p>
            <w:pPr>
              <w:spacing w:line="360" w:lineRule="exact"/>
              <w:jc w:val="center"/>
              <w:rPr>
                <w:rFonts w:hint="eastAsia" w:ascii="宋体" w:hAnsi="宋体"/>
                <w:sz w:val="21"/>
                <w:szCs w:val="21"/>
              </w:rPr>
            </w:pPr>
            <w:r>
              <w:rPr>
                <w:rFonts w:hint="eastAsia" w:ascii="宋体" w:hAnsi="宋体"/>
                <w:sz w:val="21"/>
                <w:szCs w:val="21"/>
              </w:rPr>
              <w:t>0.42</w:t>
            </w:r>
          </w:p>
        </w:tc>
        <w:tc>
          <w:tcPr>
            <w:tcW w:w="1050" w:type="dxa"/>
            <w:vAlign w:val="center"/>
          </w:tcPr>
          <w:p>
            <w:pPr>
              <w:spacing w:line="360" w:lineRule="exact"/>
              <w:jc w:val="center"/>
              <w:rPr>
                <w:rFonts w:hint="eastAsia" w:ascii="宋体" w:hAnsi="宋体"/>
                <w:sz w:val="21"/>
                <w:szCs w:val="21"/>
              </w:rPr>
            </w:pPr>
            <w:r>
              <w:rPr>
                <w:rFonts w:hint="eastAsia" w:ascii="宋体" w:hAnsi="宋体"/>
                <w:sz w:val="21"/>
                <w:szCs w:val="21"/>
              </w:rPr>
              <w:t>2.03</w:t>
            </w:r>
          </w:p>
        </w:tc>
        <w:tc>
          <w:tcPr>
            <w:tcW w:w="1365" w:type="dxa"/>
            <w:vAlign w:val="center"/>
          </w:tcPr>
          <w:p>
            <w:pPr>
              <w:spacing w:line="360" w:lineRule="exact"/>
              <w:jc w:val="center"/>
              <w:rPr>
                <w:rFonts w:hint="eastAsia" w:ascii="宋体" w:hAnsi="宋体"/>
                <w:sz w:val="21"/>
                <w:szCs w:val="21"/>
              </w:rPr>
            </w:pPr>
            <w:r>
              <w:rPr>
                <w:rFonts w:hint="eastAsia" w:ascii="宋体" w:hAnsi="宋体"/>
                <w:sz w:val="21"/>
                <w:szCs w:val="21"/>
              </w:rPr>
              <w:t>2.22</w:t>
            </w:r>
          </w:p>
        </w:tc>
        <w:tc>
          <w:tcPr>
            <w:tcW w:w="1260" w:type="dxa"/>
            <w:vAlign w:val="center"/>
          </w:tcPr>
          <w:p>
            <w:pPr>
              <w:spacing w:line="360" w:lineRule="exact"/>
              <w:jc w:val="center"/>
              <w:rPr>
                <w:rFonts w:hint="eastAsia" w:ascii="宋体" w:hAnsi="宋体"/>
                <w:sz w:val="21"/>
                <w:szCs w:val="21"/>
              </w:rPr>
            </w:pPr>
            <w:r>
              <w:rPr>
                <w:rFonts w:hint="eastAsia" w:ascii="宋体" w:hAnsi="宋体"/>
                <w:sz w:val="21"/>
                <w:szCs w:val="21"/>
              </w:rPr>
              <w:t>1.02</w:t>
            </w:r>
          </w:p>
        </w:tc>
        <w:tc>
          <w:tcPr>
            <w:tcW w:w="1155" w:type="dxa"/>
            <w:vAlign w:val="center"/>
          </w:tcPr>
          <w:p>
            <w:pPr>
              <w:spacing w:line="360" w:lineRule="exact"/>
              <w:jc w:val="center"/>
              <w:rPr>
                <w:rFonts w:hint="eastAsia" w:ascii="宋体" w:hAnsi="宋体"/>
                <w:sz w:val="21"/>
                <w:szCs w:val="21"/>
              </w:rPr>
            </w:pP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3" w:type="dxa"/>
            <w:vAlign w:val="center"/>
          </w:tcPr>
          <w:p>
            <w:pPr>
              <w:spacing w:line="360" w:lineRule="exact"/>
              <w:jc w:val="center"/>
              <w:rPr>
                <w:rFonts w:ascii="宋体" w:hAnsi="宋体"/>
                <w:sz w:val="21"/>
                <w:szCs w:val="21"/>
              </w:rPr>
            </w:pPr>
            <w:r>
              <w:rPr>
                <w:rFonts w:ascii="宋体" w:hAnsi="宋体"/>
                <w:sz w:val="21"/>
                <w:szCs w:val="21"/>
              </w:rPr>
              <w:t>Na</w:t>
            </w:r>
            <w:r>
              <w:rPr>
                <w:rFonts w:ascii="宋体" w:hAnsi="宋体"/>
                <w:sz w:val="21"/>
                <w:szCs w:val="21"/>
                <w:vertAlign w:val="subscript"/>
              </w:rPr>
              <w:t>2</w:t>
            </w:r>
            <w:r>
              <w:rPr>
                <w:rFonts w:ascii="宋体" w:hAnsi="宋体"/>
                <w:sz w:val="21"/>
                <w:szCs w:val="21"/>
              </w:rPr>
              <w:t>O</w:t>
            </w:r>
          </w:p>
        </w:tc>
        <w:tc>
          <w:tcPr>
            <w:tcW w:w="1260" w:type="dxa"/>
            <w:vAlign w:val="center"/>
          </w:tcPr>
          <w:p>
            <w:pPr>
              <w:spacing w:line="360" w:lineRule="exact"/>
              <w:jc w:val="center"/>
              <w:rPr>
                <w:rFonts w:hint="eastAsia" w:ascii="宋体" w:hAnsi="宋体"/>
                <w:sz w:val="21"/>
                <w:szCs w:val="21"/>
              </w:rPr>
            </w:pPr>
            <w:r>
              <w:rPr>
                <w:rFonts w:hint="eastAsia" w:ascii="宋体" w:hAnsi="宋体"/>
                <w:sz w:val="21"/>
                <w:szCs w:val="21"/>
              </w:rPr>
              <w:t>0.07</w:t>
            </w:r>
          </w:p>
        </w:tc>
        <w:tc>
          <w:tcPr>
            <w:tcW w:w="1050" w:type="dxa"/>
            <w:vAlign w:val="center"/>
          </w:tcPr>
          <w:p>
            <w:pPr>
              <w:spacing w:line="360" w:lineRule="exact"/>
              <w:jc w:val="center"/>
              <w:rPr>
                <w:rFonts w:hint="eastAsia" w:ascii="宋体" w:hAnsi="宋体"/>
                <w:sz w:val="21"/>
                <w:szCs w:val="21"/>
              </w:rPr>
            </w:pPr>
            <w:r>
              <w:rPr>
                <w:rFonts w:hint="eastAsia" w:ascii="宋体" w:hAnsi="宋体"/>
                <w:sz w:val="21"/>
                <w:szCs w:val="21"/>
              </w:rPr>
              <w:t>0.22</w:t>
            </w:r>
          </w:p>
        </w:tc>
        <w:tc>
          <w:tcPr>
            <w:tcW w:w="1365" w:type="dxa"/>
            <w:vAlign w:val="center"/>
          </w:tcPr>
          <w:p>
            <w:pPr>
              <w:spacing w:line="360" w:lineRule="exact"/>
              <w:jc w:val="center"/>
              <w:rPr>
                <w:rFonts w:hint="eastAsia" w:ascii="宋体" w:hAnsi="宋体"/>
                <w:sz w:val="21"/>
                <w:szCs w:val="21"/>
              </w:rPr>
            </w:pPr>
            <w:r>
              <w:rPr>
                <w:rFonts w:hint="eastAsia" w:ascii="宋体" w:hAnsi="宋体"/>
                <w:sz w:val="21"/>
                <w:szCs w:val="21"/>
              </w:rPr>
              <w:t>0.56</w:t>
            </w:r>
          </w:p>
        </w:tc>
        <w:tc>
          <w:tcPr>
            <w:tcW w:w="1260" w:type="dxa"/>
            <w:vAlign w:val="center"/>
          </w:tcPr>
          <w:p>
            <w:pPr>
              <w:spacing w:line="360" w:lineRule="exact"/>
              <w:jc w:val="center"/>
              <w:rPr>
                <w:rFonts w:hint="eastAsia" w:ascii="宋体" w:hAnsi="宋体"/>
                <w:sz w:val="21"/>
                <w:szCs w:val="21"/>
              </w:rPr>
            </w:pPr>
            <w:r>
              <w:rPr>
                <w:rFonts w:hint="eastAsia" w:ascii="宋体" w:hAnsi="宋体"/>
                <w:sz w:val="21"/>
                <w:szCs w:val="21"/>
              </w:rPr>
              <w:t>0.19</w:t>
            </w:r>
          </w:p>
        </w:tc>
        <w:tc>
          <w:tcPr>
            <w:tcW w:w="1155" w:type="dxa"/>
            <w:vAlign w:val="center"/>
          </w:tcPr>
          <w:p>
            <w:pPr>
              <w:spacing w:line="360" w:lineRule="exact"/>
              <w:jc w:val="center"/>
              <w:rPr>
                <w:rFonts w:hint="eastAsia" w:ascii="宋体" w:hAnsi="宋体"/>
                <w:sz w:val="21"/>
                <w:szCs w:val="21"/>
              </w:rPr>
            </w:pP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3" w:type="dxa"/>
            <w:vAlign w:val="center"/>
          </w:tcPr>
          <w:p>
            <w:pPr>
              <w:spacing w:line="360" w:lineRule="exact"/>
              <w:jc w:val="center"/>
              <w:rPr>
                <w:rFonts w:ascii="宋体" w:hAnsi="宋体"/>
                <w:sz w:val="21"/>
                <w:szCs w:val="21"/>
              </w:rPr>
            </w:pPr>
            <w:r>
              <w:rPr>
                <w:rFonts w:ascii="宋体" w:hAnsi="宋体"/>
                <w:sz w:val="21"/>
                <w:szCs w:val="21"/>
              </w:rPr>
              <w:t>SO</w:t>
            </w:r>
            <w:r>
              <w:rPr>
                <w:rFonts w:ascii="宋体" w:hAnsi="宋体"/>
                <w:sz w:val="21"/>
                <w:szCs w:val="21"/>
                <w:vertAlign w:val="subscript"/>
              </w:rPr>
              <w:t>3</w:t>
            </w:r>
          </w:p>
        </w:tc>
        <w:tc>
          <w:tcPr>
            <w:tcW w:w="1260" w:type="dxa"/>
            <w:vAlign w:val="center"/>
          </w:tcPr>
          <w:p>
            <w:pPr>
              <w:spacing w:line="360" w:lineRule="exact"/>
              <w:jc w:val="center"/>
              <w:rPr>
                <w:rFonts w:hint="eastAsia" w:ascii="宋体" w:hAnsi="宋体"/>
                <w:sz w:val="21"/>
                <w:szCs w:val="21"/>
              </w:rPr>
            </w:pPr>
            <w:r>
              <w:rPr>
                <w:rFonts w:hint="eastAsia" w:ascii="宋体" w:hAnsi="宋体"/>
                <w:sz w:val="21"/>
                <w:szCs w:val="21"/>
              </w:rPr>
              <w:t>0.0057</w:t>
            </w:r>
          </w:p>
        </w:tc>
        <w:tc>
          <w:tcPr>
            <w:tcW w:w="1050" w:type="dxa"/>
            <w:vAlign w:val="center"/>
          </w:tcPr>
          <w:p>
            <w:pPr>
              <w:spacing w:line="360" w:lineRule="exact"/>
              <w:jc w:val="center"/>
              <w:rPr>
                <w:rFonts w:hint="eastAsia" w:ascii="宋体" w:hAnsi="宋体"/>
                <w:sz w:val="21"/>
                <w:szCs w:val="21"/>
              </w:rPr>
            </w:pPr>
            <w:r>
              <w:rPr>
                <w:rFonts w:hint="eastAsia" w:ascii="宋体" w:hAnsi="宋体"/>
                <w:sz w:val="21"/>
                <w:szCs w:val="21"/>
              </w:rPr>
              <w:t>0.05</w:t>
            </w:r>
          </w:p>
        </w:tc>
        <w:tc>
          <w:tcPr>
            <w:tcW w:w="1365" w:type="dxa"/>
            <w:vAlign w:val="center"/>
          </w:tcPr>
          <w:p>
            <w:pPr>
              <w:spacing w:line="360" w:lineRule="exact"/>
              <w:jc w:val="center"/>
              <w:rPr>
                <w:rFonts w:hint="eastAsia" w:ascii="宋体" w:hAnsi="宋体"/>
                <w:sz w:val="21"/>
                <w:szCs w:val="21"/>
              </w:rPr>
            </w:pPr>
            <w:r>
              <w:rPr>
                <w:rFonts w:hint="eastAsia" w:ascii="宋体" w:hAnsi="宋体"/>
                <w:sz w:val="21"/>
                <w:szCs w:val="21"/>
              </w:rPr>
              <w:t>/</w:t>
            </w:r>
          </w:p>
        </w:tc>
        <w:tc>
          <w:tcPr>
            <w:tcW w:w="1260" w:type="dxa"/>
            <w:vAlign w:val="center"/>
          </w:tcPr>
          <w:p>
            <w:pPr>
              <w:spacing w:line="360" w:lineRule="exact"/>
              <w:jc w:val="center"/>
              <w:rPr>
                <w:rFonts w:hint="eastAsia" w:ascii="宋体" w:hAnsi="宋体"/>
                <w:sz w:val="21"/>
                <w:szCs w:val="21"/>
              </w:rPr>
            </w:pPr>
            <w:r>
              <w:rPr>
                <w:rFonts w:hint="eastAsia" w:ascii="宋体" w:hAnsi="宋体"/>
                <w:sz w:val="21"/>
                <w:szCs w:val="21"/>
              </w:rPr>
              <w:t>0.058</w:t>
            </w:r>
          </w:p>
        </w:tc>
        <w:tc>
          <w:tcPr>
            <w:tcW w:w="1155" w:type="dxa"/>
            <w:vAlign w:val="center"/>
          </w:tcPr>
          <w:p>
            <w:pPr>
              <w:spacing w:line="360" w:lineRule="exact"/>
              <w:jc w:val="center"/>
              <w:rPr>
                <w:rFonts w:hint="eastAsia" w:ascii="宋体" w:hAnsi="宋体"/>
                <w:sz w:val="21"/>
                <w:szCs w:val="21"/>
              </w:rPr>
            </w:pPr>
            <w:r>
              <w:rPr>
                <w:rFonts w:hint="eastAsia" w:ascii="宋体" w:hAnsi="宋体"/>
                <w:sz w:val="21"/>
                <w:szCs w:val="21"/>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3" w:type="dxa"/>
            <w:vAlign w:val="center"/>
          </w:tcPr>
          <w:p>
            <w:pPr>
              <w:spacing w:line="360" w:lineRule="exact"/>
              <w:jc w:val="center"/>
              <w:rPr>
                <w:rFonts w:ascii="宋体" w:hAnsi="宋体"/>
                <w:sz w:val="21"/>
                <w:szCs w:val="21"/>
              </w:rPr>
            </w:pPr>
            <w:r>
              <w:rPr>
                <w:rFonts w:ascii="宋体" w:hAnsi="宋体"/>
                <w:sz w:val="21"/>
                <w:szCs w:val="21"/>
              </w:rPr>
              <w:t>Cl</w:t>
            </w:r>
            <w:r>
              <w:rPr>
                <w:rFonts w:ascii="宋体" w:hAnsi="宋体"/>
                <w:sz w:val="21"/>
                <w:szCs w:val="21"/>
                <w:vertAlign w:val="superscript"/>
              </w:rPr>
              <w:t>-</w:t>
            </w:r>
          </w:p>
        </w:tc>
        <w:tc>
          <w:tcPr>
            <w:tcW w:w="1260" w:type="dxa"/>
            <w:vAlign w:val="center"/>
          </w:tcPr>
          <w:p>
            <w:pPr>
              <w:spacing w:line="360" w:lineRule="exact"/>
              <w:jc w:val="center"/>
              <w:rPr>
                <w:rFonts w:hint="eastAsia" w:ascii="宋体" w:hAnsi="宋体"/>
                <w:sz w:val="21"/>
                <w:szCs w:val="21"/>
              </w:rPr>
            </w:pPr>
            <w:r>
              <w:rPr>
                <w:rFonts w:hint="eastAsia" w:ascii="宋体" w:hAnsi="宋体"/>
                <w:sz w:val="21"/>
                <w:szCs w:val="21"/>
              </w:rPr>
              <w:t>0.0065</w:t>
            </w:r>
          </w:p>
        </w:tc>
        <w:tc>
          <w:tcPr>
            <w:tcW w:w="1050" w:type="dxa"/>
            <w:vAlign w:val="center"/>
          </w:tcPr>
          <w:p>
            <w:pPr>
              <w:spacing w:line="360" w:lineRule="exact"/>
              <w:jc w:val="center"/>
              <w:rPr>
                <w:rFonts w:hint="eastAsia" w:ascii="宋体" w:hAnsi="宋体"/>
                <w:sz w:val="21"/>
                <w:szCs w:val="21"/>
              </w:rPr>
            </w:pPr>
            <w:r>
              <w:rPr>
                <w:rFonts w:hint="eastAsia" w:ascii="宋体" w:hAnsi="宋体"/>
                <w:sz w:val="21"/>
                <w:szCs w:val="21"/>
              </w:rPr>
              <w:t>0.009</w:t>
            </w:r>
          </w:p>
        </w:tc>
        <w:tc>
          <w:tcPr>
            <w:tcW w:w="1365" w:type="dxa"/>
            <w:vAlign w:val="center"/>
          </w:tcPr>
          <w:p>
            <w:pPr>
              <w:spacing w:line="360" w:lineRule="exact"/>
              <w:jc w:val="center"/>
              <w:rPr>
                <w:rFonts w:hint="eastAsia" w:ascii="宋体" w:hAnsi="宋体"/>
                <w:sz w:val="21"/>
                <w:szCs w:val="21"/>
              </w:rPr>
            </w:pPr>
            <w:r>
              <w:rPr>
                <w:rFonts w:hint="eastAsia" w:ascii="宋体" w:hAnsi="宋体"/>
                <w:sz w:val="21"/>
                <w:szCs w:val="21"/>
              </w:rPr>
              <w:t>0.0058</w:t>
            </w:r>
          </w:p>
        </w:tc>
        <w:tc>
          <w:tcPr>
            <w:tcW w:w="1260" w:type="dxa"/>
            <w:vAlign w:val="center"/>
          </w:tcPr>
          <w:p>
            <w:pPr>
              <w:spacing w:line="360" w:lineRule="exact"/>
              <w:jc w:val="center"/>
              <w:rPr>
                <w:rFonts w:hint="eastAsia" w:ascii="宋体" w:hAnsi="宋体"/>
                <w:sz w:val="21"/>
                <w:szCs w:val="21"/>
              </w:rPr>
            </w:pPr>
            <w:r>
              <w:rPr>
                <w:rFonts w:hint="eastAsia" w:ascii="宋体" w:hAnsi="宋体"/>
                <w:sz w:val="21"/>
                <w:szCs w:val="21"/>
              </w:rPr>
              <w:t>0.009</w:t>
            </w:r>
          </w:p>
        </w:tc>
        <w:tc>
          <w:tcPr>
            <w:tcW w:w="1155" w:type="dxa"/>
            <w:vAlign w:val="center"/>
          </w:tcPr>
          <w:p>
            <w:pPr>
              <w:spacing w:line="360" w:lineRule="exact"/>
              <w:jc w:val="center"/>
              <w:rPr>
                <w:rFonts w:hint="eastAsia" w:ascii="宋体" w:hAnsi="宋体"/>
                <w:sz w:val="21"/>
                <w:szCs w:val="21"/>
              </w:rPr>
            </w:pPr>
            <w:r>
              <w:rPr>
                <w:rFonts w:hint="eastAsia" w:ascii="宋体" w:hAnsi="宋体"/>
                <w:sz w:val="21"/>
                <w:szCs w:val="21"/>
              </w:rPr>
              <w:t>/</w:t>
            </w:r>
          </w:p>
        </w:tc>
      </w:tr>
    </w:tbl>
    <w:p>
      <w:pPr>
        <w:spacing w:line="480" w:lineRule="exact"/>
        <w:jc w:val="center"/>
        <w:rPr>
          <w:rFonts w:hint="eastAsia" w:ascii="宋体" w:hAnsi="宋体"/>
          <w:b/>
        </w:rPr>
      </w:pPr>
    </w:p>
    <w:p>
      <w:pPr>
        <w:spacing w:line="480" w:lineRule="exact"/>
        <w:jc w:val="center"/>
        <w:rPr>
          <w:rFonts w:hint="eastAsia" w:ascii="宋体" w:hAnsi="宋体"/>
          <w:b/>
        </w:rPr>
      </w:pPr>
      <w:r>
        <w:rPr>
          <w:rFonts w:hint="eastAsia" w:ascii="宋体" w:hAnsi="宋体"/>
          <w:b/>
        </w:rPr>
        <w:t>表3-7   技改项目原料配比、理论料耗</w:t>
      </w:r>
    </w:p>
    <w:tbl>
      <w:tblPr>
        <w:tblStyle w:val="21"/>
        <w:tblW w:w="81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980"/>
        <w:gridCol w:w="2907"/>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0" w:type="dxa"/>
            <w:vMerge w:val="restart"/>
            <w:vAlign w:val="center"/>
          </w:tcPr>
          <w:p>
            <w:pPr>
              <w:spacing w:line="280" w:lineRule="exact"/>
              <w:rPr>
                <w:sz w:val="21"/>
                <w:szCs w:val="21"/>
              </w:rPr>
            </w:pPr>
            <w:r>
              <w:rPr>
                <w:sz w:val="21"/>
                <w:szCs w:val="21"/>
              </w:rPr>
              <w:t>物料名称</w:t>
            </w:r>
          </w:p>
        </w:tc>
        <w:tc>
          <w:tcPr>
            <w:tcW w:w="1980" w:type="dxa"/>
            <w:vMerge w:val="restart"/>
            <w:vAlign w:val="center"/>
          </w:tcPr>
          <w:p>
            <w:pPr>
              <w:spacing w:line="280" w:lineRule="exact"/>
              <w:rPr>
                <w:sz w:val="21"/>
                <w:szCs w:val="21"/>
              </w:rPr>
            </w:pPr>
            <w:r>
              <w:rPr>
                <w:sz w:val="21"/>
                <w:szCs w:val="21"/>
              </w:rPr>
              <w:t>干基配比（％）</w:t>
            </w:r>
          </w:p>
        </w:tc>
        <w:tc>
          <w:tcPr>
            <w:tcW w:w="4680" w:type="dxa"/>
            <w:gridSpan w:val="2"/>
            <w:vAlign w:val="center"/>
          </w:tcPr>
          <w:p>
            <w:pPr>
              <w:spacing w:line="280" w:lineRule="exact"/>
              <w:rPr>
                <w:sz w:val="21"/>
                <w:szCs w:val="21"/>
              </w:rPr>
            </w:pPr>
            <w:r>
              <w:rPr>
                <w:sz w:val="21"/>
                <w:szCs w:val="21"/>
              </w:rPr>
              <w:t>每吨熟料消耗定额（kg/t）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0" w:type="dxa"/>
            <w:vMerge w:val="continue"/>
            <w:vAlign w:val="center"/>
          </w:tcPr>
          <w:p>
            <w:pPr>
              <w:spacing w:line="280" w:lineRule="exact"/>
              <w:rPr>
                <w:sz w:val="21"/>
                <w:szCs w:val="21"/>
              </w:rPr>
            </w:pPr>
          </w:p>
        </w:tc>
        <w:tc>
          <w:tcPr>
            <w:tcW w:w="1980" w:type="dxa"/>
            <w:vMerge w:val="continue"/>
            <w:vAlign w:val="center"/>
          </w:tcPr>
          <w:p>
            <w:pPr>
              <w:spacing w:line="280" w:lineRule="exact"/>
              <w:rPr>
                <w:sz w:val="21"/>
                <w:szCs w:val="21"/>
              </w:rPr>
            </w:pPr>
          </w:p>
        </w:tc>
        <w:tc>
          <w:tcPr>
            <w:tcW w:w="2907" w:type="dxa"/>
            <w:vAlign w:val="center"/>
          </w:tcPr>
          <w:p>
            <w:pPr>
              <w:spacing w:line="280" w:lineRule="exact"/>
              <w:rPr>
                <w:sz w:val="21"/>
                <w:szCs w:val="21"/>
              </w:rPr>
            </w:pPr>
            <w:r>
              <w:rPr>
                <w:sz w:val="21"/>
                <w:szCs w:val="21"/>
              </w:rPr>
              <w:t>干基物料</w:t>
            </w:r>
          </w:p>
        </w:tc>
        <w:tc>
          <w:tcPr>
            <w:tcW w:w="1773" w:type="dxa"/>
            <w:vAlign w:val="center"/>
          </w:tcPr>
          <w:p>
            <w:pPr>
              <w:spacing w:line="280" w:lineRule="exact"/>
              <w:rPr>
                <w:sz w:val="21"/>
                <w:szCs w:val="21"/>
              </w:rPr>
            </w:pPr>
            <w:r>
              <w:rPr>
                <w:sz w:val="21"/>
                <w:szCs w:val="21"/>
              </w:rPr>
              <w:t>含天然水份物料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0" w:type="dxa"/>
            <w:vAlign w:val="center"/>
          </w:tcPr>
          <w:p>
            <w:pPr>
              <w:spacing w:line="280" w:lineRule="exact"/>
              <w:rPr>
                <w:sz w:val="21"/>
                <w:szCs w:val="21"/>
              </w:rPr>
            </w:pPr>
            <w:r>
              <w:rPr>
                <w:sz w:val="21"/>
                <w:szCs w:val="21"/>
              </w:rPr>
              <w:t>石灰石</w:t>
            </w:r>
          </w:p>
        </w:tc>
        <w:tc>
          <w:tcPr>
            <w:tcW w:w="1980" w:type="dxa"/>
            <w:vAlign w:val="center"/>
          </w:tcPr>
          <w:p>
            <w:pPr>
              <w:spacing w:line="280" w:lineRule="exact"/>
              <w:rPr>
                <w:sz w:val="21"/>
                <w:szCs w:val="21"/>
              </w:rPr>
            </w:pPr>
            <w:r>
              <w:rPr>
                <w:sz w:val="21"/>
                <w:szCs w:val="21"/>
              </w:rPr>
              <w:t>85.67</w:t>
            </w:r>
          </w:p>
        </w:tc>
        <w:tc>
          <w:tcPr>
            <w:tcW w:w="2907" w:type="dxa"/>
            <w:vAlign w:val="center"/>
          </w:tcPr>
          <w:p>
            <w:pPr>
              <w:spacing w:line="280" w:lineRule="exact"/>
              <w:rPr>
                <w:sz w:val="21"/>
                <w:szCs w:val="21"/>
              </w:rPr>
            </w:pPr>
            <w:r>
              <w:rPr>
                <w:sz w:val="21"/>
                <w:szCs w:val="21"/>
              </w:rPr>
              <w:t>1301.30</w:t>
            </w:r>
          </w:p>
        </w:tc>
        <w:tc>
          <w:tcPr>
            <w:tcW w:w="1773" w:type="dxa"/>
            <w:vAlign w:val="center"/>
          </w:tcPr>
          <w:p>
            <w:pPr>
              <w:spacing w:line="280" w:lineRule="exact"/>
              <w:rPr>
                <w:sz w:val="21"/>
                <w:szCs w:val="21"/>
              </w:rPr>
            </w:pPr>
            <w:r>
              <w:rPr>
                <w:sz w:val="21"/>
                <w:szCs w:val="21"/>
              </w:rPr>
              <w:t>1314.44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0" w:type="dxa"/>
            <w:vAlign w:val="center"/>
          </w:tcPr>
          <w:p>
            <w:pPr>
              <w:spacing w:line="280" w:lineRule="exact"/>
              <w:rPr>
                <w:sz w:val="21"/>
                <w:szCs w:val="21"/>
              </w:rPr>
            </w:pPr>
            <w:r>
              <w:rPr>
                <w:sz w:val="21"/>
                <w:szCs w:val="21"/>
              </w:rPr>
              <w:t>砂岩</w:t>
            </w:r>
          </w:p>
        </w:tc>
        <w:tc>
          <w:tcPr>
            <w:tcW w:w="1980" w:type="dxa"/>
            <w:vAlign w:val="center"/>
          </w:tcPr>
          <w:p>
            <w:pPr>
              <w:spacing w:line="280" w:lineRule="exact"/>
              <w:rPr>
                <w:sz w:val="21"/>
                <w:szCs w:val="21"/>
              </w:rPr>
            </w:pPr>
            <w:r>
              <w:rPr>
                <w:sz w:val="21"/>
                <w:szCs w:val="21"/>
              </w:rPr>
              <w:t>5.67</w:t>
            </w:r>
          </w:p>
        </w:tc>
        <w:tc>
          <w:tcPr>
            <w:tcW w:w="2907" w:type="dxa"/>
            <w:vAlign w:val="center"/>
          </w:tcPr>
          <w:p>
            <w:pPr>
              <w:spacing w:line="280" w:lineRule="exact"/>
              <w:rPr>
                <w:sz w:val="21"/>
                <w:szCs w:val="21"/>
              </w:rPr>
            </w:pPr>
            <w:r>
              <w:rPr>
                <w:sz w:val="21"/>
                <w:szCs w:val="21"/>
              </w:rPr>
              <w:t>86.04</w:t>
            </w:r>
          </w:p>
        </w:tc>
        <w:tc>
          <w:tcPr>
            <w:tcW w:w="1773" w:type="dxa"/>
            <w:vAlign w:val="center"/>
          </w:tcPr>
          <w:p>
            <w:pPr>
              <w:spacing w:line="280" w:lineRule="exact"/>
              <w:rPr>
                <w:sz w:val="21"/>
                <w:szCs w:val="21"/>
              </w:rPr>
            </w:pPr>
            <w:r>
              <w:rPr>
                <w:sz w:val="21"/>
                <w:szCs w:val="21"/>
              </w:rPr>
              <w:t>86.90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0" w:type="dxa"/>
            <w:vAlign w:val="center"/>
          </w:tcPr>
          <w:p>
            <w:pPr>
              <w:spacing w:line="280" w:lineRule="exact"/>
              <w:rPr>
                <w:sz w:val="21"/>
                <w:szCs w:val="21"/>
              </w:rPr>
            </w:pPr>
            <w:r>
              <w:rPr>
                <w:sz w:val="21"/>
                <w:szCs w:val="21"/>
              </w:rPr>
              <w:t>煤矸石</w:t>
            </w:r>
          </w:p>
        </w:tc>
        <w:tc>
          <w:tcPr>
            <w:tcW w:w="1980" w:type="dxa"/>
            <w:vAlign w:val="center"/>
          </w:tcPr>
          <w:p>
            <w:pPr>
              <w:spacing w:line="280" w:lineRule="exact"/>
              <w:rPr>
                <w:sz w:val="21"/>
                <w:szCs w:val="21"/>
              </w:rPr>
            </w:pPr>
            <w:r>
              <w:rPr>
                <w:sz w:val="21"/>
                <w:szCs w:val="21"/>
              </w:rPr>
              <w:t>7.44</w:t>
            </w:r>
          </w:p>
        </w:tc>
        <w:tc>
          <w:tcPr>
            <w:tcW w:w="2907" w:type="dxa"/>
            <w:vAlign w:val="center"/>
          </w:tcPr>
          <w:p>
            <w:pPr>
              <w:spacing w:line="280" w:lineRule="exact"/>
              <w:rPr>
                <w:sz w:val="21"/>
                <w:szCs w:val="21"/>
              </w:rPr>
            </w:pPr>
            <w:r>
              <w:rPr>
                <w:sz w:val="21"/>
                <w:szCs w:val="21"/>
              </w:rPr>
              <w:t>112.89</w:t>
            </w:r>
          </w:p>
        </w:tc>
        <w:tc>
          <w:tcPr>
            <w:tcW w:w="1773" w:type="dxa"/>
            <w:vAlign w:val="center"/>
          </w:tcPr>
          <w:p>
            <w:pPr>
              <w:spacing w:line="280" w:lineRule="exact"/>
              <w:rPr>
                <w:sz w:val="21"/>
                <w:szCs w:val="21"/>
              </w:rPr>
            </w:pPr>
            <w:r>
              <w:rPr>
                <w:sz w:val="21"/>
                <w:szCs w:val="21"/>
              </w:rPr>
              <w:t>118.83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0" w:type="dxa"/>
            <w:vAlign w:val="center"/>
          </w:tcPr>
          <w:p>
            <w:pPr>
              <w:spacing w:line="280" w:lineRule="exact"/>
              <w:rPr>
                <w:sz w:val="21"/>
                <w:szCs w:val="21"/>
              </w:rPr>
            </w:pPr>
            <w:r>
              <w:rPr>
                <w:sz w:val="21"/>
                <w:szCs w:val="21"/>
              </w:rPr>
              <w:t>硫酸渣</w:t>
            </w:r>
          </w:p>
        </w:tc>
        <w:tc>
          <w:tcPr>
            <w:tcW w:w="1980" w:type="dxa"/>
            <w:vAlign w:val="center"/>
          </w:tcPr>
          <w:p>
            <w:pPr>
              <w:spacing w:line="280" w:lineRule="exact"/>
              <w:rPr>
                <w:sz w:val="21"/>
                <w:szCs w:val="21"/>
              </w:rPr>
            </w:pPr>
            <w:r>
              <w:rPr>
                <w:sz w:val="21"/>
                <w:szCs w:val="21"/>
              </w:rPr>
              <w:t>1.13</w:t>
            </w:r>
          </w:p>
        </w:tc>
        <w:tc>
          <w:tcPr>
            <w:tcW w:w="2907" w:type="dxa"/>
            <w:vAlign w:val="center"/>
          </w:tcPr>
          <w:p>
            <w:pPr>
              <w:spacing w:line="280" w:lineRule="exact"/>
              <w:rPr>
                <w:sz w:val="21"/>
                <w:szCs w:val="21"/>
              </w:rPr>
            </w:pPr>
            <w:r>
              <w:rPr>
                <w:sz w:val="21"/>
                <w:szCs w:val="21"/>
              </w:rPr>
              <w:t>17.15</w:t>
            </w:r>
          </w:p>
        </w:tc>
        <w:tc>
          <w:tcPr>
            <w:tcW w:w="1773" w:type="dxa"/>
            <w:vAlign w:val="center"/>
          </w:tcPr>
          <w:p>
            <w:pPr>
              <w:spacing w:line="280" w:lineRule="exact"/>
              <w:rPr>
                <w:sz w:val="21"/>
                <w:szCs w:val="21"/>
              </w:rPr>
            </w:pPr>
            <w:r>
              <w:rPr>
                <w:sz w:val="21"/>
                <w:szCs w:val="21"/>
              </w:rPr>
              <w:t>20.91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0" w:type="dxa"/>
            <w:vAlign w:val="center"/>
          </w:tcPr>
          <w:p>
            <w:pPr>
              <w:spacing w:line="280" w:lineRule="exact"/>
              <w:rPr>
                <w:sz w:val="21"/>
                <w:szCs w:val="21"/>
              </w:rPr>
            </w:pPr>
            <w:r>
              <w:rPr>
                <w:sz w:val="21"/>
                <w:szCs w:val="21"/>
              </w:rPr>
              <w:t>生料</w:t>
            </w:r>
          </w:p>
        </w:tc>
        <w:tc>
          <w:tcPr>
            <w:tcW w:w="1980" w:type="dxa"/>
            <w:vAlign w:val="center"/>
          </w:tcPr>
          <w:p>
            <w:pPr>
              <w:spacing w:line="280" w:lineRule="exact"/>
              <w:rPr>
                <w:sz w:val="21"/>
                <w:szCs w:val="21"/>
              </w:rPr>
            </w:pPr>
          </w:p>
        </w:tc>
        <w:tc>
          <w:tcPr>
            <w:tcW w:w="2907" w:type="dxa"/>
            <w:vAlign w:val="center"/>
          </w:tcPr>
          <w:p>
            <w:pPr>
              <w:spacing w:line="280" w:lineRule="exact"/>
              <w:rPr>
                <w:sz w:val="21"/>
                <w:szCs w:val="21"/>
              </w:rPr>
            </w:pPr>
            <w:r>
              <w:rPr>
                <w:sz w:val="21"/>
                <w:szCs w:val="21"/>
              </w:rPr>
              <w:t>1517.37</w:t>
            </w:r>
          </w:p>
        </w:tc>
        <w:tc>
          <w:tcPr>
            <w:tcW w:w="1773" w:type="dxa"/>
            <w:vAlign w:val="center"/>
          </w:tcPr>
          <w:p>
            <w:pPr>
              <w:spacing w:line="280" w:lineRule="exact"/>
              <w:rPr>
                <w:sz w:val="21"/>
                <w:szCs w:val="21"/>
              </w:rPr>
            </w:pPr>
          </w:p>
        </w:tc>
      </w:tr>
    </w:tbl>
    <w:p>
      <w:pPr>
        <w:spacing w:line="480" w:lineRule="exact"/>
        <w:ind w:firstLine="420" w:firstLineChars="200"/>
        <w:rPr>
          <w:rFonts w:hint="eastAsia" w:ascii="宋体" w:hAnsi="宋体"/>
        </w:rPr>
      </w:pPr>
      <w:bookmarkStart w:id="110" w:name="_Toc165607347"/>
      <w:bookmarkStart w:id="111" w:name="_Toc175479790"/>
    </w:p>
    <w:p>
      <w:pPr>
        <w:spacing w:line="480" w:lineRule="exact"/>
        <w:jc w:val="center"/>
        <w:rPr>
          <w:rFonts w:hint="eastAsia" w:ascii="宋体" w:hAnsi="宋体"/>
          <w:b/>
        </w:rPr>
      </w:pPr>
      <w:r>
        <w:rPr>
          <w:rFonts w:hint="eastAsia" w:ascii="宋体" w:hAnsi="宋体"/>
          <w:b/>
        </w:rPr>
        <w:t>表3-6    煤矸石、 燃煤的工业分析  （</w:t>
      </w:r>
      <w:r>
        <w:rPr>
          <w:rFonts w:ascii="宋体" w:hAnsi="宋体"/>
          <w:b/>
        </w:rPr>
        <w:t>%</w:t>
      </w:r>
      <w:r>
        <w:rPr>
          <w:rFonts w:hint="eastAsia" w:ascii="宋体" w:hAnsi="宋体"/>
          <w:b/>
        </w:rPr>
        <w:t>）</w:t>
      </w:r>
    </w:p>
    <w:tbl>
      <w:tblPr>
        <w:tblStyle w:val="21"/>
        <w:tblW w:w="5800" w:type="dxa"/>
        <w:jc w:val="center"/>
        <w:tblInd w:w="106" w:type="dxa"/>
        <w:tblLayout w:type="fixed"/>
        <w:tblCellMar>
          <w:top w:w="0" w:type="dxa"/>
          <w:left w:w="30" w:type="dxa"/>
          <w:bottom w:w="0" w:type="dxa"/>
          <w:right w:w="30" w:type="dxa"/>
        </w:tblCellMar>
      </w:tblPr>
      <w:tblGrid>
        <w:gridCol w:w="1079"/>
        <w:gridCol w:w="721"/>
        <w:gridCol w:w="1155"/>
        <w:gridCol w:w="1155"/>
        <w:gridCol w:w="1690"/>
      </w:tblGrid>
      <w:tr>
        <w:tblPrEx>
          <w:tblLayout w:type="fixed"/>
          <w:tblCellMar>
            <w:top w:w="0" w:type="dxa"/>
            <w:left w:w="30" w:type="dxa"/>
            <w:bottom w:w="0" w:type="dxa"/>
            <w:right w:w="30" w:type="dxa"/>
          </w:tblCellMar>
        </w:tblPrEx>
        <w:trPr>
          <w:trHeight w:val="375" w:hRule="atLeast"/>
          <w:jc w:val="center"/>
        </w:trPr>
        <w:tc>
          <w:tcPr>
            <w:tcW w:w="107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snapToGrid w:val="0"/>
                <w:kern w:val="0"/>
                <w:sz w:val="21"/>
                <w:szCs w:val="21"/>
              </w:rPr>
            </w:pPr>
            <w:r>
              <w:rPr>
                <w:rFonts w:hint="eastAsia" w:ascii="宋体" w:hAnsi="宋体"/>
                <w:sz w:val="21"/>
                <w:szCs w:val="21"/>
              </w:rPr>
              <w:t>物料名称</w:t>
            </w:r>
          </w:p>
        </w:tc>
        <w:tc>
          <w:tcPr>
            <w:tcW w:w="72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snapToGrid w:val="0"/>
                <w:kern w:val="0"/>
                <w:sz w:val="21"/>
                <w:szCs w:val="21"/>
              </w:rPr>
            </w:pPr>
            <w:r>
              <w:rPr>
                <w:rFonts w:ascii="宋体" w:hAnsi="宋体"/>
                <w:snapToGrid w:val="0"/>
                <w:kern w:val="0"/>
                <w:sz w:val="21"/>
                <w:szCs w:val="21"/>
              </w:rPr>
              <w:t>Mad</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sz w:val="21"/>
                <w:szCs w:val="21"/>
              </w:rPr>
            </w:pPr>
            <w:r>
              <w:rPr>
                <w:rFonts w:ascii="宋体" w:hAnsi="宋体"/>
                <w:snapToGrid w:val="0"/>
                <w:kern w:val="0"/>
                <w:sz w:val="21"/>
                <w:szCs w:val="21"/>
              </w:rPr>
              <w:t>Aad</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sz w:val="21"/>
                <w:szCs w:val="21"/>
              </w:rPr>
            </w:pPr>
            <w:r>
              <w:rPr>
                <w:rFonts w:ascii="宋体" w:hAnsi="宋体"/>
                <w:snapToGrid w:val="0"/>
                <w:kern w:val="0"/>
                <w:sz w:val="21"/>
                <w:szCs w:val="21"/>
              </w:rPr>
              <w:t>Stad</w:t>
            </w:r>
          </w:p>
        </w:tc>
        <w:tc>
          <w:tcPr>
            <w:tcW w:w="169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sz w:val="21"/>
                <w:szCs w:val="21"/>
              </w:rPr>
            </w:pPr>
            <w:r>
              <w:rPr>
                <w:rFonts w:ascii="宋体" w:hAnsi="宋体"/>
                <w:sz w:val="21"/>
                <w:szCs w:val="21"/>
              </w:rPr>
              <w:t>Qnet.ad(</w:t>
            </w:r>
            <w:r>
              <w:rPr>
                <w:rFonts w:hint="eastAsia" w:ascii="宋体" w:hAnsi="宋体"/>
                <w:sz w:val="21"/>
                <w:szCs w:val="21"/>
              </w:rPr>
              <w:t>M</w:t>
            </w:r>
            <w:r>
              <w:rPr>
                <w:rFonts w:ascii="宋体" w:hAnsi="宋体"/>
                <w:sz w:val="21"/>
                <w:szCs w:val="21"/>
              </w:rPr>
              <w:t>J/kg)</w:t>
            </w:r>
          </w:p>
        </w:tc>
      </w:tr>
      <w:tr>
        <w:tblPrEx>
          <w:tblLayout w:type="fixed"/>
          <w:tblCellMar>
            <w:top w:w="0" w:type="dxa"/>
            <w:left w:w="30" w:type="dxa"/>
            <w:bottom w:w="0" w:type="dxa"/>
            <w:right w:w="30" w:type="dxa"/>
          </w:tblCellMar>
        </w:tblPrEx>
        <w:trPr>
          <w:trHeight w:val="375" w:hRule="atLeast"/>
          <w:jc w:val="center"/>
        </w:trPr>
        <w:tc>
          <w:tcPr>
            <w:tcW w:w="107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snapToGrid w:val="0"/>
                <w:kern w:val="0"/>
                <w:sz w:val="21"/>
                <w:szCs w:val="21"/>
              </w:rPr>
            </w:pPr>
            <w:r>
              <w:rPr>
                <w:rFonts w:hint="eastAsia" w:ascii="宋体" w:hAnsi="宋体"/>
                <w:snapToGrid w:val="0"/>
                <w:kern w:val="0"/>
                <w:sz w:val="21"/>
                <w:szCs w:val="21"/>
              </w:rPr>
              <w:t>煤矸石</w:t>
            </w:r>
          </w:p>
        </w:tc>
        <w:tc>
          <w:tcPr>
            <w:tcW w:w="72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snapToGrid w:val="0"/>
                <w:kern w:val="0"/>
                <w:sz w:val="21"/>
                <w:szCs w:val="21"/>
              </w:rPr>
            </w:pPr>
            <w:r>
              <w:rPr>
                <w:rFonts w:hint="eastAsia" w:ascii="宋体" w:hAnsi="宋体"/>
                <w:snapToGrid w:val="0"/>
                <w:kern w:val="0"/>
                <w:sz w:val="21"/>
                <w:szCs w:val="21"/>
              </w:rPr>
              <w:t>1.33</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snapToGrid w:val="0"/>
                <w:kern w:val="0"/>
                <w:sz w:val="21"/>
                <w:szCs w:val="21"/>
              </w:rPr>
            </w:pPr>
            <w:r>
              <w:rPr>
                <w:rFonts w:hint="eastAsia" w:ascii="宋体" w:hAnsi="宋体"/>
                <w:snapToGrid w:val="0"/>
                <w:kern w:val="0"/>
                <w:sz w:val="21"/>
                <w:szCs w:val="21"/>
              </w:rPr>
              <w:t>76.01</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snapToGrid w:val="0"/>
                <w:kern w:val="0"/>
                <w:sz w:val="21"/>
                <w:szCs w:val="21"/>
              </w:rPr>
            </w:pPr>
            <w:r>
              <w:rPr>
                <w:rFonts w:hint="eastAsia" w:ascii="宋体" w:hAnsi="宋体"/>
                <w:snapToGrid w:val="0"/>
                <w:kern w:val="0"/>
                <w:sz w:val="21"/>
                <w:szCs w:val="21"/>
              </w:rPr>
              <w:t>0.59</w:t>
            </w:r>
          </w:p>
        </w:tc>
        <w:tc>
          <w:tcPr>
            <w:tcW w:w="169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snapToGrid w:val="0"/>
                <w:kern w:val="0"/>
                <w:sz w:val="21"/>
                <w:szCs w:val="21"/>
              </w:rPr>
            </w:pPr>
            <w:r>
              <w:rPr>
                <w:rFonts w:hint="eastAsia" w:ascii="宋体" w:hAnsi="宋体"/>
                <w:snapToGrid w:val="0"/>
                <w:kern w:val="0"/>
                <w:sz w:val="21"/>
                <w:szCs w:val="21"/>
              </w:rPr>
              <w:t>5.97</w:t>
            </w:r>
          </w:p>
        </w:tc>
      </w:tr>
      <w:tr>
        <w:tblPrEx>
          <w:tblLayout w:type="fixed"/>
          <w:tblCellMar>
            <w:top w:w="0" w:type="dxa"/>
            <w:left w:w="30" w:type="dxa"/>
            <w:bottom w:w="0" w:type="dxa"/>
            <w:right w:w="30" w:type="dxa"/>
          </w:tblCellMar>
        </w:tblPrEx>
        <w:trPr>
          <w:trHeight w:val="375" w:hRule="atLeast"/>
          <w:jc w:val="center"/>
        </w:trPr>
        <w:tc>
          <w:tcPr>
            <w:tcW w:w="107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snapToGrid w:val="0"/>
                <w:kern w:val="0"/>
                <w:sz w:val="21"/>
                <w:szCs w:val="21"/>
              </w:rPr>
            </w:pPr>
            <w:r>
              <w:rPr>
                <w:rFonts w:hint="eastAsia" w:ascii="宋体" w:hAnsi="宋体"/>
                <w:snapToGrid w:val="0"/>
                <w:kern w:val="0"/>
                <w:sz w:val="21"/>
                <w:szCs w:val="21"/>
              </w:rPr>
              <w:t>煤</w:t>
            </w:r>
          </w:p>
        </w:tc>
        <w:tc>
          <w:tcPr>
            <w:tcW w:w="72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snapToGrid w:val="0"/>
                <w:kern w:val="0"/>
                <w:sz w:val="21"/>
                <w:szCs w:val="21"/>
              </w:rPr>
            </w:pPr>
            <w:r>
              <w:rPr>
                <w:rFonts w:hint="eastAsia" w:ascii="宋体" w:hAnsi="宋体"/>
                <w:snapToGrid w:val="0"/>
                <w:kern w:val="0"/>
                <w:sz w:val="21"/>
                <w:szCs w:val="21"/>
              </w:rPr>
              <w:t>2.01</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snapToGrid w:val="0"/>
                <w:kern w:val="0"/>
                <w:sz w:val="21"/>
                <w:szCs w:val="21"/>
              </w:rPr>
            </w:pPr>
            <w:r>
              <w:rPr>
                <w:rFonts w:hint="eastAsia" w:ascii="宋体" w:hAnsi="宋体"/>
                <w:snapToGrid w:val="0"/>
                <w:kern w:val="0"/>
                <w:sz w:val="21"/>
                <w:szCs w:val="21"/>
              </w:rPr>
              <w:t>30.82</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snapToGrid w:val="0"/>
                <w:kern w:val="0"/>
                <w:sz w:val="21"/>
                <w:szCs w:val="21"/>
              </w:rPr>
            </w:pPr>
            <w:r>
              <w:rPr>
                <w:rFonts w:hint="eastAsia" w:ascii="宋体" w:hAnsi="宋体"/>
                <w:snapToGrid w:val="0"/>
                <w:kern w:val="0"/>
                <w:sz w:val="21"/>
                <w:szCs w:val="21"/>
              </w:rPr>
              <w:t>1.22</w:t>
            </w:r>
          </w:p>
        </w:tc>
        <w:tc>
          <w:tcPr>
            <w:tcW w:w="169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snapToGrid w:val="0"/>
                <w:kern w:val="0"/>
                <w:sz w:val="21"/>
                <w:szCs w:val="21"/>
              </w:rPr>
            </w:pPr>
            <w:r>
              <w:rPr>
                <w:rFonts w:hint="eastAsia" w:ascii="宋体" w:hAnsi="宋体"/>
                <w:snapToGrid w:val="0"/>
                <w:kern w:val="0"/>
                <w:sz w:val="21"/>
                <w:szCs w:val="21"/>
              </w:rPr>
              <w:t>20.91</w:t>
            </w:r>
          </w:p>
        </w:tc>
      </w:tr>
    </w:tbl>
    <w:p>
      <w:pPr>
        <w:spacing w:line="480" w:lineRule="exact"/>
        <w:jc w:val="center"/>
        <w:rPr>
          <w:rFonts w:hint="eastAsia" w:ascii="宋体" w:hAnsi="宋体"/>
          <w:b/>
        </w:rPr>
      </w:pPr>
    </w:p>
    <w:p>
      <w:pPr>
        <w:spacing w:line="480" w:lineRule="exact"/>
        <w:ind w:firstLine="420" w:firstLineChars="200"/>
        <w:rPr>
          <w:rFonts w:hint="eastAsia" w:ascii="宋体" w:hAnsi="宋体"/>
        </w:rPr>
      </w:pPr>
      <w:r>
        <w:rPr>
          <w:rFonts w:hint="eastAsia" w:ascii="宋体" w:hAnsi="宋体"/>
        </w:rPr>
        <w:t>水泥年生产时间约310天（7440小时），余热发电300天（7200小时）。</w:t>
      </w:r>
    </w:p>
    <w:p>
      <w:pPr>
        <w:spacing w:line="480" w:lineRule="exact"/>
        <w:ind w:firstLine="420" w:firstLineChars="200"/>
        <w:rPr>
          <w:rFonts w:hint="eastAsia" w:ascii="宋体" w:hAnsi="宋体"/>
        </w:rPr>
      </w:pPr>
      <w:r>
        <w:rPr>
          <w:rFonts w:hint="eastAsia" w:ascii="宋体" w:hAnsi="宋体"/>
        </w:rPr>
        <w:t>水泥和余热发电生产系统及与生产紧密相关的辅助生产部门按四班三运转（三班生产，一班替换）24小时连续生产，管理及一般辅助部门全部实行白班8小时工作制。</w:t>
      </w:r>
    </w:p>
    <w:p>
      <w:pPr>
        <w:spacing w:line="360" w:lineRule="auto"/>
        <w:outlineLvl w:val="2"/>
        <w:rPr>
          <w:rFonts w:hint="eastAsia"/>
          <w:b/>
          <w:bCs/>
          <w:szCs w:val="20"/>
        </w:rPr>
      </w:pPr>
      <w:bookmarkStart w:id="112" w:name="_Toc473281494"/>
      <w:bookmarkStart w:id="113" w:name="_Toc189814136"/>
      <w:r>
        <w:rPr>
          <w:rFonts w:hint="eastAsia"/>
          <w:b/>
          <w:bCs/>
          <w:szCs w:val="20"/>
        </w:rPr>
        <w:t>3.1</w:t>
      </w:r>
      <w:r>
        <w:rPr>
          <w:b/>
          <w:bCs/>
          <w:szCs w:val="20"/>
        </w:rPr>
        <w:t>.</w:t>
      </w:r>
      <w:r>
        <w:rPr>
          <w:rFonts w:hint="eastAsia"/>
          <w:b/>
          <w:bCs/>
          <w:szCs w:val="20"/>
        </w:rPr>
        <w:t>8投资及资金来源、建设周期</w:t>
      </w:r>
      <w:bookmarkEnd w:id="110"/>
      <w:bookmarkEnd w:id="111"/>
      <w:bookmarkEnd w:id="112"/>
      <w:bookmarkEnd w:id="113"/>
    </w:p>
    <w:p>
      <w:pPr>
        <w:spacing w:line="480" w:lineRule="exact"/>
        <w:ind w:firstLine="420" w:firstLineChars="200"/>
        <w:rPr>
          <w:rFonts w:hint="eastAsia" w:ascii="宋体" w:hAnsi="宋体"/>
        </w:rPr>
      </w:pPr>
      <w:r>
        <w:rPr>
          <w:rFonts w:hint="eastAsia" w:ascii="宋体" w:hAnsi="宋体"/>
        </w:rPr>
        <w:t>技改项目总投资</w:t>
      </w:r>
      <w:r>
        <w:rPr>
          <w:rFonts w:hint="eastAsia" w:ascii="宋体" w:hAnsi="宋体"/>
          <w:spacing w:val="-2"/>
        </w:rPr>
        <w:t>36060.87</w:t>
      </w:r>
      <w:r>
        <w:rPr>
          <w:rFonts w:hint="eastAsia" w:ascii="宋体" w:hAnsi="宋体"/>
        </w:rPr>
        <w:t>万元。</w:t>
      </w:r>
    </w:p>
    <w:p>
      <w:pPr>
        <w:spacing w:line="480" w:lineRule="exact"/>
        <w:ind w:firstLine="420" w:firstLineChars="200"/>
        <w:rPr>
          <w:rFonts w:hint="eastAsia"/>
        </w:rPr>
      </w:pPr>
      <w:r>
        <w:rPr>
          <w:rFonts w:hint="eastAsia" w:ascii="宋体" w:hAnsi="宋体"/>
        </w:rPr>
        <w:t>建设周期：1.0年。</w:t>
      </w:r>
    </w:p>
    <w:p>
      <w:pPr>
        <w:spacing w:line="360" w:lineRule="auto"/>
        <w:outlineLvl w:val="2"/>
        <w:rPr>
          <w:rFonts w:hint="eastAsia"/>
          <w:b/>
          <w:bCs/>
          <w:szCs w:val="20"/>
        </w:rPr>
      </w:pPr>
      <w:bookmarkStart w:id="114" w:name="_Toc165607348"/>
      <w:bookmarkStart w:id="115" w:name="_Toc189814137"/>
      <w:bookmarkStart w:id="116" w:name="_Toc129763703"/>
      <w:bookmarkStart w:id="117" w:name="_Toc175479791"/>
      <w:bookmarkStart w:id="118" w:name="_Toc473281495"/>
      <w:r>
        <w:rPr>
          <w:rFonts w:hint="eastAsia"/>
          <w:b/>
          <w:bCs/>
          <w:szCs w:val="20"/>
        </w:rPr>
        <w:t>3.1</w:t>
      </w:r>
      <w:r>
        <w:rPr>
          <w:b/>
          <w:bCs/>
          <w:szCs w:val="20"/>
        </w:rPr>
        <w:t>.</w:t>
      </w:r>
      <w:r>
        <w:rPr>
          <w:rFonts w:hint="eastAsia"/>
          <w:b/>
          <w:bCs/>
          <w:szCs w:val="20"/>
        </w:rPr>
        <w:t>9项目占地及布置</w:t>
      </w:r>
      <w:bookmarkEnd w:id="114"/>
      <w:bookmarkEnd w:id="115"/>
      <w:bookmarkEnd w:id="116"/>
      <w:bookmarkEnd w:id="117"/>
      <w:bookmarkEnd w:id="118"/>
    </w:p>
    <w:p>
      <w:pPr>
        <w:spacing w:line="360" w:lineRule="auto"/>
        <w:ind w:firstLine="420" w:firstLineChars="200"/>
        <w:rPr>
          <w:rFonts w:ascii="宋体" w:hAnsi="宋体"/>
          <w:kern w:val="0"/>
        </w:rPr>
      </w:pPr>
      <w:r>
        <w:rPr>
          <w:rFonts w:hint="eastAsia" w:ascii="宋体" w:hAnsi="宋体"/>
        </w:rPr>
        <w:t>技改项目</w:t>
      </w:r>
      <w:r>
        <w:rPr>
          <w:rFonts w:ascii="宋体" w:hAnsi="宋体"/>
          <w:kern w:val="0"/>
        </w:rPr>
        <w:t>建设场地为</w:t>
      </w:r>
      <w:r>
        <w:rPr>
          <w:rFonts w:ascii="宋体" w:hAnsi="宋体"/>
        </w:rPr>
        <w:t>永荣青鹏水泥</w:t>
      </w:r>
      <w:r>
        <w:rPr>
          <w:rFonts w:hint="eastAsia" w:ascii="宋体" w:hAnsi="宋体"/>
        </w:rPr>
        <w:t>厂</w:t>
      </w:r>
      <w:r>
        <w:rPr>
          <w:rFonts w:ascii="宋体" w:hAnsi="宋体"/>
        </w:rPr>
        <w:t>现有立窑水泥生产厂区内，总面积约7万㎡。</w:t>
      </w:r>
      <w:r>
        <w:rPr>
          <w:rFonts w:ascii="宋体" w:hAnsi="宋体"/>
          <w:kern w:val="0"/>
        </w:rPr>
        <w:t>该</w:t>
      </w:r>
      <w:r>
        <w:rPr>
          <w:rFonts w:ascii="宋体" w:hAnsi="宋体"/>
        </w:rPr>
        <w:t>项目</w:t>
      </w:r>
      <w:r>
        <w:rPr>
          <w:rFonts w:ascii="宋体" w:hAnsi="宋体"/>
          <w:kern w:val="0"/>
        </w:rPr>
        <w:t>建设场</w:t>
      </w:r>
      <w:r>
        <w:rPr>
          <w:rFonts w:hint="eastAsia" w:ascii="宋体" w:hAnsi="宋体"/>
          <w:kern w:val="0"/>
        </w:rPr>
        <w:t>地</w:t>
      </w:r>
      <w:r>
        <w:rPr>
          <w:rFonts w:ascii="宋体" w:hAnsi="宋体"/>
          <w:kern w:val="0"/>
        </w:rPr>
        <w:t>高差约38</w:t>
      </w:r>
      <w:r>
        <w:rPr>
          <w:rFonts w:hint="eastAsia" w:ascii="宋体" w:hAnsi="宋体"/>
          <w:kern w:val="0"/>
        </w:rPr>
        <w:t>m</w:t>
      </w:r>
      <w:r>
        <w:rPr>
          <w:rFonts w:ascii="宋体" w:hAnsi="宋体"/>
          <w:kern w:val="0"/>
        </w:rPr>
        <w:t>。建设场地地质条件良好，基岩埋深较浅，承载力高，无断层等不良地质。</w:t>
      </w:r>
    </w:p>
    <w:p>
      <w:pPr>
        <w:spacing w:line="360" w:lineRule="auto"/>
        <w:ind w:firstLine="420" w:firstLineChars="200"/>
        <w:rPr>
          <w:rFonts w:ascii="宋体" w:hAnsi="宋体"/>
        </w:rPr>
      </w:pPr>
      <w:r>
        <w:rPr>
          <w:rFonts w:hint="eastAsia" w:ascii="宋体" w:hAnsi="宋体"/>
        </w:rPr>
        <w:t>技改项目</w:t>
      </w:r>
      <w:r>
        <w:rPr>
          <w:rFonts w:ascii="宋体" w:hAnsi="宋体"/>
        </w:rPr>
        <w:t>总体布置可分三个功能区:即石灰石卸料及均化区、原燃料储存及配料区、主生产区。三个功能区概述如下:</w:t>
      </w:r>
    </w:p>
    <w:p>
      <w:pPr>
        <w:spacing w:line="360" w:lineRule="auto"/>
        <w:ind w:firstLine="420" w:firstLineChars="200"/>
        <w:rPr>
          <w:rFonts w:ascii="宋体" w:hAnsi="宋体"/>
        </w:rPr>
      </w:pPr>
      <w:r>
        <w:rPr>
          <w:rFonts w:ascii="宋体" w:hAnsi="宋体"/>
        </w:rPr>
        <w:t>（1）石灰石卸料及均化区包括地磅、石灰石卸车坑、石灰石均化堆场。石灰石卸料及均化区位于厂区</w:t>
      </w:r>
      <w:r>
        <w:rPr>
          <w:rFonts w:hint="eastAsia" w:ascii="宋体" w:hAnsi="宋体"/>
        </w:rPr>
        <w:t>南</w:t>
      </w:r>
      <w:r>
        <w:rPr>
          <w:rFonts w:ascii="宋体" w:hAnsi="宋体"/>
        </w:rPr>
        <w:t>侧，现有10</w:t>
      </w:r>
      <w:r>
        <w:rPr>
          <w:rFonts w:hint="eastAsia" w:ascii="宋体" w:hAnsi="宋体"/>
        </w:rPr>
        <w:t>m</w:t>
      </w:r>
      <w:r>
        <w:rPr>
          <w:rFonts w:ascii="宋体" w:hAnsi="宋体"/>
        </w:rPr>
        <w:t>宽公司专用道路与之连接。</w:t>
      </w:r>
    </w:p>
    <w:p>
      <w:pPr>
        <w:spacing w:line="360" w:lineRule="auto"/>
        <w:ind w:firstLine="420" w:firstLineChars="200"/>
        <w:rPr>
          <w:rFonts w:hint="eastAsia" w:ascii="宋体" w:hAnsi="宋体"/>
        </w:rPr>
      </w:pPr>
      <w:r>
        <w:rPr>
          <w:rFonts w:ascii="宋体" w:hAnsi="宋体"/>
        </w:rPr>
        <w:t>（2）原燃料储存及配料区包括原煤、硫酸渣、粘土、砂岩联合堆棚、砂岩破碎机原料配料</w:t>
      </w:r>
      <w:r>
        <w:rPr>
          <w:rFonts w:hint="eastAsia" w:ascii="宋体" w:hAnsi="宋体"/>
        </w:rPr>
        <w:t>，</w:t>
      </w:r>
      <w:r>
        <w:rPr>
          <w:rFonts w:ascii="宋体" w:hAnsi="宋体"/>
        </w:rPr>
        <w:t>位于厂区</w:t>
      </w:r>
      <w:r>
        <w:rPr>
          <w:rFonts w:hint="eastAsia" w:ascii="宋体" w:hAnsi="宋体"/>
        </w:rPr>
        <w:t>东</w:t>
      </w:r>
      <w:r>
        <w:rPr>
          <w:rFonts w:ascii="宋体" w:hAnsi="宋体"/>
        </w:rPr>
        <w:t>侧</w:t>
      </w:r>
      <w:r>
        <w:rPr>
          <w:rFonts w:hint="eastAsia" w:ascii="宋体" w:hAnsi="宋体"/>
        </w:rPr>
        <w:t>.</w:t>
      </w:r>
    </w:p>
    <w:p>
      <w:pPr>
        <w:spacing w:line="360" w:lineRule="auto"/>
        <w:ind w:firstLine="420" w:firstLineChars="200"/>
        <w:rPr>
          <w:rFonts w:ascii="宋体" w:hAnsi="宋体"/>
        </w:rPr>
      </w:pPr>
      <w:r>
        <w:rPr>
          <w:rFonts w:ascii="宋体" w:hAnsi="宋体"/>
        </w:rPr>
        <w:t>（3）主生产区：拆除原立窑水泥设施后，中部和东部，包括：原料粉磨及废气处理、生料均化库、烧成系统、熟料库、煤粉制备、熟料储存、水泥粉磨、水泥储存、水泥包装、空气压缩机房、余热发电汽轮机房等；该区呈“L”字形布局，流程简捷、顺畅。</w:t>
      </w:r>
    </w:p>
    <w:p>
      <w:pPr>
        <w:spacing w:line="360" w:lineRule="auto"/>
        <w:ind w:firstLine="420" w:firstLineChars="200"/>
        <w:rPr>
          <w:rFonts w:hint="eastAsia" w:ascii="宋体" w:hAnsi="宋体"/>
        </w:rPr>
      </w:pPr>
      <w:r>
        <w:rPr>
          <w:rFonts w:hint="eastAsia" w:ascii="宋体" w:hAnsi="宋体"/>
        </w:rPr>
        <w:t>技改项目总平面布置见图3.1。</w:t>
      </w:r>
    </w:p>
    <w:p>
      <w:pPr>
        <w:spacing w:line="360" w:lineRule="auto"/>
        <w:ind w:firstLine="420" w:firstLineChars="200"/>
        <w:rPr>
          <w:rFonts w:hint="eastAsia" w:ascii="宋体" w:hAnsi="宋体"/>
        </w:rPr>
      </w:pPr>
      <w:r>
        <w:rPr>
          <w:rFonts w:hint="eastAsia" w:ascii="宋体" w:hAnsi="宋体"/>
        </w:rPr>
        <w:t>由图3.1可见，技改项目平面布置符合国家和水泥等现行规范规定要求，结合地形，在确保</w:t>
      </w:r>
      <w:r>
        <w:rPr>
          <w:rFonts w:ascii="宋体" w:hAnsi="宋体"/>
        </w:rPr>
        <w:t>物料流向紧凑、合理，生产操作顺畅，有利于生产的组织与实施</w:t>
      </w:r>
      <w:r>
        <w:rPr>
          <w:rFonts w:hint="eastAsia" w:ascii="宋体" w:hAnsi="宋体"/>
        </w:rPr>
        <w:t>的情况下尽量做到了布局紧凑、节约用地、节省土石方工程量。从环保角度分析，将噪声污染较重的石膏破碎机、煤破碎机、砂岩破碎机、生料磨、煤磨和水泥磨分别布置在厂区东侧和中间。</w:t>
      </w:r>
      <w:r>
        <w:rPr>
          <w:rFonts w:ascii="宋体" w:hAnsi="宋体"/>
        </w:rPr>
        <w:t>将料场堆</w:t>
      </w:r>
      <w:r>
        <w:rPr>
          <w:rFonts w:hint="eastAsia" w:ascii="宋体" w:hAnsi="宋体"/>
        </w:rPr>
        <w:t>棚</w:t>
      </w:r>
      <w:r>
        <w:rPr>
          <w:rFonts w:ascii="宋体" w:hAnsi="宋体"/>
        </w:rPr>
        <w:t>尽可能设置在厂</w:t>
      </w:r>
      <w:r>
        <w:rPr>
          <w:rFonts w:hint="eastAsia" w:ascii="宋体" w:hAnsi="宋体"/>
        </w:rPr>
        <w:t>区南侧</w:t>
      </w:r>
      <w:r>
        <w:rPr>
          <w:rFonts w:ascii="宋体" w:hAnsi="宋体"/>
        </w:rPr>
        <w:t>，有利于减轻</w:t>
      </w:r>
      <w:r>
        <w:rPr>
          <w:rFonts w:hint="eastAsia" w:ascii="宋体" w:hAnsi="宋体"/>
        </w:rPr>
        <w:t>北侧</w:t>
      </w:r>
      <w:r>
        <w:rPr>
          <w:rFonts w:ascii="宋体" w:hAnsi="宋体"/>
        </w:rPr>
        <w:t>3</w:t>
      </w:r>
      <w:r>
        <w:rPr>
          <w:rFonts w:hint="eastAsia" w:ascii="宋体" w:hAnsi="宋体"/>
        </w:rPr>
        <w:t>1</w:t>
      </w:r>
      <w:r>
        <w:rPr>
          <w:rFonts w:ascii="宋体" w:hAnsi="宋体"/>
        </w:rPr>
        <w:t>9国道</w:t>
      </w:r>
      <w:r>
        <w:rPr>
          <w:rFonts w:hint="eastAsia" w:ascii="宋体" w:hAnsi="宋体"/>
        </w:rPr>
        <w:t>两侧</w:t>
      </w:r>
      <w:r>
        <w:rPr>
          <w:rFonts w:ascii="宋体" w:hAnsi="宋体"/>
        </w:rPr>
        <w:t>居民的影响。</w:t>
      </w:r>
      <w:r>
        <w:rPr>
          <w:rFonts w:hint="eastAsia" w:ascii="宋体" w:hAnsi="宋体"/>
        </w:rPr>
        <w:t>因此，技改项目厂区的平面布置总体较为合理。</w:t>
      </w:r>
    </w:p>
    <w:p>
      <w:pPr>
        <w:spacing w:line="360" w:lineRule="auto"/>
        <w:outlineLvl w:val="2"/>
        <w:rPr>
          <w:rFonts w:hint="eastAsia"/>
          <w:b/>
          <w:bCs/>
          <w:szCs w:val="20"/>
        </w:rPr>
      </w:pPr>
      <w:bookmarkStart w:id="119" w:name="_Toc175479792"/>
      <w:bookmarkStart w:id="120" w:name="_Toc129763705"/>
      <w:bookmarkStart w:id="121" w:name="_Toc189814138"/>
      <w:bookmarkStart w:id="122" w:name="_Toc165607350"/>
      <w:bookmarkStart w:id="123" w:name="_Toc473281496"/>
      <w:r>
        <w:rPr>
          <w:rFonts w:hint="eastAsia"/>
          <w:b/>
          <w:bCs/>
          <w:szCs w:val="20"/>
        </w:rPr>
        <w:t>3.1.10 公用工程</w:t>
      </w:r>
      <w:bookmarkEnd w:id="119"/>
      <w:bookmarkEnd w:id="120"/>
      <w:bookmarkEnd w:id="121"/>
      <w:bookmarkEnd w:id="122"/>
      <w:bookmarkEnd w:id="123"/>
    </w:p>
    <w:p>
      <w:pPr>
        <w:spacing w:line="360" w:lineRule="auto"/>
        <w:outlineLvl w:val="2"/>
        <w:rPr>
          <w:rFonts w:hint="eastAsia"/>
          <w:b/>
          <w:bCs/>
          <w:szCs w:val="20"/>
        </w:rPr>
      </w:pPr>
      <w:r>
        <w:rPr>
          <w:rFonts w:hint="eastAsia"/>
          <w:b/>
          <w:bCs/>
          <w:szCs w:val="20"/>
        </w:rPr>
        <w:t>3.1.10.1供水</w:t>
      </w:r>
    </w:p>
    <w:p>
      <w:pPr>
        <w:spacing w:line="360" w:lineRule="auto"/>
        <w:ind w:left="480"/>
        <w:rPr>
          <w:rFonts w:hint="eastAsia"/>
        </w:rPr>
      </w:pPr>
      <w:r>
        <w:rPr>
          <w:rFonts w:hint="eastAsia" w:ascii="宋体" w:hAnsi="宋体"/>
        </w:rPr>
        <w:t>（1）</w:t>
      </w:r>
      <w:r>
        <w:rPr>
          <w:rFonts w:hint="eastAsia"/>
        </w:rPr>
        <w:t>用水量、水源</w:t>
      </w:r>
    </w:p>
    <w:p>
      <w:pPr>
        <w:spacing w:line="360" w:lineRule="auto"/>
        <w:ind w:firstLine="420" w:firstLineChars="200"/>
        <w:rPr>
          <w:rFonts w:hint="eastAsia"/>
        </w:rPr>
      </w:pPr>
      <w:r>
        <w:rPr>
          <w:rFonts w:hint="eastAsia"/>
        </w:rPr>
        <w:t>技改工程熟料水泥生产线生产总用水量：2378.5</w:t>
      </w:r>
      <w:r>
        <w:t>m</w:t>
      </w:r>
      <w:r>
        <w:rPr>
          <w:vertAlign w:val="superscript"/>
        </w:rPr>
        <w:t>3</w:t>
      </w:r>
      <w:r>
        <w:t>/d</w:t>
      </w:r>
      <w:r>
        <w:rPr>
          <w:rFonts w:hint="eastAsia"/>
        </w:rPr>
        <w:t>，其中生产直流和消耗水量480</w:t>
      </w:r>
      <w:r>
        <w:t>m</w:t>
      </w:r>
      <w:r>
        <w:rPr>
          <w:vertAlign w:val="superscript"/>
        </w:rPr>
        <w:t>3</w:t>
      </w:r>
      <w:r>
        <w:t>/d</w:t>
      </w:r>
      <w:r>
        <w:rPr>
          <w:rFonts w:hint="eastAsia"/>
        </w:rPr>
        <w:t xml:space="preserve"> </w:t>
      </w:r>
      <w:r>
        <w:t>(</w:t>
      </w:r>
      <w:r>
        <w:rPr>
          <w:rFonts w:hint="eastAsia"/>
        </w:rPr>
        <w:t>由生产循环系统供给)；生产设备循环冷却水量：5768</w:t>
      </w:r>
      <w:r>
        <w:t>m</w:t>
      </w:r>
      <w:r>
        <w:rPr>
          <w:vertAlign w:val="superscript"/>
        </w:rPr>
        <w:t>3</w:t>
      </w:r>
      <w:r>
        <w:t>/d</w:t>
      </w:r>
      <w:r>
        <w:rPr>
          <w:rFonts w:hint="eastAsia"/>
        </w:rPr>
        <w:t>；生产循环系统补充水量即生产设备循环冷却水系统排污、风吹蒸发等损失水量：245</w:t>
      </w:r>
      <w:r>
        <w:t>m</w:t>
      </w:r>
      <w:r>
        <w:rPr>
          <w:vertAlign w:val="superscript"/>
        </w:rPr>
        <w:t>3</w:t>
      </w:r>
      <w:r>
        <w:t>/d</w:t>
      </w:r>
      <w:r>
        <w:rPr>
          <w:rFonts w:hint="eastAsia"/>
        </w:rPr>
        <w:t>；技改工程生活、化学实验室、绿化用水量分别为27.3</w:t>
      </w:r>
      <w:r>
        <w:t>m</w:t>
      </w:r>
      <w:r>
        <w:rPr>
          <w:vertAlign w:val="superscript"/>
        </w:rPr>
        <w:t>3</w:t>
      </w:r>
      <w:r>
        <w:t>/d</w:t>
      </w:r>
      <w:r>
        <w:rPr>
          <w:rFonts w:hint="eastAsia"/>
        </w:rPr>
        <w:t>、20</w:t>
      </w:r>
      <w:r>
        <w:t>m</w:t>
      </w:r>
      <w:r>
        <w:rPr>
          <w:vertAlign w:val="superscript"/>
        </w:rPr>
        <w:t>3</w:t>
      </w:r>
      <w:r>
        <w:t>/d</w:t>
      </w:r>
      <w:r>
        <w:rPr>
          <w:rFonts w:hint="eastAsia"/>
        </w:rPr>
        <w:t>、10</w:t>
      </w:r>
      <w:r>
        <w:t>m</w:t>
      </w:r>
      <w:r>
        <w:rPr>
          <w:vertAlign w:val="superscript"/>
        </w:rPr>
        <w:t>3</w:t>
      </w:r>
      <w:r>
        <w:t>/d</w:t>
      </w:r>
      <w:r>
        <w:rPr>
          <w:rFonts w:hint="eastAsia"/>
        </w:rPr>
        <w:t>；余热发电循环冷却水量60000</w:t>
      </w:r>
      <w:r>
        <w:t xml:space="preserve"> m</w:t>
      </w:r>
      <w:r>
        <w:rPr>
          <w:vertAlign w:val="superscript"/>
        </w:rPr>
        <w:t>3</w:t>
      </w:r>
      <w:r>
        <w:t>/d</w:t>
      </w:r>
      <w:r>
        <w:rPr>
          <w:rFonts w:hint="eastAsia"/>
        </w:rPr>
        <w:t>，冷却水系统补充水量1800</w:t>
      </w:r>
      <w:r>
        <w:t>m</w:t>
      </w:r>
      <w:r>
        <w:rPr>
          <w:vertAlign w:val="superscript"/>
        </w:rPr>
        <w:t>3</w:t>
      </w:r>
      <w:r>
        <w:t>/d</w:t>
      </w:r>
      <w:r>
        <w:rPr>
          <w:rFonts w:hint="eastAsia"/>
        </w:rPr>
        <w:t>；余热发电站化学水处理系统需水量60</w:t>
      </w:r>
      <w:r>
        <w:t>m</w:t>
      </w:r>
      <w:r>
        <w:rPr>
          <w:vertAlign w:val="superscript"/>
        </w:rPr>
        <w:t>3</w:t>
      </w:r>
      <w:r>
        <w:t>/d</w:t>
      </w:r>
      <w:r>
        <w:rPr>
          <w:rFonts w:hint="eastAsia"/>
        </w:rPr>
        <w:t>；消防用水量324</w:t>
      </w:r>
      <w:r>
        <w:t>m</w:t>
      </w:r>
      <w:r>
        <w:rPr>
          <w:vertAlign w:val="superscript"/>
        </w:rPr>
        <w:t>3</w:t>
      </w:r>
      <w:r>
        <w:t>/</w:t>
      </w:r>
      <w:r>
        <w:rPr>
          <w:rFonts w:hint="eastAsia"/>
        </w:rPr>
        <w:t>次。技改工程生产生活总耗水量：2642.3</w:t>
      </w:r>
      <w:r>
        <w:t>m</w:t>
      </w:r>
      <w:r>
        <w:rPr>
          <w:vertAlign w:val="superscript"/>
        </w:rPr>
        <w:t>3</w:t>
      </w:r>
      <w:r>
        <w:t>/d</w:t>
      </w:r>
      <w:r>
        <w:rPr>
          <w:rFonts w:hint="eastAsia"/>
        </w:rPr>
        <w:t>；未预见水量按总耗水量的1</w:t>
      </w:r>
      <w:r>
        <w:t>0%</w:t>
      </w:r>
      <w:r>
        <w:rPr>
          <w:rFonts w:hint="eastAsia"/>
        </w:rPr>
        <w:t>计，则技改工程需增加水源供水量：2642.3×</w:t>
      </w:r>
      <w:r>
        <w:t>1.</w:t>
      </w:r>
      <w:r>
        <w:rPr>
          <w:rFonts w:hint="eastAsia"/>
        </w:rPr>
        <w:t>1＝2906.5</w:t>
      </w:r>
      <w:r>
        <w:t>m</w:t>
      </w:r>
      <w:r>
        <w:rPr>
          <w:vertAlign w:val="superscript"/>
        </w:rPr>
        <w:t>3</w:t>
      </w:r>
      <w:r>
        <w:t>/d</w:t>
      </w:r>
      <w:r>
        <w:rPr>
          <w:rFonts w:hint="eastAsia"/>
        </w:rPr>
        <w:t>。</w:t>
      </w:r>
    </w:p>
    <w:p>
      <w:pPr>
        <w:adjustRightInd w:val="0"/>
        <w:snapToGrid w:val="0"/>
        <w:spacing w:line="360" w:lineRule="auto"/>
        <w:ind w:firstLine="555"/>
        <w:rPr>
          <w:rFonts w:hint="eastAsia"/>
        </w:rPr>
      </w:pPr>
      <w:r>
        <w:t>拟利用本公司煤矿井下排水，经净化后作为生产和消防用水水源。现矿井废水流量大（日均</w:t>
      </w:r>
      <w:r>
        <w:rPr>
          <w:rFonts w:hint="eastAsia"/>
        </w:rPr>
        <w:t>45</w:t>
      </w:r>
      <w:r>
        <w:t>00</w:t>
      </w:r>
      <w:r>
        <w:rPr>
          <w:rFonts w:hint="eastAsia"/>
        </w:rPr>
        <w:t>m</w:t>
      </w:r>
      <w:r>
        <w:rPr>
          <w:rFonts w:hint="eastAsia"/>
          <w:vertAlign w:val="superscript"/>
        </w:rPr>
        <w:t>3</w:t>
      </w:r>
      <w:r>
        <w:t>以上），水量充足，完全能满足</w:t>
      </w:r>
      <w:r>
        <w:rPr>
          <w:rFonts w:hint="eastAsia"/>
        </w:rPr>
        <w:t>技改工程</w:t>
      </w:r>
      <w:r>
        <w:t>生产及消防用水要求。</w:t>
      </w:r>
    </w:p>
    <w:p>
      <w:pPr>
        <w:spacing w:line="360" w:lineRule="auto"/>
        <w:ind w:firstLine="420" w:firstLineChars="200"/>
        <w:rPr>
          <w:rFonts w:hint="eastAsia" w:ascii="宋体" w:hAnsi="宋体"/>
        </w:rPr>
      </w:pPr>
      <w:r>
        <w:rPr>
          <w:rFonts w:hint="eastAsia" w:ascii="宋体" w:hAnsi="宋体"/>
        </w:rPr>
        <w:t>（2）给水系统</w:t>
      </w:r>
    </w:p>
    <w:p>
      <w:pPr>
        <w:spacing w:line="360" w:lineRule="auto"/>
        <w:ind w:firstLine="420" w:firstLineChars="200"/>
        <w:rPr>
          <w:rFonts w:ascii="宋体" w:hAnsi="宋体"/>
        </w:rPr>
      </w:pPr>
      <w:r>
        <w:rPr>
          <w:rFonts w:ascii="宋体" w:hAnsi="宋体"/>
        </w:rPr>
        <w:t>A</w:t>
      </w:r>
      <w:r>
        <w:rPr>
          <w:rFonts w:hint="eastAsia" w:ascii="宋体" w:hAnsi="宋体"/>
        </w:rPr>
        <w:t>、</w:t>
      </w:r>
      <w:r>
        <w:rPr>
          <w:rFonts w:ascii="宋体" w:hAnsi="宋体"/>
        </w:rPr>
        <w:t>生产循环冷却给水系统</w:t>
      </w:r>
    </w:p>
    <w:p>
      <w:pPr>
        <w:spacing w:line="360" w:lineRule="auto"/>
        <w:ind w:firstLine="420" w:firstLineChars="200"/>
        <w:rPr>
          <w:rFonts w:hint="eastAsia" w:hAnsi="宋体"/>
        </w:rPr>
      </w:pPr>
      <w:r>
        <w:rPr>
          <w:rFonts w:hAnsi="宋体"/>
        </w:rPr>
        <w:t>为节约水资源，生产设备冷却用水采用循环供水系统。生产车间的设备冷却水除少量排放外基本上全部回流，利用余压进入冷却塔，降温处理后流入循环水池，再由循环水泵加压送至各用水点。为防止水质变坏，循环水设有消毒、加药和旁滤系统，同时适当补充新鲜水。</w:t>
      </w:r>
    </w:p>
    <w:p>
      <w:pPr>
        <w:spacing w:line="360" w:lineRule="auto"/>
        <w:ind w:firstLine="315" w:firstLineChars="150"/>
        <w:rPr>
          <w:rFonts w:ascii="宋体" w:hAnsi="宋体"/>
        </w:rPr>
      </w:pPr>
      <w:r>
        <w:rPr>
          <w:rFonts w:hint="eastAsia" w:ascii="宋体" w:hAnsi="宋体"/>
        </w:rPr>
        <w:t>B、</w:t>
      </w:r>
      <w:r>
        <w:rPr>
          <w:rFonts w:ascii="宋体" w:hAnsi="宋体"/>
        </w:rPr>
        <w:t>生产消防给水系统</w:t>
      </w:r>
    </w:p>
    <w:p>
      <w:pPr>
        <w:spacing w:line="360" w:lineRule="auto"/>
        <w:ind w:firstLine="420" w:firstLineChars="200"/>
        <w:rPr>
          <w:rFonts w:ascii="宋体" w:hAnsi="宋体"/>
        </w:rPr>
      </w:pPr>
      <w:r>
        <w:rPr>
          <w:rFonts w:ascii="宋体" w:hAnsi="宋体"/>
        </w:rPr>
        <w:t>水经处理后进入清水池，再由水泵加压送至全厂各用水点用水和供应消防用水，对电站来说主要是循环系统的补充用水和锅炉软化水系统用水。电站部分消防给水系统同水泥熟料生产线循环消防给水系统形成一个整体，不新增消防用水量。给水管网成环状布置，管径不小于DN100。室外消火栓间距不超过120m。</w:t>
      </w:r>
    </w:p>
    <w:p>
      <w:pPr>
        <w:spacing w:line="360" w:lineRule="auto"/>
        <w:outlineLvl w:val="2"/>
        <w:rPr>
          <w:rFonts w:hint="eastAsia"/>
          <w:b/>
          <w:bCs/>
          <w:szCs w:val="20"/>
        </w:rPr>
      </w:pPr>
      <w:r>
        <w:rPr>
          <w:rFonts w:hint="eastAsia"/>
          <w:b/>
          <w:bCs/>
          <w:szCs w:val="20"/>
        </w:rPr>
        <w:t>3.1.10.2 排水</w:t>
      </w:r>
    </w:p>
    <w:p>
      <w:pPr>
        <w:spacing w:line="360" w:lineRule="auto"/>
        <w:ind w:firstLine="420" w:firstLineChars="200"/>
        <w:rPr>
          <w:rFonts w:hint="eastAsia" w:ascii="宋体" w:hAnsi="宋体"/>
        </w:rPr>
      </w:pPr>
      <w:r>
        <w:rPr>
          <w:rFonts w:hint="eastAsia" w:ascii="宋体" w:hAnsi="宋体"/>
        </w:rPr>
        <w:t>厂区采用“清污分流”排水方案。技改项目排水总量为487.6</w:t>
      </w:r>
      <w:r>
        <w:rPr>
          <w:rFonts w:ascii="宋体" w:hAnsi="宋体"/>
        </w:rPr>
        <w:t>m</w:t>
      </w:r>
      <w:r>
        <w:rPr>
          <w:rFonts w:ascii="宋体" w:hAnsi="宋体"/>
          <w:vertAlign w:val="superscript"/>
        </w:rPr>
        <w:t>3</w:t>
      </w:r>
      <w:r>
        <w:rPr>
          <w:rFonts w:ascii="宋体" w:hAnsi="宋体"/>
        </w:rPr>
        <w:t>/d</w:t>
      </w:r>
      <w:r>
        <w:rPr>
          <w:rFonts w:hint="eastAsia" w:ascii="宋体" w:hAnsi="宋体"/>
        </w:rPr>
        <w:t>，其中生产循环冷却水等清净下水量为437</w:t>
      </w:r>
      <w:r>
        <w:rPr>
          <w:rFonts w:ascii="宋体" w:hAnsi="宋体"/>
        </w:rPr>
        <w:t>m</w:t>
      </w:r>
      <w:r>
        <w:rPr>
          <w:rFonts w:ascii="宋体" w:hAnsi="宋体"/>
          <w:vertAlign w:val="superscript"/>
        </w:rPr>
        <w:t>3</w:t>
      </w:r>
      <w:r>
        <w:rPr>
          <w:rFonts w:ascii="宋体" w:hAnsi="宋体"/>
        </w:rPr>
        <w:t>/d</w:t>
      </w:r>
      <w:r>
        <w:rPr>
          <w:rFonts w:hint="eastAsia" w:ascii="宋体" w:hAnsi="宋体"/>
        </w:rPr>
        <w:t>，这部分水除水温和悬浮物升高外无其它污染，可经沉淀处理后排放。余热电站化学水处理系统排水（10</w:t>
      </w:r>
      <w:r>
        <w:rPr>
          <w:rFonts w:ascii="宋体" w:hAnsi="宋体"/>
        </w:rPr>
        <w:t xml:space="preserve"> m</w:t>
      </w:r>
      <w:r>
        <w:rPr>
          <w:rFonts w:ascii="宋体" w:hAnsi="宋体"/>
          <w:vertAlign w:val="superscript"/>
        </w:rPr>
        <w:t>3</w:t>
      </w:r>
      <w:r>
        <w:rPr>
          <w:rFonts w:ascii="宋体" w:hAnsi="宋体"/>
        </w:rPr>
        <w:t>/d</w:t>
      </w:r>
      <w:r>
        <w:rPr>
          <w:rFonts w:hint="eastAsia" w:ascii="宋体" w:hAnsi="宋体"/>
        </w:rPr>
        <w:t xml:space="preserve"> </w:t>
      </w:r>
      <w:r>
        <w:rPr>
          <w:rFonts w:ascii="宋体" w:hAnsi="宋体"/>
        </w:rPr>
        <w:t>）</w:t>
      </w:r>
      <w:r>
        <w:rPr>
          <w:rFonts w:hint="eastAsia" w:ascii="宋体" w:hAnsi="宋体"/>
        </w:rPr>
        <w:t>经中和处理后与生活污水(24.6</w:t>
      </w:r>
      <w:r>
        <w:rPr>
          <w:rFonts w:ascii="宋体" w:hAnsi="宋体"/>
        </w:rPr>
        <w:t>m</w:t>
      </w:r>
      <w:r>
        <w:rPr>
          <w:rFonts w:ascii="宋体" w:hAnsi="宋体"/>
          <w:vertAlign w:val="superscript"/>
        </w:rPr>
        <w:t>3</w:t>
      </w:r>
      <w:r>
        <w:rPr>
          <w:rFonts w:ascii="宋体" w:hAnsi="宋体"/>
        </w:rPr>
        <w:t>/d</w:t>
      </w:r>
      <w:r>
        <w:rPr>
          <w:rFonts w:hint="eastAsia" w:ascii="宋体" w:hAnsi="宋体"/>
        </w:rPr>
        <w:t>)、化验室污水(18</w:t>
      </w:r>
      <w:r>
        <w:rPr>
          <w:rFonts w:ascii="宋体" w:hAnsi="宋体"/>
        </w:rPr>
        <w:t>m</w:t>
      </w:r>
      <w:r>
        <w:rPr>
          <w:rFonts w:ascii="宋体" w:hAnsi="宋体"/>
          <w:vertAlign w:val="superscript"/>
        </w:rPr>
        <w:t>3</w:t>
      </w:r>
      <w:r>
        <w:rPr>
          <w:rFonts w:ascii="宋体" w:hAnsi="宋体"/>
        </w:rPr>
        <w:t>/d</w:t>
      </w:r>
      <w:r>
        <w:rPr>
          <w:rFonts w:hint="eastAsia" w:ascii="宋体" w:hAnsi="宋体"/>
        </w:rPr>
        <w:t>)进入污水处理站，经处理满足《污水综合排放标准》一级标准排入北侧的无名小沟。</w:t>
      </w:r>
    </w:p>
    <w:p>
      <w:pPr>
        <w:spacing w:line="360" w:lineRule="auto"/>
        <w:ind w:firstLine="420" w:firstLineChars="200"/>
        <w:rPr>
          <w:rFonts w:hint="eastAsia" w:ascii="宋体" w:hAnsi="宋体"/>
        </w:rPr>
      </w:pPr>
      <w:r>
        <w:rPr>
          <w:rFonts w:hint="eastAsia" w:ascii="宋体" w:hAnsi="宋体"/>
        </w:rPr>
        <w:t>技改项目的给排水平衡见图3.2。</w:t>
      </w:r>
    </w:p>
    <w:p>
      <w:pPr>
        <w:spacing w:line="360" w:lineRule="auto"/>
        <w:outlineLvl w:val="2"/>
        <w:rPr>
          <w:rFonts w:hint="eastAsia"/>
          <w:b/>
          <w:bCs/>
          <w:szCs w:val="20"/>
        </w:rPr>
      </w:pPr>
      <w:r>
        <w:rPr>
          <w:rFonts w:hint="eastAsia"/>
          <w:b/>
          <w:bCs/>
          <w:szCs w:val="20"/>
        </w:rPr>
        <w:t>3.1.10.3 供配电</w:t>
      </w:r>
    </w:p>
    <w:p>
      <w:pPr>
        <w:pStyle w:val="7"/>
        <w:spacing w:line="360" w:lineRule="auto"/>
        <w:ind w:firstLine="420" w:firstLineChars="200"/>
        <w:rPr>
          <w:rFonts w:ascii="Times New Roman"/>
          <w:szCs w:val="28"/>
        </w:rPr>
      </w:pPr>
      <w:r>
        <w:rPr>
          <w:rFonts w:hint="eastAsia" w:ascii="Times New Roman" w:hAnsi="宋体"/>
          <w:szCs w:val="28"/>
        </w:rPr>
        <w:t>技改项目</w:t>
      </w:r>
      <w:r>
        <w:rPr>
          <w:rFonts w:ascii="Times New Roman" w:hAnsi="宋体"/>
          <w:szCs w:val="28"/>
        </w:rPr>
        <w:t>电源由重庆市沙坪坝区供电局供给，拟从距矿区</w:t>
      </w:r>
      <w:r>
        <w:rPr>
          <w:rFonts w:ascii="Times New Roman"/>
          <w:szCs w:val="28"/>
        </w:rPr>
        <w:t>3</w:t>
      </w:r>
      <w:r>
        <w:rPr>
          <w:rFonts w:hint="eastAsia" w:ascii="Times New Roman" w:hAnsi="宋体"/>
          <w:szCs w:val="28"/>
        </w:rPr>
        <w:t>km</w:t>
      </w:r>
      <w:r>
        <w:rPr>
          <w:rFonts w:ascii="Times New Roman" w:hAnsi="宋体"/>
          <w:szCs w:val="28"/>
        </w:rPr>
        <w:t>远的马铁线</w:t>
      </w:r>
      <w:r>
        <w:rPr>
          <w:rFonts w:ascii="Times New Roman"/>
          <w:szCs w:val="28"/>
        </w:rPr>
        <w:t>T</w:t>
      </w:r>
      <w:r>
        <w:rPr>
          <w:rFonts w:ascii="Times New Roman" w:hAnsi="宋体"/>
          <w:szCs w:val="28"/>
        </w:rPr>
        <w:t>接一回路</w:t>
      </w:r>
      <w:r>
        <w:rPr>
          <w:rFonts w:ascii="Times New Roman"/>
          <w:szCs w:val="28"/>
        </w:rPr>
        <w:t>35KV</w:t>
      </w:r>
      <w:r>
        <w:rPr>
          <w:rFonts w:ascii="Times New Roman" w:hAnsi="宋体"/>
          <w:szCs w:val="28"/>
        </w:rPr>
        <w:t>架空线路至本公司，新建</w:t>
      </w:r>
      <w:r>
        <w:rPr>
          <w:rFonts w:ascii="Times New Roman"/>
          <w:szCs w:val="28"/>
        </w:rPr>
        <w:t>35KV</w:t>
      </w:r>
      <w:r>
        <w:rPr>
          <w:rFonts w:ascii="Times New Roman" w:hAnsi="宋体"/>
          <w:szCs w:val="28"/>
        </w:rPr>
        <w:t>降压站一座，再与矿井总降压站形成双回路供电（</w:t>
      </w:r>
      <w:r>
        <w:rPr>
          <w:rFonts w:ascii="Times New Roman"/>
          <w:szCs w:val="28"/>
        </w:rPr>
        <w:t>35KV</w:t>
      </w:r>
      <w:r>
        <w:rPr>
          <w:rFonts w:ascii="Times New Roman" w:hAnsi="宋体"/>
          <w:szCs w:val="28"/>
        </w:rPr>
        <w:t>降压站拟由供电局设计及施工）。</w:t>
      </w:r>
    </w:p>
    <w:p>
      <w:pPr>
        <w:spacing w:line="360" w:lineRule="auto"/>
        <w:ind w:firstLine="420" w:firstLineChars="200"/>
        <w:rPr>
          <w:rFonts w:hint="eastAsia" w:ascii="宋体" w:hAnsi="宋体"/>
        </w:rPr>
      </w:pPr>
      <w:r>
        <w:rPr>
          <w:szCs w:val="28"/>
        </w:rPr>
        <w:t xml:space="preserve"> </w:t>
      </w:r>
      <w:r>
        <w:rPr>
          <w:rFonts w:hint="eastAsia" w:hAnsi="宋体"/>
          <w:szCs w:val="28"/>
        </w:rPr>
        <w:t>技改项目</w:t>
      </w:r>
      <w:r>
        <w:rPr>
          <w:rFonts w:hAnsi="宋体"/>
          <w:szCs w:val="28"/>
        </w:rPr>
        <w:t>拟新建</w:t>
      </w:r>
      <w:r>
        <w:rPr>
          <w:szCs w:val="28"/>
        </w:rPr>
        <w:t>35KV</w:t>
      </w:r>
      <w:r>
        <w:rPr>
          <w:rFonts w:hAnsi="宋体"/>
          <w:szCs w:val="28"/>
        </w:rPr>
        <w:t>配电站一座，采用户内式</w:t>
      </w:r>
      <w:r>
        <w:rPr>
          <w:szCs w:val="28"/>
        </w:rPr>
        <w:t>,</w:t>
      </w:r>
      <w:r>
        <w:rPr>
          <w:rFonts w:hAnsi="宋体"/>
          <w:szCs w:val="28"/>
        </w:rPr>
        <w:t>向水泥生产线上原料磨配电室、烧成配电室、窑头配电室、水泥磨配电室、</w:t>
      </w:r>
      <w:r>
        <w:rPr>
          <w:szCs w:val="28"/>
        </w:rPr>
        <w:t>10kv</w:t>
      </w:r>
      <w:r>
        <w:rPr>
          <w:rFonts w:hAnsi="宋体"/>
          <w:szCs w:val="28"/>
        </w:rPr>
        <w:t>高压电动机等变配电所、高压点提供</w:t>
      </w:r>
      <w:r>
        <w:rPr>
          <w:szCs w:val="28"/>
        </w:rPr>
        <w:t>10 kV</w:t>
      </w:r>
      <w:r>
        <w:rPr>
          <w:rFonts w:hAnsi="宋体"/>
          <w:szCs w:val="28"/>
        </w:rPr>
        <w:t>放射式配电。</w:t>
      </w:r>
      <w:r>
        <w:rPr>
          <w:rFonts w:hint="eastAsia" w:hAnsi="宋体"/>
          <w:szCs w:val="28"/>
        </w:rPr>
        <w:t>技改项目年用电量</w:t>
      </w:r>
      <w:r>
        <w:rPr>
          <w:rFonts w:hint="eastAsia" w:ascii="宋体" w:hAnsi="宋体"/>
        </w:rPr>
        <w:t>9.481</w:t>
      </w:r>
      <w:r>
        <w:rPr>
          <w:rFonts w:ascii="宋体" w:hAnsi="宋体"/>
        </w:rPr>
        <w:t>×10</w:t>
      </w:r>
      <w:r>
        <w:rPr>
          <w:rFonts w:ascii="宋体" w:hAnsi="宋体"/>
          <w:vertAlign w:val="superscript"/>
        </w:rPr>
        <w:t>7</w:t>
      </w:r>
      <w:r>
        <w:rPr>
          <w:rFonts w:ascii="宋体" w:hAnsi="宋体"/>
        </w:rPr>
        <w:t>kWh</w:t>
      </w:r>
      <w:r>
        <w:rPr>
          <w:rFonts w:hint="eastAsia" w:ascii="宋体" w:hAnsi="宋体"/>
        </w:rPr>
        <w:t>。</w:t>
      </w:r>
    </w:p>
    <w:p>
      <w:pPr>
        <w:spacing w:line="360" w:lineRule="auto"/>
        <w:ind w:firstLine="420" w:firstLineChars="200"/>
        <w:rPr>
          <w:szCs w:val="28"/>
        </w:rPr>
      </w:pPr>
      <w:r>
        <w:rPr>
          <w:rFonts w:hint="eastAsia"/>
          <w:szCs w:val="28"/>
        </w:rPr>
        <w:t>技改项目设纯低温余热发电机组一套，发电机10kV出线至总降10kV母线，正常时，与总降并网运行，但不向外部电网供电。</w:t>
      </w:r>
    </w:p>
    <w:p>
      <w:pPr>
        <w:spacing w:line="360" w:lineRule="auto"/>
        <w:outlineLvl w:val="2"/>
        <w:rPr>
          <w:rFonts w:hint="eastAsia"/>
          <w:b/>
          <w:bCs/>
          <w:szCs w:val="20"/>
        </w:rPr>
      </w:pPr>
      <w:r>
        <w:rPr>
          <w:rFonts w:hint="eastAsia"/>
          <w:b/>
          <w:bCs/>
          <w:szCs w:val="20"/>
        </w:rPr>
        <w:t>3.1.10.4 脱盐水</w:t>
      </w:r>
    </w:p>
    <w:p>
      <w:pPr>
        <w:spacing w:line="360" w:lineRule="auto"/>
        <w:ind w:firstLine="420" w:firstLineChars="200"/>
        <w:rPr>
          <w:rFonts w:hint="eastAsia" w:ascii="宋体" w:hAnsi="宋体"/>
        </w:rPr>
      </w:pPr>
      <w:r>
        <w:rPr>
          <w:rFonts w:hint="eastAsia" w:ascii="宋体" w:hAnsi="宋体"/>
        </w:rPr>
        <w:t>采用</w:t>
      </w:r>
      <w:r>
        <w:rPr>
          <w:rFonts w:hint="eastAsia" w:ascii="宋体" w:hAnsi="宋体"/>
          <w:szCs w:val="28"/>
        </w:rPr>
        <w:t>二级RO装置</w:t>
      </w:r>
      <w:r>
        <w:rPr>
          <w:rFonts w:hint="eastAsia" w:ascii="宋体" w:hAnsi="宋体"/>
        </w:rPr>
        <w:t>制备脱盐水。</w:t>
      </w:r>
    </w:p>
    <w:p>
      <w:pPr>
        <w:spacing w:line="360" w:lineRule="auto"/>
        <w:ind w:firstLine="420" w:firstLineChars="200"/>
        <w:rPr>
          <w:rFonts w:hint="eastAsia" w:ascii="宋体" w:hAnsi="宋体"/>
        </w:rPr>
      </w:pPr>
      <w:r>
        <w:rPr>
          <w:rFonts w:hint="eastAsia" w:ascii="宋体" w:hAnsi="宋体"/>
        </w:rPr>
        <w:t>技改项目脱盐水耗量50m</w:t>
      </w:r>
      <w:r>
        <w:rPr>
          <w:rFonts w:hint="eastAsia" w:ascii="宋体" w:hAnsi="宋体"/>
          <w:vertAlign w:val="superscript"/>
        </w:rPr>
        <w:t>3</w:t>
      </w:r>
      <w:r>
        <w:rPr>
          <w:rFonts w:hint="eastAsia" w:ascii="宋体" w:hAnsi="宋体"/>
        </w:rPr>
        <w:t>/d。</w:t>
      </w:r>
    </w:p>
    <w:p>
      <w:pPr>
        <w:spacing w:line="360" w:lineRule="auto"/>
        <w:ind w:firstLine="420" w:firstLineChars="200"/>
        <w:rPr>
          <w:rFonts w:hint="eastAsia" w:ascii="宋体" w:hAnsi="宋体"/>
        </w:rPr>
      </w:pPr>
      <w:r>
        <w:rPr>
          <w:rFonts w:hint="eastAsia" w:ascii="宋体" w:hAnsi="宋体"/>
        </w:rPr>
        <w:t>新建1座脱盐水站，设计规模60m</w:t>
      </w:r>
      <w:r>
        <w:rPr>
          <w:rFonts w:hint="eastAsia" w:ascii="宋体" w:hAnsi="宋体"/>
          <w:vertAlign w:val="superscript"/>
        </w:rPr>
        <w:t>3</w:t>
      </w:r>
      <w:r>
        <w:rPr>
          <w:rFonts w:hint="eastAsia" w:ascii="宋体" w:hAnsi="宋体"/>
        </w:rPr>
        <w:t>/ d，能够满足技改项目脱盐水耗量。采用</w:t>
      </w:r>
      <w:r>
        <w:rPr>
          <w:rFonts w:hint="eastAsia" w:ascii="宋体" w:hAnsi="宋体"/>
          <w:szCs w:val="28"/>
        </w:rPr>
        <w:t>多介质过滤器和活性碳过滤器过滤后经二级RO装置</w:t>
      </w:r>
      <w:r>
        <w:rPr>
          <w:rFonts w:hint="eastAsia" w:ascii="宋体" w:hAnsi="宋体"/>
        </w:rPr>
        <w:t>制备脱盐水。</w:t>
      </w:r>
    </w:p>
    <w:p>
      <w:pPr>
        <w:spacing w:line="360" w:lineRule="auto"/>
        <w:outlineLvl w:val="2"/>
        <w:rPr>
          <w:rFonts w:hint="eastAsia"/>
          <w:b/>
          <w:bCs/>
          <w:szCs w:val="20"/>
        </w:rPr>
      </w:pPr>
      <w:r>
        <w:rPr>
          <w:rFonts w:hint="eastAsia"/>
          <w:b/>
          <w:bCs/>
          <w:szCs w:val="20"/>
        </w:rPr>
        <w:t>3.1.10.5 空压</w:t>
      </w:r>
    </w:p>
    <w:p>
      <w:pPr>
        <w:suppressAutoHyphens/>
        <w:adjustRightInd w:val="0"/>
        <w:snapToGrid w:val="0"/>
        <w:spacing w:line="360" w:lineRule="auto"/>
        <w:ind w:firstLine="573"/>
        <w:rPr>
          <w:szCs w:val="28"/>
        </w:rPr>
      </w:pPr>
      <w:r>
        <w:rPr>
          <w:szCs w:val="28"/>
        </w:rPr>
        <w:t>厂区内设空压机站一座，位于窑尾塔架第一层平面。共有螺杆式空压机5台（一台备用），每台排气压力0.8MPa，排气量25m</w:t>
      </w:r>
      <w:r>
        <w:rPr>
          <w:szCs w:val="28"/>
          <w:vertAlign w:val="superscript"/>
        </w:rPr>
        <w:t>3</w:t>
      </w:r>
      <w:r>
        <w:rPr>
          <w:szCs w:val="28"/>
        </w:rPr>
        <w:t>/min，分别向气动元件、收尘器和窑尾吹堵系统等处供气。</w:t>
      </w:r>
    </w:p>
    <w:p>
      <w:pPr>
        <w:spacing w:line="360" w:lineRule="auto"/>
        <w:outlineLvl w:val="2"/>
        <w:rPr>
          <w:rFonts w:hint="eastAsia"/>
          <w:b/>
          <w:bCs/>
          <w:szCs w:val="20"/>
        </w:rPr>
      </w:pPr>
      <w:r>
        <w:rPr>
          <w:rFonts w:hint="eastAsia"/>
          <w:b/>
          <w:bCs/>
          <w:szCs w:val="20"/>
        </w:rPr>
        <w:t>3.1.10.6 厂区绿化</w:t>
      </w:r>
    </w:p>
    <w:p>
      <w:pPr>
        <w:spacing w:line="360" w:lineRule="auto"/>
        <w:ind w:firstLine="420" w:firstLineChars="200"/>
        <w:rPr>
          <w:rFonts w:ascii="宋体" w:hAnsi="宋体"/>
        </w:rPr>
      </w:pPr>
      <w:bookmarkStart w:id="124" w:name="_Toc165607352"/>
      <w:bookmarkStart w:id="125" w:name="_Toc129763707"/>
      <w:bookmarkStart w:id="126" w:name="_Toc175479794"/>
      <w:bookmarkStart w:id="127" w:name="_Toc473281497"/>
      <w:bookmarkStart w:id="128" w:name="_Toc189814139"/>
      <w:r>
        <w:rPr>
          <w:rFonts w:ascii="宋体" w:hAnsi="宋体"/>
        </w:rPr>
        <w:t>全厂绿化布置分为道路绿化和重点绿化。</w:t>
      </w:r>
    </w:p>
    <w:p>
      <w:pPr>
        <w:spacing w:line="360" w:lineRule="auto"/>
        <w:ind w:firstLine="420" w:firstLineChars="200"/>
        <w:rPr>
          <w:rFonts w:ascii="宋体" w:hAnsi="宋体"/>
        </w:rPr>
      </w:pPr>
      <w:r>
        <w:rPr>
          <w:rFonts w:ascii="宋体" w:hAnsi="宋体"/>
        </w:rPr>
        <w:t>道路绿化：在道路一侧或两侧布置行道树。</w:t>
      </w:r>
    </w:p>
    <w:p>
      <w:pPr>
        <w:spacing w:line="360" w:lineRule="auto"/>
        <w:ind w:firstLine="420" w:firstLineChars="200"/>
        <w:rPr>
          <w:rFonts w:ascii="宋体" w:hAnsi="宋体"/>
        </w:rPr>
      </w:pPr>
      <w:r>
        <w:rPr>
          <w:rFonts w:ascii="宋体" w:hAnsi="宋体"/>
        </w:rPr>
        <w:t>重点绿化：对厂前区及预留区地带进行重点绿化。布置较密的乔木群，以形成隔离带，达到防尘和隔噪音的作用。</w:t>
      </w:r>
    </w:p>
    <w:p>
      <w:pPr>
        <w:spacing w:line="360" w:lineRule="auto"/>
        <w:ind w:firstLine="420" w:firstLineChars="200"/>
        <w:rPr>
          <w:rFonts w:ascii="宋体" w:hAnsi="宋体"/>
        </w:rPr>
      </w:pPr>
      <w:r>
        <w:rPr>
          <w:rFonts w:ascii="宋体" w:hAnsi="宋体"/>
        </w:rPr>
        <w:t>选用树种以针叶树为主。日常管理应加强对路面及绿化植被的冲洗，以达到最佳效果。全厂绿地率为13%。</w:t>
      </w:r>
    </w:p>
    <w:p>
      <w:pPr>
        <w:spacing w:line="360" w:lineRule="auto"/>
        <w:outlineLvl w:val="2"/>
        <w:rPr>
          <w:rFonts w:hint="eastAsia"/>
          <w:b/>
          <w:bCs/>
          <w:szCs w:val="20"/>
        </w:rPr>
      </w:pPr>
      <w:r>
        <w:rPr>
          <w:rFonts w:hint="eastAsia"/>
          <w:b/>
          <w:bCs/>
          <w:szCs w:val="20"/>
        </w:rPr>
        <w:t>3.1</w:t>
      </w:r>
      <w:r>
        <w:rPr>
          <w:b/>
          <w:bCs/>
          <w:szCs w:val="20"/>
        </w:rPr>
        <w:t>.</w:t>
      </w:r>
      <w:r>
        <w:rPr>
          <w:rFonts w:hint="eastAsia"/>
          <w:b/>
          <w:bCs/>
          <w:szCs w:val="20"/>
        </w:rPr>
        <w:t>11运输</w:t>
      </w:r>
      <w:bookmarkEnd w:id="124"/>
      <w:bookmarkEnd w:id="125"/>
      <w:bookmarkEnd w:id="126"/>
      <w:bookmarkEnd w:id="127"/>
      <w:bookmarkEnd w:id="128"/>
    </w:p>
    <w:p>
      <w:pPr>
        <w:spacing w:line="360" w:lineRule="auto"/>
        <w:ind w:firstLine="420" w:firstLineChars="200"/>
        <w:rPr>
          <w:rFonts w:hint="eastAsia" w:ascii="宋体" w:hAnsi="宋体"/>
        </w:rPr>
      </w:pPr>
      <w:r>
        <w:rPr>
          <w:rFonts w:hint="eastAsia" w:ascii="宋体" w:hAnsi="宋体"/>
        </w:rPr>
        <w:t>技改项目</w:t>
      </w:r>
      <w:r>
        <w:rPr>
          <w:rFonts w:ascii="宋体" w:hAnsi="宋体"/>
        </w:rPr>
        <w:t>位于重庆市沙坪坝区青木关镇关口村20号，</w:t>
      </w:r>
      <w:r>
        <w:rPr>
          <w:rFonts w:ascii="宋体" w:hAnsi="宋体"/>
          <w:kern w:val="28"/>
        </w:rPr>
        <w:t xml:space="preserve"> 319国道经过厂区，距西永火车站和遂渝高速公路璧山站分别为12</w:t>
      </w:r>
      <w:r>
        <w:rPr>
          <w:rFonts w:hint="eastAsia" w:ascii="宋体" w:hAnsi="宋体"/>
          <w:kern w:val="28"/>
        </w:rPr>
        <w:t>km</w:t>
      </w:r>
      <w:r>
        <w:rPr>
          <w:rFonts w:ascii="宋体" w:hAnsi="宋体"/>
          <w:kern w:val="28"/>
        </w:rPr>
        <w:t>和1.5</w:t>
      </w:r>
      <w:r>
        <w:rPr>
          <w:rFonts w:hint="eastAsia" w:ascii="宋体" w:hAnsi="宋体"/>
          <w:kern w:val="28"/>
        </w:rPr>
        <w:t>km</w:t>
      </w:r>
      <w:r>
        <w:rPr>
          <w:rFonts w:ascii="宋体" w:hAnsi="宋体"/>
          <w:kern w:val="28"/>
        </w:rPr>
        <w:t>，距壁山县城14</w:t>
      </w:r>
      <w:r>
        <w:rPr>
          <w:rFonts w:hint="eastAsia" w:ascii="宋体" w:hAnsi="宋体"/>
          <w:kern w:val="28"/>
        </w:rPr>
        <w:t>km</w:t>
      </w:r>
      <w:r>
        <w:rPr>
          <w:rFonts w:ascii="宋体" w:hAnsi="宋体"/>
          <w:kern w:val="28"/>
        </w:rPr>
        <w:t>、北碚23</w:t>
      </w:r>
      <w:r>
        <w:rPr>
          <w:rFonts w:hint="eastAsia" w:ascii="宋体" w:hAnsi="宋体"/>
          <w:kern w:val="28"/>
        </w:rPr>
        <w:t>km</w:t>
      </w:r>
      <w:r>
        <w:rPr>
          <w:rFonts w:ascii="宋体" w:hAnsi="宋体"/>
          <w:kern w:val="28"/>
        </w:rPr>
        <w:t>、沙坪坝区37</w:t>
      </w:r>
      <w:r>
        <w:rPr>
          <w:rFonts w:hint="eastAsia" w:ascii="宋体" w:hAnsi="宋体"/>
          <w:kern w:val="28"/>
        </w:rPr>
        <w:t>km</w:t>
      </w:r>
      <w:r>
        <w:rPr>
          <w:rFonts w:ascii="宋体" w:hAnsi="宋体"/>
          <w:kern w:val="28"/>
        </w:rPr>
        <w:t>、重庆市中心54</w:t>
      </w:r>
      <w:r>
        <w:rPr>
          <w:rFonts w:hint="eastAsia" w:ascii="宋体" w:hAnsi="宋体"/>
          <w:kern w:val="28"/>
        </w:rPr>
        <w:t>km</w:t>
      </w:r>
      <w:r>
        <w:rPr>
          <w:rFonts w:ascii="宋体" w:hAnsi="宋体"/>
          <w:kern w:val="28"/>
        </w:rPr>
        <w:t>，各种</w:t>
      </w:r>
      <w:r>
        <w:rPr>
          <w:rFonts w:ascii="宋体" w:hAnsi="宋体"/>
        </w:rPr>
        <w:t>原燃料和产品均可通过公路运输进出厂，因此</w:t>
      </w:r>
      <w:r>
        <w:rPr>
          <w:rFonts w:hint="eastAsia" w:ascii="宋体" w:hAnsi="宋体"/>
        </w:rPr>
        <w:t>技改项目</w:t>
      </w:r>
      <w:r>
        <w:rPr>
          <w:rFonts w:ascii="宋体" w:hAnsi="宋体"/>
        </w:rPr>
        <w:t>的交通运输条件良好。</w:t>
      </w:r>
      <w:r>
        <w:rPr>
          <w:rFonts w:hint="eastAsia" w:ascii="宋体" w:hAnsi="宋体"/>
        </w:rPr>
        <w:t>技改项目物料运量见表3-9。</w:t>
      </w:r>
    </w:p>
    <w:p>
      <w:pPr>
        <w:spacing w:line="480" w:lineRule="exact"/>
        <w:jc w:val="center"/>
        <w:rPr>
          <w:rFonts w:hint="eastAsia" w:ascii="宋体" w:hAnsi="宋体"/>
          <w:b/>
        </w:rPr>
      </w:pPr>
      <w:r>
        <w:rPr>
          <w:rFonts w:hint="eastAsia" w:ascii="宋体" w:hAnsi="宋体"/>
          <w:b/>
        </w:rPr>
        <w:t xml:space="preserve">表3-9   </w:t>
      </w:r>
      <w:r>
        <w:rPr>
          <w:rFonts w:hint="eastAsia"/>
          <w:b/>
          <w:sz w:val="28"/>
        </w:rPr>
        <w:t xml:space="preserve"> </w:t>
      </w:r>
      <w:r>
        <w:rPr>
          <w:rFonts w:hint="eastAsia" w:ascii="宋体" w:hAnsi="宋体"/>
          <w:b/>
        </w:rPr>
        <w:t>技改项目物料运量统计</w:t>
      </w:r>
    </w:p>
    <w:tbl>
      <w:tblPr>
        <w:tblStyle w:val="21"/>
        <w:tblW w:w="9184" w:type="dxa"/>
        <w:tblInd w:w="10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036"/>
        <w:gridCol w:w="2720"/>
        <w:gridCol w:w="1460"/>
        <w:gridCol w:w="1984"/>
        <w:gridCol w:w="198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1036" w:type="dxa"/>
            <w:vAlign w:val="center"/>
          </w:tcPr>
          <w:p>
            <w:pPr>
              <w:spacing w:line="560" w:lineRule="exact"/>
              <w:jc w:val="center"/>
              <w:rPr>
                <w:sz w:val="21"/>
                <w:szCs w:val="21"/>
              </w:rPr>
            </w:pPr>
            <w:r>
              <w:rPr>
                <w:rFonts w:hAnsi="宋体"/>
                <w:sz w:val="21"/>
                <w:szCs w:val="21"/>
              </w:rPr>
              <w:t>序号</w:t>
            </w:r>
          </w:p>
        </w:tc>
        <w:tc>
          <w:tcPr>
            <w:tcW w:w="2720" w:type="dxa"/>
            <w:vAlign w:val="center"/>
          </w:tcPr>
          <w:p>
            <w:pPr>
              <w:spacing w:line="560" w:lineRule="exact"/>
              <w:ind w:firstLine="592" w:firstLineChars="282"/>
              <w:jc w:val="center"/>
              <w:rPr>
                <w:sz w:val="21"/>
                <w:szCs w:val="21"/>
              </w:rPr>
            </w:pPr>
            <w:r>
              <w:rPr>
                <w:rFonts w:hAnsi="宋体"/>
                <w:sz w:val="21"/>
                <w:szCs w:val="21"/>
              </w:rPr>
              <w:t>物料名称</w:t>
            </w:r>
          </w:p>
        </w:tc>
        <w:tc>
          <w:tcPr>
            <w:tcW w:w="1460" w:type="dxa"/>
            <w:vAlign w:val="center"/>
          </w:tcPr>
          <w:p>
            <w:pPr>
              <w:spacing w:line="560" w:lineRule="exact"/>
              <w:ind w:firstLine="592" w:firstLineChars="282"/>
              <w:jc w:val="center"/>
              <w:rPr>
                <w:sz w:val="21"/>
                <w:szCs w:val="21"/>
              </w:rPr>
            </w:pPr>
            <w:r>
              <w:rPr>
                <w:rFonts w:hAnsi="宋体"/>
                <w:sz w:val="21"/>
                <w:szCs w:val="21"/>
              </w:rPr>
              <w:t>单位</w:t>
            </w:r>
          </w:p>
        </w:tc>
        <w:tc>
          <w:tcPr>
            <w:tcW w:w="1984" w:type="dxa"/>
            <w:vAlign w:val="center"/>
          </w:tcPr>
          <w:p>
            <w:pPr>
              <w:spacing w:line="560" w:lineRule="exact"/>
              <w:ind w:firstLine="592" w:firstLineChars="282"/>
              <w:jc w:val="center"/>
              <w:rPr>
                <w:sz w:val="21"/>
                <w:szCs w:val="21"/>
              </w:rPr>
            </w:pPr>
            <w:r>
              <w:rPr>
                <w:rFonts w:hAnsi="宋体"/>
                <w:sz w:val="21"/>
                <w:szCs w:val="21"/>
              </w:rPr>
              <w:t>总运量</w:t>
            </w:r>
          </w:p>
        </w:tc>
        <w:tc>
          <w:tcPr>
            <w:tcW w:w="1984" w:type="dxa"/>
            <w:vAlign w:val="center"/>
          </w:tcPr>
          <w:p>
            <w:pPr>
              <w:spacing w:line="560" w:lineRule="exact"/>
              <w:ind w:firstLine="592" w:firstLineChars="282"/>
              <w:jc w:val="center"/>
              <w:rPr>
                <w:rFonts w:hint="eastAsia" w:hAnsi="宋体"/>
                <w:sz w:val="21"/>
                <w:szCs w:val="21"/>
              </w:rPr>
            </w:pPr>
            <w:r>
              <w:rPr>
                <w:rFonts w:hint="eastAsia" w:hAnsi="宋体"/>
                <w:sz w:val="21"/>
                <w:szCs w:val="21"/>
              </w:rPr>
              <w:t>运输方式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1036" w:type="dxa"/>
            <w:vAlign w:val="center"/>
          </w:tcPr>
          <w:p>
            <w:pPr>
              <w:spacing w:line="560" w:lineRule="exact"/>
              <w:ind w:firstLine="592" w:firstLineChars="282"/>
              <w:jc w:val="center"/>
              <w:rPr>
                <w:sz w:val="21"/>
                <w:szCs w:val="21"/>
              </w:rPr>
            </w:pPr>
            <w:r>
              <w:rPr>
                <w:sz w:val="21"/>
                <w:szCs w:val="21"/>
              </w:rPr>
              <w:t>1</w:t>
            </w:r>
          </w:p>
        </w:tc>
        <w:tc>
          <w:tcPr>
            <w:tcW w:w="2720" w:type="dxa"/>
            <w:vAlign w:val="center"/>
          </w:tcPr>
          <w:p>
            <w:pPr>
              <w:spacing w:line="560" w:lineRule="exact"/>
              <w:ind w:firstLine="592" w:firstLineChars="282"/>
              <w:jc w:val="center"/>
              <w:rPr>
                <w:sz w:val="21"/>
                <w:szCs w:val="21"/>
              </w:rPr>
            </w:pPr>
            <w:r>
              <w:rPr>
                <w:rFonts w:hAnsi="宋体"/>
                <w:sz w:val="21"/>
                <w:szCs w:val="21"/>
              </w:rPr>
              <w:t>石灰石（进）</w:t>
            </w:r>
          </w:p>
        </w:tc>
        <w:tc>
          <w:tcPr>
            <w:tcW w:w="1460" w:type="dxa"/>
            <w:vAlign w:val="center"/>
          </w:tcPr>
          <w:p>
            <w:pPr>
              <w:spacing w:line="560" w:lineRule="exact"/>
              <w:ind w:firstLine="592" w:firstLineChars="282"/>
              <w:jc w:val="center"/>
              <w:rPr>
                <w:sz w:val="21"/>
                <w:szCs w:val="21"/>
              </w:rPr>
            </w:pPr>
            <w:r>
              <w:rPr>
                <w:rFonts w:hAnsi="宋体"/>
                <w:sz w:val="21"/>
                <w:szCs w:val="21"/>
              </w:rPr>
              <w:t>万</w:t>
            </w:r>
            <w:r>
              <w:rPr>
                <w:sz w:val="21"/>
                <w:szCs w:val="21"/>
              </w:rPr>
              <w:t>t/a</w:t>
            </w:r>
          </w:p>
        </w:tc>
        <w:tc>
          <w:tcPr>
            <w:tcW w:w="1984" w:type="dxa"/>
            <w:vAlign w:val="center"/>
          </w:tcPr>
          <w:p>
            <w:pPr>
              <w:spacing w:line="560" w:lineRule="exact"/>
              <w:ind w:firstLine="592" w:firstLineChars="282"/>
              <w:jc w:val="center"/>
              <w:rPr>
                <w:rFonts w:hint="eastAsia"/>
                <w:sz w:val="21"/>
                <w:szCs w:val="21"/>
              </w:rPr>
            </w:pPr>
            <w:r>
              <w:rPr>
                <w:sz w:val="21"/>
                <w:szCs w:val="21"/>
              </w:rPr>
              <w:t>10</w:t>
            </w:r>
            <w:r>
              <w:rPr>
                <w:rFonts w:hint="eastAsia"/>
                <w:sz w:val="21"/>
                <w:szCs w:val="21"/>
              </w:rPr>
              <w:t>2</w:t>
            </w:r>
          </w:p>
        </w:tc>
        <w:tc>
          <w:tcPr>
            <w:tcW w:w="1984" w:type="dxa"/>
            <w:vAlign w:val="center"/>
          </w:tcPr>
          <w:p>
            <w:pPr>
              <w:spacing w:line="560" w:lineRule="exact"/>
              <w:ind w:firstLine="315" w:firstLineChars="150"/>
              <w:rPr>
                <w:rFonts w:hint="eastAsia"/>
                <w:sz w:val="21"/>
                <w:szCs w:val="21"/>
              </w:rPr>
            </w:pPr>
            <w:r>
              <w:rPr>
                <w:rFonts w:hint="eastAsia"/>
                <w:sz w:val="21"/>
                <w:szCs w:val="21"/>
              </w:rPr>
              <w:t>汽车运输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1036" w:type="dxa"/>
            <w:vAlign w:val="center"/>
          </w:tcPr>
          <w:p>
            <w:pPr>
              <w:spacing w:line="560" w:lineRule="exact"/>
              <w:ind w:firstLine="592" w:firstLineChars="282"/>
              <w:jc w:val="center"/>
              <w:rPr>
                <w:sz w:val="21"/>
                <w:szCs w:val="21"/>
              </w:rPr>
            </w:pPr>
            <w:r>
              <w:rPr>
                <w:sz w:val="21"/>
                <w:szCs w:val="21"/>
              </w:rPr>
              <w:t>2</w:t>
            </w:r>
          </w:p>
        </w:tc>
        <w:tc>
          <w:tcPr>
            <w:tcW w:w="2720" w:type="dxa"/>
            <w:vAlign w:val="center"/>
          </w:tcPr>
          <w:p>
            <w:pPr>
              <w:spacing w:line="560" w:lineRule="exact"/>
              <w:ind w:firstLine="592" w:firstLineChars="282"/>
              <w:jc w:val="center"/>
              <w:rPr>
                <w:sz w:val="21"/>
                <w:szCs w:val="21"/>
              </w:rPr>
            </w:pPr>
            <w:r>
              <w:rPr>
                <w:rFonts w:hAnsi="宋体"/>
                <w:sz w:val="21"/>
                <w:szCs w:val="21"/>
              </w:rPr>
              <w:t>砂岩（进）</w:t>
            </w:r>
          </w:p>
        </w:tc>
        <w:tc>
          <w:tcPr>
            <w:tcW w:w="1460" w:type="dxa"/>
            <w:vAlign w:val="center"/>
          </w:tcPr>
          <w:p>
            <w:pPr>
              <w:spacing w:line="560" w:lineRule="exact"/>
              <w:ind w:firstLine="592" w:firstLineChars="282"/>
              <w:jc w:val="center"/>
              <w:rPr>
                <w:sz w:val="21"/>
                <w:szCs w:val="21"/>
              </w:rPr>
            </w:pPr>
            <w:r>
              <w:rPr>
                <w:rFonts w:hAnsi="宋体"/>
                <w:sz w:val="21"/>
                <w:szCs w:val="21"/>
              </w:rPr>
              <w:t>万</w:t>
            </w:r>
            <w:r>
              <w:rPr>
                <w:sz w:val="21"/>
                <w:szCs w:val="21"/>
              </w:rPr>
              <w:t>t/a</w:t>
            </w:r>
          </w:p>
        </w:tc>
        <w:tc>
          <w:tcPr>
            <w:tcW w:w="1984" w:type="dxa"/>
            <w:vAlign w:val="center"/>
          </w:tcPr>
          <w:p>
            <w:pPr>
              <w:spacing w:line="560" w:lineRule="exact"/>
              <w:ind w:firstLine="592" w:firstLineChars="282"/>
              <w:jc w:val="center"/>
              <w:rPr>
                <w:sz w:val="21"/>
                <w:szCs w:val="21"/>
              </w:rPr>
            </w:pPr>
            <w:r>
              <w:rPr>
                <w:sz w:val="21"/>
                <w:szCs w:val="21"/>
              </w:rPr>
              <w:t>6.7</w:t>
            </w:r>
          </w:p>
        </w:tc>
        <w:tc>
          <w:tcPr>
            <w:tcW w:w="1984" w:type="dxa"/>
            <w:vAlign w:val="center"/>
          </w:tcPr>
          <w:p>
            <w:pPr>
              <w:jc w:val="center"/>
              <w:rPr>
                <w:sz w:val="21"/>
                <w:szCs w:val="21"/>
              </w:rPr>
            </w:pPr>
            <w:r>
              <w:rPr>
                <w:rFonts w:hint="eastAsia"/>
                <w:sz w:val="21"/>
                <w:szCs w:val="21"/>
              </w:rPr>
              <w:t>汽车运输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1036" w:type="dxa"/>
            <w:vAlign w:val="center"/>
          </w:tcPr>
          <w:p>
            <w:pPr>
              <w:spacing w:line="560" w:lineRule="exact"/>
              <w:ind w:firstLine="592" w:firstLineChars="282"/>
              <w:jc w:val="center"/>
              <w:rPr>
                <w:sz w:val="21"/>
                <w:szCs w:val="21"/>
              </w:rPr>
            </w:pPr>
            <w:r>
              <w:rPr>
                <w:sz w:val="21"/>
                <w:szCs w:val="21"/>
              </w:rPr>
              <w:t>3</w:t>
            </w:r>
          </w:p>
        </w:tc>
        <w:tc>
          <w:tcPr>
            <w:tcW w:w="2720" w:type="dxa"/>
            <w:vAlign w:val="center"/>
          </w:tcPr>
          <w:p>
            <w:pPr>
              <w:spacing w:line="560" w:lineRule="exact"/>
              <w:ind w:firstLine="592" w:firstLineChars="282"/>
              <w:jc w:val="center"/>
              <w:rPr>
                <w:sz w:val="21"/>
                <w:szCs w:val="21"/>
              </w:rPr>
            </w:pPr>
            <w:r>
              <w:rPr>
                <w:rFonts w:hAnsi="宋体"/>
                <w:sz w:val="21"/>
                <w:szCs w:val="21"/>
              </w:rPr>
              <w:t>煤矸石（进）</w:t>
            </w:r>
          </w:p>
        </w:tc>
        <w:tc>
          <w:tcPr>
            <w:tcW w:w="1460" w:type="dxa"/>
            <w:vAlign w:val="center"/>
          </w:tcPr>
          <w:p>
            <w:pPr>
              <w:spacing w:line="560" w:lineRule="exact"/>
              <w:ind w:firstLine="592" w:firstLineChars="282"/>
              <w:jc w:val="center"/>
              <w:rPr>
                <w:sz w:val="21"/>
                <w:szCs w:val="21"/>
              </w:rPr>
            </w:pPr>
            <w:r>
              <w:rPr>
                <w:rFonts w:hAnsi="宋体"/>
                <w:sz w:val="21"/>
                <w:szCs w:val="21"/>
              </w:rPr>
              <w:t>万</w:t>
            </w:r>
            <w:r>
              <w:rPr>
                <w:sz w:val="21"/>
                <w:szCs w:val="21"/>
              </w:rPr>
              <w:t>t/a</w:t>
            </w:r>
          </w:p>
        </w:tc>
        <w:tc>
          <w:tcPr>
            <w:tcW w:w="1984" w:type="dxa"/>
            <w:vAlign w:val="center"/>
          </w:tcPr>
          <w:p>
            <w:pPr>
              <w:spacing w:line="560" w:lineRule="exact"/>
              <w:ind w:firstLine="592" w:firstLineChars="282"/>
              <w:jc w:val="center"/>
              <w:rPr>
                <w:rFonts w:hint="eastAsia"/>
                <w:sz w:val="21"/>
                <w:szCs w:val="21"/>
              </w:rPr>
            </w:pPr>
            <w:r>
              <w:rPr>
                <w:sz w:val="21"/>
                <w:szCs w:val="21"/>
              </w:rPr>
              <w:t>9.</w:t>
            </w:r>
            <w:r>
              <w:rPr>
                <w:rFonts w:hint="eastAsia"/>
                <w:sz w:val="21"/>
                <w:szCs w:val="21"/>
              </w:rPr>
              <w:t>2</w:t>
            </w:r>
          </w:p>
        </w:tc>
        <w:tc>
          <w:tcPr>
            <w:tcW w:w="1984" w:type="dxa"/>
            <w:vAlign w:val="center"/>
          </w:tcPr>
          <w:p>
            <w:pPr>
              <w:jc w:val="center"/>
              <w:rPr>
                <w:sz w:val="21"/>
                <w:szCs w:val="21"/>
              </w:rPr>
            </w:pPr>
            <w:r>
              <w:rPr>
                <w:rFonts w:hint="eastAsia"/>
                <w:sz w:val="21"/>
                <w:szCs w:val="21"/>
              </w:rPr>
              <w:t>皮带运输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1036" w:type="dxa"/>
            <w:vAlign w:val="center"/>
          </w:tcPr>
          <w:p>
            <w:pPr>
              <w:spacing w:line="560" w:lineRule="exact"/>
              <w:ind w:firstLine="592" w:firstLineChars="282"/>
              <w:jc w:val="center"/>
              <w:rPr>
                <w:sz w:val="21"/>
                <w:szCs w:val="21"/>
              </w:rPr>
            </w:pPr>
            <w:r>
              <w:rPr>
                <w:sz w:val="21"/>
                <w:szCs w:val="21"/>
              </w:rPr>
              <w:t>4</w:t>
            </w:r>
          </w:p>
        </w:tc>
        <w:tc>
          <w:tcPr>
            <w:tcW w:w="2720" w:type="dxa"/>
            <w:vAlign w:val="center"/>
          </w:tcPr>
          <w:p>
            <w:pPr>
              <w:spacing w:line="560" w:lineRule="exact"/>
              <w:ind w:firstLine="592" w:firstLineChars="282"/>
              <w:jc w:val="center"/>
              <w:rPr>
                <w:sz w:val="21"/>
                <w:szCs w:val="21"/>
              </w:rPr>
            </w:pPr>
            <w:r>
              <w:rPr>
                <w:rFonts w:hAnsi="宋体"/>
                <w:sz w:val="21"/>
                <w:szCs w:val="21"/>
              </w:rPr>
              <w:t>硫酸渣（进）</w:t>
            </w:r>
          </w:p>
        </w:tc>
        <w:tc>
          <w:tcPr>
            <w:tcW w:w="1460" w:type="dxa"/>
            <w:vAlign w:val="center"/>
          </w:tcPr>
          <w:p>
            <w:pPr>
              <w:spacing w:line="560" w:lineRule="exact"/>
              <w:ind w:firstLine="592" w:firstLineChars="282"/>
              <w:jc w:val="center"/>
              <w:rPr>
                <w:sz w:val="21"/>
                <w:szCs w:val="21"/>
              </w:rPr>
            </w:pPr>
            <w:r>
              <w:rPr>
                <w:rFonts w:hAnsi="宋体"/>
                <w:sz w:val="21"/>
                <w:szCs w:val="21"/>
              </w:rPr>
              <w:t>万</w:t>
            </w:r>
            <w:r>
              <w:rPr>
                <w:sz w:val="21"/>
                <w:szCs w:val="21"/>
              </w:rPr>
              <w:t>t/a</w:t>
            </w:r>
          </w:p>
        </w:tc>
        <w:tc>
          <w:tcPr>
            <w:tcW w:w="1984" w:type="dxa"/>
            <w:vAlign w:val="center"/>
          </w:tcPr>
          <w:p>
            <w:pPr>
              <w:spacing w:line="560" w:lineRule="exact"/>
              <w:ind w:firstLine="592" w:firstLineChars="282"/>
              <w:jc w:val="center"/>
              <w:rPr>
                <w:sz w:val="21"/>
                <w:szCs w:val="21"/>
              </w:rPr>
            </w:pPr>
            <w:r>
              <w:rPr>
                <w:sz w:val="21"/>
                <w:szCs w:val="21"/>
              </w:rPr>
              <w:t>1.6</w:t>
            </w:r>
          </w:p>
        </w:tc>
        <w:tc>
          <w:tcPr>
            <w:tcW w:w="1984" w:type="dxa"/>
            <w:vAlign w:val="center"/>
          </w:tcPr>
          <w:p>
            <w:pPr>
              <w:jc w:val="center"/>
              <w:rPr>
                <w:sz w:val="21"/>
                <w:szCs w:val="21"/>
              </w:rPr>
            </w:pPr>
            <w:r>
              <w:rPr>
                <w:rFonts w:hint="eastAsia"/>
                <w:sz w:val="21"/>
                <w:szCs w:val="21"/>
              </w:rPr>
              <w:t>汽车运输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1036" w:type="dxa"/>
            <w:vAlign w:val="center"/>
          </w:tcPr>
          <w:p>
            <w:pPr>
              <w:spacing w:line="560" w:lineRule="exact"/>
              <w:ind w:firstLine="592" w:firstLineChars="282"/>
              <w:jc w:val="center"/>
              <w:rPr>
                <w:sz w:val="21"/>
                <w:szCs w:val="21"/>
              </w:rPr>
            </w:pPr>
            <w:r>
              <w:rPr>
                <w:sz w:val="21"/>
                <w:szCs w:val="21"/>
              </w:rPr>
              <w:t>5</w:t>
            </w:r>
          </w:p>
        </w:tc>
        <w:tc>
          <w:tcPr>
            <w:tcW w:w="2720" w:type="dxa"/>
            <w:vAlign w:val="center"/>
          </w:tcPr>
          <w:p>
            <w:pPr>
              <w:spacing w:line="560" w:lineRule="exact"/>
              <w:ind w:firstLine="592" w:firstLineChars="282"/>
              <w:jc w:val="center"/>
              <w:rPr>
                <w:sz w:val="21"/>
                <w:szCs w:val="21"/>
              </w:rPr>
            </w:pPr>
            <w:r>
              <w:rPr>
                <w:rFonts w:hAnsi="宋体"/>
                <w:sz w:val="21"/>
                <w:szCs w:val="21"/>
              </w:rPr>
              <w:t>原煤（进）</w:t>
            </w:r>
          </w:p>
        </w:tc>
        <w:tc>
          <w:tcPr>
            <w:tcW w:w="1460" w:type="dxa"/>
            <w:vAlign w:val="center"/>
          </w:tcPr>
          <w:p>
            <w:pPr>
              <w:spacing w:line="560" w:lineRule="exact"/>
              <w:ind w:firstLine="592" w:firstLineChars="282"/>
              <w:jc w:val="center"/>
              <w:rPr>
                <w:sz w:val="21"/>
                <w:szCs w:val="21"/>
              </w:rPr>
            </w:pPr>
            <w:r>
              <w:rPr>
                <w:rFonts w:hAnsi="宋体"/>
                <w:sz w:val="21"/>
                <w:szCs w:val="21"/>
              </w:rPr>
              <w:t>万</w:t>
            </w:r>
            <w:r>
              <w:rPr>
                <w:sz w:val="21"/>
                <w:szCs w:val="21"/>
              </w:rPr>
              <w:t>t/a</w:t>
            </w:r>
          </w:p>
        </w:tc>
        <w:tc>
          <w:tcPr>
            <w:tcW w:w="1984" w:type="dxa"/>
            <w:vAlign w:val="center"/>
          </w:tcPr>
          <w:p>
            <w:pPr>
              <w:spacing w:line="560" w:lineRule="exact"/>
              <w:ind w:firstLine="592" w:firstLineChars="282"/>
              <w:jc w:val="center"/>
              <w:rPr>
                <w:rFonts w:hint="eastAsia"/>
                <w:sz w:val="21"/>
                <w:szCs w:val="21"/>
              </w:rPr>
            </w:pPr>
            <w:r>
              <w:rPr>
                <w:sz w:val="21"/>
                <w:szCs w:val="21"/>
              </w:rPr>
              <w:t>1</w:t>
            </w:r>
            <w:r>
              <w:rPr>
                <w:rFonts w:hint="eastAsia"/>
                <w:sz w:val="21"/>
                <w:szCs w:val="21"/>
              </w:rPr>
              <w:t>1.9</w:t>
            </w:r>
          </w:p>
        </w:tc>
        <w:tc>
          <w:tcPr>
            <w:tcW w:w="1984" w:type="dxa"/>
            <w:vAlign w:val="center"/>
          </w:tcPr>
          <w:p>
            <w:pPr>
              <w:jc w:val="center"/>
              <w:rPr>
                <w:sz w:val="21"/>
                <w:szCs w:val="21"/>
              </w:rPr>
            </w:pPr>
            <w:r>
              <w:rPr>
                <w:rFonts w:hint="eastAsia"/>
                <w:sz w:val="21"/>
                <w:szCs w:val="21"/>
              </w:rPr>
              <w:t>汽车运输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1036" w:type="dxa"/>
            <w:vAlign w:val="center"/>
          </w:tcPr>
          <w:p>
            <w:pPr>
              <w:spacing w:line="560" w:lineRule="exact"/>
              <w:ind w:firstLine="592" w:firstLineChars="282"/>
              <w:jc w:val="center"/>
              <w:rPr>
                <w:sz w:val="21"/>
                <w:szCs w:val="21"/>
              </w:rPr>
            </w:pPr>
            <w:r>
              <w:rPr>
                <w:sz w:val="21"/>
                <w:szCs w:val="21"/>
              </w:rPr>
              <w:t>6</w:t>
            </w:r>
          </w:p>
        </w:tc>
        <w:tc>
          <w:tcPr>
            <w:tcW w:w="2720" w:type="dxa"/>
            <w:vAlign w:val="center"/>
          </w:tcPr>
          <w:p>
            <w:pPr>
              <w:spacing w:line="560" w:lineRule="exact"/>
              <w:ind w:firstLine="592" w:firstLineChars="282"/>
              <w:jc w:val="center"/>
              <w:rPr>
                <w:sz w:val="21"/>
                <w:szCs w:val="21"/>
              </w:rPr>
            </w:pPr>
            <w:r>
              <w:rPr>
                <w:rFonts w:hAnsi="宋体"/>
                <w:sz w:val="21"/>
                <w:szCs w:val="21"/>
              </w:rPr>
              <w:t>石膏（进）</w:t>
            </w:r>
          </w:p>
        </w:tc>
        <w:tc>
          <w:tcPr>
            <w:tcW w:w="1460" w:type="dxa"/>
            <w:vAlign w:val="center"/>
          </w:tcPr>
          <w:p>
            <w:pPr>
              <w:spacing w:line="560" w:lineRule="exact"/>
              <w:ind w:firstLine="592" w:firstLineChars="282"/>
              <w:jc w:val="center"/>
              <w:rPr>
                <w:sz w:val="21"/>
                <w:szCs w:val="21"/>
              </w:rPr>
            </w:pPr>
            <w:r>
              <w:rPr>
                <w:rFonts w:hAnsi="宋体"/>
                <w:sz w:val="21"/>
                <w:szCs w:val="21"/>
              </w:rPr>
              <w:t>万</w:t>
            </w:r>
            <w:r>
              <w:rPr>
                <w:sz w:val="21"/>
                <w:szCs w:val="21"/>
              </w:rPr>
              <w:t>t/a</w:t>
            </w:r>
          </w:p>
        </w:tc>
        <w:tc>
          <w:tcPr>
            <w:tcW w:w="1984" w:type="dxa"/>
            <w:vAlign w:val="center"/>
          </w:tcPr>
          <w:p>
            <w:pPr>
              <w:spacing w:line="560" w:lineRule="exact"/>
              <w:ind w:firstLine="592" w:firstLineChars="282"/>
              <w:jc w:val="center"/>
              <w:rPr>
                <w:sz w:val="21"/>
                <w:szCs w:val="21"/>
              </w:rPr>
            </w:pPr>
            <w:r>
              <w:rPr>
                <w:sz w:val="21"/>
                <w:szCs w:val="21"/>
              </w:rPr>
              <w:t>3.7</w:t>
            </w:r>
          </w:p>
        </w:tc>
        <w:tc>
          <w:tcPr>
            <w:tcW w:w="1984" w:type="dxa"/>
            <w:vAlign w:val="center"/>
          </w:tcPr>
          <w:p>
            <w:pPr>
              <w:jc w:val="center"/>
              <w:rPr>
                <w:sz w:val="21"/>
                <w:szCs w:val="21"/>
              </w:rPr>
            </w:pPr>
            <w:r>
              <w:rPr>
                <w:rFonts w:hint="eastAsia"/>
                <w:sz w:val="21"/>
                <w:szCs w:val="21"/>
              </w:rPr>
              <w:t>汽车运输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1036" w:type="dxa"/>
            <w:vAlign w:val="center"/>
          </w:tcPr>
          <w:p>
            <w:pPr>
              <w:spacing w:line="560" w:lineRule="exact"/>
              <w:ind w:firstLine="592" w:firstLineChars="282"/>
              <w:jc w:val="center"/>
              <w:rPr>
                <w:sz w:val="21"/>
                <w:szCs w:val="21"/>
              </w:rPr>
            </w:pPr>
            <w:r>
              <w:rPr>
                <w:sz w:val="21"/>
                <w:szCs w:val="21"/>
              </w:rPr>
              <w:t>7</w:t>
            </w:r>
          </w:p>
        </w:tc>
        <w:tc>
          <w:tcPr>
            <w:tcW w:w="2720" w:type="dxa"/>
            <w:vAlign w:val="center"/>
          </w:tcPr>
          <w:p>
            <w:pPr>
              <w:spacing w:line="560" w:lineRule="exact"/>
              <w:ind w:firstLine="592" w:firstLineChars="282"/>
              <w:jc w:val="center"/>
              <w:rPr>
                <w:sz w:val="21"/>
                <w:szCs w:val="21"/>
              </w:rPr>
            </w:pPr>
            <w:r>
              <w:rPr>
                <w:rFonts w:hAnsi="宋体"/>
                <w:sz w:val="21"/>
                <w:szCs w:val="21"/>
              </w:rPr>
              <w:t>混合材（进）</w:t>
            </w:r>
          </w:p>
        </w:tc>
        <w:tc>
          <w:tcPr>
            <w:tcW w:w="1460" w:type="dxa"/>
            <w:vAlign w:val="center"/>
          </w:tcPr>
          <w:p>
            <w:pPr>
              <w:spacing w:line="560" w:lineRule="exact"/>
              <w:ind w:firstLine="592" w:firstLineChars="282"/>
              <w:jc w:val="center"/>
              <w:rPr>
                <w:sz w:val="21"/>
                <w:szCs w:val="21"/>
              </w:rPr>
            </w:pPr>
            <w:r>
              <w:rPr>
                <w:rFonts w:hAnsi="宋体"/>
                <w:sz w:val="21"/>
                <w:szCs w:val="21"/>
              </w:rPr>
              <w:t>万</w:t>
            </w:r>
            <w:r>
              <w:rPr>
                <w:sz w:val="21"/>
                <w:szCs w:val="21"/>
              </w:rPr>
              <w:t>t/a</w:t>
            </w:r>
          </w:p>
        </w:tc>
        <w:tc>
          <w:tcPr>
            <w:tcW w:w="1984" w:type="dxa"/>
            <w:vAlign w:val="center"/>
          </w:tcPr>
          <w:p>
            <w:pPr>
              <w:spacing w:line="560" w:lineRule="exact"/>
              <w:ind w:firstLine="592" w:firstLineChars="282"/>
              <w:jc w:val="center"/>
              <w:rPr>
                <w:sz w:val="21"/>
                <w:szCs w:val="21"/>
              </w:rPr>
            </w:pPr>
            <w:r>
              <w:rPr>
                <w:sz w:val="21"/>
                <w:szCs w:val="21"/>
              </w:rPr>
              <w:t>19</w:t>
            </w:r>
          </w:p>
        </w:tc>
        <w:tc>
          <w:tcPr>
            <w:tcW w:w="1984" w:type="dxa"/>
            <w:vAlign w:val="center"/>
          </w:tcPr>
          <w:p>
            <w:pPr>
              <w:jc w:val="center"/>
              <w:rPr>
                <w:sz w:val="21"/>
                <w:szCs w:val="21"/>
              </w:rPr>
            </w:pPr>
            <w:r>
              <w:rPr>
                <w:rFonts w:hint="eastAsia"/>
                <w:sz w:val="21"/>
                <w:szCs w:val="21"/>
              </w:rPr>
              <w:t>汽车运输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1036" w:type="dxa"/>
            <w:tcBorders>
              <w:top w:val="single" w:color="000000" w:sz="6" w:space="0"/>
              <w:left w:val="single" w:color="000000" w:sz="12" w:space="0"/>
              <w:bottom w:val="single" w:color="000000" w:sz="12" w:space="0"/>
              <w:right w:val="single" w:color="000000" w:sz="6" w:space="0"/>
            </w:tcBorders>
            <w:vAlign w:val="center"/>
          </w:tcPr>
          <w:p>
            <w:pPr>
              <w:spacing w:line="560" w:lineRule="exact"/>
              <w:ind w:firstLine="592" w:firstLineChars="282"/>
              <w:jc w:val="center"/>
              <w:rPr>
                <w:sz w:val="21"/>
                <w:szCs w:val="21"/>
              </w:rPr>
            </w:pPr>
            <w:r>
              <w:rPr>
                <w:sz w:val="21"/>
                <w:szCs w:val="21"/>
              </w:rPr>
              <w:t>7</w:t>
            </w:r>
          </w:p>
        </w:tc>
        <w:tc>
          <w:tcPr>
            <w:tcW w:w="2720" w:type="dxa"/>
            <w:tcBorders>
              <w:top w:val="single" w:color="000000" w:sz="6" w:space="0"/>
              <w:left w:val="single" w:color="000000" w:sz="6" w:space="0"/>
              <w:bottom w:val="single" w:color="000000" w:sz="12" w:space="0"/>
              <w:right w:val="single" w:color="000000" w:sz="6" w:space="0"/>
            </w:tcBorders>
            <w:vAlign w:val="center"/>
          </w:tcPr>
          <w:p>
            <w:pPr>
              <w:spacing w:line="560" w:lineRule="exact"/>
              <w:ind w:firstLine="592" w:firstLineChars="282"/>
              <w:jc w:val="center"/>
              <w:rPr>
                <w:sz w:val="21"/>
                <w:szCs w:val="21"/>
              </w:rPr>
            </w:pPr>
            <w:r>
              <w:rPr>
                <w:rFonts w:hAnsi="宋体"/>
                <w:sz w:val="21"/>
                <w:szCs w:val="21"/>
              </w:rPr>
              <w:t>水泥（出）</w:t>
            </w:r>
          </w:p>
        </w:tc>
        <w:tc>
          <w:tcPr>
            <w:tcW w:w="1460" w:type="dxa"/>
            <w:tcBorders>
              <w:top w:val="single" w:color="000000" w:sz="6" w:space="0"/>
              <w:left w:val="single" w:color="000000" w:sz="6" w:space="0"/>
              <w:bottom w:val="single" w:color="000000" w:sz="12" w:space="0"/>
              <w:right w:val="single" w:color="000000" w:sz="6" w:space="0"/>
            </w:tcBorders>
            <w:vAlign w:val="center"/>
          </w:tcPr>
          <w:p>
            <w:pPr>
              <w:spacing w:line="560" w:lineRule="exact"/>
              <w:ind w:firstLine="592" w:firstLineChars="282"/>
              <w:jc w:val="center"/>
              <w:rPr>
                <w:sz w:val="21"/>
                <w:szCs w:val="21"/>
              </w:rPr>
            </w:pPr>
            <w:r>
              <w:rPr>
                <w:rFonts w:hAnsi="宋体"/>
                <w:sz w:val="21"/>
                <w:szCs w:val="21"/>
              </w:rPr>
              <w:t>万</w:t>
            </w:r>
            <w:r>
              <w:rPr>
                <w:sz w:val="21"/>
                <w:szCs w:val="21"/>
              </w:rPr>
              <w:t>t/a</w:t>
            </w:r>
          </w:p>
        </w:tc>
        <w:tc>
          <w:tcPr>
            <w:tcW w:w="1984" w:type="dxa"/>
            <w:tcBorders>
              <w:top w:val="single" w:color="000000" w:sz="6" w:space="0"/>
              <w:left w:val="single" w:color="000000" w:sz="6" w:space="0"/>
              <w:bottom w:val="single" w:color="000000" w:sz="12" w:space="0"/>
              <w:right w:val="single" w:color="000000" w:sz="6" w:space="0"/>
            </w:tcBorders>
            <w:vAlign w:val="center"/>
          </w:tcPr>
          <w:p>
            <w:pPr>
              <w:spacing w:line="560" w:lineRule="exact"/>
              <w:ind w:firstLine="592" w:firstLineChars="282"/>
              <w:jc w:val="center"/>
              <w:rPr>
                <w:rFonts w:hint="eastAsia"/>
                <w:sz w:val="21"/>
                <w:szCs w:val="21"/>
              </w:rPr>
            </w:pPr>
            <w:r>
              <w:rPr>
                <w:sz w:val="21"/>
                <w:szCs w:val="21"/>
              </w:rPr>
              <w:t>1</w:t>
            </w:r>
            <w:r>
              <w:rPr>
                <w:rFonts w:hint="eastAsia"/>
                <w:sz w:val="21"/>
                <w:szCs w:val="21"/>
              </w:rPr>
              <w:t>00</w:t>
            </w:r>
          </w:p>
        </w:tc>
        <w:tc>
          <w:tcPr>
            <w:tcW w:w="1984" w:type="dxa"/>
            <w:tcBorders>
              <w:top w:val="single" w:color="000000" w:sz="6" w:space="0"/>
              <w:left w:val="single" w:color="000000" w:sz="6" w:space="0"/>
              <w:bottom w:val="single" w:color="000000" w:sz="12" w:space="0"/>
              <w:right w:val="single" w:color="000000" w:sz="6" w:space="0"/>
            </w:tcBorders>
            <w:vAlign w:val="center"/>
          </w:tcPr>
          <w:p>
            <w:pPr>
              <w:jc w:val="center"/>
              <w:rPr>
                <w:sz w:val="21"/>
                <w:szCs w:val="21"/>
              </w:rPr>
            </w:pPr>
            <w:r>
              <w:rPr>
                <w:rFonts w:hint="eastAsia"/>
                <w:sz w:val="21"/>
                <w:szCs w:val="21"/>
              </w:rPr>
              <w:t>汽车运输</w:t>
            </w:r>
          </w:p>
        </w:tc>
      </w:tr>
    </w:tbl>
    <w:p>
      <w:pPr>
        <w:spacing w:line="480" w:lineRule="exact"/>
        <w:jc w:val="center"/>
        <w:rPr>
          <w:rFonts w:hint="eastAsia" w:ascii="宋体" w:hAnsi="宋体"/>
          <w:b/>
        </w:rPr>
      </w:pPr>
    </w:p>
    <w:p>
      <w:pPr>
        <w:spacing w:line="360" w:lineRule="auto"/>
        <w:outlineLvl w:val="2"/>
        <w:rPr>
          <w:rFonts w:hint="eastAsia"/>
          <w:b/>
          <w:bCs/>
          <w:szCs w:val="20"/>
        </w:rPr>
      </w:pPr>
      <w:bookmarkStart w:id="129" w:name="_Toc165607353"/>
      <w:bookmarkStart w:id="130" w:name="_Toc175479795"/>
      <w:bookmarkStart w:id="131" w:name="_Toc129763708"/>
      <w:bookmarkStart w:id="132" w:name="_Toc473281498"/>
      <w:bookmarkStart w:id="133" w:name="_Toc189814140"/>
      <w:r>
        <w:rPr>
          <w:rFonts w:hint="eastAsia"/>
          <w:b/>
          <w:bCs/>
          <w:szCs w:val="20"/>
        </w:rPr>
        <w:t>3.1</w:t>
      </w:r>
      <w:r>
        <w:rPr>
          <w:b/>
          <w:bCs/>
          <w:szCs w:val="20"/>
        </w:rPr>
        <w:t>.</w:t>
      </w:r>
      <w:r>
        <w:rPr>
          <w:rFonts w:hint="eastAsia"/>
          <w:b/>
          <w:bCs/>
          <w:szCs w:val="20"/>
        </w:rPr>
        <w:t>12</w:t>
      </w:r>
      <w:r>
        <w:rPr>
          <w:b/>
          <w:bCs/>
          <w:szCs w:val="20"/>
        </w:rPr>
        <w:t xml:space="preserve"> </w:t>
      </w:r>
      <w:r>
        <w:rPr>
          <w:rFonts w:hint="eastAsia"/>
          <w:b/>
          <w:bCs/>
          <w:szCs w:val="20"/>
        </w:rPr>
        <w:t>主要技术经济指标</w:t>
      </w:r>
      <w:bookmarkEnd w:id="129"/>
      <w:bookmarkEnd w:id="130"/>
      <w:bookmarkEnd w:id="131"/>
      <w:bookmarkEnd w:id="132"/>
      <w:bookmarkEnd w:id="133"/>
    </w:p>
    <w:p>
      <w:pPr>
        <w:spacing w:line="460" w:lineRule="exact"/>
        <w:ind w:firstLine="411" w:firstLineChars="196"/>
        <w:rPr>
          <w:rFonts w:hint="eastAsia"/>
        </w:rPr>
      </w:pPr>
      <w:r>
        <w:rPr>
          <w:rFonts w:hint="eastAsia"/>
        </w:rPr>
        <w:t>技改项目主要技术经济指标见表3-10。</w:t>
      </w:r>
    </w:p>
    <w:p>
      <w:pPr>
        <w:spacing w:line="480" w:lineRule="exact"/>
        <w:jc w:val="center"/>
        <w:rPr>
          <w:rFonts w:hint="eastAsia" w:ascii="宋体" w:hAnsi="宋体"/>
          <w:b/>
        </w:rPr>
      </w:pPr>
      <w:r>
        <w:rPr>
          <w:rFonts w:hint="eastAsia" w:ascii="宋体" w:hAnsi="宋体"/>
          <w:b/>
        </w:rPr>
        <w:t>表3-10   技改项目主要技术经济指标</w:t>
      </w:r>
    </w:p>
    <w:tbl>
      <w:tblPr>
        <w:tblStyle w:val="21"/>
        <w:tblW w:w="8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24"/>
        <w:gridCol w:w="3160"/>
        <w:gridCol w:w="1564"/>
        <w:gridCol w:w="1620"/>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序号</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指标名称</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单位</w:t>
            </w: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指标数量</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工厂建设规模</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t/d</w:t>
            </w: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2500</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产品：水泥</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万t/a</w:t>
            </w: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100.00</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2</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主要原、燃料消耗量</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2.1</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石灰石</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万t/a</w:t>
            </w: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101.9</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2.2</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砂岩</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万t/a</w:t>
            </w: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6.7</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2.3</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煤矸石</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万t/a</w:t>
            </w: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9.2</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2.4</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硫酸渣</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万t/a</w:t>
            </w: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1.58</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2.5</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原  煤</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万t/a</w:t>
            </w:r>
          </w:p>
        </w:tc>
        <w:tc>
          <w:tcPr>
            <w:tcW w:w="1620" w:type="dxa"/>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11.86</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3</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生产方法</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新型干法</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4</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主要生产设备</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4.1</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辊压机联合粉磨系统</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套</w:t>
            </w: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其中：辊压机</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台</w:t>
            </w: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Φ4.2Χ13m水泥磨</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台</w:t>
            </w: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4.2</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五级旋风预热器+分解炉</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套</w:t>
            </w: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4.3</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φ4.0×60回转窑</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台</w:t>
            </w: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4.4</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控制流篦冷机</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台</w:t>
            </w: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4.5</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煤  磨</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台</w:t>
            </w: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4.6</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4500kW纯低温余热发电机组</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套</w:t>
            </w: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spacing w:line="500" w:lineRule="exact"/>
              <w:jc w:val="center"/>
              <w:rPr>
                <w:rFonts w:ascii="宋体" w:hAnsi="宋体"/>
                <w:sz w:val="21"/>
                <w:szCs w:val="21"/>
              </w:rPr>
            </w:pPr>
            <w:r>
              <w:rPr>
                <w:rFonts w:ascii="宋体" w:hAnsi="宋体"/>
                <w:sz w:val="21"/>
                <w:szCs w:val="21"/>
              </w:rPr>
              <w:t>5</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全厂技术性指标</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19" w:type="dxa"/>
            <w:vAlign w:val="center"/>
          </w:tcPr>
          <w:p>
            <w:pPr>
              <w:spacing w:line="500" w:lineRule="exact"/>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spacing w:line="500" w:lineRule="exact"/>
              <w:jc w:val="center"/>
              <w:rPr>
                <w:rFonts w:ascii="宋体" w:hAnsi="宋体"/>
                <w:sz w:val="21"/>
                <w:szCs w:val="21"/>
              </w:rPr>
            </w:pPr>
            <w:r>
              <w:rPr>
                <w:rFonts w:ascii="宋体" w:hAnsi="宋体"/>
                <w:sz w:val="21"/>
                <w:szCs w:val="21"/>
              </w:rPr>
              <w:t>5.1</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水泥生产年耗电量</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kW h/a</w:t>
            </w: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9481×10</w:t>
            </w:r>
            <w:r>
              <w:rPr>
                <w:rFonts w:ascii="宋体" w:hAnsi="宋体"/>
                <w:sz w:val="21"/>
                <w:szCs w:val="21"/>
                <w:vertAlign w:val="superscript"/>
              </w:rPr>
              <w:t>4</w:t>
            </w:r>
          </w:p>
        </w:tc>
        <w:tc>
          <w:tcPr>
            <w:tcW w:w="1619" w:type="dxa"/>
            <w:vAlign w:val="center"/>
          </w:tcPr>
          <w:p>
            <w:pPr>
              <w:spacing w:line="500" w:lineRule="exact"/>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spacing w:line="500" w:lineRule="exact"/>
              <w:jc w:val="center"/>
              <w:rPr>
                <w:rFonts w:ascii="宋体" w:hAnsi="宋体"/>
                <w:sz w:val="21"/>
                <w:szCs w:val="21"/>
              </w:rPr>
            </w:pPr>
            <w:r>
              <w:rPr>
                <w:rFonts w:ascii="宋体" w:hAnsi="宋体"/>
                <w:sz w:val="21"/>
                <w:szCs w:val="21"/>
              </w:rPr>
              <w:t>5.2</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日耗水量</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m</w:t>
            </w:r>
            <w:r>
              <w:rPr>
                <w:rFonts w:ascii="宋体" w:hAnsi="宋体"/>
                <w:sz w:val="21"/>
                <w:szCs w:val="21"/>
                <w:vertAlign w:val="superscript"/>
              </w:rPr>
              <w:t>3</w:t>
            </w:r>
            <w:r>
              <w:rPr>
                <w:rFonts w:ascii="宋体" w:hAnsi="宋体"/>
                <w:sz w:val="21"/>
                <w:szCs w:val="21"/>
              </w:rPr>
              <w:t>/d</w:t>
            </w:r>
          </w:p>
        </w:tc>
        <w:tc>
          <w:tcPr>
            <w:tcW w:w="1620" w:type="dxa"/>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2642.3</w:t>
            </w:r>
          </w:p>
        </w:tc>
        <w:tc>
          <w:tcPr>
            <w:tcW w:w="1619" w:type="dxa"/>
            <w:vAlign w:val="center"/>
          </w:tcPr>
          <w:p>
            <w:pPr>
              <w:spacing w:line="500" w:lineRule="exact"/>
              <w:jc w:val="center"/>
              <w:rPr>
                <w:rFonts w:ascii="宋体" w:hAnsi="宋体"/>
                <w:sz w:val="21"/>
                <w:szCs w:val="21"/>
              </w:rPr>
            </w:pPr>
            <w:r>
              <w:rPr>
                <w:rFonts w:ascii="宋体" w:hAnsi="宋体"/>
                <w:sz w:val="21"/>
                <w:szCs w:val="21"/>
              </w:rPr>
              <w:t>含</w:t>
            </w:r>
            <w:r>
              <w:rPr>
                <w:rFonts w:hint="eastAsia" w:ascii="宋体" w:hAnsi="宋体"/>
                <w:sz w:val="21"/>
                <w:szCs w:val="21"/>
              </w:rPr>
              <w:t>余热</w:t>
            </w:r>
            <w:r>
              <w:rPr>
                <w:rFonts w:ascii="宋体" w:hAnsi="宋体"/>
                <w:sz w:val="21"/>
                <w:szCs w:val="21"/>
              </w:rPr>
              <w:t>发电用水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spacing w:line="500" w:lineRule="exact"/>
              <w:jc w:val="center"/>
              <w:rPr>
                <w:rFonts w:ascii="宋体" w:hAnsi="宋体"/>
                <w:sz w:val="21"/>
                <w:szCs w:val="21"/>
              </w:rPr>
            </w:pPr>
            <w:r>
              <w:rPr>
                <w:rFonts w:ascii="宋体" w:hAnsi="宋体"/>
                <w:sz w:val="21"/>
                <w:szCs w:val="21"/>
              </w:rPr>
              <w:t>5.3</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余热发电可供量</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kW h/a</w:t>
            </w: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2479×10</w:t>
            </w:r>
            <w:r>
              <w:rPr>
                <w:rFonts w:ascii="宋体" w:hAnsi="宋体"/>
                <w:sz w:val="21"/>
                <w:szCs w:val="21"/>
                <w:vertAlign w:val="superscript"/>
              </w:rPr>
              <w:t>4</w:t>
            </w:r>
          </w:p>
        </w:tc>
        <w:tc>
          <w:tcPr>
            <w:tcW w:w="1619" w:type="dxa"/>
            <w:vAlign w:val="center"/>
          </w:tcPr>
          <w:p>
            <w:pPr>
              <w:spacing w:line="500" w:lineRule="exact"/>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spacing w:line="500" w:lineRule="exact"/>
              <w:jc w:val="center"/>
              <w:rPr>
                <w:rFonts w:ascii="宋体" w:hAnsi="宋体"/>
                <w:sz w:val="21"/>
                <w:szCs w:val="21"/>
              </w:rPr>
            </w:pPr>
            <w:r>
              <w:rPr>
                <w:rFonts w:ascii="宋体" w:hAnsi="宋体"/>
                <w:sz w:val="21"/>
                <w:szCs w:val="21"/>
              </w:rPr>
              <w:t>5.4</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吨熟料余热发电量</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kW</w:t>
            </w:r>
            <w:r>
              <w:rPr>
                <w:rFonts w:ascii="宋体" w:hAnsi="宋体"/>
                <w:sz w:val="21"/>
                <w:szCs w:val="21"/>
              </w:rPr>
              <w:sym w:font="Symbol" w:char="F0D7"/>
            </w:r>
            <w:r>
              <w:rPr>
                <w:rFonts w:ascii="宋体" w:hAnsi="宋体"/>
                <w:sz w:val="21"/>
                <w:szCs w:val="21"/>
              </w:rPr>
              <w:t>h/t</w:t>
            </w: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32</w:t>
            </w:r>
          </w:p>
        </w:tc>
        <w:tc>
          <w:tcPr>
            <w:tcW w:w="1619" w:type="dxa"/>
            <w:vAlign w:val="center"/>
          </w:tcPr>
          <w:p>
            <w:pPr>
              <w:spacing w:line="500" w:lineRule="exact"/>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spacing w:line="500" w:lineRule="exact"/>
              <w:jc w:val="center"/>
              <w:rPr>
                <w:rFonts w:ascii="宋体" w:hAnsi="宋体"/>
                <w:sz w:val="21"/>
                <w:szCs w:val="21"/>
              </w:rPr>
            </w:pPr>
            <w:r>
              <w:rPr>
                <w:rFonts w:ascii="宋体" w:hAnsi="宋体"/>
                <w:sz w:val="21"/>
                <w:szCs w:val="21"/>
              </w:rPr>
              <w:t>5.5</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循环水利用率</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w:t>
            </w:r>
          </w:p>
        </w:tc>
        <w:tc>
          <w:tcPr>
            <w:tcW w:w="1620" w:type="dxa"/>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ascii="宋体" w:hAnsi="宋体"/>
                <w:sz w:val="21"/>
                <w:szCs w:val="21"/>
              </w:rPr>
              <w:t>96</w:t>
            </w:r>
            <w:r>
              <w:rPr>
                <w:rFonts w:hint="eastAsia" w:ascii="宋体" w:hAnsi="宋体"/>
                <w:sz w:val="21"/>
                <w:szCs w:val="21"/>
              </w:rPr>
              <w:t>.4</w:t>
            </w:r>
          </w:p>
        </w:tc>
        <w:tc>
          <w:tcPr>
            <w:tcW w:w="1619" w:type="dxa"/>
            <w:vAlign w:val="center"/>
          </w:tcPr>
          <w:p>
            <w:pPr>
              <w:spacing w:line="500" w:lineRule="exact"/>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6</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项目总资金</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36173.97</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6.1</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建设总投资</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vAlign w:val="center"/>
          </w:tcPr>
          <w:p>
            <w:pPr>
              <w:spacing w:line="500" w:lineRule="exact"/>
              <w:jc w:val="center"/>
              <w:rPr>
                <w:rFonts w:hint="eastAsia" w:ascii="宋体" w:hAnsi="宋体"/>
                <w:sz w:val="21"/>
                <w:szCs w:val="21"/>
              </w:rPr>
            </w:pPr>
            <w:r>
              <w:rPr>
                <w:rFonts w:hint="eastAsia" w:ascii="宋体" w:hAnsi="宋体"/>
                <w:sz w:val="21"/>
                <w:szCs w:val="21"/>
              </w:rPr>
              <w:t>38253.8</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其中：</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20" w:type="dxa"/>
            <w:vAlign w:val="center"/>
          </w:tcPr>
          <w:p>
            <w:pPr>
              <w:spacing w:line="500" w:lineRule="exact"/>
              <w:jc w:val="center"/>
              <w:rPr>
                <w:rFonts w:ascii="宋体" w:hAnsi="宋体"/>
                <w:sz w:val="21"/>
                <w:szCs w:val="21"/>
              </w:rPr>
            </w:pP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建筑工程</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vAlign w:val="center"/>
          </w:tcPr>
          <w:p>
            <w:pPr>
              <w:spacing w:line="500" w:lineRule="exact"/>
              <w:jc w:val="center"/>
              <w:rPr>
                <w:rFonts w:hint="eastAsia" w:ascii="宋体" w:hAnsi="宋体"/>
                <w:sz w:val="21"/>
                <w:szCs w:val="21"/>
              </w:rPr>
            </w:pPr>
            <w:r>
              <w:rPr>
                <w:rFonts w:hint="eastAsia" w:ascii="宋体" w:hAnsi="宋体"/>
                <w:sz w:val="21"/>
                <w:szCs w:val="21"/>
              </w:rPr>
              <w:t>10500.4</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设备购置</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vAlign w:val="center"/>
          </w:tcPr>
          <w:p>
            <w:pPr>
              <w:spacing w:line="500" w:lineRule="exact"/>
              <w:jc w:val="center"/>
              <w:rPr>
                <w:rFonts w:hint="eastAsia" w:ascii="宋体" w:hAnsi="宋体"/>
                <w:sz w:val="21"/>
                <w:szCs w:val="21"/>
              </w:rPr>
            </w:pPr>
            <w:r>
              <w:rPr>
                <w:rFonts w:hint="eastAsia" w:ascii="宋体" w:hAnsi="宋体"/>
                <w:sz w:val="21"/>
                <w:szCs w:val="21"/>
              </w:rPr>
              <w:t>18676.6</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安装工程</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vAlign w:val="center"/>
          </w:tcPr>
          <w:p>
            <w:pPr>
              <w:spacing w:line="500" w:lineRule="exact"/>
              <w:jc w:val="center"/>
              <w:rPr>
                <w:rFonts w:hint="eastAsia" w:ascii="宋体" w:hAnsi="宋体"/>
                <w:sz w:val="21"/>
                <w:szCs w:val="21"/>
              </w:rPr>
            </w:pPr>
            <w:r>
              <w:rPr>
                <w:rFonts w:hint="eastAsia" w:ascii="宋体" w:hAnsi="宋体"/>
                <w:sz w:val="21"/>
                <w:szCs w:val="21"/>
              </w:rPr>
              <w:t>4120.1</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其它费用</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vAlign w:val="center"/>
          </w:tcPr>
          <w:p>
            <w:pPr>
              <w:spacing w:line="500" w:lineRule="exact"/>
              <w:jc w:val="center"/>
              <w:rPr>
                <w:rFonts w:hint="eastAsia" w:ascii="宋体" w:hAnsi="宋体"/>
                <w:sz w:val="21"/>
                <w:szCs w:val="21"/>
              </w:rPr>
            </w:pPr>
            <w:r>
              <w:rPr>
                <w:rFonts w:hint="eastAsia" w:ascii="宋体" w:hAnsi="宋体"/>
                <w:sz w:val="21"/>
                <w:szCs w:val="21"/>
              </w:rPr>
              <w:t>4965.7</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设备材料涨价预备金</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vAlign w:val="center"/>
          </w:tcPr>
          <w:p>
            <w:pPr>
              <w:spacing w:line="500" w:lineRule="exact"/>
              <w:jc w:val="center"/>
              <w:rPr>
                <w:rFonts w:hint="eastAsia" w:ascii="宋体" w:hAnsi="宋体"/>
                <w:sz w:val="21"/>
                <w:szCs w:val="21"/>
              </w:rPr>
            </w:pPr>
            <w:r>
              <w:rPr>
                <w:rFonts w:hint="eastAsia" w:ascii="宋体" w:hAnsi="宋体"/>
                <w:sz w:val="21"/>
                <w:szCs w:val="21"/>
              </w:rPr>
              <w:t>1087</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建设期利息</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812.7</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6.2</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流动资金</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2500</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其中：铺底流动资金</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750</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7</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单位指标</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7</w:t>
            </w:r>
            <w:r>
              <w:rPr>
                <w:rFonts w:ascii="宋体" w:hAnsi="宋体"/>
                <w:sz w:val="21"/>
                <w:szCs w:val="21"/>
              </w:rPr>
              <w:t>.1</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熟料料耗</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kg/kg</w:t>
            </w: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1.518</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7</w:t>
            </w:r>
            <w:r>
              <w:rPr>
                <w:rFonts w:ascii="宋体" w:hAnsi="宋体"/>
                <w:sz w:val="21"/>
                <w:szCs w:val="21"/>
              </w:rPr>
              <w:t>.2</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熟料热耗</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kJ/kg-cl</w:t>
            </w: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2969</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7</w:t>
            </w:r>
            <w:r>
              <w:rPr>
                <w:rFonts w:ascii="宋体" w:hAnsi="宋体"/>
                <w:sz w:val="21"/>
                <w:szCs w:val="21"/>
              </w:rPr>
              <w:t>.3</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水泥吨投资</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元/t</w:t>
            </w:r>
          </w:p>
        </w:tc>
        <w:tc>
          <w:tcPr>
            <w:tcW w:w="1620" w:type="dxa"/>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330.6</w:t>
            </w:r>
          </w:p>
        </w:tc>
        <w:tc>
          <w:tcPr>
            <w:tcW w:w="1619" w:type="dxa"/>
            <w:vAlign w:val="center"/>
          </w:tcPr>
          <w:p>
            <w:pPr>
              <w:pStyle w:val="10"/>
              <w:widowControl/>
              <w:snapToGrid w:val="0"/>
              <w:spacing w:line="500" w:lineRule="exact"/>
              <w:ind w:left="6000"/>
              <w:jc w:val="center"/>
              <w:textAlignment w:val="bottom"/>
              <w:rPr>
                <w:rFonts w:ascii="宋体" w:hAnsi="宋体"/>
                <w:sz w:val="21"/>
                <w:szCs w:val="21"/>
              </w:rPr>
            </w:pPr>
            <w:r>
              <w:rPr>
                <w:rFonts w:ascii="宋体" w:hAnsi="宋体"/>
                <w:sz w:val="21"/>
                <w:szCs w:val="21"/>
              </w:rPr>
              <w:t>建设总投资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7</w:t>
            </w:r>
            <w:r>
              <w:rPr>
                <w:rFonts w:ascii="宋体" w:hAnsi="宋体"/>
                <w:sz w:val="21"/>
                <w:szCs w:val="21"/>
              </w:rPr>
              <w:t>.4</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水泥综合电耗</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kWh/t</w:t>
            </w:r>
          </w:p>
        </w:tc>
        <w:tc>
          <w:tcPr>
            <w:tcW w:w="1620" w:type="dxa"/>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91.8</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7</w:t>
            </w:r>
            <w:r>
              <w:rPr>
                <w:rFonts w:ascii="宋体" w:hAnsi="宋体"/>
                <w:sz w:val="21"/>
                <w:szCs w:val="21"/>
              </w:rPr>
              <w:t>.5</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产品总成本</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元/t</w:t>
            </w:r>
          </w:p>
        </w:tc>
        <w:tc>
          <w:tcPr>
            <w:tcW w:w="1620" w:type="dxa"/>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20871.8</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生产期平均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8</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职工人数及劳动生产率</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8</w:t>
            </w:r>
            <w:r>
              <w:rPr>
                <w:rFonts w:ascii="宋体" w:hAnsi="宋体"/>
                <w:sz w:val="21"/>
                <w:szCs w:val="21"/>
              </w:rPr>
              <w:t>.1</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职工人数</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人</w:t>
            </w: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273</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含余热发电部分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8</w:t>
            </w:r>
            <w:r>
              <w:rPr>
                <w:rFonts w:ascii="宋体" w:hAnsi="宋体"/>
                <w:sz w:val="21"/>
                <w:szCs w:val="21"/>
              </w:rPr>
              <w:t>.2</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全员劳动生产率</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t/人·a</w:t>
            </w:r>
          </w:p>
        </w:tc>
        <w:tc>
          <w:tcPr>
            <w:tcW w:w="1620" w:type="dxa"/>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3663</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9</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财务评价指标</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2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.1</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年销售额</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vAlign w:val="center"/>
          </w:tcPr>
          <w:p>
            <w:pPr>
              <w:widowControl/>
              <w:spacing w:line="500" w:lineRule="exact"/>
              <w:jc w:val="center"/>
              <w:textAlignment w:val="bottom"/>
              <w:rPr>
                <w:rFonts w:ascii="宋体" w:hAnsi="宋体"/>
                <w:sz w:val="21"/>
                <w:szCs w:val="21"/>
              </w:rPr>
            </w:pPr>
            <w:r>
              <w:rPr>
                <w:rFonts w:hint="eastAsia" w:ascii="宋体" w:hAnsi="宋体"/>
                <w:sz w:val="21"/>
                <w:szCs w:val="21"/>
              </w:rPr>
              <w:t>27320</w:t>
            </w:r>
          </w:p>
        </w:tc>
        <w:tc>
          <w:tcPr>
            <w:tcW w:w="1619" w:type="dxa"/>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.2</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年销售成本</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vAlign w:val="center"/>
          </w:tcPr>
          <w:p>
            <w:pPr>
              <w:widowControl/>
              <w:spacing w:line="500" w:lineRule="exact"/>
              <w:jc w:val="center"/>
              <w:textAlignment w:val="bottom"/>
              <w:rPr>
                <w:rFonts w:ascii="宋体" w:hAnsi="宋体"/>
                <w:sz w:val="21"/>
                <w:szCs w:val="21"/>
              </w:rPr>
            </w:pPr>
            <w:r>
              <w:rPr>
                <w:rFonts w:hint="eastAsia" w:ascii="宋体" w:hAnsi="宋体"/>
                <w:sz w:val="21"/>
                <w:szCs w:val="21"/>
              </w:rPr>
              <w:t>20871.8</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.3</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年销售税金</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vAlign w:val="center"/>
          </w:tcPr>
          <w:p>
            <w:pPr>
              <w:widowControl/>
              <w:spacing w:line="500" w:lineRule="exact"/>
              <w:jc w:val="center"/>
              <w:textAlignment w:val="bottom"/>
              <w:rPr>
                <w:rFonts w:ascii="宋体" w:hAnsi="宋体"/>
                <w:sz w:val="21"/>
                <w:szCs w:val="21"/>
              </w:rPr>
            </w:pPr>
            <w:r>
              <w:rPr>
                <w:rFonts w:hint="eastAsia" w:ascii="宋体" w:hAnsi="宋体"/>
                <w:sz w:val="21"/>
                <w:szCs w:val="21"/>
              </w:rPr>
              <w:t>2595.4</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.4</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年销售税金附加</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vAlign w:val="center"/>
          </w:tcPr>
          <w:p>
            <w:pPr>
              <w:widowControl/>
              <w:spacing w:line="500" w:lineRule="exact"/>
              <w:jc w:val="center"/>
              <w:textAlignment w:val="bottom"/>
              <w:rPr>
                <w:rFonts w:ascii="宋体" w:hAnsi="宋体"/>
                <w:sz w:val="21"/>
                <w:szCs w:val="21"/>
              </w:rPr>
            </w:pPr>
            <w:r>
              <w:rPr>
                <w:rFonts w:hint="eastAsia" w:ascii="宋体" w:hAnsi="宋体"/>
                <w:sz w:val="21"/>
                <w:szCs w:val="21"/>
              </w:rPr>
              <w:t>285.5</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.5</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年资源税</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vAlign w:val="center"/>
          </w:tcPr>
          <w:p>
            <w:pPr>
              <w:widowControl/>
              <w:spacing w:line="500" w:lineRule="exact"/>
              <w:jc w:val="center"/>
              <w:textAlignment w:val="bottom"/>
              <w:rPr>
                <w:rFonts w:ascii="宋体" w:hAnsi="宋体"/>
                <w:sz w:val="21"/>
                <w:szCs w:val="21"/>
              </w:rPr>
            </w:pPr>
            <w:r>
              <w:rPr>
                <w:rFonts w:ascii="宋体" w:hAnsi="宋体"/>
                <w:sz w:val="21"/>
                <w:szCs w:val="21"/>
              </w:rPr>
              <w:t>0</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.6</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年利润总额</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vAlign w:val="center"/>
          </w:tcPr>
          <w:p>
            <w:pPr>
              <w:widowControl/>
              <w:spacing w:line="500" w:lineRule="exact"/>
              <w:jc w:val="center"/>
              <w:textAlignment w:val="bottom"/>
              <w:rPr>
                <w:rFonts w:ascii="宋体" w:hAnsi="宋体"/>
                <w:sz w:val="21"/>
                <w:szCs w:val="21"/>
              </w:rPr>
            </w:pPr>
            <w:r>
              <w:rPr>
                <w:rFonts w:hint="eastAsia" w:ascii="宋体" w:hAnsi="宋体"/>
                <w:sz w:val="21"/>
                <w:szCs w:val="21"/>
              </w:rPr>
              <w:t>6163.2</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.7</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年所得税</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vAlign w:val="center"/>
          </w:tcPr>
          <w:p>
            <w:pPr>
              <w:widowControl/>
              <w:spacing w:line="500" w:lineRule="exact"/>
              <w:jc w:val="center"/>
              <w:textAlignment w:val="bottom"/>
              <w:rPr>
                <w:rFonts w:hint="eastAsia" w:ascii="宋体" w:hAnsi="宋体"/>
                <w:sz w:val="21"/>
                <w:szCs w:val="21"/>
              </w:rPr>
            </w:pPr>
            <w:r>
              <w:rPr>
                <w:rFonts w:hint="eastAsia" w:ascii="宋体" w:hAnsi="宋体"/>
                <w:sz w:val="21"/>
                <w:szCs w:val="21"/>
              </w:rPr>
              <w:t>924.5</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.8</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年可分配利润</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vAlign w:val="center"/>
          </w:tcPr>
          <w:p>
            <w:pPr>
              <w:widowControl/>
              <w:spacing w:line="500" w:lineRule="exact"/>
              <w:jc w:val="center"/>
              <w:textAlignment w:val="bottom"/>
              <w:rPr>
                <w:rFonts w:hint="eastAsia" w:ascii="宋体" w:hAnsi="宋体"/>
                <w:sz w:val="21"/>
                <w:szCs w:val="21"/>
              </w:rPr>
            </w:pPr>
            <w:r>
              <w:rPr>
                <w:rFonts w:hint="eastAsia" w:ascii="宋体" w:hAnsi="宋体"/>
                <w:sz w:val="21"/>
                <w:szCs w:val="21"/>
              </w:rPr>
              <w:t>5238.7</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.9</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投资利润率（税前）</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w:t>
            </w:r>
          </w:p>
        </w:tc>
        <w:tc>
          <w:tcPr>
            <w:tcW w:w="1620" w:type="dxa"/>
            <w:vAlign w:val="center"/>
          </w:tcPr>
          <w:p>
            <w:pPr>
              <w:widowControl/>
              <w:spacing w:line="500" w:lineRule="exact"/>
              <w:jc w:val="center"/>
              <w:textAlignment w:val="bottom"/>
              <w:rPr>
                <w:rFonts w:hint="eastAsia" w:ascii="宋体" w:hAnsi="宋体"/>
                <w:sz w:val="21"/>
                <w:szCs w:val="21"/>
              </w:rPr>
            </w:pPr>
            <w:r>
              <w:rPr>
                <w:rFonts w:hint="eastAsia" w:ascii="宋体" w:hAnsi="宋体"/>
                <w:sz w:val="21"/>
                <w:szCs w:val="21"/>
              </w:rPr>
              <w:t>18.36</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.10</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投资利润率（税后）</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w:t>
            </w:r>
          </w:p>
        </w:tc>
        <w:tc>
          <w:tcPr>
            <w:tcW w:w="1620" w:type="dxa"/>
            <w:vAlign w:val="center"/>
          </w:tcPr>
          <w:p>
            <w:pPr>
              <w:widowControl/>
              <w:spacing w:line="500" w:lineRule="exact"/>
              <w:jc w:val="center"/>
              <w:textAlignment w:val="bottom"/>
              <w:rPr>
                <w:rFonts w:hint="eastAsia" w:ascii="宋体" w:hAnsi="宋体"/>
                <w:sz w:val="21"/>
                <w:szCs w:val="21"/>
              </w:rPr>
            </w:pPr>
            <w:r>
              <w:rPr>
                <w:rFonts w:hint="eastAsia" w:ascii="宋体" w:hAnsi="宋体"/>
                <w:sz w:val="21"/>
                <w:szCs w:val="21"/>
              </w:rPr>
              <w:t>27.30</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.12</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全投资财务内部收益率</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w:t>
            </w:r>
          </w:p>
        </w:tc>
        <w:tc>
          <w:tcPr>
            <w:tcW w:w="1620" w:type="dxa"/>
            <w:vAlign w:val="center"/>
          </w:tcPr>
          <w:p>
            <w:pPr>
              <w:widowControl/>
              <w:autoSpaceDE w:val="0"/>
              <w:autoSpaceDN w:val="0"/>
              <w:spacing w:line="500" w:lineRule="exact"/>
              <w:jc w:val="center"/>
              <w:textAlignment w:val="bottom"/>
              <w:rPr>
                <w:rFonts w:hint="eastAsia" w:ascii="宋体" w:hAnsi="宋体"/>
                <w:sz w:val="21"/>
                <w:szCs w:val="21"/>
              </w:rPr>
            </w:pPr>
            <w:r>
              <w:rPr>
                <w:rFonts w:hint="eastAsia" w:ascii="宋体" w:hAnsi="宋体"/>
                <w:sz w:val="21"/>
                <w:szCs w:val="21"/>
              </w:rPr>
              <w:t>25.18</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.13</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全投资静态投资回收期</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年</w:t>
            </w:r>
          </w:p>
        </w:tc>
        <w:tc>
          <w:tcPr>
            <w:tcW w:w="1620" w:type="dxa"/>
            <w:vAlign w:val="center"/>
          </w:tcPr>
          <w:p>
            <w:pPr>
              <w:widowControl/>
              <w:autoSpaceDE w:val="0"/>
              <w:autoSpaceDN w:val="0"/>
              <w:spacing w:line="500" w:lineRule="exact"/>
              <w:jc w:val="center"/>
              <w:textAlignment w:val="bottom"/>
              <w:rPr>
                <w:rFonts w:hint="eastAsia" w:ascii="宋体" w:hAnsi="宋体"/>
                <w:sz w:val="21"/>
                <w:szCs w:val="21"/>
              </w:rPr>
            </w:pPr>
            <w:r>
              <w:rPr>
                <w:rFonts w:hint="eastAsia" w:ascii="宋体" w:hAnsi="宋体"/>
                <w:sz w:val="21"/>
                <w:szCs w:val="21"/>
              </w:rPr>
              <w:t>5.49</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含建设期1年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exact"/>
          <w:jc w:val="center"/>
        </w:trPr>
        <w:tc>
          <w:tcPr>
            <w:tcW w:w="92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.14</w:t>
            </w:r>
          </w:p>
        </w:tc>
        <w:tc>
          <w:tcPr>
            <w:tcW w:w="3160"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贷款偿还期</w:t>
            </w:r>
          </w:p>
        </w:tc>
        <w:tc>
          <w:tcPr>
            <w:tcW w:w="1564"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年</w:t>
            </w:r>
          </w:p>
        </w:tc>
        <w:tc>
          <w:tcPr>
            <w:tcW w:w="1620" w:type="dxa"/>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4.95</w:t>
            </w:r>
          </w:p>
        </w:tc>
        <w:tc>
          <w:tcPr>
            <w:tcW w:w="1619" w:type="dxa"/>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含建设期1年</w:t>
            </w:r>
          </w:p>
        </w:tc>
      </w:tr>
    </w:tbl>
    <w:p>
      <w:pPr>
        <w:spacing w:line="460" w:lineRule="exact"/>
        <w:outlineLvl w:val="0"/>
        <w:rPr>
          <w:b/>
          <w:bCs/>
          <w:sz w:val="28"/>
          <w:szCs w:val="28"/>
        </w:rPr>
        <w:sectPr>
          <w:pgSz w:w="11906" w:h="16838"/>
          <w:pgMar w:top="1134" w:right="1418" w:bottom="1134" w:left="1418" w:header="851" w:footer="992" w:gutter="0"/>
          <w:paperSrc w:first="20070" w:other="20070"/>
          <w:cols w:space="425" w:num="1"/>
          <w:docGrid w:linePitch="312" w:charSpace="0"/>
        </w:sectPr>
      </w:pPr>
      <w:bookmarkStart w:id="134" w:name="_Toc473281499"/>
      <w:bookmarkStart w:id="135" w:name="_Toc175479796"/>
      <w:bookmarkStart w:id="136" w:name="_Toc174241351"/>
      <w:bookmarkStart w:id="137" w:name="_Toc155859738"/>
    </w:p>
    <w:p>
      <w:pPr>
        <w:spacing w:line="360" w:lineRule="auto"/>
        <w:outlineLvl w:val="1"/>
        <w:rPr>
          <w:rFonts w:hint="eastAsia"/>
          <w:b/>
          <w:szCs w:val="20"/>
        </w:rPr>
      </w:pPr>
      <w:bookmarkStart w:id="138" w:name="_Toc276372230"/>
      <w:bookmarkStart w:id="139" w:name="_Toc189814141"/>
      <w:r>
        <w:rPr>
          <w:rFonts w:hint="eastAsia"/>
          <w:b/>
          <w:szCs w:val="20"/>
        </w:rPr>
        <w:t>3.2工程分析</w:t>
      </w:r>
      <w:bookmarkEnd w:id="134"/>
      <w:bookmarkEnd w:id="135"/>
      <w:bookmarkEnd w:id="138"/>
      <w:bookmarkEnd w:id="139"/>
    </w:p>
    <w:bookmarkEnd w:id="136"/>
    <w:bookmarkEnd w:id="137"/>
    <w:p>
      <w:pPr>
        <w:spacing w:line="360" w:lineRule="auto"/>
        <w:outlineLvl w:val="2"/>
        <w:rPr>
          <w:rFonts w:hint="eastAsia"/>
          <w:b/>
          <w:bCs/>
          <w:szCs w:val="20"/>
        </w:rPr>
      </w:pPr>
      <w:bookmarkStart w:id="140" w:name="_Toc473281500"/>
      <w:bookmarkStart w:id="141" w:name="_Toc189814142"/>
      <w:bookmarkStart w:id="142" w:name="_Toc155859739"/>
      <w:bookmarkStart w:id="143" w:name="_Toc150759637"/>
      <w:r>
        <w:rPr>
          <w:rFonts w:hint="eastAsia"/>
          <w:b/>
          <w:bCs/>
          <w:szCs w:val="20"/>
        </w:rPr>
        <w:t>3.2. 1生产工艺</w:t>
      </w:r>
      <w:bookmarkEnd w:id="140"/>
      <w:bookmarkEnd w:id="141"/>
    </w:p>
    <w:bookmarkEnd w:id="142"/>
    <w:bookmarkEnd w:id="143"/>
    <w:p>
      <w:pPr>
        <w:spacing w:line="360" w:lineRule="auto"/>
        <w:ind w:firstLine="420" w:firstLineChars="200"/>
        <w:rPr>
          <w:rFonts w:ascii="宋体" w:hAnsi="宋体"/>
        </w:rPr>
      </w:pPr>
      <w:r>
        <w:rPr>
          <w:rFonts w:hint="eastAsia" w:ascii="宋体" w:hAnsi="宋体"/>
        </w:rPr>
        <w:t>技改项目采用新型干法——窑外预分解熟料生产工艺，主要包括生料制备、熟料煅烧、水泥调配等过程，其生产工艺流程见图3.3。</w:t>
      </w:r>
    </w:p>
    <w:p>
      <w:pPr>
        <w:spacing w:line="360" w:lineRule="auto"/>
        <w:ind w:firstLine="420" w:firstLineChars="200"/>
        <w:rPr>
          <w:rFonts w:hint="eastAsia" w:ascii="宋体" w:hAnsi="宋体"/>
        </w:rPr>
      </w:pPr>
      <w:r>
        <w:rPr>
          <w:rFonts w:hint="eastAsia" w:ascii="宋体" w:hAnsi="宋体"/>
        </w:rPr>
        <w:t>主要工艺流程简述：</w:t>
      </w:r>
    </w:p>
    <w:p>
      <w:pPr>
        <w:spacing w:line="360" w:lineRule="auto"/>
        <w:ind w:firstLine="420" w:firstLineChars="200"/>
        <w:rPr>
          <w:rFonts w:hint="eastAsia" w:ascii="宋体" w:hAnsi="宋体"/>
        </w:rPr>
      </w:pPr>
      <w:r>
        <w:rPr>
          <w:rFonts w:hint="eastAsia" w:ascii="宋体" w:hAnsi="宋体"/>
        </w:rPr>
        <w:t>（1）</w:t>
      </w:r>
      <w:r>
        <w:rPr>
          <w:rFonts w:ascii="宋体" w:hAnsi="宋体"/>
        </w:rPr>
        <w:t>石灰石破碎及预均化</w:t>
      </w:r>
    </w:p>
    <w:p>
      <w:pPr>
        <w:spacing w:line="360" w:lineRule="auto"/>
        <w:ind w:firstLine="420" w:firstLineChars="200"/>
        <w:rPr>
          <w:rFonts w:ascii="宋体" w:hAnsi="宋体"/>
        </w:rPr>
      </w:pPr>
      <w:r>
        <w:rPr>
          <w:rFonts w:ascii="宋体" w:hAnsi="宋体"/>
        </w:rPr>
        <w:t>石灰石运到石灰石破碎机前料仓内，或储存在石灰石堆场；堆场内的石灰石由装载机卸入破碎机前料仓，由仓下板喂机喂入PCF20.18石灰石单段锤式破碎机，出破碎机石灰石由皮带机送入</w:t>
      </w:r>
      <w:r>
        <w:rPr>
          <w:rFonts w:hint="eastAsia" w:ascii="宋体" w:hAnsi="宋体"/>
        </w:rPr>
        <w:t>Φ6</w:t>
      </w:r>
      <w:r>
        <w:rPr>
          <w:rFonts w:ascii="宋体" w:hAnsi="宋体"/>
        </w:rPr>
        <w:t>0m石灰石预均化堆场。</w:t>
      </w:r>
    </w:p>
    <w:p>
      <w:pPr>
        <w:spacing w:line="360" w:lineRule="auto"/>
        <w:ind w:firstLine="420" w:firstLineChars="200"/>
        <w:rPr>
          <w:rFonts w:ascii="宋体" w:hAnsi="宋体"/>
        </w:rPr>
      </w:pPr>
      <w:r>
        <w:rPr>
          <w:rFonts w:ascii="宋体" w:hAnsi="宋体"/>
        </w:rPr>
        <w:t>用皮带机送至预均化堆场中心的石灰石，由悬臂堆料皮带机进行连续人字形堆料，由刮板取料机横切取料。预均化后的石灰石从堆场中心漏斗卸出，经带式输送机输送至Φ8m石灰石配料库中。库底设置调速定量给料秤，经过计量的石灰石通过皮带输送机输送到生料磨中粉磨。</w:t>
      </w:r>
    </w:p>
    <w:p>
      <w:pPr>
        <w:spacing w:line="360" w:lineRule="auto"/>
        <w:ind w:firstLine="420" w:firstLineChars="200"/>
        <w:rPr>
          <w:rFonts w:ascii="宋体" w:hAnsi="宋体"/>
        </w:rPr>
      </w:pPr>
      <w:r>
        <w:rPr>
          <w:rFonts w:hint="eastAsia" w:ascii="宋体" w:hAnsi="宋体"/>
        </w:rPr>
        <w:t>（2）</w:t>
      </w:r>
      <w:r>
        <w:rPr>
          <w:rFonts w:ascii="宋体" w:hAnsi="宋体"/>
        </w:rPr>
        <w:t xml:space="preserve"> 辅助原料破碎</w:t>
      </w:r>
    </w:p>
    <w:p>
      <w:pPr>
        <w:spacing w:line="360" w:lineRule="auto"/>
        <w:ind w:firstLine="420" w:firstLineChars="200"/>
        <w:rPr>
          <w:rFonts w:ascii="宋体" w:hAnsi="宋体"/>
        </w:rPr>
      </w:pPr>
      <w:r>
        <w:rPr>
          <w:rFonts w:ascii="宋体" w:hAnsi="宋体"/>
        </w:rPr>
        <w:t>从矿区采出的砂岩及煤矸石由汽车运入厂区，计量后卸入原料堆场，堆场内的砂岩及煤矸石由装载机分别卸入破碎机前料仓，由仓下板喂机喂入各自破碎机，出破碎机砂岩及煤矸石由皮带机送入辅助原料预均化堆场。</w:t>
      </w:r>
    </w:p>
    <w:p>
      <w:pPr>
        <w:spacing w:line="360" w:lineRule="auto"/>
        <w:ind w:firstLine="420" w:firstLineChars="200"/>
        <w:rPr>
          <w:rFonts w:ascii="宋体" w:hAnsi="宋体"/>
        </w:rPr>
      </w:pPr>
      <w:r>
        <w:rPr>
          <w:rFonts w:hint="eastAsia" w:ascii="宋体" w:hAnsi="宋体"/>
        </w:rPr>
        <w:t>（3）</w:t>
      </w:r>
      <w:r>
        <w:rPr>
          <w:rFonts w:ascii="宋体" w:hAnsi="宋体"/>
        </w:rPr>
        <w:t>原料储库及输送</w:t>
      </w:r>
    </w:p>
    <w:p>
      <w:pPr>
        <w:spacing w:line="360" w:lineRule="auto"/>
        <w:ind w:firstLine="420" w:firstLineChars="200"/>
        <w:rPr>
          <w:rFonts w:ascii="宋体" w:hAnsi="宋体"/>
        </w:rPr>
      </w:pPr>
      <w:r>
        <w:rPr>
          <w:rFonts w:ascii="宋体" w:hAnsi="宋体"/>
        </w:rPr>
        <w:t>硫酸渣由汽车运输进厂，计量后卸入原料预均化堆场中储存。</w:t>
      </w:r>
    </w:p>
    <w:p>
      <w:pPr>
        <w:spacing w:line="360" w:lineRule="auto"/>
        <w:ind w:firstLine="420" w:firstLineChars="200"/>
        <w:rPr>
          <w:rFonts w:ascii="宋体" w:hAnsi="宋体"/>
        </w:rPr>
      </w:pPr>
      <w:r>
        <w:rPr>
          <w:rFonts w:ascii="宋体" w:hAnsi="宋体"/>
        </w:rPr>
        <w:t>辅助原料预均化堆场内的砂岩、煤矸石、硫酸渣分别用取料机送至各自配料库，经库底调速板喂机,定量给料秤计量，通过皮带输送机输送到生料磨中粉磨。</w:t>
      </w:r>
    </w:p>
    <w:p>
      <w:pPr>
        <w:spacing w:line="360" w:lineRule="auto"/>
        <w:ind w:firstLine="420" w:firstLineChars="200"/>
        <w:rPr>
          <w:rFonts w:ascii="宋体" w:hAnsi="宋体"/>
        </w:rPr>
      </w:pPr>
      <w:r>
        <w:rPr>
          <w:rFonts w:hint="eastAsia" w:ascii="宋体" w:hAnsi="宋体"/>
        </w:rPr>
        <w:t>（4）</w:t>
      </w:r>
      <w:r>
        <w:rPr>
          <w:rFonts w:ascii="宋体" w:hAnsi="宋体"/>
        </w:rPr>
        <w:t xml:space="preserve"> 石膏破碎及储存</w:t>
      </w:r>
    </w:p>
    <w:p>
      <w:pPr>
        <w:spacing w:line="360" w:lineRule="auto"/>
        <w:ind w:firstLine="420" w:firstLineChars="200"/>
        <w:rPr>
          <w:rFonts w:ascii="宋体" w:hAnsi="宋体"/>
        </w:rPr>
      </w:pPr>
      <w:r>
        <w:rPr>
          <w:rFonts w:ascii="宋体" w:hAnsi="宋体"/>
        </w:rPr>
        <w:t>石膏由汽车运输进厂，计量后卸至堆场，再由轮式装载机运至卸车坑，经卸料坑坑下板喂机喂入破碎机中。破碎后的石膏经皮带机输送至φ8m石膏库。</w:t>
      </w:r>
    </w:p>
    <w:p>
      <w:pPr>
        <w:spacing w:line="360" w:lineRule="auto"/>
        <w:ind w:firstLine="420" w:firstLineChars="200"/>
        <w:rPr>
          <w:rFonts w:ascii="宋体" w:hAnsi="宋体"/>
        </w:rPr>
      </w:pPr>
      <w:r>
        <w:rPr>
          <w:rFonts w:hint="eastAsia" w:ascii="宋体" w:hAnsi="宋体"/>
        </w:rPr>
        <w:t>（5）</w:t>
      </w:r>
      <w:r>
        <w:rPr>
          <w:rFonts w:ascii="宋体" w:hAnsi="宋体"/>
        </w:rPr>
        <w:t xml:space="preserve"> 煤输送、破碎及储存</w:t>
      </w:r>
    </w:p>
    <w:p>
      <w:pPr>
        <w:spacing w:line="360" w:lineRule="auto"/>
        <w:ind w:firstLine="420" w:firstLineChars="200"/>
        <w:rPr>
          <w:rFonts w:ascii="宋体" w:hAnsi="宋体"/>
        </w:rPr>
      </w:pPr>
      <w:r>
        <w:rPr>
          <w:rFonts w:ascii="宋体" w:hAnsi="宋体"/>
        </w:rPr>
        <w:t>原煤由汽车运输进厂，卸至堆场。由轮式装载机运至卸车坑，经卸料坑坑下板喂机喂入破碎机中破碎。再由皮带机输送至原煤预均化堆场。</w:t>
      </w:r>
    </w:p>
    <w:p>
      <w:pPr>
        <w:spacing w:line="360" w:lineRule="auto"/>
        <w:ind w:firstLine="420" w:firstLineChars="200"/>
        <w:rPr>
          <w:rFonts w:ascii="宋体" w:hAnsi="宋体"/>
        </w:rPr>
      </w:pPr>
      <w:r>
        <w:rPr>
          <w:rFonts w:ascii="宋体" w:hAnsi="宋体"/>
        </w:rPr>
        <w:t>原煤破碎机采用一台PCH-1010型环锤式破碎机。</w:t>
      </w:r>
    </w:p>
    <w:p>
      <w:pPr>
        <w:spacing w:line="360" w:lineRule="auto"/>
        <w:ind w:firstLine="420" w:firstLineChars="200"/>
        <w:rPr>
          <w:rFonts w:ascii="宋体" w:hAnsi="宋体"/>
        </w:rPr>
      </w:pPr>
      <w:r>
        <w:rPr>
          <w:rFonts w:hint="eastAsia" w:ascii="宋体" w:hAnsi="宋体"/>
        </w:rPr>
        <w:t>（6）</w:t>
      </w:r>
      <w:r>
        <w:rPr>
          <w:rFonts w:ascii="宋体" w:hAnsi="宋体"/>
        </w:rPr>
        <w:t xml:space="preserve"> 原煤预均化</w:t>
      </w:r>
    </w:p>
    <w:p>
      <w:pPr>
        <w:spacing w:line="360" w:lineRule="auto"/>
        <w:ind w:firstLine="420" w:firstLineChars="200"/>
        <w:rPr>
          <w:rFonts w:ascii="宋体" w:hAnsi="宋体"/>
        </w:rPr>
      </w:pPr>
      <w:r>
        <w:rPr>
          <w:rFonts w:ascii="宋体" w:hAnsi="宋体"/>
        </w:rPr>
        <w:t>破碎后的原煤输送至预均化堆场，堆场内由一台小车式皮带机进行布料，堆场内仅堆放原煤。一台桥式刮板取料机用于原煤取料，并经带式输送机输送至煤粉制备原煤仓。</w:t>
      </w:r>
    </w:p>
    <w:p>
      <w:pPr>
        <w:spacing w:line="480" w:lineRule="exact"/>
        <w:rPr>
          <w:rFonts w:hint="eastAsia" w:ascii="宋体" w:hAnsi="宋体"/>
        </w:rPr>
      </w:pPr>
      <w:r>
        <w:rPr>
          <w:rFonts w:ascii="宋体" w:hAnsi="宋体"/>
          <w:sz w:val="20"/>
        </w:rPr>
        <mc:AlternateContent>
          <mc:Choice Requires="wps">
            <w:drawing>
              <wp:anchor distT="0" distB="0" distL="114300" distR="114300" simplePos="0" relativeHeight="251828224" behindDoc="0" locked="0" layoutInCell="1" allowOverlap="1">
                <wp:simplePos x="0" y="0"/>
                <wp:positionH relativeFrom="column">
                  <wp:posOffset>3090545</wp:posOffset>
                </wp:positionH>
                <wp:positionV relativeFrom="paragraph">
                  <wp:posOffset>297180</wp:posOffset>
                </wp:positionV>
                <wp:extent cx="0" cy="297180"/>
                <wp:effectExtent l="38100" t="0" r="38100" b="7620"/>
                <wp:wrapNone/>
                <wp:docPr id="26" name="直接连接符 2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3.35pt;margin-top:23.4pt;height:23.4pt;width:0pt;z-index:251828224;mso-width-relative:page;mso-height-relative:page;" filled="f" stroked="t" coordsize="21600,21600" o:gfxdata="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X3x0z2AAAAAkB&#10;AAAPAAAAAAAAAAEAIAAAACIAAABkcnMvZG93bnJldi54bWxQSwECFAAUAAAACACHTuJA3skgtOIB&#10;AACbAwAADgAAAAAAAAABACAAAAAnAQAAZHJzL2Uyb0RvYy54bWxQSwUGAAAAAAYABgBZAQAAewUA&#10;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826176" behindDoc="0" locked="0" layoutInCell="1" allowOverlap="1">
                <wp:simplePos x="0" y="0"/>
                <wp:positionH relativeFrom="column">
                  <wp:posOffset>1736725</wp:posOffset>
                </wp:positionH>
                <wp:positionV relativeFrom="paragraph">
                  <wp:posOffset>-9525</wp:posOffset>
                </wp:positionV>
                <wp:extent cx="585470" cy="297180"/>
                <wp:effectExtent l="0" t="0" r="5080" b="7620"/>
                <wp:wrapNone/>
                <wp:docPr id="47" name="矩形 47"/>
                <wp:cNvGraphicFramePr/>
                <a:graphic xmlns:a="http://schemas.openxmlformats.org/drawingml/2006/main">
                  <a:graphicData uri="http://schemas.microsoft.com/office/word/2010/wordprocessingShape">
                    <wps:wsp>
                      <wps:cNvSpPr/>
                      <wps:spPr>
                        <a:xfrm>
                          <a:off x="0" y="0"/>
                          <a:ext cx="585470" cy="297180"/>
                        </a:xfrm>
                        <a:prstGeom prst="rect">
                          <a:avLst/>
                        </a:prstGeom>
                        <a:solidFill>
                          <a:srgbClr val="FFFFFF"/>
                        </a:solidFill>
                        <a:ln>
                          <a:noFill/>
                        </a:ln>
                      </wps:spPr>
                      <wps:txbx>
                        <w:txbxContent>
                          <w:p>
                            <w:r>
                              <w:rPr>
                                <w:rFonts w:hint="eastAsia" w:ascii="宋体" w:hAnsi="宋体"/>
                              </w:rPr>
                              <w:t>砂岩</w:t>
                            </w:r>
                          </w:p>
                        </w:txbxContent>
                      </wps:txbx>
                      <wps:bodyPr upright="1"/>
                    </wps:wsp>
                  </a:graphicData>
                </a:graphic>
              </wp:anchor>
            </w:drawing>
          </mc:Choice>
          <mc:Fallback>
            <w:pict>
              <v:rect id="_x0000_s1026" o:spid="_x0000_s1026" o:spt="1" style="position:absolute;left:0pt;margin-left:136.75pt;margin-top:-0.75pt;height:23.4pt;width:46.1pt;z-index:251826176;mso-width-relative:page;mso-height-relative:page;" fillcolor="#FFFFFF" filled="t" stroked="f" coordsize="21600,21600" o:gfxdata="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qaejD2AAAAAkBAAAPAAAAAAAAAAEA&#10;IAAAACIAAABkcnMvZG93bnJldi54bWxQSwECFAAUAAAACACHTuJATWMArp0BAAAdAwAADgAAAAAA&#10;AAABACAAAAAnAQAAZHJzL2Uyb0RvYy54bWxQSwUGAAAAAAYABgBZAQAANgUAAAAA&#10;">
                <v:fill on="t" focussize="0,0"/>
                <v:stroke on="f"/>
                <v:imagedata o:title=""/>
                <o:lock v:ext="edit" aspectratio="f"/>
                <v:textbox>
                  <w:txbxContent>
                    <w:p>
                      <w:r>
                        <w:rPr>
                          <w:rFonts w:hint="eastAsia" w:ascii="宋体" w:hAnsi="宋体"/>
                        </w:rPr>
                        <w:t>砂岩</w:t>
                      </w:r>
                    </w:p>
                  </w:txbxContent>
                </v:textbox>
              </v:rect>
            </w:pict>
          </mc:Fallback>
        </mc:AlternateContent>
      </w:r>
      <w:r>
        <w:rPr>
          <w:rFonts w:ascii="宋体" w:hAnsi="宋体"/>
          <w:sz w:val="20"/>
        </w:rPr>
        <mc:AlternateContent>
          <mc:Choice Requires="wps">
            <w:drawing>
              <wp:anchor distT="0" distB="0" distL="114300" distR="114300" simplePos="0" relativeHeight="251827200" behindDoc="0" locked="0" layoutInCell="1" allowOverlap="1">
                <wp:simplePos x="0" y="0"/>
                <wp:positionH relativeFrom="column">
                  <wp:posOffset>1988820</wp:posOffset>
                </wp:positionH>
                <wp:positionV relativeFrom="paragraph">
                  <wp:posOffset>281940</wp:posOffset>
                </wp:positionV>
                <wp:extent cx="0" cy="297180"/>
                <wp:effectExtent l="38100" t="0" r="38100" b="7620"/>
                <wp:wrapNone/>
                <wp:docPr id="28" name="直接连接符 2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6.6pt;margin-top:22.2pt;height:23.4pt;width:0pt;z-index:251827200;mso-width-relative:page;mso-height-relative:page;" filled="f" stroked="t" coordsize="21600,21600" o:gfxdata="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KjiDC2QAAAAkB&#10;AAAPAAAAAAAAAAEAIAAAACIAAABkcnMvZG93bnJldi54bWxQSwECFAAUAAAACACHTuJA329Z/eEB&#10;AACbAwAADgAAAAAAAAABACAAAAAoAQAAZHJzL2Uyb0RvYy54bWxQSwUGAAAAAAYABgBZAQAAewUA&#10;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825152" behindDoc="0" locked="0" layoutInCell="1" allowOverlap="1">
                <wp:simplePos x="0" y="0"/>
                <wp:positionH relativeFrom="column">
                  <wp:posOffset>523240</wp:posOffset>
                </wp:positionH>
                <wp:positionV relativeFrom="paragraph">
                  <wp:posOffset>11430</wp:posOffset>
                </wp:positionV>
                <wp:extent cx="763270" cy="297180"/>
                <wp:effectExtent l="0" t="0" r="17780" b="7620"/>
                <wp:wrapNone/>
                <wp:docPr id="29" name="矩形 29"/>
                <wp:cNvGraphicFramePr/>
                <a:graphic xmlns:a="http://schemas.openxmlformats.org/drawingml/2006/main">
                  <a:graphicData uri="http://schemas.microsoft.com/office/word/2010/wordprocessingShape">
                    <wps:wsp>
                      <wps:cNvSpPr/>
                      <wps:spPr>
                        <a:xfrm>
                          <a:off x="0" y="0"/>
                          <a:ext cx="763270" cy="297180"/>
                        </a:xfrm>
                        <a:prstGeom prst="rect">
                          <a:avLst/>
                        </a:prstGeom>
                        <a:solidFill>
                          <a:srgbClr val="FFFFFF"/>
                        </a:solidFill>
                        <a:ln>
                          <a:noFill/>
                        </a:ln>
                      </wps:spPr>
                      <wps:txbx>
                        <w:txbxContent>
                          <w:p>
                            <w:r>
                              <w:rPr>
                                <w:rFonts w:hint="eastAsia" w:ascii="宋体" w:hAnsi="宋体"/>
                              </w:rPr>
                              <w:t>石灰石</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41.2pt;margin-top:0.9pt;height:23.4pt;width:60.1pt;z-index:251825152;mso-width-relative:page;mso-height-relative:page;" fillcolor="#FFFFFF" filled="t" stroked="f" coordsize="21600,21600" o:gfxdata="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Gish1QAAAAcBAAAPAAAAAAAAAAEAIAAA&#10;ACIAAABkcnMvZG93bnJldi54bWxQSwECFAAUAAAACACHTuJAkrdit50BAAAdAwAADgAAAAAAAAAB&#10;ACAAAAAkAQAAZHJzL2Uyb0RvYy54bWxQSwUGAAAAAAYABgBZAQAAMwUAAAAA&#10;">
                <v:fill on="t" focussize="0,0"/>
                <v:stroke on="f"/>
                <v:imagedata o:title=""/>
                <o:lock v:ext="edit" aspectratio="f"/>
                <v:textbox>
                  <w:txbxContent>
                    <w:p>
                      <w:r>
                        <w:rPr>
                          <w:rFonts w:hint="eastAsia" w:ascii="宋体" w:hAnsi="宋体"/>
                        </w:rPr>
                        <w:t>石灰石</w:t>
                      </w:r>
                      <w:r>
                        <w:rPr>
                          <w:rFonts w:hint="eastAsia" w:ascii="宋体" w:hAnsi="宋体"/>
                          <w:sz w:val="21"/>
                          <w:szCs w:val="21"/>
                        </w:rPr>
                        <w:t>△</w:t>
                      </w:r>
                    </w:p>
                  </w:txbxContent>
                </v:textbox>
              </v:rect>
            </w:pict>
          </mc:Fallback>
        </mc:AlternateContent>
      </w:r>
      <w:r>
        <w:rPr>
          <w:rFonts w:ascii="宋体" w:hAnsi="宋体"/>
          <w:sz w:val="20"/>
        </w:rPr>
        <mc:AlternateContent>
          <mc:Choice Requires="wps">
            <w:drawing>
              <wp:anchor distT="0" distB="0" distL="114300" distR="114300" simplePos="0" relativeHeight="251817984" behindDoc="0" locked="0" layoutInCell="1" allowOverlap="1">
                <wp:simplePos x="0" y="0"/>
                <wp:positionH relativeFrom="column">
                  <wp:posOffset>499745</wp:posOffset>
                </wp:positionH>
                <wp:positionV relativeFrom="paragraph">
                  <wp:posOffset>70485</wp:posOffset>
                </wp:positionV>
                <wp:extent cx="763270" cy="226695"/>
                <wp:effectExtent l="0" t="0" r="17780" b="1905"/>
                <wp:wrapNone/>
                <wp:docPr id="30" name="矩形 30"/>
                <wp:cNvGraphicFramePr/>
                <a:graphic xmlns:a="http://schemas.openxmlformats.org/drawingml/2006/main">
                  <a:graphicData uri="http://schemas.microsoft.com/office/word/2010/wordprocessingShape">
                    <wps:wsp>
                      <wps:cNvSpPr/>
                      <wps:spPr>
                        <a:xfrm>
                          <a:off x="0" y="0"/>
                          <a:ext cx="763270" cy="226695"/>
                        </a:xfrm>
                        <a:prstGeom prst="rect">
                          <a:avLst/>
                        </a:prstGeom>
                        <a:solidFill>
                          <a:srgbClr val="FFFFFF"/>
                        </a:solidFill>
                        <a:ln>
                          <a:noFill/>
                        </a:ln>
                      </wps:spPr>
                      <wps:txbx>
                        <w:txbxContent>
                          <w:p>
                            <w:r>
                              <w:rPr>
                                <w:rFonts w:hint="eastAsia" w:ascii="宋体" w:hAnsi="宋体"/>
                              </w:rPr>
                              <w:t>石灰石</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39.35pt;margin-top:5.55pt;height:17.85pt;width:60.1pt;z-index:251817984;mso-width-relative:page;mso-height-relative:page;" fillcolor="#FFFFFF" filled="t" stroked="f" coordsize="21600,21600" o:gfxdata="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91Ak09YAAAAIAQAADwAAAAAAAAABACAAAAAi&#10;AAAAZHJzL2Rvd25yZXYueG1sUEsBAhQAFAAAAAgAh07iQGthXPmaAQAAHQMAAA4AAAAAAAAAAQAg&#10;AAAAJQEAAGRycy9lMm9Eb2MueG1sUEsFBgAAAAAGAAYAWQEAADEFAAAAAA==&#10;">
                <v:fill on="t" focussize="0,0"/>
                <v:stroke on="f"/>
                <v:imagedata o:title=""/>
                <o:lock v:ext="edit" aspectratio="f"/>
                <v:textbox>
                  <w:txbxContent>
                    <w:p>
                      <w:r>
                        <w:rPr>
                          <w:rFonts w:hint="eastAsia" w:ascii="宋体" w:hAnsi="宋体"/>
                        </w:rPr>
                        <w:t>石灰石</w:t>
                      </w:r>
                      <w:r>
                        <w:rPr>
                          <w:rFonts w:hint="eastAsia" w:ascii="宋体" w:hAnsi="宋体"/>
                          <w:sz w:val="21"/>
                          <w:szCs w:val="21"/>
                        </w:rPr>
                        <w:t>△</w:t>
                      </w:r>
                    </w:p>
                  </w:txbxContent>
                </v:textbox>
              </v:rect>
            </w:pict>
          </mc:Fallback>
        </mc:AlternateContent>
      </w:r>
      <w:r>
        <w:rPr>
          <w:rFonts w:ascii="宋体" w:hAnsi="宋体"/>
          <w:sz w:val="20"/>
        </w:rPr>
        <mc:AlternateContent>
          <mc:Choice Requires="wps">
            <w:drawing>
              <wp:anchor distT="0" distB="0" distL="114300" distR="114300" simplePos="0" relativeHeight="251820032" behindDoc="0" locked="0" layoutInCell="1" allowOverlap="1">
                <wp:simplePos x="0" y="0"/>
                <wp:positionH relativeFrom="column">
                  <wp:posOffset>889000</wp:posOffset>
                </wp:positionH>
                <wp:positionV relativeFrom="paragraph">
                  <wp:posOffset>297180</wp:posOffset>
                </wp:positionV>
                <wp:extent cx="0" cy="297180"/>
                <wp:effectExtent l="38100" t="0" r="38100" b="7620"/>
                <wp:wrapNone/>
                <wp:docPr id="35" name="直接连接符 3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0pt;margin-top:23.4pt;height:23.4pt;width:0pt;z-index:251820032;mso-width-relative:page;mso-height-relative:page;" filled="f" stroked="t" coordsize="21600,21600" o:gfxdata="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nk34C2AAAAAkB&#10;AAAPAAAAAAAAAAEAIAAAACIAAABkcnMvZG93bnJldi54bWxQSwECFAAUAAAACACHTuJAoDpVReIB&#10;AACbAwAADgAAAAAAAAABACAAAAAnAQAAZHJzL2Uyb0RvYy54bWxQSwUGAAAAAAYABgBZAQAAewUA&#10;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821056" behindDoc="0" locked="0" layoutInCell="1" allowOverlap="1">
                <wp:simplePos x="0" y="0"/>
                <wp:positionH relativeFrom="column">
                  <wp:posOffset>2736850</wp:posOffset>
                </wp:positionH>
                <wp:positionV relativeFrom="paragraph">
                  <wp:posOffset>-1905</wp:posOffset>
                </wp:positionV>
                <wp:extent cx="763270" cy="297180"/>
                <wp:effectExtent l="0" t="0" r="17780" b="7620"/>
                <wp:wrapNone/>
                <wp:docPr id="36" name="矩形 36"/>
                <wp:cNvGraphicFramePr/>
                <a:graphic xmlns:a="http://schemas.openxmlformats.org/drawingml/2006/main">
                  <a:graphicData uri="http://schemas.microsoft.com/office/word/2010/wordprocessingShape">
                    <wps:wsp>
                      <wps:cNvSpPr/>
                      <wps:spPr>
                        <a:xfrm>
                          <a:off x="0" y="0"/>
                          <a:ext cx="763270" cy="297180"/>
                        </a:xfrm>
                        <a:prstGeom prst="rect">
                          <a:avLst/>
                        </a:prstGeom>
                        <a:solidFill>
                          <a:srgbClr val="FFFFFF"/>
                        </a:solidFill>
                        <a:ln>
                          <a:noFill/>
                        </a:ln>
                      </wps:spPr>
                      <wps:txbx>
                        <w:txbxContent>
                          <w:p>
                            <w:r>
                              <w:rPr>
                                <w:rFonts w:hint="eastAsia" w:ascii="宋体" w:hAnsi="宋体"/>
                              </w:rPr>
                              <w:t>煤矸石</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215.5pt;margin-top:-0.15pt;height:23.4pt;width:60.1pt;z-index:251821056;mso-width-relative:page;mso-height-relative:page;" fillcolor="#FFFFFF" filled="t" stroked="f" coordsize="21600,21600" o:gfxdata="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I4mP7WAAAACAEAAA8AAAAAAAAAAQAg&#10;AAAAIgAAAGRycy9kb3ducmV2LnhtbFBLAQIUABQAAAAIAIdO4kC3lWqDngEAAB0DAAAOAAAAAAAA&#10;AAEAIAAAACUBAABkcnMvZTJvRG9jLnhtbFBLBQYAAAAABgAGAFkBAAA1BQAAAAA=&#10;">
                <v:fill on="t" focussize="0,0"/>
                <v:stroke on="f"/>
                <v:imagedata o:title=""/>
                <o:lock v:ext="edit" aspectratio="f"/>
                <v:textbox>
                  <w:txbxContent>
                    <w:p>
                      <w:r>
                        <w:rPr>
                          <w:rFonts w:hint="eastAsia" w:ascii="宋体" w:hAnsi="宋体"/>
                        </w:rPr>
                        <w:t>煤矸石</w:t>
                      </w:r>
                      <w:r>
                        <w:rPr>
                          <w:rFonts w:hint="eastAsia" w:ascii="宋体" w:hAnsi="宋体"/>
                          <w:sz w:val="21"/>
                          <w:szCs w:val="21"/>
                        </w:rPr>
                        <w:t>△</w:t>
                      </w:r>
                    </w:p>
                  </w:txbxContent>
                </v:textbox>
              </v:rect>
            </w:pict>
          </mc:Fallback>
        </mc:AlternateContent>
      </w:r>
      <w:r>
        <w:rPr>
          <w:rFonts w:hint="eastAsia" w:ascii="宋体" w:hAnsi="宋体"/>
        </w:rPr>
        <w:t xml:space="preserve">                                     </w: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677696" behindDoc="0" locked="0" layoutInCell="1" allowOverlap="1">
                <wp:simplePos x="0" y="0"/>
                <wp:positionH relativeFrom="column">
                  <wp:posOffset>1617980</wp:posOffset>
                </wp:positionH>
                <wp:positionV relativeFrom="paragraph">
                  <wp:posOffset>280670</wp:posOffset>
                </wp:positionV>
                <wp:extent cx="799465" cy="297180"/>
                <wp:effectExtent l="4445" t="4445" r="15240" b="22225"/>
                <wp:wrapNone/>
                <wp:docPr id="37" name="矩形 37"/>
                <wp:cNvGraphicFramePr/>
                <a:graphic xmlns:a="http://schemas.openxmlformats.org/drawingml/2006/main">
                  <a:graphicData uri="http://schemas.microsoft.com/office/word/2010/wordprocessingShape">
                    <wps:wsp>
                      <wps:cNvSpPr/>
                      <wps:spPr>
                        <a:xfrm>
                          <a:off x="0" y="0"/>
                          <a:ext cx="79946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破碎</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127.4pt;margin-top:22.1pt;height:23.4pt;width:62.95pt;z-index:251677696;mso-width-relative:page;mso-height-relative:page;" fillcolor="#FFFFFF" filled="t" stroked="t" coordsize="21600,21600" o:gfxdata="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5&#10;4Se92AAAAAkBAAAPAAAAAAAAAAEAIAAAACIAAABkcnMvZG93bnJldi54bWxQSwECFAAUAAAACACH&#10;TuJAMwaCr+sBAADcAwAADgAAAAAAAAABACAAAAAnAQAAZHJzL2Uyb0RvYy54bWxQSwUGAAAAAAYA&#10;BgBZAQAAhAUAAAAA&#10;">
                <v:fill on="t" focussize="0,0"/>
                <v:stroke color="#000000" joinstyle="miter"/>
                <v:imagedata o:title=""/>
                <o:lock v:ext="edit" aspectratio="f"/>
                <v:textbox>
                  <w:txbxContent>
                    <w:p>
                      <w:r>
                        <w:rPr>
                          <w:rFonts w:hint="eastAsia"/>
                        </w:rPr>
                        <w:t>破碎</w:t>
                      </w:r>
                      <w:r>
                        <w:rPr>
                          <w:rFonts w:hint="eastAsia" w:ascii="宋体" w:hAnsi="宋体"/>
                          <w:sz w:val="21"/>
                          <w:szCs w:val="21"/>
                        </w:rPr>
                        <w:t>※△</w:t>
                      </w:r>
                    </w:p>
                  </w:txbxContent>
                </v:textbox>
              </v:rect>
            </w:pict>
          </mc:Fallback>
        </mc:AlternateContent>
      </w:r>
      <w:r>
        <w:rPr>
          <w:rFonts w:hint="eastAsia" w:ascii="宋体" w:hAnsi="宋体"/>
        </w:rPr>
        <mc:AlternateContent>
          <mc:Choice Requires="wps">
            <w:drawing>
              <wp:anchor distT="0" distB="0" distL="114300" distR="114300" simplePos="0" relativeHeight="251824128" behindDoc="0" locked="0" layoutInCell="1" allowOverlap="1">
                <wp:simplePos x="0" y="0"/>
                <wp:positionH relativeFrom="column">
                  <wp:posOffset>2733040</wp:posOffset>
                </wp:positionH>
                <wp:positionV relativeFrom="paragraph">
                  <wp:posOffset>270510</wp:posOffset>
                </wp:positionV>
                <wp:extent cx="799465" cy="297180"/>
                <wp:effectExtent l="4445" t="4445" r="15240" b="22225"/>
                <wp:wrapNone/>
                <wp:docPr id="48" name="矩形 48"/>
                <wp:cNvGraphicFramePr/>
                <a:graphic xmlns:a="http://schemas.openxmlformats.org/drawingml/2006/main">
                  <a:graphicData uri="http://schemas.microsoft.com/office/word/2010/wordprocessingShape">
                    <wps:wsp>
                      <wps:cNvSpPr/>
                      <wps:spPr>
                        <a:xfrm>
                          <a:off x="0" y="0"/>
                          <a:ext cx="79946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破碎</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215.2pt;margin-top:21.3pt;height:23.4pt;width:62.95pt;z-index:251824128;mso-width-relative:page;mso-height-relative:page;" fillcolor="#FFFFFF" filled="t" stroked="t" coordsize="21600,21600" o:gfxdata="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Ij&#10;LhvYAAAACQEAAA8AAAAAAAAAAQAgAAAAIgAAAGRycy9kb3ducmV2LnhtbFBLAQIUABQAAAAIAIdO&#10;4kBInYje6gEAANwDAAAOAAAAAAAAAAEAIAAAACcBAABkcnMvZTJvRG9jLnhtbFBLBQYAAAAABgAG&#10;AFkBAACDBQAAAAA=&#10;">
                <v:fill on="t" focussize="0,0"/>
                <v:stroke color="#000000" joinstyle="miter"/>
                <v:imagedata o:title=""/>
                <o:lock v:ext="edit" aspectratio="f"/>
                <v:textbox>
                  <w:txbxContent>
                    <w:p>
                      <w:r>
                        <w:rPr>
                          <w:rFonts w:hint="eastAsia"/>
                        </w:rPr>
                        <w:t>破碎</w:t>
                      </w:r>
                      <w:r>
                        <w:rPr>
                          <w:rFonts w:hint="eastAsia" w:ascii="宋体" w:hAnsi="宋体"/>
                          <w:sz w:val="21"/>
                          <w:szCs w:val="21"/>
                        </w:rPr>
                        <w:t>※△</w:t>
                      </w:r>
                    </w:p>
                  </w:txbxContent>
                </v:textbox>
              </v:rect>
            </w:pict>
          </mc:Fallback>
        </mc:AlternateContent>
      </w:r>
      <w:r>
        <w:rPr>
          <w:rFonts w:hint="eastAsia" w:ascii="宋体" w:hAnsi="宋体"/>
        </w:rPr>
        <mc:AlternateContent>
          <mc:Choice Requires="wps">
            <w:drawing>
              <wp:anchor distT="0" distB="0" distL="114300" distR="114300" simplePos="0" relativeHeight="251819008" behindDoc="0" locked="0" layoutInCell="1" allowOverlap="1">
                <wp:simplePos x="0" y="0"/>
                <wp:positionH relativeFrom="column">
                  <wp:posOffset>446405</wp:posOffset>
                </wp:positionH>
                <wp:positionV relativeFrom="paragraph">
                  <wp:posOffset>264795</wp:posOffset>
                </wp:positionV>
                <wp:extent cx="799465" cy="297180"/>
                <wp:effectExtent l="4445" t="4445" r="15240" b="22225"/>
                <wp:wrapNone/>
                <wp:docPr id="51" name="矩形 51"/>
                <wp:cNvGraphicFramePr/>
                <a:graphic xmlns:a="http://schemas.openxmlformats.org/drawingml/2006/main">
                  <a:graphicData uri="http://schemas.microsoft.com/office/word/2010/wordprocessingShape">
                    <wps:wsp>
                      <wps:cNvSpPr/>
                      <wps:spPr>
                        <a:xfrm>
                          <a:off x="0" y="0"/>
                          <a:ext cx="79946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破碎</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35.15pt;margin-top:20.85pt;height:23.4pt;width:62.95pt;z-index:251819008;mso-width-relative:page;mso-height-relative:page;" fillcolor="#FFFFFF" filled="t" stroked="t" coordsize="21600,21600" o:gfxdata="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tx1&#10;29cAAAAIAQAADwAAAAAAAAABACAAAAAiAAAAZHJzL2Rvd25yZXYueG1sUEsBAhQAFAAAAAgAh07i&#10;QH800rDqAQAA3AMAAA4AAAAAAAAAAQAgAAAAJgEAAGRycy9lMm9Eb2MueG1sUEsFBgAAAAAGAAYA&#10;WQEAAIIFAAAAAA==&#10;">
                <v:fill on="t" focussize="0,0"/>
                <v:stroke color="#000000" joinstyle="miter"/>
                <v:imagedata o:title=""/>
                <o:lock v:ext="edit" aspectratio="f"/>
                <v:textbox>
                  <w:txbxContent>
                    <w:p>
                      <w:r>
                        <w:rPr>
                          <w:rFonts w:hint="eastAsia"/>
                        </w:rPr>
                        <w:t>破碎</w:t>
                      </w:r>
                      <w:r>
                        <w:rPr>
                          <w:rFonts w:hint="eastAsia" w:ascii="宋体" w:hAnsi="宋体"/>
                          <w:sz w:val="21"/>
                          <w:szCs w:val="21"/>
                        </w:rPr>
                        <w:t>※△</w:t>
                      </w:r>
                    </w:p>
                  </w:txbxContent>
                </v:textbox>
              </v:rect>
            </w:pict>
          </mc:Fallback>
        </mc:AlternateContent>
      </w:r>
      <w:r>
        <w:rPr>
          <w:rFonts w:hint="eastAsia" w:ascii="宋体" w:hAnsi="宋体"/>
        </w:rPr>
        <w:t xml:space="preserve">              </w:t>
      </w:r>
    </w:p>
    <w:p>
      <w:pPr>
        <w:autoSpaceDE w:val="0"/>
        <w:autoSpaceDN w:val="0"/>
        <w:spacing w:line="480" w:lineRule="exact"/>
        <w:ind w:firstLine="874" w:firstLineChars="437"/>
        <w:textAlignment w:val="bottom"/>
        <w:rPr>
          <w:rFonts w:hint="eastAsia" w:ascii="宋体" w:hAnsi="宋体"/>
        </w:rPr>
      </w:pPr>
      <w:r>
        <w:rPr>
          <w:rFonts w:ascii="宋体" w:hAnsi="宋体"/>
          <w:sz w:val="20"/>
        </w:rPr>
        <mc:AlternateContent>
          <mc:Choice Requires="wps">
            <w:drawing>
              <wp:anchor distT="0" distB="0" distL="114300" distR="114300" simplePos="0" relativeHeight="251668480" behindDoc="0" locked="0" layoutInCell="1" allowOverlap="1">
                <wp:simplePos x="0" y="0"/>
                <wp:positionH relativeFrom="column">
                  <wp:posOffset>4813935</wp:posOffset>
                </wp:positionH>
                <wp:positionV relativeFrom="paragraph">
                  <wp:posOffset>26670</wp:posOffset>
                </wp:positionV>
                <wp:extent cx="252095" cy="215900"/>
                <wp:effectExtent l="0" t="0" r="14605" b="12700"/>
                <wp:wrapNone/>
                <wp:docPr id="31" name="矩形 31"/>
                <wp:cNvGraphicFramePr/>
                <a:graphic xmlns:a="http://schemas.openxmlformats.org/drawingml/2006/main">
                  <a:graphicData uri="http://schemas.microsoft.com/office/word/2010/wordprocessingShape">
                    <wps:wsp>
                      <wps:cNvSpPr/>
                      <wps:spPr>
                        <a:xfrm flipV="1">
                          <a:off x="0" y="0"/>
                          <a:ext cx="252095" cy="215900"/>
                        </a:xfrm>
                        <a:prstGeom prst="rect">
                          <a:avLst/>
                        </a:prstGeom>
                        <a:solidFill>
                          <a:srgbClr val="FFFFFF"/>
                        </a:solidFill>
                        <a:ln>
                          <a:noFill/>
                        </a:ln>
                      </wps:spPr>
                      <wps:txbx>
                        <w:txbxContent>
                          <w:p>
                            <w:pPr>
                              <w:spacing w:line="240" w:lineRule="exact"/>
                              <w:jc w:val="center"/>
                              <w:rPr>
                                <w:rFonts w:hint="eastAsia"/>
                              </w:rPr>
                            </w:pPr>
                            <w:r>
                              <w:rPr>
                                <w:rFonts w:hint="eastAsia"/>
                              </w:rPr>
                              <w:t>煤</w:t>
                            </w:r>
                          </w:p>
                        </w:txbxContent>
                      </wps:txbx>
                      <wps:bodyPr lIns="0" tIns="0" rIns="0" bIns="0" upright="1"/>
                    </wps:wsp>
                  </a:graphicData>
                </a:graphic>
              </wp:anchor>
            </w:drawing>
          </mc:Choice>
          <mc:Fallback>
            <w:pict>
              <v:rect id="_x0000_s1026" o:spid="_x0000_s1026" o:spt="1" style="position:absolute;left:0pt;flip:y;margin-left:379.05pt;margin-top:2.1pt;height:17pt;width:19.85pt;z-index:251668480;mso-width-relative:page;mso-height-relative:page;" fillcolor="#FFFFFF" filled="t" stroked="f" coordsize="21600,21600" o:gfxdata="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Z9j0S&#10;1gAAAAgBAAAPAAAAAAAAAAEAIAAAACIAAABkcnMvZG93bnJldi54bWxQSwECFAAUAAAACACHTuJA&#10;2dA+o7EBAABLAwAADgAAAAAAAAABACAAAAAlAQAAZHJzL2Uyb0RvYy54bWxQSwUGAAAAAAYABgBZ&#10;AQAASAUAAAAA&#10;">
                <v:fill on="t" focussize="0,0"/>
                <v:stroke on="f"/>
                <v:imagedata o:title=""/>
                <o:lock v:ext="edit" aspectratio="f"/>
                <v:textbox inset="0mm,0mm,0mm,0mm">
                  <w:txbxContent>
                    <w:p>
                      <w:pPr>
                        <w:spacing w:line="240" w:lineRule="exact"/>
                        <w:jc w:val="center"/>
                        <w:rPr>
                          <w:rFonts w:hint="eastAsia"/>
                        </w:rPr>
                      </w:pPr>
                      <w:r>
                        <w:rPr>
                          <w:rFonts w:hint="eastAsia"/>
                        </w:rPr>
                        <w:t>煤</w:t>
                      </w:r>
                    </w:p>
                  </w:txbxContent>
                </v:textbox>
              </v:rect>
            </w:pict>
          </mc:Fallback>
        </mc:AlternateContent>
      </w:r>
      <w:r>
        <w:rPr>
          <w:rFonts w:ascii="宋体" w:hAnsi="宋体"/>
        </w:rPr>
        <mc:AlternateContent>
          <mc:Choice Requires="wps">
            <w:drawing>
              <wp:anchor distT="0" distB="0" distL="114300" distR="114300" simplePos="0" relativeHeight="251679744" behindDoc="0" locked="0" layoutInCell="1" allowOverlap="1">
                <wp:simplePos x="0" y="0"/>
                <wp:positionH relativeFrom="column">
                  <wp:posOffset>1993265</wp:posOffset>
                </wp:positionH>
                <wp:positionV relativeFrom="paragraph">
                  <wp:posOffset>266065</wp:posOffset>
                </wp:positionV>
                <wp:extent cx="0" cy="297180"/>
                <wp:effectExtent l="38100" t="0" r="38100" b="7620"/>
                <wp:wrapNone/>
                <wp:docPr id="32" name="直接连接符 3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6.95pt;margin-top:20.95pt;height:23.4pt;width:0pt;z-index:251679744;mso-width-relative:page;mso-height-relative:page;" filled="f" stroked="t" coordsize="21600,21600" o:gfxdata="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6GexLdgAAAAJ&#10;AQAADwAAAAAAAAABACAAAAAiAAAAZHJzL2Rvd25yZXYueG1sUEsBAhQAFAAAAAgAh07iQIBqUYzj&#10;AQAAmwMAAA4AAAAAAAAAAQAgAAAAJwEAAGRycy9lMm9Eb2MueG1sUEsFBgAAAAAGAAYAWQEAAHwF&#10;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759616" behindDoc="0" locked="0" layoutInCell="1" allowOverlap="1">
                <wp:simplePos x="0" y="0"/>
                <wp:positionH relativeFrom="column">
                  <wp:posOffset>4914900</wp:posOffset>
                </wp:positionH>
                <wp:positionV relativeFrom="paragraph">
                  <wp:posOffset>182880</wp:posOffset>
                </wp:positionV>
                <wp:extent cx="0" cy="297180"/>
                <wp:effectExtent l="38100" t="0" r="38100" b="7620"/>
                <wp:wrapNone/>
                <wp:docPr id="44" name="直接连接符 4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87pt;margin-top:14.4pt;height:23.4pt;width:0pt;z-index:251759616;mso-width-relative:page;mso-height-relative:page;" filled="f" stroked="t" coordsize="21600,21600" o:gfxdata="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z5NQ9kAAAAJ&#10;AQAADwAAAAAAAAABACAAAAAiAAAAZHJzL2Rvd25yZXYueG1sUEsBAhQAFAAAAAgAh07iQHXbdZ/i&#10;AQAAmwMAAA4AAAAAAAAAAQAgAAAAKAEAAGRycy9lMm9Eb2MueG1sUEsFBgAAAAAGAAYAWQEAAHwF&#10;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681792" behindDoc="0" locked="0" layoutInCell="1" allowOverlap="1">
                <wp:simplePos x="0" y="0"/>
                <wp:positionH relativeFrom="column">
                  <wp:posOffset>3128645</wp:posOffset>
                </wp:positionH>
                <wp:positionV relativeFrom="paragraph">
                  <wp:posOffset>288290</wp:posOffset>
                </wp:positionV>
                <wp:extent cx="0" cy="297180"/>
                <wp:effectExtent l="38100" t="0" r="38100" b="7620"/>
                <wp:wrapNone/>
                <wp:docPr id="40" name="直接连接符 4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6.35pt;margin-top:22.7pt;height:23.4pt;width:0pt;z-index:251681792;mso-width-relative:page;mso-height-relative:page;" filled="f" stroked="t" coordsize="21600,21600" o:gfxdata="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IlFU2AAAAAkB&#10;AAAPAAAAAAAAAAEAIAAAACIAAABkcnMvZG93bnJldi54bWxQSwECFAAUAAAACACHTuJAw8KIr+IB&#10;AACbAwAADgAAAAAAAAABACAAAAAnAQAAZHJzL2Uyb0RvYy54bWxQSwUGAAAAAAYABgBZAQAAewUA&#10;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680768" behindDoc="0" locked="0" layoutInCell="1" allowOverlap="1">
                <wp:simplePos x="0" y="0"/>
                <wp:positionH relativeFrom="column">
                  <wp:posOffset>861695</wp:posOffset>
                </wp:positionH>
                <wp:positionV relativeFrom="paragraph">
                  <wp:posOffset>255905</wp:posOffset>
                </wp:positionV>
                <wp:extent cx="0" cy="297180"/>
                <wp:effectExtent l="38100" t="0" r="38100" b="7620"/>
                <wp:wrapNone/>
                <wp:docPr id="33" name="直接连接符 3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7.85pt;margin-top:20.15pt;height:23.4pt;width:0pt;z-index:251680768;mso-width-relative:page;mso-height-relative:page;" filled="f" stroked="t" coordsize="21600,21600" o:gfxdata="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ysLNkAAAAJ&#10;AQAADwAAAAAAAAABACAAAAAiAAAAZHJzL2Rvd25yZXYueG1sUEsBAhQAFAAAAAgAh07iQM2v1m3i&#10;AQAAmwMAAA4AAAAAAAAAAQAgAAAAKAEAAGRycy9lMm9Eb2MueG1sUEsFBgAAAAAGAAYAWQEAAHwF&#10;AAAAAA==&#10;">
                <v:fill on="f" focussize="0,0"/>
                <v:stroke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1823104" behindDoc="0" locked="0" layoutInCell="1" allowOverlap="1">
                <wp:simplePos x="0" y="0"/>
                <wp:positionH relativeFrom="column">
                  <wp:posOffset>2743200</wp:posOffset>
                </wp:positionH>
                <wp:positionV relativeFrom="paragraph">
                  <wp:posOffset>274320</wp:posOffset>
                </wp:positionV>
                <wp:extent cx="775970" cy="495300"/>
                <wp:effectExtent l="4445" t="4445" r="19685" b="14605"/>
                <wp:wrapNone/>
                <wp:docPr id="34" name="矩形 34"/>
                <wp:cNvGraphicFramePr/>
                <a:graphic xmlns:a="http://schemas.openxmlformats.org/drawingml/2006/main">
                  <a:graphicData uri="http://schemas.microsoft.com/office/word/2010/wordprocessingShape">
                    <wps:wsp>
                      <wps:cNvSpPr/>
                      <wps:spPr>
                        <a:xfrm>
                          <a:off x="0" y="0"/>
                          <a:ext cx="77597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预均化</w:t>
                            </w:r>
                          </w:p>
                          <w:p>
                            <w:pPr>
                              <w:jc w:val="center"/>
                            </w:pPr>
                            <w:r>
                              <w:rPr>
                                <w:rFonts w:hint="eastAsia"/>
                              </w:rPr>
                              <w:t>堆场</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216pt;margin-top:21.6pt;height:39pt;width:61.1pt;z-index:251823104;mso-width-relative:page;mso-height-relative:page;" fillcolor="#FFFFFF" filled="t" stroked="t" coordsize="21600,21600" o:gfxdata="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L&#10;oQrXAAAACgEAAA8AAAAAAAAAAQAgAAAAIgAAAGRycy9kb3ducmV2LnhtbFBLAQIUABQAAAAIAIdO&#10;4kBsevGI6wEAANwDAAAOAAAAAAAAAAEAIAAAACYBAABkcnMvZTJvRG9jLnhtbFBLBQYAAAAABgAG&#10;AFkBAACDBQAAAAA=&#10;">
                <v:fill on="t" focussize="0,0"/>
                <v:stroke color="#000000" joinstyle="miter"/>
                <v:imagedata o:title=""/>
                <o:lock v:ext="edit" aspectratio="f"/>
                <v:textbox>
                  <w:txbxContent>
                    <w:p>
                      <w:pPr>
                        <w:jc w:val="center"/>
                        <w:rPr>
                          <w:rFonts w:hint="eastAsia"/>
                        </w:rPr>
                      </w:pPr>
                      <w:r>
                        <w:rPr>
                          <w:rFonts w:hint="eastAsia"/>
                        </w:rPr>
                        <w:t>预均化</w:t>
                      </w:r>
                    </w:p>
                    <w:p>
                      <w:pPr>
                        <w:jc w:val="center"/>
                      </w:pPr>
                      <w:r>
                        <w:rPr>
                          <w:rFonts w:hint="eastAsia"/>
                        </w:rPr>
                        <w:t>堆场</w:t>
                      </w:r>
                      <w:r>
                        <w:rPr>
                          <w:rFonts w:hint="eastAsia" w:ascii="宋体" w:hAnsi="宋体"/>
                          <w:sz w:val="21"/>
                          <w:szCs w:val="21"/>
                        </w:rPr>
                        <w:t>※</w:t>
                      </w:r>
                    </w:p>
                  </w:txbxContent>
                </v:textbox>
              </v:rect>
            </w:pict>
          </mc:Fallback>
        </mc:AlternateContent>
      </w:r>
      <w:r>
        <w:rPr>
          <w:rFonts w:ascii="宋体" w:hAnsi="宋体"/>
          <w:sz w:val="20"/>
        </w:rPr>
        <mc:AlternateContent>
          <mc:Choice Requires="wps">
            <w:drawing>
              <wp:anchor distT="0" distB="0" distL="114300" distR="114300" simplePos="0" relativeHeight="251822080" behindDoc="0" locked="0" layoutInCell="1" allowOverlap="1">
                <wp:simplePos x="0" y="0"/>
                <wp:positionH relativeFrom="column">
                  <wp:posOffset>1600200</wp:posOffset>
                </wp:positionH>
                <wp:positionV relativeFrom="paragraph">
                  <wp:posOffset>274320</wp:posOffset>
                </wp:positionV>
                <wp:extent cx="775970" cy="495300"/>
                <wp:effectExtent l="4445" t="4445" r="19685" b="14605"/>
                <wp:wrapNone/>
                <wp:docPr id="53" name="矩形 53"/>
                <wp:cNvGraphicFramePr/>
                <a:graphic xmlns:a="http://schemas.openxmlformats.org/drawingml/2006/main">
                  <a:graphicData uri="http://schemas.microsoft.com/office/word/2010/wordprocessingShape">
                    <wps:wsp>
                      <wps:cNvSpPr/>
                      <wps:spPr>
                        <a:xfrm>
                          <a:off x="0" y="0"/>
                          <a:ext cx="77597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预均化</w:t>
                            </w:r>
                          </w:p>
                          <w:p>
                            <w:pPr>
                              <w:jc w:val="center"/>
                            </w:pPr>
                            <w:r>
                              <w:rPr>
                                <w:rFonts w:hint="eastAsia"/>
                              </w:rPr>
                              <w:t>堆场</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126pt;margin-top:21.6pt;height:39pt;width:61.1pt;z-index:251822080;mso-width-relative:page;mso-height-relative:page;" fillcolor="#FFFFFF" filled="t" stroked="t" coordsize="21600,21600" o:gfxdata="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5o&#10;83XYAAAACgEAAA8AAAAAAAAAAQAgAAAAIgAAAGRycy9kb3ducmV2LnhtbFBLAQIUABQAAAAIAIdO&#10;4kDNvcD66gEAANwDAAAOAAAAAAAAAAEAIAAAACcBAABkcnMvZTJvRG9jLnhtbFBLBQYAAAAABgAG&#10;AFkBAACDBQAAAAA=&#10;">
                <v:fill on="t" focussize="0,0"/>
                <v:stroke color="#000000" joinstyle="miter"/>
                <v:imagedata o:title=""/>
                <o:lock v:ext="edit" aspectratio="f"/>
                <v:textbox>
                  <w:txbxContent>
                    <w:p>
                      <w:pPr>
                        <w:jc w:val="center"/>
                        <w:rPr>
                          <w:rFonts w:hint="eastAsia"/>
                        </w:rPr>
                      </w:pPr>
                      <w:r>
                        <w:rPr>
                          <w:rFonts w:hint="eastAsia"/>
                        </w:rPr>
                        <w:t>预均化</w:t>
                      </w:r>
                    </w:p>
                    <w:p>
                      <w:pPr>
                        <w:jc w:val="center"/>
                      </w:pPr>
                      <w:r>
                        <w:rPr>
                          <w:rFonts w:hint="eastAsia"/>
                        </w:rPr>
                        <w:t>堆场</w:t>
                      </w:r>
                      <w:r>
                        <w:rPr>
                          <w:rFonts w:hint="eastAsia" w:ascii="宋体" w:hAnsi="宋体"/>
                          <w:sz w:val="21"/>
                          <w:szCs w:val="21"/>
                        </w:rPr>
                        <w:t>※</w:t>
                      </w:r>
                    </w:p>
                  </w:txbxContent>
                </v:textbox>
              </v:rect>
            </w:pict>
          </mc:Fallback>
        </mc:AlternateContent>
      </w:r>
      <w:r>
        <w:rPr>
          <w:rFonts w:ascii="宋体" w:hAnsi="宋体"/>
          <w:sz w:val="20"/>
        </w:rPr>
        <mc:AlternateContent>
          <mc:Choice Requires="wps">
            <w:drawing>
              <wp:anchor distT="0" distB="0" distL="114300" distR="114300" simplePos="0" relativeHeight="251760640" behindDoc="0" locked="0" layoutInCell="1" allowOverlap="1">
                <wp:simplePos x="0" y="0"/>
                <wp:positionH relativeFrom="column">
                  <wp:posOffset>4572000</wp:posOffset>
                </wp:positionH>
                <wp:positionV relativeFrom="paragraph">
                  <wp:posOffset>175260</wp:posOffset>
                </wp:positionV>
                <wp:extent cx="763270" cy="297180"/>
                <wp:effectExtent l="4445" t="4445" r="13335" b="22225"/>
                <wp:wrapNone/>
                <wp:docPr id="59" name="矩形 59"/>
                <wp:cNvGraphicFramePr/>
                <a:graphic xmlns:a="http://schemas.openxmlformats.org/drawingml/2006/main">
                  <a:graphicData uri="http://schemas.microsoft.com/office/word/2010/wordprocessingShape">
                    <wps:wsp>
                      <wps:cNvSpPr/>
                      <wps:spPr>
                        <a:xfrm>
                          <a:off x="0" y="0"/>
                          <a:ext cx="7632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破碎</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360pt;margin-top:13.8pt;height:23.4pt;width:60.1pt;z-index:251760640;mso-width-relative:page;mso-height-relative:page;" fillcolor="#FFFFFF" filled="t" stroked="t" coordsize="21600,21600" o:gfxdata="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TFZ&#10;BdcAAAAJAQAADwAAAAAAAAABACAAAAAiAAAAZHJzL2Rvd25yZXYueG1sUEsBAhQAFAAAAAgAh07i&#10;QGfhr/HqAQAA3AMAAA4AAAAAAAAAAQAgAAAAJgEAAGRycy9lMm9Eb2MueG1sUEsFBgAAAAAGAAYA&#10;WQEAAIIFAAAAAA==&#10;">
                <v:fill on="t" focussize="0,0"/>
                <v:stroke color="#000000" joinstyle="miter"/>
                <v:imagedata o:title=""/>
                <o:lock v:ext="edit" aspectratio="f"/>
                <v:textbox>
                  <w:txbxContent>
                    <w:p>
                      <w:r>
                        <w:rPr>
                          <w:rFonts w:hint="eastAsia"/>
                        </w:rPr>
                        <w:t>破碎</w:t>
                      </w:r>
                      <w:r>
                        <w:rPr>
                          <w:rFonts w:hint="eastAsia" w:ascii="宋体" w:hAnsi="宋体"/>
                          <w:sz w:val="21"/>
                          <w:szCs w:val="21"/>
                        </w:rPr>
                        <w:t>※△</w:t>
                      </w:r>
                    </w:p>
                  </w:txbxContent>
                </v:textbox>
              </v:rect>
            </w:pict>
          </mc:Fallback>
        </mc:AlternateContent>
      </w:r>
      <w:r>
        <w:rPr>
          <w:rFonts w:ascii="宋体" w:hAnsi="宋体"/>
          <w:sz w:val="20"/>
        </w:rPr>
        <mc:AlternateContent>
          <mc:Choice Requires="wps">
            <w:drawing>
              <wp:anchor distT="0" distB="0" distL="114300" distR="114300" simplePos="0" relativeHeight="251672576" behindDoc="0" locked="0" layoutInCell="1" allowOverlap="1">
                <wp:simplePos x="0" y="0"/>
                <wp:positionH relativeFrom="column">
                  <wp:posOffset>480695</wp:posOffset>
                </wp:positionH>
                <wp:positionV relativeFrom="paragraph">
                  <wp:posOffset>252095</wp:posOffset>
                </wp:positionV>
                <wp:extent cx="775970" cy="495300"/>
                <wp:effectExtent l="4445" t="4445" r="19685" b="14605"/>
                <wp:wrapNone/>
                <wp:docPr id="62" name="矩形 62"/>
                <wp:cNvGraphicFramePr/>
                <a:graphic xmlns:a="http://schemas.openxmlformats.org/drawingml/2006/main">
                  <a:graphicData uri="http://schemas.microsoft.com/office/word/2010/wordprocessingShape">
                    <wps:wsp>
                      <wps:cNvSpPr/>
                      <wps:spPr>
                        <a:xfrm>
                          <a:off x="0" y="0"/>
                          <a:ext cx="77597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预均化</w:t>
                            </w:r>
                          </w:p>
                          <w:p>
                            <w:pPr>
                              <w:jc w:val="center"/>
                            </w:pPr>
                            <w:r>
                              <w:rPr>
                                <w:rFonts w:hint="eastAsia"/>
                              </w:rPr>
                              <w:t>堆场</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37.85pt;margin-top:19.85pt;height:39pt;width:61.1pt;z-index:251672576;mso-width-relative:page;mso-height-relative:page;" fillcolor="#FFFFFF" filled="t" stroked="t" coordsize="21600,21600" o:gfxdata="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lY&#10;uOvXAAAACQEAAA8AAAAAAAAAAQAgAAAAIgAAAGRycy9kb3ducmV2LnhtbFBLAQIUABQAAAAIAIdO&#10;4kAxT6sv6wEAANwDAAAOAAAAAAAAAAEAIAAAACYBAABkcnMvZTJvRG9jLnhtbFBLBQYAAAAABgAG&#10;AFkBAACDBQAAAAA=&#10;">
                <v:fill on="t" focussize="0,0"/>
                <v:stroke color="#000000" joinstyle="miter"/>
                <v:imagedata o:title=""/>
                <o:lock v:ext="edit" aspectratio="f"/>
                <v:textbox>
                  <w:txbxContent>
                    <w:p>
                      <w:pPr>
                        <w:jc w:val="center"/>
                        <w:rPr>
                          <w:rFonts w:hint="eastAsia"/>
                        </w:rPr>
                      </w:pPr>
                      <w:r>
                        <w:rPr>
                          <w:rFonts w:hint="eastAsia"/>
                        </w:rPr>
                        <w:t>预均化</w:t>
                      </w:r>
                    </w:p>
                    <w:p>
                      <w:pPr>
                        <w:jc w:val="center"/>
                      </w:pPr>
                      <w:r>
                        <w:rPr>
                          <w:rFonts w:hint="eastAsia"/>
                        </w:rPr>
                        <w:t>堆场</w:t>
                      </w:r>
                      <w:r>
                        <w:rPr>
                          <w:rFonts w:hint="eastAsia" w:ascii="宋体" w:hAnsi="宋体"/>
                          <w:sz w:val="21"/>
                          <w:szCs w:val="21"/>
                        </w:rPr>
                        <w:t>※</w:t>
                      </w:r>
                    </w:p>
                  </w:txbxContent>
                </v:textbox>
              </v:rect>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661312" behindDoc="0" locked="0" layoutInCell="1" allowOverlap="1">
                <wp:simplePos x="0" y="0"/>
                <wp:positionH relativeFrom="column">
                  <wp:posOffset>3700145</wp:posOffset>
                </wp:positionH>
                <wp:positionV relativeFrom="paragraph">
                  <wp:posOffset>118110</wp:posOffset>
                </wp:positionV>
                <wp:extent cx="466725" cy="198120"/>
                <wp:effectExtent l="0" t="0" r="9525" b="11430"/>
                <wp:wrapNone/>
                <wp:docPr id="54" name="矩形 54"/>
                <wp:cNvGraphicFramePr/>
                <a:graphic xmlns:a="http://schemas.openxmlformats.org/drawingml/2006/main">
                  <a:graphicData uri="http://schemas.microsoft.com/office/word/2010/wordprocessingShape">
                    <wps:wsp>
                      <wps:cNvSpPr/>
                      <wps:spPr>
                        <a:xfrm flipV="1">
                          <a:off x="0" y="0"/>
                          <a:ext cx="466725" cy="198120"/>
                        </a:xfrm>
                        <a:prstGeom prst="rect">
                          <a:avLst/>
                        </a:prstGeom>
                        <a:solidFill>
                          <a:srgbClr val="FFFFFF"/>
                        </a:solidFill>
                        <a:ln>
                          <a:noFill/>
                        </a:ln>
                      </wps:spPr>
                      <wps:txbx>
                        <w:txbxContent>
                          <w:p>
                            <w:pPr>
                              <w:spacing w:line="240" w:lineRule="exact"/>
                              <w:jc w:val="center"/>
                              <w:rPr>
                                <w:rFonts w:hint="eastAsia"/>
                              </w:rPr>
                            </w:pPr>
                            <w:r>
                              <w:rPr>
                                <w:rFonts w:hint="eastAsia"/>
                              </w:rPr>
                              <w:t>硫酸渣</w:t>
                            </w:r>
                          </w:p>
                        </w:txbxContent>
                      </wps:txbx>
                      <wps:bodyPr lIns="0" tIns="0" rIns="0" bIns="0" upright="1"/>
                    </wps:wsp>
                  </a:graphicData>
                </a:graphic>
              </wp:anchor>
            </w:drawing>
          </mc:Choice>
          <mc:Fallback>
            <w:pict>
              <v:rect id="_x0000_s1026" o:spid="_x0000_s1026" o:spt="1" style="position:absolute;left:0pt;flip:y;margin-left:291.35pt;margin-top:9.3pt;height:15.6pt;width:36.75pt;z-index:251661312;mso-width-relative:page;mso-height-relative:page;" fillcolor="#FFFFFF" filled="t" stroked="f" coordsize="21600,21600" o:gfxdata="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O4&#10;VIrXAAAACQEAAA8AAAAAAAAAAQAgAAAAIgAAAGRycy9kb3ducmV2LnhtbFBLAQIUABQAAAAIAIdO&#10;4kCQ50Q6sgEAAEsDAAAOAAAAAAAAAAEAIAAAACYBAABkcnMvZTJvRG9jLnhtbFBLBQYAAAAABgAG&#10;AFkBAABKBQAAAAA=&#10;">
                <v:fill on="t" focussize="0,0"/>
                <v:stroke on="f"/>
                <v:imagedata o:title=""/>
                <o:lock v:ext="edit" aspectratio="f"/>
                <v:textbox inset="0mm,0mm,0mm,0mm">
                  <w:txbxContent>
                    <w:p>
                      <w:pPr>
                        <w:spacing w:line="240" w:lineRule="exact"/>
                        <w:jc w:val="center"/>
                        <w:rPr>
                          <w:rFonts w:hint="eastAsia"/>
                        </w:rPr>
                      </w:pPr>
                      <w:r>
                        <w:rPr>
                          <w:rFonts w:hint="eastAsia"/>
                        </w:rPr>
                        <w:t>硫酸渣</w:t>
                      </w:r>
                    </w:p>
                  </w:txbxContent>
                </v:textbox>
              </v:rect>
            </w:pict>
          </mc:Fallback>
        </mc:AlternateContent>
      </w:r>
      <w:r>
        <w:rPr>
          <w:rFonts w:ascii="宋体" w:hAnsi="宋体"/>
        </w:rPr>
        <mc:AlternateContent>
          <mc:Choice Requires="wps">
            <w:drawing>
              <wp:anchor distT="0" distB="0" distL="114300" distR="114300" simplePos="0" relativeHeight="251696128" behindDoc="0" locked="0" layoutInCell="1" allowOverlap="1">
                <wp:simplePos x="0" y="0"/>
                <wp:positionH relativeFrom="column">
                  <wp:posOffset>4914900</wp:posOffset>
                </wp:positionH>
                <wp:positionV relativeFrom="paragraph">
                  <wp:posOffset>167640</wp:posOffset>
                </wp:positionV>
                <wp:extent cx="0" cy="396240"/>
                <wp:effectExtent l="38100" t="0" r="38100" b="3810"/>
                <wp:wrapNone/>
                <wp:docPr id="63" name="直接连接符 6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87pt;margin-top:13.2pt;height:31.2pt;width:0pt;z-index:251696128;mso-width-relative:page;mso-height-relative:page;" filled="f" stroked="t" coordsize="21600,21600" o:gfxdata="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kZvgDdkAAAAJ&#10;AQAADwAAAAAAAAABACAAAAAiAAAAZHJzL2Rvd25yZXYueG1sUEsBAhQAFAAAAAgAh07iQI4u7eHi&#10;AQAAmwMAAA4AAAAAAAAAAQAgAAAAKAEAAGRycy9lMm9Eb2MueG1sUEsFBgAAAAAGAAYAWQEAAHwF&#10;AAAAAA==&#10;">
                <v:fill on="f" focussize="0,0"/>
                <v:stroke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rPr>
        <mc:AlternateContent>
          <mc:Choice Requires="wps">
            <w:drawing>
              <wp:anchor distT="0" distB="0" distL="114300" distR="114300" simplePos="0" relativeHeight="251685888" behindDoc="0" locked="0" layoutInCell="1" allowOverlap="1">
                <wp:simplePos x="0" y="0"/>
                <wp:positionH relativeFrom="column">
                  <wp:posOffset>3966845</wp:posOffset>
                </wp:positionH>
                <wp:positionV relativeFrom="paragraph">
                  <wp:posOffset>60960</wp:posOffset>
                </wp:positionV>
                <wp:extent cx="6350" cy="375285"/>
                <wp:effectExtent l="36830" t="0" r="33020" b="5715"/>
                <wp:wrapNone/>
                <wp:docPr id="55" name="直接连接符 55"/>
                <wp:cNvGraphicFramePr/>
                <a:graphic xmlns:a="http://schemas.openxmlformats.org/drawingml/2006/main">
                  <a:graphicData uri="http://schemas.microsoft.com/office/word/2010/wordprocessingShape">
                    <wps:wsp>
                      <wps:cNvCnPr/>
                      <wps:spPr>
                        <a:xfrm flipH="1">
                          <a:off x="0" y="0"/>
                          <a:ext cx="6350" cy="3752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12.35pt;margin-top:4.8pt;height:29.55pt;width:0.5pt;z-index:251685888;mso-width-relative:page;mso-height-relative:page;" filled="f" stroked="t" coordsize="21600,21600" o:gfxdata="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sNdj9gAAAAIAQAADwAAAAAAAAABACAAAAAiAAAAZHJzL2Rvd25yZXYueG1sUEsBAhQAFAAA&#10;AAgAh07iQKzuvCjvAQAAqAMAAA4AAAAAAAAAAQAgAAAAJwEAAGRycy9lMm9Eb2MueG1sUEsFBgAA&#10;AAAGAAYAWQEAAIgF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683840" behindDoc="0" locked="0" layoutInCell="1" allowOverlap="1">
                <wp:simplePos x="0" y="0"/>
                <wp:positionH relativeFrom="column">
                  <wp:posOffset>1990090</wp:posOffset>
                </wp:positionH>
                <wp:positionV relativeFrom="paragraph">
                  <wp:posOffset>168275</wp:posOffset>
                </wp:positionV>
                <wp:extent cx="0" cy="297180"/>
                <wp:effectExtent l="38100" t="0" r="38100" b="7620"/>
                <wp:wrapNone/>
                <wp:docPr id="60" name="直接连接符 6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6.7pt;margin-top:13.25pt;height:23.4pt;width:0pt;z-index:251683840;mso-width-relative:page;mso-height-relative:page;" filled="f" stroked="t" coordsize="21600,21600" o:gfxdata="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URbmNkAAAAJ&#10;AQAADwAAAAAAAAABACAAAAAiAAAAZHJzL2Rvd25yZXYueG1sUEsBAhQAFAAAAAgAh07iQBO3kb7i&#10;AQAAmwMAAA4AAAAAAAAAAQAgAAAAKAEAAGRycy9lMm9Eb2MueG1sUEsFBgAAAAAGAAYAWQEAAHwF&#10;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684864" behindDoc="0" locked="0" layoutInCell="1" allowOverlap="1">
                <wp:simplePos x="0" y="0"/>
                <wp:positionH relativeFrom="column">
                  <wp:posOffset>3138170</wp:posOffset>
                </wp:positionH>
                <wp:positionV relativeFrom="paragraph">
                  <wp:posOffset>160020</wp:posOffset>
                </wp:positionV>
                <wp:extent cx="0" cy="297180"/>
                <wp:effectExtent l="38100" t="0" r="38100" b="7620"/>
                <wp:wrapNone/>
                <wp:docPr id="56" name="直接连接符 5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7.1pt;margin-top:12.6pt;height:23.4pt;width:0pt;z-index:251684864;mso-width-relative:page;mso-height-relative:page;" filled="f" stroked="t" coordsize="21600,21600" o:gfxdata="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jhVVW2AAAAAkB&#10;AAAPAAAAAAAAAAEAIAAAACIAAABkcnMvZG93bnJldi54bWxQSwECFAAUAAAACACHTuJARu2Hj+IB&#10;AACbAwAADgAAAAAAAAABACAAAAAnAQAAZHJzL2Uyb0RvYy54bWxQSwUGAAAAAAYABgBZAQAAewUA&#10;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669504" behindDoc="0" locked="0" layoutInCell="1" allowOverlap="1">
                <wp:simplePos x="0" y="0"/>
                <wp:positionH relativeFrom="column">
                  <wp:posOffset>4542790</wp:posOffset>
                </wp:positionH>
                <wp:positionV relativeFrom="paragraph">
                  <wp:posOffset>254635</wp:posOffset>
                </wp:positionV>
                <wp:extent cx="1057910" cy="202565"/>
                <wp:effectExtent l="4445" t="4445" r="23495" b="21590"/>
                <wp:wrapNone/>
                <wp:docPr id="57" name="矩形 57"/>
                <wp:cNvGraphicFramePr/>
                <a:graphic xmlns:a="http://schemas.openxmlformats.org/drawingml/2006/main">
                  <a:graphicData uri="http://schemas.microsoft.com/office/word/2010/wordprocessingShape">
                    <wps:wsp>
                      <wps:cNvSpPr/>
                      <wps:spPr>
                        <a:xfrm flipV="1">
                          <a:off x="0" y="0"/>
                          <a:ext cx="1057910" cy="2025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rPr>
                            </w:pPr>
                            <w:r>
                              <w:rPr>
                                <w:rFonts w:hint="eastAsia"/>
                              </w:rPr>
                              <w:t>预均化堆场</w:t>
                            </w:r>
                            <w:r>
                              <w:rPr>
                                <w:rFonts w:hint="eastAsia" w:ascii="宋体" w:hAnsi="宋体"/>
                                <w:sz w:val="21"/>
                                <w:szCs w:val="21"/>
                              </w:rPr>
                              <w:t>※△</w:t>
                            </w:r>
                          </w:p>
                        </w:txbxContent>
                      </wps:txbx>
                      <wps:bodyPr lIns="0" tIns="0" rIns="0" bIns="0" upright="1"/>
                    </wps:wsp>
                  </a:graphicData>
                </a:graphic>
              </wp:anchor>
            </w:drawing>
          </mc:Choice>
          <mc:Fallback>
            <w:pict>
              <v:rect id="_x0000_s1026" o:spid="_x0000_s1026" o:spt="1" style="position:absolute;left:0pt;flip:y;margin-left:357.7pt;margin-top:20.05pt;height:15.95pt;width:83.3pt;z-index:251669504;mso-width-relative:page;mso-height-relative:page;" fillcolor="#FFFFFF" filled="t" stroked="t" coordsize="21600,21600" o:gfxdata="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rtt8K1wAAAAkBAAAPAAAAAAAAAAEAIAAAACIAAABkcnMvZG93bnJldi54&#10;bWxQSwECFAAUAAAACACHTuJAjDVpL/sBAAALBAAADgAAAAAAAAABACAAAAAmAQAAZHJzL2Uyb0Rv&#10;Yy54bWxQSwUGAAAAAAYABgBZAQAAkwUAAAAA&#10;">
                <v:fill on="t" focussize="0,0"/>
                <v:stroke color="#000000" joinstyle="miter"/>
                <v:imagedata o:title=""/>
                <o:lock v:ext="edit" aspectratio="f"/>
                <v:textbox inset="0mm,0mm,0mm,0mm">
                  <w:txbxContent>
                    <w:p>
                      <w:pPr>
                        <w:spacing w:line="240" w:lineRule="exact"/>
                        <w:rPr>
                          <w:rFonts w:hint="eastAsia"/>
                        </w:rPr>
                      </w:pPr>
                      <w:r>
                        <w:rPr>
                          <w:rFonts w:hint="eastAsia"/>
                        </w:rPr>
                        <w:t>预均化堆场</w:t>
                      </w:r>
                      <w:r>
                        <w:rPr>
                          <w:rFonts w:hint="eastAsia" w:ascii="宋体" w:hAnsi="宋体"/>
                          <w:sz w:val="21"/>
                          <w:szCs w:val="21"/>
                        </w:rPr>
                        <w:t>※△</w:t>
                      </w:r>
                    </w:p>
                  </w:txbxContent>
                </v:textbox>
              </v:rect>
            </w:pict>
          </mc:Fallback>
        </mc:AlternateContent>
      </w:r>
      <w:r>
        <w:rPr>
          <w:rFonts w:ascii="宋体" w:hAnsi="宋体"/>
        </w:rPr>
        <mc:AlternateContent>
          <mc:Choice Requires="wps">
            <w:drawing>
              <wp:anchor distT="0" distB="0" distL="114300" distR="114300" simplePos="0" relativeHeight="251682816" behindDoc="0" locked="0" layoutInCell="1" allowOverlap="1">
                <wp:simplePos x="0" y="0"/>
                <wp:positionH relativeFrom="column">
                  <wp:posOffset>823595</wp:posOffset>
                </wp:positionH>
                <wp:positionV relativeFrom="paragraph">
                  <wp:posOffset>170180</wp:posOffset>
                </wp:positionV>
                <wp:extent cx="0" cy="297180"/>
                <wp:effectExtent l="38100" t="0" r="38100" b="7620"/>
                <wp:wrapNone/>
                <wp:docPr id="58" name="直接连接符 5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4.85pt;margin-top:13.4pt;height:23.4pt;width:0pt;z-index:251682816;mso-width-relative:page;mso-height-relative:page;" filled="f" stroked="t" coordsize="21600,21600" o:gfxdata="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2To7fYAAAACQEA&#10;AA8AAAAAAAAAAQAgAAAAIgAAAGRycy9kb3ducmV2LnhtbFBLAQIUABQAAAAIAIdO4kBHS/7G4QEA&#10;AJsDAAAOAAAAAAAAAAEAIAAAACcBAABkcnMvZTJvRG9jLnhtbFBLBQYAAAAABgAGAFkBAAB6BQAA&#10;AAA=&#10;">
                <v:fill on="f" focussize="0,0"/>
                <v:stroke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rPr>
        <mc:AlternateContent>
          <mc:Choice Requires="wps">
            <w:drawing>
              <wp:anchor distT="0" distB="0" distL="114300" distR="114300" simplePos="0" relativeHeight="251758592" behindDoc="0" locked="0" layoutInCell="1" allowOverlap="1">
                <wp:simplePos x="0" y="0"/>
                <wp:positionH relativeFrom="column">
                  <wp:posOffset>2286000</wp:posOffset>
                </wp:positionH>
                <wp:positionV relativeFrom="paragraph">
                  <wp:posOffset>227330</wp:posOffset>
                </wp:positionV>
                <wp:extent cx="333375" cy="125095"/>
                <wp:effectExtent l="3810" t="3175" r="5715" b="5080"/>
                <wp:wrapNone/>
                <wp:docPr id="61" name="任意多边形 61"/>
                <wp:cNvGraphicFramePr/>
                <a:graphic xmlns:a="http://schemas.openxmlformats.org/drawingml/2006/main">
                  <a:graphicData uri="http://schemas.microsoft.com/office/word/2010/wordprocessingShape">
                    <wps:wsp>
                      <wps:cNvSpPr/>
                      <wps:spPr>
                        <a:xfrm>
                          <a:off x="0" y="0"/>
                          <a:ext cx="333375" cy="125095"/>
                        </a:xfrm>
                        <a:custGeom>
                          <a:avLst/>
                          <a:gdLst/>
                          <a:ahLst/>
                          <a:cxnLst/>
                          <a:pathLst>
                            <a:path w="510" h="194">
                              <a:moveTo>
                                <a:pt x="0" y="194"/>
                              </a:moveTo>
                              <a:cubicBezTo>
                                <a:pt x="85" y="99"/>
                                <a:pt x="170" y="4"/>
                                <a:pt x="255" y="2"/>
                              </a:cubicBezTo>
                              <a:cubicBezTo>
                                <a:pt x="340" y="0"/>
                                <a:pt x="425" y="91"/>
                                <a:pt x="510" y="182"/>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80pt;margin-top:17.9pt;height:9.85pt;width:26.25pt;z-index:251758592;mso-width-relative:page;mso-height-relative:page;" filled="f" stroked="t" coordsize="510,194" o:gfxdata="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aIEKDXAAAACQEAAA8A&#10;AAAAAAAAAQAgAAAAIgAAAGRycy9kb3ducmV2LnhtbFBLAQIUABQAAAAIAIdO4kCzYB1JUQIAANcE&#10;AAAOAAAAAAAAAAEAIAAAACYBAABkcnMvZTJvRG9jLnhtbFBLBQYAAAAABgAGAFkBAADpBQAAAAA=&#10;" path="m0,194c85,99,170,4,255,2c340,0,425,91,510,182e">
                <v:fill on="f" focussize="0,0"/>
                <v:stroke color="#000000" joinstyle="round"/>
                <v:imagedata o:title=""/>
                <o:lock v:ext="edit" aspectratio="f"/>
              </v:shape>
            </w:pict>
          </mc:Fallback>
        </mc:AlternateContent>
      </w:r>
      <w:r>
        <w:rPr>
          <w:rFonts w:ascii="宋体" w:hAnsi="宋体"/>
        </w:rPr>
        <mc:AlternateContent>
          <mc:Choice Requires="wps">
            <w:drawing>
              <wp:anchor distT="0" distB="0" distL="114300" distR="114300" simplePos="0" relativeHeight="251697152" behindDoc="0" locked="0" layoutInCell="1" allowOverlap="1">
                <wp:simplePos x="0" y="0"/>
                <wp:positionH relativeFrom="column">
                  <wp:posOffset>4919345</wp:posOffset>
                </wp:positionH>
                <wp:positionV relativeFrom="paragraph">
                  <wp:posOffset>160655</wp:posOffset>
                </wp:positionV>
                <wp:extent cx="0" cy="297180"/>
                <wp:effectExtent l="38100" t="0" r="38100" b="7620"/>
                <wp:wrapNone/>
                <wp:docPr id="71" name="直接连接符 7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87.35pt;margin-top:12.65pt;height:23.4pt;width:0pt;z-index:251697152;mso-width-relative:page;mso-height-relative:page;" filled="f" stroked="t" coordsize="21600,21600" o:gfxdata="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p/ytkAAAAJ&#10;AQAADwAAAAAAAAABACAAAAAiAAAAZHJzL2Rvd25yZXYueG1sUEsBAhQAFAAAAAgAh07iQLbImlfi&#10;AQAAmwMAAA4AAAAAAAAAAQAgAAAAKAEAAGRycy9lMm9Eb2MueG1sUEsFBgAAAAAGAAYAWQEAAHwF&#10;A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673600" behindDoc="0" locked="0" layoutInCell="1" allowOverlap="1">
                <wp:simplePos x="0" y="0"/>
                <wp:positionH relativeFrom="column">
                  <wp:posOffset>2452370</wp:posOffset>
                </wp:positionH>
                <wp:positionV relativeFrom="paragraph">
                  <wp:posOffset>153035</wp:posOffset>
                </wp:positionV>
                <wp:extent cx="0" cy="274320"/>
                <wp:effectExtent l="42545" t="0" r="52705" b="11430"/>
                <wp:wrapNone/>
                <wp:docPr id="66" name="直接连接符 66"/>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3.1pt;margin-top:12.05pt;height:21.6pt;width:0pt;z-index:251673600;mso-width-relative:page;mso-height-relative:page;" filled="f" stroked="t" coordsize="21600,21600" o:gfxdata="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ygpj31QAAAAkBAAAP&#10;AAAAAAAAAAEAIAAAACIAAABkcnMvZG93bnJldi54bWxQSwECFAAUAAAACACHTuJATbmUnOIBAACc&#10;AwAADgAAAAAAAAABACAAAAAkAQAAZHJzL2Uyb0RvYy54bWxQSwUGAAAAAAYABgBZAQAAeAUAAAAA&#10;">
                <v:fill on="f" focussize="0,0"/>
                <v:stroke weight="2.25pt"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686912" behindDoc="0" locked="0" layoutInCell="1" allowOverlap="1">
                <wp:simplePos x="0" y="0"/>
                <wp:positionH relativeFrom="column">
                  <wp:posOffset>800100</wp:posOffset>
                </wp:positionH>
                <wp:positionV relativeFrom="paragraph">
                  <wp:posOffset>152400</wp:posOffset>
                </wp:positionV>
                <wp:extent cx="3200400" cy="0"/>
                <wp:effectExtent l="0" t="0" r="0" b="0"/>
                <wp:wrapNone/>
                <wp:docPr id="64" name="直接连接符 64"/>
                <wp:cNvGraphicFramePr/>
                <a:graphic xmlns:a="http://schemas.openxmlformats.org/drawingml/2006/main">
                  <a:graphicData uri="http://schemas.microsoft.com/office/word/2010/wordprocessingShape">
                    <wps:wsp>
                      <wps:cNvCnPr/>
                      <wps:spPr>
                        <a:xfrm>
                          <a:off x="0" y="0"/>
                          <a:ext cx="3200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pt;margin-top:12pt;height:0pt;width:252pt;z-index:251686912;mso-width-relative:page;mso-height-relative:page;" filled="f" stroked="t" coordsize="21600,21600" o:gfxdata="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YNwOL0wAAAAkBAAAPAAAAAAAAAAEA&#10;IAAAACIAAABkcnMvZG93bnJldi54bWxQSwECFAAUAAAACACHTuJAGdj98tsBAACYAwAADgAAAAAA&#10;AAABACAAAAAiAQAAZHJzL2Uyb0RvYy54bWxQSwUGAAAAAAYABgBZAQAAbwUAAAAA&#10;">
                <v:fill on="f" focussize="0,0"/>
                <v:stroke color="#000000" joinstyle="round"/>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670528" behindDoc="0" locked="0" layoutInCell="1" allowOverlap="1">
                <wp:simplePos x="0" y="0"/>
                <wp:positionH relativeFrom="column">
                  <wp:posOffset>4229100</wp:posOffset>
                </wp:positionH>
                <wp:positionV relativeFrom="paragraph">
                  <wp:posOffset>144780</wp:posOffset>
                </wp:positionV>
                <wp:extent cx="1371600" cy="297180"/>
                <wp:effectExtent l="4445" t="4445" r="14605" b="22225"/>
                <wp:wrapNone/>
                <wp:docPr id="65" name="矩形 65"/>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ZGM80立磨</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333pt;margin-top:11.4pt;height:23.4pt;width:108pt;z-index:251670528;mso-width-relative:page;mso-height-relative:page;" fillcolor="#FFFFFF" filled="t" stroked="t" coordsize="21600,21600" o:gfxdata="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EDc&#10;GtYAAAAJAQAADwAAAAAAAAABACAAAAAiAAAAZHJzL2Rvd25yZXYueG1sUEsBAhQAFAAAAAgAh07i&#10;QJtBh6DrAQAA3QMAAA4AAAAAAAAAAQAgAAAAJQEAAGRycy9lMm9Eb2MueG1sUEsFBgAAAAAGAAYA&#10;WQEAAIIFAAAAAA==&#10;">
                <v:fill on="t" focussize="0,0"/>
                <v:stroke color="#000000" joinstyle="miter"/>
                <v:imagedata o:title=""/>
                <o:lock v:ext="edit" aspectratio="f"/>
                <v:textbox>
                  <w:txbxContent>
                    <w:p>
                      <w:pPr>
                        <w:jc w:val="center"/>
                      </w:pPr>
                      <w:r>
                        <w:rPr>
                          <w:rFonts w:hint="eastAsia"/>
                        </w:rPr>
                        <w:t>ZGM80立磨</w:t>
                      </w:r>
                      <w:r>
                        <w:rPr>
                          <w:rFonts w:hint="eastAsia" w:ascii="宋体" w:hAnsi="宋体"/>
                          <w:sz w:val="21"/>
                          <w:szCs w:val="21"/>
                        </w:rPr>
                        <w:t>※△</w:t>
                      </w:r>
                    </w:p>
                  </w:txbxContent>
                </v:textbox>
              </v:rect>
            </w:pict>
          </mc:Fallback>
        </mc:AlternateContent>
      </w:r>
      <w:r>
        <w:rPr>
          <w:rFonts w:hint="eastAsia" w:ascii="宋体" w:hAnsi="宋体"/>
        </w:rPr>
        <mc:AlternateContent>
          <mc:Choice Requires="wps">
            <w:drawing>
              <wp:anchor distT="0" distB="0" distL="114300" distR="114300" simplePos="0" relativeHeight="251754496" behindDoc="0" locked="0" layoutInCell="1" allowOverlap="1">
                <wp:simplePos x="0" y="0"/>
                <wp:positionH relativeFrom="column">
                  <wp:posOffset>-228600</wp:posOffset>
                </wp:positionH>
                <wp:positionV relativeFrom="paragraph">
                  <wp:posOffset>45720</wp:posOffset>
                </wp:positionV>
                <wp:extent cx="2514600" cy="0"/>
                <wp:effectExtent l="0" t="0" r="0" b="0"/>
                <wp:wrapNone/>
                <wp:docPr id="67" name="直接连接符 67"/>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8pt;margin-top:3.6pt;height:0pt;width:198pt;z-index:251754496;mso-width-relative:page;mso-height-relative:page;" filled="f" stroked="t" coordsize="21600,21600" o:gfxdata="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YdMXcdMAAAAHAQAADwAAAAAAAAAB&#10;ACAAAAAiAAAAZHJzL2Rvd25yZXYueG1sUEsBAhQAFAAAAAgAh07iQLmmK6ncAQAAmAMAAA4AAAAA&#10;AAAAAQAgAAAAIgEAAGRycy9lMm9Eb2MueG1sUEsFBgAAAAAGAAYAWQEAAHAFAAAAAA==&#10;">
                <v:fill on="f" focussize="0,0"/>
                <v:stroke color="#000000" joinstyle="round"/>
                <v:imagedata o:title=""/>
                <o:lock v:ext="edit" aspectratio="f"/>
              </v:line>
            </w:pict>
          </mc:Fallback>
        </mc:AlternateContent>
      </w:r>
      <w:r>
        <w:rPr>
          <w:rFonts w:hint="eastAsia" w:ascii="宋体" w:hAnsi="宋体"/>
        </w:rPr>
        <mc:AlternateContent>
          <mc:Choice Requires="wps">
            <w:drawing>
              <wp:anchor distT="0" distB="0" distL="114300" distR="114300" simplePos="0" relativeHeight="251753472" behindDoc="0" locked="0" layoutInCell="1" allowOverlap="1">
                <wp:simplePos x="0" y="0"/>
                <wp:positionH relativeFrom="column">
                  <wp:posOffset>-228600</wp:posOffset>
                </wp:positionH>
                <wp:positionV relativeFrom="paragraph">
                  <wp:posOffset>45720</wp:posOffset>
                </wp:positionV>
                <wp:extent cx="0" cy="2872740"/>
                <wp:effectExtent l="4445" t="0" r="14605" b="3810"/>
                <wp:wrapNone/>
                <wp:docPr id="68" name="直接连接符 68"/>
                <wp:cNvGraphicFramePr/>
                <a:graphic xmlns:a="http://schemas.openxmlformats.org/drawingml/2006/main">
                  <a:graphicData uri="http://schemas.microsoft.com/office/word/2010/wordprocessingShape">
                    <wps:wsp>
                      <wps:cNvCnPr/>
                      <wps:spPr>
                        <a:xfrm flipV="1">
                          <a:off x="0" y="0"/>
                          <a:ext cx="0" cy="28727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8pt;margin-top:3.6pt;height:226.2pt;width:0pt;z-index:251753472;mso-width-relative:page;mso-height-relative:page;" filled="f" stroked="t" coordsize="21600,21600" o:gfxdata="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pmGdy1gAAAAkB&#10;AAAPAAAAAAAAAAEAIAAAACIAAABkcnMvZG93bnJldi54bWxQSwECFAAUAAAACACHTuJAduhPxOQB&#10;AACiAwAADgAAAAAAAAABACAAAAAlAQAAZHJzL2Uyb0RvYy54bWxQSwUGAAAAAAYABgBZAQAAewUA&#10;AAAA&#10;">
                <v:fill on="f" focussize="0,0"/>
                <v:stroke color="#000000" joinstyle="round"/>
                <v:imagedata o:title=""/>
                <o:lock v:ext="edit" aspectratio="f"/>
              </v:line>
            </w:pict>
          </mc:Fallback>
        </mc:AlternateContent>
      </w:r>
      <w:r>
        <w:rPr>
          <w:rFonts w:hint="eastAsia" w:ascii="宋体" w:hAnsi="宋体"/>
        </w:rPr>
        <mc:AlternateContent>
          <mc:Choice Requires="wps">
            <w:drawing>
              <wp:anchor distT="0" distB="0" distL="114300" distR="114300" simplePos="0" relativeHeight="251757568" behindDoc="0" locked="0" layoutInCell="1" allowOverlap="1">
                <wp:simplePos x="0" y="0"/>
                <wp:positionH relativeFrom="column">
                  <wp:posOffset>2628900</wp:posOffset>
                </wp:positionH>
                <wp:positionV relativeFrom="paragraph">
                  <wp:posOffset>45720</wp:posOffset>
                </wp:positionV>
                <wp:extent cx="1257300" cy="0"/>
                <wp:effectExtent l="0" t="0" r="0" b="0"/>
                <wp:wrapNone/>
                <wp:docPr id="69" name="直接连接符 69"/>
                <wp:cNvGraphicFramePr/>
                <a:graphic xmlns:a="http://schemas.openxmlformats.org/drawingml/2006/main">
                  <a:graphicData uri="http://schemas.microsoft.com/office/word/2010/wordprocessingShape">
                    <wps:wsp>
                      <wps:cNvCnPr/>
                      <wps:spPr>
                        <a:xfrm flipH="1">
                          <a:off x="0" y="0"/>
                          <a:ext cx="1257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207pt;margin-top:3.6pt;height:0pt;width:99pt;z-index:251757568;mso-width-relative:page;mso-height-relative:page;" filled="f" stroked="t" coordsize="21600,21600" o:gfxdata="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J6ro9QAAAAHAQAA&#10;DwAAAAAAAAABACAAAAAiAAAAZHJzL2Rvd25yZXYueG1sUEsBAhQAFAAAAAgAh07iQEeVEQvkAQAA&#10;ogMAAA4AAAAAAAAAAQAgAAAAIwEAAGRycy9lMm9Eb2MueG1sUEsFBgAAAAAGAAYAWQEAAHkFAAAA&#10;AA==&#10;">
                <v:fill on="f" focussize="0,0"/>
                <v:stroke color="#000000" joinstyle="round"/>
                <v:imagedata o:title=""/>
                <o:lock v:ext="edit" aspectratio="f"/>
              </v:line>
            </w:pict>
          </mc:Fallback>
        </mc:AlternateContent>
      </w:r>
      <w:r>
        <w:rPr>
          <w:rFonts w:hint="eastAsia" w:ascii="宋体" w:hAnsi="宋体"/>
        </w:rPr>
        <mc:AlternateContent>
          <mc:Choice Requires="wps">
            <w:drawing>
              <wp:anchor distT="0" distB="0" distL="114300" distR="114300" simplePos="0" relativeHeight="251755520" behindDoc="0" locked="0" layoutInCell="1" allowOverlap="1">
                <wp:simplePos x="0" y="0"/>
                <wp:positionH relativeFrom="column">
                  <wp:posOffset>3886200</wp:posOffset>
                </wp:positionH>
                <wp:positionV relativeFrom="paragraph">
                  <wp:posOffset>45720</wp:posOffset>
                </wp:positionV>
                <wp:extent cx="0" cy="297180"/>
                <wp:effectExtent l="4445" t="0" r="14605" b="7620"/>
                <wp:wrapNone/>
                <wp:docPr id="70" name="直接连接符 7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6pt;margin-top:3.6pt;height:23.4pt;width:0pt;z-index:251755520;mso-width-relative:page;mso-height-relative:page;" filled="f" stroked="t" coordsize="21600,21600" o:gfxdata="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LfxhPVAAAACAEAAA8AAAAAAAAA&#10;AQAgAAAAIgAAAGRycy9kb3ducmV2LnhtbFBLAQIUABQAAAAIAIdO4kAHI2AE2wEAAJcDAAAOAAAA&#10;AAAAAAEAIAAAACQBAABkcnMvZTJvRG9jLnhtbFBLBQYAAAAABgAGAFkBAABxBQAAAAA=&#10;">
                <v:fill on="f" focussize="0,0"/>
                <v:stroke color="#000000" joinstyle="round"/>
                <v:imagedata o:title=""/>
                <o:lock v:ext="edit" aspectratio="f"/>
              </v:line>
            </w:pict>
          </mc:Fallback>
        </mc:AlternateContent>
      </w:r>
      <w:r>
        <w:rPr>
          <w:rFonts w:hint="eastAsia" w:ascii="宋体" w:hAnsi="宋体"/>
        </w:rPr>
        <mc:AlternateContent>
          <mc:Choice Requires="wps">
            <w:drawing>
              <wp:anchor distT="0" distB="0" distL="114300" distR="114300" simplePos="0" relativeHeight="251663360" behindDoc="0" locked="0" layoutInCell="1" allowOverlap="1">
                <wp:simplePos x="0" y="0"/>
                <wp:positionH relativeFrom="column">
                  <wp:posOffset>1912620</wp:posOffset>
                </wp:positionH>
                <wp:positionV relativeFrom="paragraph">
                  <wp:posOffset>99695</wp:posOffset>
                </wp:positionV>
                <wp:extent cx="1061720" cy="297180"/>
                <wp:effectExtent l="4445" t="4445" r="19685" b="22225"/>
                <wp:wrapNone/>
                <wp:docPr id="238" name="矩形 238"/>
                <wp:cNvGraphicFramePr/>
                <a:graphic xmlns:a="http://schemas.openxmlformats.org/drawingml/2006/main">
                  <a:graphicData uri="http://schemas.microsoft.com/office/word/2010/wordprocessingShape">
                    <wps:wsp>
                      <wps:cNvSpPr/>
                      <wps:spPr>
                        <a:xfrm>
                          <a:off x="0" y="0"/>
                          <a:ext cx="106172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原料调配</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150.6pt;margin-top:7.85pt;height:23.4pt;width:83.6pt;z-index:251663360;mso-width-relative:page;mso-height-relative:page;" fillcolor="#FFFFFF" filled="t" stroked="t" coordsize="21600,21600" o:gfxdata="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q&#10;gocD2AAAAAkBAAAPAAAAAAAAAAEAIAAAACIAAABkcnMvZG93bnJldi54bWxQSwECFAAUAAAACACH&#10;TuJAFYh+JusBAADfAwAADgAAAAAAAAABACAAAAAnAQAAZHJzL2Uyb0RvYy54bWxQSwUGAAAAAAYA&#10;BgBZAQAAhAUAAAAA&#10;">
                <v:fill on="t" focussize="0,0"/>
                <v:stroke color="#000000" joinstyle="miter"/>
                <v:imagedata o:title=""/>
                <o:lock v:ext="edit" aspectratio="f"/>
                <v:textbox>
                  <w:txbxContent>
                    <w:p>
                      <w:pPr>
                        <w:jc w:val="center"/>
                      </w:pPr>
                      <w:r>
                        <w:rPr>
                          <w:rFonts w:hint="eastAsia"/>
                        </w:rPr>
                        <w:t>原料调配</w:t>
                      </w:r>
                      <w:r>
                        <w:rPr>
                          <w:rFonts w:hint="eastAsia" w:ascii="宋体" w:hAnsi="宋体"/>
                          <w:sz w:val="21"/>
                          <w:szCs w:val="21"/>
                        </w:rPr>
                        <w:t>※</w:t>
                      </w:r>
                    </w:p>
                  </w:txbxContent>
                </v:textbox>
              </v:rect>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743232" behindDoc="0" locked="0" layoutInCell="1" allowOverlap="1">
                <wp:simplePos x="0" y="0"/>
                <wp:positionH relativeFrom="column">
                  <wp:posOffset>1188720</wp:posOffset>
                </wp:positionH>
                <wp:positionV relativeFrom="paragraph">
                  <wp:posOffset>209550</wp:posOffset>
                </wp:positionV>
                <wp:extent cx="1143000" cy="297180"/>
                <wp:effectExtent l="0" t="0" r="0" b="0"/>
                <wp:wrapNone/>
                <wp:docPr id="336" name="文本框 336"/>
                <wp:cNvGraphicFramePr/>
                <a:graphic xmlns:a="http://schemas.openxmlformats.org/drawingml/2006/main">
                  <a:graphicData uri="http://schemas.microsoft.com/office/word/2010/wordprocessingShape">
                    <wps:wsp>
                      <wps:cNvSpPr txBox="1"/>
                      <wps:spPr>
                        <a:xfrm>
                          <a:off x="0" y="0"/>
                          <a:ext cx="1143000" cy="297180"/>
                        </a:xfrm>
                        <a:prstGeom prst="rect">
                          <a:avLst/>
                        </a:prstGeom>
                        <a:solidFill>
                          <a:srgbClr val="FFFFFF">
                            <a:alpha val="0"/>
                          </a:srgbClr>
                        </a:solidFill>
                        <a:ln>
                          <a:noFill/>
                        </a:ln>
                      </wps:spPr>
                      <wps:txbx>
                        <w:txbxContent>
                          <w:p>
                            <w:pPr>
                              <w:rPr>
                                <w:rFonts w:hint="eastAsia"/>
                              </w:rPr>
                            </w:pPr>
                            <w:r>
                              <w:rPr>
                                <w:rFonts w:hint="eastAsia"/>
                              </w:rPr>
                              <w:t>粉磨废气</w:t>
                            </w:r>
                          </w:p>
                        </w:txbxContent>
                      </wps:txbx>
                      <wps:bodyPr upright="1"/>
                    </wps:wsp>
                  </a:graphicData>
                </a:graphic>
              </wp:anchor>
            </w:drawing>
          </mc:Choice>
          <mc:Fallback>
            <w:pict>
              <v:shape id="_x0000_s1026" o:spid="_x0000_s1026" o:spt="202" type="#_x0000_t202" style="position:absolute;left:0pt;margin-left:93.6pt;margin-top:16.5pt;height:23.4pt;width:90pt;z-index:251743232;mso-width-relative:page;mso-height-relative:page;" fillcolor="#FFFFFF" filled="t" stroked="f" coordsize="21600,21600" o:gfxdata="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82z61wAAAAkBAAAPAAAAAAAAAAEAIAAAACIAAABkcnMvZG93bnJldi54bWxQSwECFAAUAAAACACH&#10;TuJA+/jhLrMBAABKAwAADgAAAAAAAAABACAAAAAmAQAAZHJzL2Uyb0RvYy54bWxQSwUGAAAAAAYA&#10;BgBZAQAASwUAAAAA&#10;">
                <v:fill on="t" opacity="0f" focussize="0,0"/>
                <v:stroke on="f"/>
                <v:imagedata o:title=""/>
                <o:lock v:ext="edit" aspectratio="f"/>
                <v:textbox>
                  <w:txbxContent>
                    <w:p>
                      <w:pPr>
                        <w:rPr>
                          <w:rFonts w:hint="eastAsia"/>
                        </w:rPr>
                      </w:pPr>
                      <w:r>
                        <w:rPr>
                          <w:rFonts w:hint="eastAsia"/>
                        </w:rPr>
                        <w:t>粉磨废气</w:t>
                      </w:r>
                    </w:p>
                  </w:txbxContent>
                </v:textbox>
              </v:shape>
            </w:pict>
          </mc:Fallback>
        </mc:AlternateContent>
      </w:r>
      <w:r>
        <w:rPr>
          <w:rFonts w:hint="eastAsia" w:ascii="宋体" w:hAnsi="宋体"/>
        </w:rPr>
        <mc:AlternateContent>
          <mc:Choice Requires="wps">
            <w:drawing>
              <wp:anchor distT="0" distB="0" distL="114300" distR="114300" simplePos="0" relativeHeight="251756544" behindDoc="0" locked="0" layoutInCell="1" allowOverlap="1">
                <wp:simplePos x="0" y="0"/>
                <wp:positionH relativeFrom="column">
                  <wp:posOffset>3886200</wp:posOffset>
                </wp:positionH>
                <wp:positionV relativeFrom="paragraph">
                  <wp:posOffset>38100</wp:posOffset>
                </wp:positionV>
                <wp:extent cx="342900" cy="0"/>
                <wp:effectExtent l="0" t="38100" r="0" b="38100"/>
                <wp:wrapNone/>
                <wp:docPr id="347" name="直接连接符 347"/>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6pt;margin-top:3pt;height:0pt;width:27pt;z-index:251756544;mso-width-relative:page;mso-height-relative:page;" filled="f" stroked="t" coordsize="21600,21600" o:gfxdata="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A2RFE9UAAAAHAQAA&#10;DwAAAAAAAAABACAAAAAiAAAAZHJzL2Rvd25yZXYueG1sUEsBAhQAFAAAAAgAh07iQFzWUOzjAQAA&#10;nQMAAA4AAAAAAAAAAQAgAAAAJAEAAGRycy9lMm9Eb2MueG1sUEsFBgAAAAAGAAYAWQEAAHkFAAAA&#10;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725824" behindDoc="0" locked="0" layoutInCell="1" allowOverlap="1">
                <wp:simplePos x="0" y="0"/>
                <wp:positionH relativeFrom="column">
                  <wp:posOffset>2971800</wp:posOffset>
                </wp:positionH>
                <wp:positionV relativeFrom="paragraph">
                  <wp:posOffset>236220</wp:posOffset>
                </wp:positionV>
                <wp:extent cx="1143000" cy="297180"/>
                <wp:effectExtent l="0" t="0" r="0" b="0"/>
                <wp:wrapNone/>
                <wp:docPr id="327" name="文本框 327"/>
                <wp:cNvGraphicFramePr/>
                <a:graphic xmlns:a="http://schemas.openxmlformats.org/drawingml/2006/main">
                  <a:graphicData uri="http://schemas.microsoft.com/office/word/2010/wordprocessingShape">
                    <wps:wsp>
                      <wps:cNvSpPr txBox="1"/>
                      <wps:spPr>
                        <a:xfrm>
                          <a:off x="0" y="0"/>
                          <a:ext cx="1143000" cy="297180"/>
                        </a:xfrm>
                        <a:prstGeom prst="rect">
                          <a:avLst/>
                        </a:prstGeom>
                        <a:solidFill>
                          <a:srgbClr val="FFFFFF">
                            <a:alpha val="0"/>
                          </a:srgbClr>
                        </a:solidFill>
                        <a:ln>
                          <a:noFill/>
                        </a:ln>
                      </wps:spPr>
                      <wps:txbx>
                        <w:txbxContent>
                          <w:p>
                            <w:pPr>
                              <w:rPr>
                                <w:rFonts w:hint="eastAsia"/>
                              </w:rPr>
                            </w:pPr>
                            <w:r>
                              <w:rPr>
                                <w:rFonts w:hint="eastAsia"/>
                              </w:rPr>
                              <w:t>锅炉废气</w:t>
                            </w:r>
                          </w:p>
                        </w:txbxContent>
                      </wps:txbx>
                      <wps:bodyPr upright="1"/>
                    </wps:wsp>
                  </a:graphicData>
                </a:graphic>
              </wp:anchor>
            </w:drawing>
          </mc:Choice>
          <mc:Fallback>
            <w:pict>
              <v:shape id="_x0000_s1026" o:spid="_x0000_s1026" o:spt="202" type="#_x0000_t202" style="position:absolute;left:0pt;margin-left:234pt;margin-top:18.6pt;height:23.4pt;width:90pt;z-index:251725824;mso-width-relative:page;mso-height-relative:page;" fillcolor="#FFFFFF" filled="t" stroked="f" coordsize="21600,21600" o:gfxdata="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zUoWdgAAAAJAQAADwAAAAAAAAABACAAAAAiAAAAZHJzL2Rvd25yZXYueG1sUEsBAhQAFAAAAAgA&#10;h07iQBmgbQmzAQAASgMAAA4AAAAAAAAAAQAgAAAAJwEAAGRycy9lMm9Eb2MueG1sUEsFBgAAAAAG&#10;AAYAWQEAAEwFAAAAAA==&#10;">
                <v:fill on="t" opacity="0f" focussize="0,0"/>
                <v:stroke on="f"/>
                <v:imagedata o:title=""/>
                <o:lock v:ext="edit" aspectratio="f"/>
                <v:textbox>
                  <w:txbxContent>
                    <w:p>
                      <w:pPr>
                        <w:rPr>
                          <w:rFonts w:hint="eastAsia"/>
                        </w:rPr>
                      </w:pPr>
                      <w:r>
                        <w:rPr>
                          <w:rFonts w:hint="eastAsia"/>
                        </w:rPr>
                        <w:t>锅炉废气</w:t>
                      </w:r>
                    </w:p>
                  </w:txbxContent>
                </v:textbox>
              </v:shape>
            </w:pict>
          </mc:Fallback>
        </mc:AlternateContent>
      </w:r>
      <w:r>
        <w:rPr>
          <w:rFonts w:hint="eastAsia" w:ascii="宋体" w:hAnsi="宋体"/>
        </w:rPr>
        <mc:AlternateContent>
          <mc:Choice Requires="wps">
            <w:drawing>
              <wp:anchor distT="0" distB="0" distL="114300" distR="114300" simplePos="0" relativeHeight="251695104" behindDoc="0" locked="0" layoutInCell="1" allowOverlap="1">
                <wp:simplePos x="0" y="0"/>
                <wp:positionH relativeFrom="column">
                  <wp:posOffset>4914265</wp:posOffset>
                </wp:positionH>
                <wp:positionV relativeFrom="paragraph">
                  <wp:posOffset>123190</wp:posOffset>
                </wp:positionV>
                <wp:extent cx="0" cy="297180"/>
                <wp:effectExtent l="38100" t="0" r="38100" b="7620"/>
                <wp:wrapNone/>
                <wp:docPr id="337" name="直接连接符 33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86.95pt;margin-top:9.7pt;height:23.4pt;width:0pt;z-index:251695104;mso-width-relative:page;mso-height-relative:page;" filled="f" stroked="t" coordsize="21600,21600" o:gfxdata="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5FaHL2QAA&#10;AAkBAAAPAAAAAAAAAAEAIAAAACIAAABkcnMvZG93bnJldi54bWxQSwECFAAUAAAACACHTuJAdU8i&#10;peQBAACdAwAADgAAAAAAAAABACAAAAAoAQAAZHJzL2Uyb0RvYy54bWxQSwUGAAAAAAYABgBZAQAA&#10;fgU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687936" behindDoc="0" locked="0" layoutInCell="1" allowOverlap="1">
                <wp:simplePos x="0" y="0"/>
                <wp:positionH relativeFrom="column">
                  <wp:posOffset>2437765</wp:posOffset>
                </wp:positionH>
                <wp:positionV relativeFrom="paragraph">
                  <wp:posOffset>107950</wp:posOffset>
                </wp:positionV>
                <wp:extent cx="0" cy="274320"/>
                <wp:effectExtent l="42545" t="0" r="52705" b="11430"/>
                <wp:wrapNone/>
                <wp:docPr id="349" name="直接连接符 349"/>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1.95pt;margin-top:8.5pt;height:21.6pt;width:0pt;z-index:251687936;mso-width-relative:page;mso-height-relative:page;" filled="f" stroked="t" coordsize="21600,21600" o:gfxdata="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OzpoHVAAAACQEA&#10;AA8AAAAAAAAAAQAgAAAAIgAAAGRycy9kb3ducmV2LnhtbFBLAQIUABQAAAAIAIdO4kD2FUM85AEA&#10;AJ4DAAAOAAAAAAAAAAEAIAAAACQBAABkcnMvZTJvRG9jLnhtbFBLBQYAAAAABgAGAFkBAAB6BQAA&#10;AAA=&#10;">
                <v:fill on="f" focussize="0,0"/>
                <v:stroke weight="2.25pt"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1717632" behindDoc="0" locked="0" layoutInCell="1" allowOverlap="1">
                <wp:simplePos x="0" y="0"/>
                <wp:positionH relativeFrom="column">
                  <wp:posOffset>-228600</wp:posOffset>
                </wp:positionH>
                <wp:positionV relativeFrom="paragraph">
                  <wp:posOffset>30480</wp:posOffset>
                </wp:positionV>
                <wp:extent cx="1342390" cy="297180"/>
                <wp:effectExtent l="0" t="0" r="10160" b="7620"/>
                <wp:wrapNone/>
                <wp:docPr id="328" name="矩形 328"/>
                <wp:cNvGraphicFramePr/>
                <a:graphic xmlns:a="http://schemas.openxmlformats.org/drawingml/2006/main">
                  <a:graphicData uri="http://schemas.microsoft.com/office/word/2010/wordprocessingShape">
                    <wps:wsp>
                      <wps:cNvSpPr/>
                      <wps:spPr>
                        <a:xfrm>
                          <a:off x="0" y="0"/>
                          <a:ext cx="1342390" cy="297180"/>
                        </a:xfrm>
                        <a:prstGeom prst="rect">
                          <a:avLst/>
                        </a:prstGeom>
                        <a:solidFill>
                          <a:srgbClr val="FFFFFF"/>
                        </a:solidFill>
                        <a:ln>
                          <a:noFill/>
                        </a:ln>
                      </wps:spPr>
                      <wps:txbx>
                        <w:txbxContent>
                          <w:p>
                            <w:pPr>
                              <w:jc w:val="center"/>
                            </w:pPr>
                            <w:r>
                              <w:rPr>
                                <w:rFonts w:hint="eastAsia" w:ascii="宋体" w:hAnsi="宋体"/>
                                <w:sz w:val="21"/>
                                <w:szCs w:val="21"/>
                              </w:rPr>
                              <w:t>※PM</w:t>
                            </w:r>
                            <w:r>
                              <w:rPr>
                                <w:rFonts w:hint="eastAsia" w:ascii="宋体" w:hAnsi="宋体"/>
                                <w:sz w:val="21"/>
                                <w:szCs w:val="21"/>
                                <w:vertAlign w:val="subscript"/>
                              </w:rPr>
                              <w:t>10</w:t>
                            </w:r>
                            <w:r>
                              <w:rPr>
                                <w:rFonts w:hint="eastAsia" w:ascii="宋体" w:hAnsi="宋体"/>
                                <w:sz w:val="21"/>
                                <w:szCs w:val="21"/>
                              </w:rPr>
                              <w:t>、SO</w:t>
                            </w:r>
                            <w:r>
                              <w:rPr>
                                <w:rFonts w:hint="eastAsia" w:ascii="宋体" w:hAnsi="宋体"/>
                                <w:sz w:val="21"/>
                                <w:szCs w:val="21"/>
                                <w:vertAlign w:val="subscript"/>
                              </w:rPr>
                              <w:t>2</w:t>
                            </w:r>
                            <w:r>
                              <w:rPr>
                                <w:rFonts w:hint="eastAsia" w:ascii="宋体" w:hAnsi="宋体"/>
                                <w:sz w:val="21"/>
                                <w:szCs w:val="21"/>
                              </w:rPr>
                              <w:t>、NO</w:t>
                            </w:r>
                            <w:r>
                              <w:rPr>
                                <w:rFonts w:hint="eastAsia" w:ascii="宋体" w:hAnsi="宋体"/>
                                <w:sz w:val="21"/>
                                <w:szCs w:val="21"/>
                                <w:vertAlign w:val="subscript"/>
                              </w:rPr>
                              <w:t>2</w:t>
                            </w:r>
                          </w:p>
                          <w:p/>
                        </w:txbxContent>
                      </wps:txbx>
                      <wps:bodyPr upright="1"/>
                    </wps:wsp>
                  </a:graphicData>
                </a:graphic>
              </wp:anchor>
            </w:drawing>
          </mc:Choice>
          <mc:Fallback>
            <w:pict>
              <v:rect id="_x0000_s1026" o:spid="_x0000_s1026" o:spt="1" style="position:absolute;left:0pt;margin-left:-18pt;margin-top:2.4pt;height:23.4pt;width:105.7pt;z-index:251717632;mso-width-relative:page;mso-height-relative:page;" fillcolor="#FFFFFF" filled="t" stroked="f" coordsize="21600,21600" o:gfxdata="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yYpr01gAAAAgBAAAPAAAAAAAAAAEA&#10;IAAAACIAAABkcnMvZG93bnJldi54bWxQSwECFAAUAAAACACHTuJA9Z23P58BAAAgAwAADgAAAAAA&#10;AAABACAAAAAlAQAAZHJzL2Uyb0RvYy54bWxQSwUGAAAAAAYABgBZAQAANgUAAAAA&#10;">
                <v:fill on="t" focussize="0,0"/>
                <v:stroke on="f"/>
                <v:imagedata o:title=""/>
                <o:lock v:ext="edit" aspectratio="f"/>
                <v:textbox>
                  <w:txbxContent>
                    <w:p>
                      <w:pPr>
                        <w:jc w:val="center"/>
                      </w:pPr>
                      <w:r>
                        <w:rPr>
                          <w:rFonts w:hint="eastAsia" w:ascii="宋体" w:hAnsi="宋体"/>
                          <w:sz w:val="21"/>
                          <w:szCs w:val="21"/>
                        </w:rPr>
                        <w:t>※PM</w:t>
                      </w:r>
                      <w:r>
                        <w:rPr>
                          <w:rFonts w:hint="eastAsia" w:ascii="宋体" w:hAnsi="宋体"/>
                          <w:sz w:val="21"/>
                          <w:szCs w:val="21"/>
                          <w:vertAlign w:val="subscript"/>
                        </w:rPr>
                        <w:t>10</w:t>
                      </w:r>
                      <w:r>
                        <w:rPr>
                          <w:rFonts w:hint="eastAsia" w:ascii="宋体" w:hAnsi="宋体"/>
                          <w:sz w:val="21"/>
                          <w:szCs w:val="21"/>
                        </w:rPr>
                        <w:t>、SO</w:t>
                      </w:r>
                      <w:r>
                        <w:rPr>
                          <w:rFonts w:hint="eastAsia" w:ascii="宋体" w:hAnsi="宋体"/>
                          <w:sz w:val="21"/>
                          <w:szCs w:val="21"/>
                          <w:vertAlign w:val="subscript"/>
                        </w:rPr>
                        <w:t>2</w:t>
                      </w:r>
                      <w:r>
                        <w:rPr>
                          <w:rFonts w:hint="eastAsia" w:ascii="宋体" w:hAnsi="宋体"/>
                          <w:sz w:val="21"/>
                          <w:szCs w:val="21"/>
                        </w:rPr>
                        <w:t>、NO</w:t>
                      </w:r>
                      <w:r>
                        <w:rPr>
                          <w:rFonts w:hint="eastAsia" w:ascii="宋体" w:hAnsi="宋体"/>
                          <w:sz w:val="21"/>
                          <w:szCs w:val="21"/>
                          <w:vertAlign w:val="subscript"/>
                        </w:rPr>
                        <w:t>2</w:t>
                      </w:r>
                    </w:p>
                    <w:p/>
                  </w:txbxContent>
                </v:textbox>
              </v:rect>
            </w:pict>
          </mc:Fallback>
        </mc:AlternateContent>
      </w:r>
      <w:r>
        <w:rPr>
          <w:rFonts w:hint="eastAsia" w:ascii="宋体" w:hAnsi="宋体"/>
        </w:rPr>
        <mc:AlternateContent>
          <mc:Choice Requires="wps">
            <w:drawing>
              <wp:anchor distT="0" distB="0" distL="114300" distR="114300" simplePos="0" relativeHeight="251741184" behindDoc="0" locked="0" layoutInCell="1" allowOverlap="1">
                <wp:simplePos x="0" y="0"/>
                <wp:positionH relativeFrom="column">
                  <wp:posOffset>1371600</wp:posOffset>
                </wp:positionH>
                <wp:positionV relativeFrom="paragraph">
                  <wp:posOffset>228600</wp:posOffset>
                </wp:positionV>
                <wp:extent cx="0" cy="594360"/>
                <wp:effectExtent l="13970" t="0" r="24130" b="15875"/>
                <wp:wrapNone/>
                <wp:docPr id="350" name="直接连接符 350"/>
                <wp:cNvGraphicFramePr/>
                <a:graphic xmlns:a="http://schemas.openxmlformats.org/drawingml/2006/main">
                  <a:graphicData uri="http://schemas.microsoft.com/office/word/2010/wordprocessingShape">
                    <wps:wsp>
                      <wps:cNvCnPr/>
                      <wps:spPr>
                        <a:xfrm flipV="1">
                          <a:off x="0" y="0"/>
                          <a:ext cx="0" cy="594360"/>
                        </a:xfrm>
                        <a:prstGeom prst="line">
                          <a:avLst/>
                        </a:prstGeom>
                        <a:ln w="2857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y;margin-left:108pt;margin-top:18pt;height:46.8pt;width:0pt;z-index:251741184;mso-width-relative:page;mso-height-relative:page;" filled="f" stroked="t" coordsize="21600,21600" o:gfxdata="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Zu49U1wAA&#10;AAoBAAAPAAAAAAAAAAEAIAAAACIAAABkcnMvZG93bnJldi54bWxQSwECFAAUAAAACACHTuJAzoyS&#10;6OYBAACjAwAADgAAAAAAAAABACAAAAAmAQAAZHJzL2Uyb0RvYy54bWxQSwUGAAAAAAYABgBZAQAA&#10;fgUAAAAA&#10;">
                <v:fill on="f" focussize="0,0"/>
                <v:stroke weight="2.25pt" color="#000000" joinstyle="round" dashstyle="dash"/>
                <v:imagedata o:title=""/>
                <o:lock v:ext="edit" aspectratio="f"/>
              </v:line>
            </w:pict>
          </mc:Fallback>
        </mc:AlternateContent>
      </w:r>
      <w:r>
        <w:rPr>
          <w:rFonts w:ascii="宋体" w:hAnsi="宋体"/>
          <w:sz w:val="20"/>
        </w:rPr>
        <mc:AlternateContent>
          <mc:Choice Requires="wps">
            <w:drawing>
              <wp:anchor distT="0" distB="0" distL="114300" distR="114300" simplePos="0" relativeHeight="251740160" behindDoc="0" locked="0" layoutInCell="1" allowOverlap="1">
                <wp:simplePos x="0" y="0"/>
                <wp:positionH relativeFrom="column">
                  <wp:posOffset>1371600</wp:posOffset>
                </wp:positionH>
                <wp:positionV relativeFrom="paragraph">
                  <wp:posOffset>228600</wp:posOffset>
                </wp:positionV>
                <wp:extent cx="571500" cy="0"/>
                <wp:effectExtent l="0" t="13970" r="0" b="24130"/>
                <wp:wrapNone/>
                <wp:docPr id="335" name="直接连接符 335"/>
                <wp:cNvGraphicFramePr/>
                <a:graphic xmlns:a="http://schemas.openxmlformats.org/drawingml/2006/main">
                  <a:graphicData uri="http://schemas.microsoft.com/office/word/2010/wordprocessingShape">
                    <wps:wsp>
                      <wps:cNvCnPr/>
                      <wps:spPr>
                        <a:xfrm>
                          <a:off x="0" y="0"/>
                          <a:ext cx="571500" cy="0"/>
                        </a:xfrm>
                        <a:prstGeom prst="line">
                          <a:avLst/>
                        </a:prstGeom>
                        <a:ln w="2857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108pt;margin-top:18pt;height:0pt;width:45pt;z-index:251740160;mso-width-relative:page;mso-height-relative:page;" filled="f" stroked="t" coordsize="21600,21600" o:gfxdata="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x/gIzVAAAACQEAAA8AAAAA&#10;AAAAAQAgAAAAIgAAAGRycy9kb3ducmV2LnhtbFBLAQIUABQAAAAIAIdO4kB2gEY83gEAAJkDAAAO&#10;AAAAAAAAAAEAIAAAACQBAABkcnMvZTJvRG9jLnhtbFBLBQYAAAAABgAGAFkBAAB0BQAAAAA=&#10;">
                <v:fill on="f" focussize="0,0"/>
                <v:stroke weight="2.25pt" color="#000000" joinstyle="round" dashstyle="dash"/>
                <v:imagedata o:title=""/>
                <o:lock v:ext="edit" aspectratio="f"/>
              </v:line>
            </w:pict>
          </mc:Fallback>
        </mc:AlternateContent>
      </w:r>
      <w:r>
        <w:rPr>
          <w:rFonts w:hint="eastAsia" w:ascii="宋体" w:hAnsi="宋体"/>
        </w:rPr>
        <mc:AlternateContent>
          <mc:Choice Requires="wps">
            <w:drawing>
              <wp:anchor distT="0" distB="0" distL="114300" distR="114300" simplePos="0" relativeHeight="251723776" behindDoc="0" locked="0" layoutInCell="1" allowOverlap="1">
                <wp:simplePos x="0" y="0"/>
                <wp:positionH relativeFrom="column">
                  <wp:posOffset>3314700</wp:posOffset>
                </wp:positionH>
                <wp:positionV relativeFrom="paragraph">
                  <wp:posOffset>228600</wp:posOffset>
                </wp:positionV>
                <wp:extent cx="0" cy="792480"/>
                <wp:effectExtent l="13970" t="0" r="24130" b="6985"/>
                <wp:wrapNone/>
                <wp:docPr id="329" name="直接连接符 329"/>
                <wp:cNvGraphicFramePr/>
                <a:graphic xmlns:a="http://schemas.openxmlformats.org/drawingml/2006/main">
                  <a:graphicData uri="http://schemas.microsoft.com/office/word/2010/wordprocessingShape">
                    <wps:wsp>
                      <wps:cNvCnPr/>
                      <wps:spPr>
                        <a:xfrm flipV="1">
                          <a:off x="0" y="0"/>
                          <a:ext cx="0" cy="792480"/>
                        </a:xfrm>
                        <a:prstGeom prst="line">
                          <a:avLst/>
                        </a:prstGeom>
                        <a:ln w="2857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y;margin-left:261pt;margin-top:18pt;height:62.4pt;width:0pt;z-index:251723776;mso-width-relative:page;mso-height-relative:page;" filled="f" stroked="t" coordsize="21600,21600" o:gfxdata="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GoGPtcA&#10;AAAKAQAADwAAAAAAAAABACAAAAAiAAAAZHJzL2Rvd25yZXYueG1sUEsBAhQAFAAAAAgAh07iQHT8&#10;yjjnAQAAowMAAA4AAAAAAAAAAQAgAAAAJgEAAGRycy9lMm9Eb2MueG1sUEsFBgAAAAAGAAYAWQEA&#10;AH8FAAAAAA==&#10;">
                <v:fill on="f" focussize="0,0"/>
                <v:stroke weight="2.25pt" color="#000000" joinstyle="round" dashstyle="dash"/>
                <v:imagedata o:title=""/>
                <o:lock v:ext="edit" aspectratio="f"/>
              </v:line>
            </w:pict>
          </mc:Fallback>
        </mc:AlternateContent>
      </w:r>
      <w:r>
        <w:rPr>
          <w:rFonts w:hint="eastAsia" w:ascii="宋体" w:hAnsi="宋体"/>
        </w:rPr>
        <mc:AlternateContent>
          <mc:Choice Requires="wps">
            <w:drawing>
              <wp:anchor distT="0" distB="0" distL="114300" distR="114300" simplePos="0" relativeHeight="251724800" behindDoc="0" locked="0" layoutInCell="1" allowOverlap="1">
                <wp:simplePos x="0" y="0"/>
                <wp:positionH relativeFrom="column">
                  <wp:posOffset>2971800</wp:posOffset>
                </wp:positionH>
                <wp:positionV relativeFrom="paragraph">
                  <wp:posOffset>228600</wp:posOffset>
                </wp:positionV>
                <wp:extent cx="342900" cy="0"/>
                <wp:effectExtent l="0" t="42545" r="0" b="52705"/>
                <wp:wrapNone/>
                <wp:docPr id="326" name="直接连接符 326"/>
                <wp:cNvGraphicFramePr/>
                <a:graphic xmlns:a="http://schemas.openxmlformats.org/drawingml/2006/main">
                  <a:graphicData uri="http://schemas.microsoft.com/office/word/2010/wordprocessingShape">
                    <wps:wsp>
                      <wps:cNvCnPr/>
                      <wps:spPr>
                        <a:xfrm flipH="1">
                          <a:off x="0" y="0"/>
                          <a:ext cx="342900" cy="0"/>
                        </a:xfrm>
                        <a:prstGeom prst="line">
                          <a:avLst/>
                        </a:prstGeom>
                        <a:ln w="2857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x;margin-left:234pt;margin-top:18pt;height:0pt;width:27pt;z-index:251724800;mso-width-relative:page;mso-height-relative:page;" filled="f" stroked="t" coordsize="21600,21600" o:gfxdata="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NEA9TYAAAACQEAAA8AAAAAAAAAAQAgAAAAIgAAAGRycy9kb3ducmV2LnhtbFBLAQIUABQAAAAI&#10;AIdO4kC94xNC7QEAAKcDAAAOAAAAAAAAAAEAIAAAACcBAABkcnMvZTJvRG9jLnhtbFBLBQYAAAAA&#10;BgAGAFkBAACGBQAAAAA=&#10;">
                <v:fill on="f" focussize="0,0"/>
                <v:stroke weight="2.25pt" color="#000000" joinstyle="round" dashstyle="dash"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671552" behindDoc="0" locked="0" layoutInCell="1" allowOverlap="1">
                <wp:simplePos x="0" y="0"/>
                <wp:positionH relativeFrom="column">
                  <wp:posOffset>4365625</wp:posOffset>
                </wp:positionH>
                <wp:positionV relativeFrom="paragraph">
                  <wp:posOffset>126365</wp:posOffset>
                </wp:positionV>
                <wp:extent cx="1005205" cy="297180"/>
                <wp:effectExtent l="4445" t="5080" r="19050" b="21590"/>
                <wp:wrapNone/>
                <wp:docPr id="330" name="矩形 330"/>
                <wp:cNvGraphicFramePr/>
                <a:graphic xmlns:a="http://schemas.openxmlformats.org/drawingml/2006/main">
                  <a:graphicData uri="http://schemas.microsoft.com/office/word/2010/wordprocessingShape">
                    <wps:wsp>
                      <wps:cNvSpPr/>
                      <wps:spPr>
                        <a:xfrm>
                          <a:off x="0" y="0"/>
                          <a:ext cx="100520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煤粉仓</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343.75pt;margin-top:9.95pt;height:23.4pt;width:79.15pt;z-index:251671552;mso-width-relative:page;mso-height-relative:page;" fillcolor="#FFFFFF" filled="t" stroked="t" coordsize="21600,21600" o:gfxdata="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Aqz&#10;YtcAAAAJAQAADwAAAAAAAAABACAAAAAiAAAAZHJzL2Rvd25yZXYueG1sUEsBAhQAFAAAAAgAh07i&#10;QFd4ZUfqAQAA3wMAAA4AAAAAAAAAAQAgAAAAJgEAAGRycy9lMm9Eb2MueG1sUEsFBgAAAAAGAAYA&#10;WQEAAIIFAAAAAA==&#10;">
                <v:fill on="t" focussize="0,0"/>
                <v:stroke color="#000000" joinstyle="miter"/>
                <v:imagedata o:title=""/>
                <o:lock v:ext="edit" aspectratio="f"/>
                <v:textbox>
                  <w:txbxContent>
                    <w:p>
                      <w:pPr>
                        <w:jc w:val="center"/>
                      </w:pPr>
                      <w:r>
                        <w:rPr>
                          <w:rFonts w:hint="eastAsia"/>
                        </w:rPr>
                        <w:t>煤粉仓</w:t>
                      </w:r>
                      <w:r>
                        <w:rPr>
                          <w:rFonts w:hint="eastAsia" w:ascii="宋体" w:hAnsi="宋体"/>
                          <w:sz w:val="21"/>
                          <w:szCs w:val="21"/>
                        </w:rPr>
                        <w:t>※</w:t>
                      </w:r>
                    </w:p>
                  </w:txbxContent>
                </v:textbox>
              </v:rect>
            </w:pict>
          </mc:Fallback>
        </mc:AlternateContent>
      </w:r>
      <w:r>
        <w:rPr>
          <w:rFonts w:ascii="宋体" w:hAnsi="宋体"/>
          <w:sz w:val="20"/>
        </w:rPr>
        <mc:AlternateContent>
          <mc:Choice Requires="wps">
            <w:drawing>
              <wp:anchor distT="0" distB="0" distL="114300" distR="114300" simplePos="0" relativeHeight="251662336" behindDoc="0" locked="0" layoutInCell="1" allowOverlap="1">
                <wp:simplePos x="0" y="0"/>
                <wp:positionH relativeFrom="column">
                  <wp:posOffset>1877060</wp:posOffset>
                </wp:positionH>
                <wp:positionV relativeFrom="paragraph">
                  <wp:posOffset>78105</wp:posOffset>
                </wp:positionV>
                <wp:extent cx="1109345" cy="297180"/>
                <wp:effectExtent l="4445" t="5080" r="10160" b="21590"/>
                <wp:wrapNone/>
                <wp:docPr id="351" name="矩形 351"/>
                <wp:cNvGraphicFramePr/>
                <a:graphic xmlns:a="http://schemas.openxmlformats.org/drawingml/2006/main">
                  <a:graphicData uri="http://schemas.microsoft.com/office/word/2010/wordprocessingShape">
                    <wps:wsp>
                      <wps:cNvSpPr/>
                      <wps:spPr>
                        <a:xfrm>
                          <a:off x="0" y="0"/>
                          <a:ext cx="11093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5"/>
                              <w:widowControl w:val="0"/>
                              <w:spacing w:before="0" w:beforeAutospacing="0" w:after="0" w:afterAutospacing="0"/>
                              <w:rPr>
                                <w:rFonts w:ascii="Times New Roman" w:hAnsi="Times New Roman"/>
                                <w:kern w:val="2"/>
                                <w:sz w:val="21"/>
                              </w:rPr>
                            </w:pPr>
                            <w:r>
                              <w:rPr>
                                <w:rFonts w:ascii="Times New Roman" w:hAnsi="Times New Roman"/>
                                <w:kern w:val="2"/>
                                <w:sz w:val="21"/>
                              </w:rPr>
                              <w:t>粉磨、烘干</w:t>
                            </w:r>
                            <w:r>
                              <w:rPr>
                                <w:sz w:val="21"/>
                                <w:szCs w:val="21"/>
                              </w:rPr>
                              <w:t>※△</w:t>
                            </w:r>
                          </w:p>
                        </w:txbxContent>
                      </wps:txbx>
                      <wps:bodyPr upright="1"/>
                    </wps:wsp>
                  </a:graphicData>
                </a:graphic>
              </wp:anchor>
            </w:drawing>
          </mc:Choice>
          <mc:Fallback>
            <w:pict>
              <v:rect id="_x0000_s1026" o:spid="_x0000_s1026" o:spt="1" style="position:absolute;left:0pt;margin-left:147.8pt;margin-top:6.15pt;height:23.4pt;width:87.35pt;z-index:251662336;mso-width-relative:page;mso-height-relative:page;" fillcolor="#FFFFFF" filled="t" stroked="t" coordsize="21600,21600" o:gfxdata="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G&#10;2ukG2AAAAAkBAAAPAAAAAAAAAAEAIAAAACIAAABkcnMvZG93bnJldi54bWxQSwECFAAUAAAACACH&#10;TuJAtILl3+sBAADfAwAADgAAAAAAAAABACAAAAAnAQAAZHJzL2Uyb0RvYy54bWxQSwUGAAAAAAYA&#10;BgBZAQAAhAUAAAAA&#10;">
                <v:fill on="t" focussize="0,0"/>
                <v:stroke color="#000000" joinstyle="miter"/>
                <v:imagedata o:title=""/>
                <o:lock v:ext="edit" aspectratio="f"/>
                <v:textbox>
                  <w:txbxContent>
                    <w:p>
                      <w:pPr>
                        <w:pStyle w:val="25"/>
                        <w:widowControl w:val="0"/>
                        <w:spacing w:before="0" w:beforeAutospacing="0" w:after="0" w:afterAutospacing="0"/>
                        <w:rPr>
                          <w:rFonts w:ascii="Times New Roman" w:hAnsi="Times New Roman"/>
                          <w:kern w:val="2"/>
                          <w:sz w:val="21"/>
                        </w:rPr>
                      </w:pPr>
                      <w:r>
                        <w:rPr>
                          <w:rFonts w:ascii="Times New Roman" w:hAnsi="Times New Roman"/>
                          <w:kern w:val="2"/>
                          <w:sz w:val="21"/>
                        </w:rPr>
                        <w:t>粉磨、烘干</w:t>
                      </w:r>
                      <w:r>
                        <w:rPr>
                          <w:sz w:val="21"/>
                          <w:szCs w:val="21"/>
                        </w:rPr>
                        <w:t>※△</w:t>
                      </w:r>
                    </w:p>
                  </w:txbxContent>
                </v:textbox>
              </v:rect>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722752" behindDoc="0" locked="0" layoutInCell="1" allowOverlap="1">
                <wp:simplePos x="0" y="0"/>
                <wp:positionH relativeFrom="column">
                  <wp:posOffset>3657600</wp:posOffset>
                </wp:positionH>
                <wp:positionV relativeFrom="paragraph">
                  <wp:posOffset>220980</wp:posOffset>
                </wp:positionV>
                <wp:extent cx="1028700" cy="297180"/>
                <wp:effectExtent l="4445" t="4445" r="14605" b="22225"/>
                <wp:wrapNone/>
                <wp:docPr id="320" name="文本框 320"/>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 w:val="18"/>
                                <w:szCs w:val="18"/>
                              </w:rPr>
                            </w:pPr>
                            <w:r>
                              <w:rPr>
                                <w:rFonts w:hint="eastAsia" w:ascii="宋体" w:hAnsi="宋体"/>
                                <w:sz w:val="18"/>
                                <w:szCs w:val="18"/>
                              </w:rPr>
                              <w:t>汽轮发电机组△</w:t>
                            </w:r>
                          </w:p>
                        </w:txbxContent>
                      </wps:txbx>
                      <wps:bodyPr upright="1"/>
                    </wps:wsp>
                  </a:graphicData>
                </a:graphic>
              </wp:anchor>
            </w:drawing>
          </mc:Choice>
          <mc:Fallback>
            <w:pict>
              <v:shape id="_x0000_s1026" o:spid="_x0000_s1026" o:spt="202" type="#_x0000_t202" style="position:absolute;left:0pt;margin-left:288pt;margin-top:17.4pt;height:23.4pt;width:81pt;z-index:251722752;mso-width-relative:page;mso-height-relative:page;" fillcolor="#FFFFFF" filled="t" stroked="t" coordsize="21600,21600" o:gfxdata="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cXi3XYAAAACQEAAA8AAAAAAAAAAQAgAAAAIgAAAGRycy9kb3ducmV2LnhtbFBLAQIU&#10;ABQAAAAIAIdO4kAhJLuL8wEAAOwDAAAOAAAAAAAAAAEAIAAAACcBAABkcnMvZTJvRG9jLnhtbFBL&#10;BQYAAAAABgAGAFkBAACMBQAAAAA=&#10;">
                <v:fill on="t" focussize="0,0"/>
                <v:stroke color="#000000" joinstyle="miter"/>
                <v:imagedata o:title=""/>
                <o:lock v:ext="edit" aspectratio="f"/>
                <v:textbox>
                  <w:txbxContent>
                    <w:p>
                      <w:pPr>
                        <w:rPr>
                          <w:rFonts w:hint="eastAsia" w:ascii="宋体" w:hAnsi="宋体"/>
                          <w:sz w:val="18"/>
                          <w:szCs w:val="18"/>
                        </w:rPr>
                      </w:pPr>
                      <w:r>
                        <w:rPr>
                          <w:rFonts w:hint="eastAsia" w:ascii="宋体" w:hAnsi="宋体"/>
                          <w:sz w:val="18"/>
                          <w:szCs w:val="18"/>
                        </w:rPr>
                        <w:t>汽轮发电机组△</w:t>
                      </w:r>
                    </w:p>
                  </w:txbxContent>
                </v:textbox>
              </v:shape>
            </w:pict>
          </mc:Fallback>
        </mc:AlternateContent>
      </w:r>
      <w:r>
        <w:rPr>
          <w:rFonts w:ascii="宋体" w:hAnsi="宋体"/>
          <w:sz w:val="20"/>
        </w:rPr>
        <mc:AlternateContent>
          <mc:Choice Requires="wps">
            <w:drawing>
              <wp:anchor distT="0" distB="0" distL="114300" distR="114300" simplePos="0" relativeHeight="251716608" behindDoc="0" locked="0" layoutInCell="1" allowOverlap="1">
                <wp:simplePos x="0" y="0"/>
                <wp:positionH relativeFrom="column">
                  <wp:posOffset>566420</wp:posOffset>
                </wp:positionH>
                <wp:positionV relativeFrom="paragraph">
                  <wp:posOffset>15875</wp:posOffset>
                </wp:positionV>
                <wp:extent cx="0" cy="297180"/>
                <wp:effectExtent l="38100" t="0" r="38100" b="7620"/>
                <wp:wrapNone/>
                <wp:docPr id="332" name="直接连接符 332"/>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44.6pt;margin-top:1.25pt;height:23.4pt;width:0pt;z-index:251716608;mso-width-relative:page;mso-height-relative:page;" filled="f" stroked="t" coordsize="21600,21600" o:gfxdata="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LlH&#10;XNUAAAAGAQAADwAAAAAAAAABACAAAAAiAAAAZHJzL2Rvd25yZXYueG1sUEsBAhQAFAAAAAgAh07i&#10;QLbAZcTsAQAApwMAAA4AAAAAAAAAAQAgAAAAJAEAAGRycy9lMm9Eb2MueG1sUEsFBgAAAAAGAAYA&#10;WQEAAIIFAAAA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694080" behindDoc="0" locked="0" layoutInCell="1" allowOverlap="1">
                <wp:simplePos x="0" y="0"/>
                <wp:positionH relativeFrom="column">
                  <wp:posOffset>4914900</wp:posOffset>
                </wp:positionH>
                <wp:positionV relativeFrom="paragraph">
                  <wp:posOffset>121920</wp:posOffset>
                </wp:positionV>
                <wp:extent cx="0" cy="1386840"/>
                <wp:effectExtent l="4445" t="0" r="14605" b="3810"/>
                <wp:wrapNone/>
                <wp:docPr id="348" name="直接连接符 348"/>
                <wp:cNvGraphicFramePr/>
                <a:graphic xmlns:a="http://schemas.openxmlformats.org/drawingml/2006/main">
                  <a:graphicData uri="http://schemas.microsoft.com/office/word/2010/wordprocessingShape">
                    <wps:wsp>
                      <wps:cNvCnPr/>
                      <wps:spPr>
                        <a:xfrm>
                          <a:off x="0" y="0"/>
                          <a:ext cx="0" cy="13868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87pt;margin-top:9.6pt;height:109.2pt;width:0pt;z-index:251694080;mso-width-relative:page;mso-height-relative:page;" filled="f" stroked="t" coordsize="21600,21600" o:gfxdata="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raZzdcAAAAKAQAADwAA&#10;AAAAAAABACAAAAAiAAAAZHJzL2Rvd25yZXYueG1sUEsBAhQAFAAAAAgAh07iQPLYycPeAQAAmgMA&#10;AA4AAAAAAAAAAQAgAAAAJgEAAGRycy9lMm9Eb2MueG1sUEsFBgAAAAAGAAYAWQEAAHYFAAA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688960" behindDoc="0" locked="0" layoutInCell="1" allowOverlap="1">
                <wp:simplePos x="0" y="0"/>
                <wp:positionH relativeFrom="column">
                  <wp:posOffset>2423160</wp:posOffset>
                </wp:positionH>
                <wp:positionV relativeFrom="paragraph">
                  <wp:posOffset>72390</wp:posOffset>
                </wp:positionV>
                <wp:extent cx="0" cy="274320"/>
                <wp:effectExtent l="42545" t="0" r="52705" b="11430"/>
                <wp:wrapNone/>
                <wp:docPr id="321" name="直接连接符 321"/>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0.8pt;margin-top:5.7pt;height:21.6pt;width:0pt;z-index:251688960;mso-width-relative:page;mso-height-relative:page;" filled="f" stroked="t" coordsize="21600,21600" o:gfxdata="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KEmAtUAAAAJAQAA&#10;DwAAAAAAAAABACAAAAAiAAAAZHJzL2Rvd25yZXYueG1sUEsBAhQAFAAAAAgAh07iQOFmfk3jAQAA&#10;ngMAAA4AAAAAAAAAAQAgAAAAJAEAAGRycy9lMm9Eb2MueG1sUEsFBgAAAAAGAAYAWQEAAHkFAAAA&#10;AA==&#10;">
                <v:fill on="f" focussize="0,0"/>
                <v:stroke weight="2.25pt"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1715584" behindDoc="0" locked="0" layoutInCell="1" allowOverlap="1">
                <wp:simplePos x="0" y="0"/>
                <wp:positionH relativeFrom="column">
                  <wp:posOffset>-153035</wp:posOffset>
                </wp:positionH>
                <wp:positionV relativeFrom="paragraph">
                  <wp:posOffset>15240</wp:posOffset>
                </wp:positionV>
                <wp:extent cx="1191895" cy="297180"/>
                <wp:effectExtent l="5080" t="4445" r="22225" b="22225"/>
                <wp:wrapNone/>
                <wp:docPr id="342" name="矩形 342"/>
                <wp:cNvGraphicFramePr/>
                <a:graphic xmlns:a="http://schemas.openxmlformats.org/drawingml/2006/main">
                  <a:graphicData uri="http://schemas.microsoft.com/office/word/2010/wordprocessingShape">
                    <wps:wsp>
                      <wps:cNvSpPr/>
                      <wps:spPr>
                        <a:xfrm>
                          <a:off x="0" y="0"/>
                          <a:ext cx="119189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color w:val="0000FF"/>
                              </w:rPr>
                            </w:pPr>
                            <w:r>
                              <w:rPr>
                                <w:rFonts w:hint="eastAsia"/>
                                <w:color w:val="0000FF"/>
                              </w:rPr>
                              <w:t>袋收尘器</w:t>
                            </w:r>
                          </w:p>
                        </w:txbxContent>
                      </wps:txbx>
                      <wps:bodyPr upright="1"/>
                    </wps:wsp>
                  </a:graphicData>
                </a:graphic>
              </wp:anchor>
            </w:drawing>
          </mc:Choice>
          <mc:Fallback>
            <w:pict>
              <v:rect id="_x0000_s1026" o:spid="_x0000_s1026" o:spt="1" style="position:absolute;left:0pt;margin-left:-12.05pt;margin-top:1.2pt;height:23.4pt;width:93.85pt;z-index:251715584;mso-width-relative:page;mso-height-relative:page;" fillcolor="#FFFFFF" filled="t" stroked="t" coordsize="21600,21600" o:gfxdata="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Pi&#10;hSvWAAAACAEAAA8AAAAAAAAAAQAgAAAAIgAAAGRycy9kb3ducmV2LnhtbFBLAQIUABQAAAAIAIdO&#10;4kBjCmr67AEAAN8DAAAOAAAAAAAAAAEAIAAAACUBAABkcnMvZTJvRG9jLnhtbFBLBQYAAAAABgAG&#10;AFkBAACDBQAAAAA=&#10;">
                <v:fill on="t" focussize="0,0"/>
                <v:stroke color="#000000" joinstyle="miter"/>
                <v:imagedata o:title=""/>
                <o:lock v:ext="edit" aspectratio="f"/>
                <v:textbox>
                  <w:txbxContent>
                    <w:p>
                      <w:pPr>
                        <w:jc w:val="center"/>
                        <w:rPr>
                          <w:color w:val="0000FF"/>
                        </w:rPr>
                      </w:pPr>
                      <w:r>
                        <w:rPr>
                          <w:rFonts w:hint="eastAsia"/>
                          <w:color w:val="0000FF"/>
                        </w:rPr>
                        <w:t>袋收尘器</w:t>
                      </w:r>
                    </w:p>
                  </w:txbxContent>
                </v:textbox>
              </v:rect>
            </w:pict>
          </mc:Fallback>
        </mc:AlternateContent>
      </w:r>
      <w:r>
        <w:rPr>
          <w:rFonts w:hint="eastAsia" w:ascii="宋体" w:hAnsi="宋体"/>
        </w:rPr>
        <mc:AlternateContent>
          <mc:Choice Requires="wps">
            <w:drawing>
              <wp:anchor distT="0" distB="0" distL="114300" distR="114300" simplePos="0" relativeHeight="251742208" behindDoc="0" locked="0" layoutInCell="1" allowOverlap="1">
                <wp:simplePos x="0" y="0"/>
                <wp:positionH relativeFrom="column">
                  <wp:posOffset>1028700</wp:posOffset>
                </wp:positionH>
                <wp:positionV relativeFrom="paragraph">
                  <wp:posOffset>213360</wp:posOffset>
                </wp:positionV>
                <wp:extent cx="342900" cy="0"/>
                <wp:effectExtent l="0" t="42545" r="0" b="52705"/>
                <wp:wrapNone/>
                <wp:docPr id="322" name="直接连接符 322"/>
                <wp:cNvGraphicFramePr/>
                <a:graphic xmlns:a="http://schemas.openxmlformats.org/drawingml/2006/main">
                  <a:graphicData uri="http://schemas.microsoft.com/office/word/2010/wordprocessingShape">
                    <wps:wsp>
                      <wps:cNvCnPr/>
                      <wps:spPr>
                        <a:xfrm flipH="1">
                          <a:off x="0" y="0"/>
                          <a:ext cx="342900" cy="0"/>
                        </a:xfrm>
                        <a:prstGeom prst="line">
                          <a:avLst/>
                        </a:prstGeom>
                        <a:ln w="2857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x;margin-left:81pt;margin-top:16.8pt;height:0pt;width:27pt;z-index:251742208;mso-width-relative:page;mso-height-relative:page;" filled="f" stroked="t" coordsize="21600,21600" o:gfxdata="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TicxNcAAAAJAQAADwAAAAAAAAABACAAAAAiAAAAZHJzL2Rvd25yZXYueG1sUEsBAhQAFAAAAAgA&#10;h07iQA35u2TtAQAApwMAAA4AAAAAAAAAAQAgAAAAJgEAAGRycy9lMm9Eb2MueG1sUEsFBgAAAAAG&#10;AAYAWQEAAIUFAAAAAA==&#10;">
                <v:fill on="f" focussize="0,0"/>
                <v:stroke weight="2.25pt" color="#000000" joinstyle="round" dashstyle="dash"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721728" behindDoc="0" locked="0" layoutInCell="1" allowOverlap="1">
                <wp:simplePos x="0" y="0"/>
                <wp:positionH relativeFrom="column">
                  <wp:posOffset>4114800</wp:posOffset>
                </wp:positionH>
                <wp:positionV relativeFrom="paragraph">
                  <wp:posOffset>213360</wp:posOffset>
                </wp:positionV>
                <wp:extent cx="0" cy="396240"/>
                <wp:effectExtent l="42545" t="0" r="52705" b="3810"/>
                <wp:wrapNone/>
                <wp:docPr id="338" name="直接连接符 338"/>
                <wp:cNvGraphicFramePr/>
                <a:graphic xmlns:a="http://schemas.openxmlformats.org/drawingml/2006/main">
                  <a:graphicData uri="http://schemas.microsoft.com/office/word/2010/wordprocessingShape">
                    <wps:wsp>
                      <wps:cNvCnPr/>
                      <wps:spPr>
                        <a:xfrm flipV="1">
                          <a:off x="0" y="0"/>
                          <a:ext cx="0" cy="396240"/>
                        </a:xfrm>
                        <a:prstGeom prst="line">
                          <a:avLst/>
                        </a:prstGeom>
                        <a:ln w="2857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324pt;margin-top:16.8pt;height:31.2pt;width:0pt;z-index:251721728;mso-width-relative:page;mso-height-relative:page;" filled="f" stroked="t" coordsize="21600,21600" o:gfxdata="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7PDPE2QAAAAkBAAAPAAAAAAAAAAEAIAAAACIAAABkcnMvZG93bnJldi54bWxQSwECFAAUAAAA&#10;CACHTuJAHfV07+0BAACnAwAADgAAAAAAAAABACAAAAAoAQAAZHJzL2Uyb0RvYy54bWxQSwUGAAAA&#10;AAYABgBZAQAAhwUAAAAA&#10;">
                <v:fill on="f" focussize="0,0"/>
                <v:stroke weight="2.25pt" color="#000000" joinstyle="round" dashstyle="dash"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664384" behindDoc="0" locked="0" layoutInCell="1" allowOverlap="1">
                <wp:simplePos x="0" y="0"/>
                <wp:positionH relativeFrom="column">
                  <wp:posOffset>1867535</wp:posOffset>
                </wp:positionH>
                <wp:positionV relativeFrom="paragraph">
                  <wp:posOffset>13335</wp:posOffset>
                </wp:positionV>
                <wp:extent cx="1218565" cy="297180"/>
                <wp:effectExtent l="4445" t="5080" r="15240" b="21590"/>
                <wp:wrapNone/>
                <wp:docPr id="340" name="矩形 340"/>
                <wp:cNvGraphicFramePr/>
                <a:graphic xmlns:a="http://schemas.openxmlformats.org/drawingml/2006/main">
                  <a:graphicData uri="http://schemas.microsoft.com/office/word/2010/wordprocessingShape">
                    <wps:wsp>
                      <wps:cNvSpPr/>
                      <wps:spPr>
                        <a:xfrm>
                          <a:off x="0" y="0"/>
                          <a:ext cx="121856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生料均化库</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147.05pt;margin-top:1.05pt;height:23.4pt;width:95.95pt;z-index:251664384;mso-width-relative:page;mso-height-relative:page;" fillcolor="#FFFFFF" filled="t" stroked="t" coordsize="21600,21600" o:gfxdata="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J7g17U&#10;AAAACAEAAA8AAAAAAAAAAQAgAAAAIgAAAGRycy9kb3ducmV2LnhtbFBLAQIUABQAAAAIAIdO4kCO&#10;BzJb6wEAAN8DAAAOAAAAAAAAAAEAIAAAACMBAABkcnMvZTJvRG9jLnhtbFBLBQYAAAAABgAGAFkB&#10;AACABQAAAAA=&#10;">
                <v:fill on="t" focussize="0,0"/>
                <v:stroke color="#000000" joinstyle="miter"/>
                <v:imagedata o:title=""/>
                <o:lock v:ext="edit" aspectratio="f"/>
                <v:textbox>
                  <w:txbxContent>
                    <w:p>
                      <w:pPr>
                        <w:jc w:val="center"/>
                      </w:pPr>
                      <w:r>
                        <w:rPr>
                          <w:rFonts w:hint="eastAsia"/>
                        </w:rPr>
                        <w:t>生料均化库</w:t>
                      </w:r>
                      <w:r>
                        <w:rPr>
                          <w:rFonts w:hint="eastAsia" w:ascii="宋体" w:hAnsi="宋体"/>
                          <w:sz w:val="21"/>
                          <w:szCs w:val="21"/>
                        </w:rPr>
                        <w:t>※△</w:t>
                      </w:r>
                    </w:p>
                  </w:txbxContent>
                </v:textbox>
              </v:rect>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749376" behindDoc="0" locked="0" layoutInCell="1" allowOverlap="1">
                <wp:simplePos x="0" y="0"/>
                <wp:positionH relativeFrom="column">
                  <wp:posOffset>5143500</wp:posOffset>
                </wp:positionH>
                <wp:positionV relativeFrom="paragraph">
                  <wp:posOffset>7620</wp:posOffset>
                </wp:positionV>
                <wp:extent cx="800100" cy="297180"/>
                <wp:effectExtent l="0" t="0" r="0" b="0"/>
                <wp:wrapNone/>
                <wp:docPr id="331" name="矩形 331"/>
                <wp:cNvGraphicFramePr/>
                <a:graphic xmlns:a="http://schemas.openxmlformats.org/drawingml/2006/main">
                  <a:graphicData uri="http://schemas.microsoft.com/office/word/2010/wordprocessingShape">
                    <wps:wsp>
                      <wps:cNvSpPr/>
                      <wps:spPr>
                        <a:xfrm>
                          <a:off x="0" y="0"/>
                          <a:ext cx="800100" cy="297180"/>
                        </a:xfrm>
                        <a:prstGeom prst="rect">
                          <a:avLst/>
                        </a:prstGeom>
                        <a:solidFill>
                          <a:srgbClr val="FFFFFF">
                            <a:alpha val="0"/>
                          </a:srgbClr>
                        </a:solidFill>
                        <a:ln>
                          <a:noFill/>
                        </a:ln>
                      </wps:spPr>
                      <wps:txbx>
                        <w:txbxContent>
                          <w:p>
                            <w:pPr>
                              <w:jc w:val="center"/>
                            </w:pPr>
                            <w:r>
                              <w:rPr>
                                <w:rFonts w:hint="eastAsia" w:ascii="宋体" w:hAnsi="宋体"/>
                                <w:sz w:val="21"/>
                                <w:szCs w:val="21"/>
                              </w:rPr>
                              <w:t>※PM</w:t>
                            </w:r>
                            <w:r>
                              <w:rPr>
                                <w:rFonts w:hint="eastAsia" w:ascii="宋体" w:hAnsi="宋体"/>
                                <w:sz w:val="21"/>
                                <w:szCs w:val="21"/>
                                <w:vertAlign w:val="subscript"/>
                              </w:rPr>
                              <w:t>10</w:t>
                            </w:r>
                          </w:p>
                          <w:p/>
                        </w:txbxContent>
                      </wps:txbx>
                      <wps:bodyPr upright="1"/>
                    </wps:wsp>
                  </a:graphicData>
                </a:graphic>
              </wp:anchor>
            </w:drawing>
          </mc:Choice>
          <mc:Fallback>
            <w:pict>
              <v:rect id="_x0000_s1026" o:spid="_x0000_s1026" o:spt="1" style="position:absolute;left:0pt;margin-left:405pt;margin-top:0.6pt;height:23.4pt;width:63pt;z-index:251749376;mso-width-relative:page;mso-height-relative:page;" fillcolor="#FFFFFF" filled="t" stroked="f" coordsize="21600,21600" o:gfxdata="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JmPhx1gAAAAgBAAAPAAAA&#10;AAAAAAEAIAAAACIAAABkcnMvZG93bnJldi54bWxQSwECFAAUAAAACACHTuJAhtt7gqUBAAA8AwAA&#10;DgAAAAAAAAABACAAAAAlAQAAZHJzL2Uyb0RvYy54bWxQSwUGAAAAAAYABgBZAQAAPAUAAAAA&#10;">
                <v:fill on="t" opacity="0f" focussize="0,0"/>
                <v:stroke on="f"/>
                <v:imagedata o:title=""/>
                <o:lock v:ext="edit" aspectratio="f"/>
                <v:textbox>
                  <w:txbxContent>
                    <w:p>
                      <w:pPr>
                        <w:jc w:val="center"/>
                      </w:pPr>
                      <w:r>
                        <w:rPr>
                          <w:rFonts w:hint="eastAsia" w:ascii="宋体" w:hAnsi="宋体"/>
                          <w:sz w:val="21"/>
                          <w:szCs w:val="21"/>
                        </w:rPr>
                        <w:t>※PM</w:t>
                      </w:r>
                      <w:r>
                        <w:rPr>
                          <w:rFonts w:hint="eastAsia" w:ascii="宋体" w:hAnsi="宋体"/>
                          <w:sz w:val="21"/>
                          <w:szCs w:val="21"/>
                          <w:vertAlign w:val="subscript"/>
                        </w:rPr>
                        <w:t>10</w:t>
                      </w:r>
                    </w:p>
                    <w:p/>
                  </w:txbxContent>
                </v:textbox>
              </v:rect>
            </w:pict>
          </mc:Fallback>
        </mc:AlternateContent>
      </w:r>
      <w:r>
        <w:rPr>
          <w:rFonts w:ascii="宋体" w:hAnsi="宋体"/>
          <w:sz w:val="20"/>
        </w:rPr>
        <mc:AlternateContent>
          <mc:Choice Requires="wps">
            <w:drawing>
              <wp:anchor distT="0" distB="0" distL="114300" distR="114300" simplePos="0" relativeHeight="251676672" behindDoc="0" locked="0" layoutInCell="1" allowOverlap="1">
                <wp:simplePos x="0" y="0"/>
                <wp:positionH relativeFrom="column">
                  <wp:posOffset>1120775</wp:posOffset>
                </wp:positionH>
                <wp:positionV relativeFrom="paragraph">
                  <wp:posOffset>142875</wp:posOffset>
                </wp:positionV>
                <wp:extent cx="753745" cy="211455"/>
                <wp:effectExtent l="0" t="0" r="8255" b="17145"/>
                <wp:wrapNone/>
                <wp:docPr id="339" name="矩形 339"/>
                <wp:cNvGraphicFramePr/>
                <a:graphic xmlns:a="http://schemas.openxmlformats.org/drawingml/2006/main">
                  <a:graphicData uri="http://schemas.microsoft.com/office/word/2010/wordprocessingShape">
                    <wps:wsp>
                      <wps:cNvSpPr/>
                      <wps:spPr>
                        <a:xfrm flipV="1">
                          <a:off x="0" y="0"/>
                          <a:ext cx="753745" cy="211455"/>
                        </a:xfrm>
                        <a:prstGeom prst="rect">
                          <a:avLst/>
                        </a:prstGeom>
                        <a:solidFill>
                          <a:srgbClr val="FFFFFF"/>
                        </a:solidFill>
                        <a:ln>
                          <a:noFill/>
                        </a:ln>
                      </wps:spPr>
                      <wps:txbx>
                        <w:txbxContent>
                          <w:p>
                            <w:pPr>
                              <w:spacing w:line="240" w:lineRule="exact"/>
                              <w:jc w:val="center"/>
                              <w:rPr>
                                <w:rFonts w:hint="eastAsia"/>
                              </w:rPr>
                            </w:pPr>
                            <w:r>
                              <w:rPr>
                                <w:rFonts w:hint="eastAsia"/>
                              </w:rPr>
                              <w:t>窑尾废气</w:t>
                            </w:r>
                          </w:p>
                        </w:txbxContent>
                      </wps:txbx>
                      <wps:bodyPr lIns="0" tIns="0" rIns="0" bIns="0" upright="1"/>
                    </wps:wsp>
                  </a:graphicData>
                </a:graphic>
              </wp:anchor>
            </w:drawing>
          </mc:Choice>
          <mc:Fallback>
            <w:pict>
              <v:rect id="_x0000_s1026" o:spid="_x0000_s1026" o:spt="1" style="position:absolute;left:0pt;flip:y;margin-left:88.25pt;margin-top:11.25pt;height:16.65pt;width:59.35pt;z-index:251676672;mso-width-relative:page;mso-height-relative:page;" fillcolor="#FFFFFF" filled="t" stroked="f" coordsize="21600,21600" o:gfxdata="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jDF&#10;xtYAAAAJAQAADwAAAAAAAAABACAAAAAiAAAAZHJzL2Rvd25yZXYueG1sUEsBAhQAFAAAAAgAh07i&#10;QK1rpsuyAQAATQMAAA4AAAAAAAAAAQAgAAAAJQEAAGRycy9lMm9Eb2MueG1sUEsFBgAAAAAGAAYA&#10;WQEAAEkFAAAAAA==&#10;">
                <v:fill on="t" focussize="0,0"/>
                <v:stroke on="f"/>
                <v:imagedata o:title=""/>
                <o:lock v:ext="edit" aspectratio="f"/>
                <v:textbox inset="0mm,0mm,0mm,0mm">
                  <w:txbxContent>
                    <w:p>
                      <w:pPr>
                        <w:spacing w:line="240" w:lineRule="exact"/>
                        <w:jc w:val="center"/>
                        <w:rPr>
                          <w:rFonts w:hint="eastAsia"/>
                        </w:rPr>
                      </w:pPr>
                      <w:r>
                        <w:rPr>
                          <w:rFonts w:hint="eastAsia"/>
                        </w:rPr>
                        <w:t>窑尾废气</w:t>
                      </w:r>
                    </w:p>
                  </w:txbxContent>
                </v:textbox>
              </v:rect>
            </w:pict>
          </mc:Fallback>
        </mc:AlternateContent>
      </w:r>
      <w:r>
        <w:rPr>
          <w:rFonts w:hint="eastAsia" w:ascii="宋体" w:hAnsi="宋体"/>
        </w:rPr>
        <mc:AlternateContent>
          <mc:Choice Requires="wps">
            <w:drawing>
              <wp:anchor distT="0" distB="0" distL="114300" distR="114300" simplePos="0" relativeHeight="251727872" behindDoc="0" locked="0" layoutInCell="1" allowOverlap="1">
                <wp:simplePos x="0" y="0"/>
                <wp:positionH relativeFrom="column">
                  <wp:posOffset>4114800</wp:posOffset>
                </wp:positionH>
                <wp:positionV relativeFrom="paragraph">
                  <wp:posOffset>7620</wp:posOffset>
                </wp:positionV>
                <wp:extent cx="685800" cy="396240"/>
                <wp:effectExtent l="0" t="0" r="0" b="0"/>
                <wp:wrapNone/>
                <wp:docPr id="341" name="文本框 341"/>
                <wp:cNvGraphicFramePr/>
                <a:graphic xmlns:a="http://schemas.openxmlformats.org/drawingml/2006/main">
                  <a:graphicData uri="http://schemas.microsoft.com/office/word/2010/wordprocessingShape">
                    <wps:wsp>
                      <wps:cNvSpPr txBox="1"/>
                      <wps:spPr>
                        <a:xfrm>
                          <a:off x="0" y="0"/>
                          <a:ext cx="685800" cy="396240"/>
                        </a:xfrm>
                        <a:prstGeom prst="rect">
                          <a:avLst/>
                        </a:prstGeom>
                        <a:solidFill>
                          <a:srgbClr val="FFFFFF">
                            <a:alpha val="0"/>
                          </a:srgbClr>
                        </a:solidFill>
                        <a:ln>
                          <a:noFill/>
                        </a:ln>
                      </wps:spPr>
                      <wps:txbx>
                        <w:txbxContent>
                          <w:p>
                            <w:pPr>
                              <w:rPr>
                                <w:rFonts w:hint="eastAsia"/>
                              </w:rPr>
                            </w:pPr>
                            <w:r>
                              <w:rPr>
                                <w:rFonts w:hint="eastAsia"/>
                              </w:rPr>
                              <w:t>蒸汽</w:t>
                            </w:r>
                          </w:p>
                        </w:txbxContent>
                      </wps:txbx>
                      <wps:bodyPr upright="1"/>
                    </wps:wsp>
                  </a:graphicData>
                </a:graphic>
              </wp:anchor>
            </w:drawing>
          </mc:Choice>
          <mc:Fallback>
            <w:pict>
              <v:shape id="_x0000_s1026" o:spid="_x0000_s1026" o:spt="202" type="#_x0000_t202" style="position:absolute;left:0pt;margin-left:324pt;margin-top:0.6pt;height:31.2pt;width:54pt;z-index:251727872;mso-width-relative:page;mso-height-relative:page;" fillcolor="#FFFFFF" filled="t" stroked="f" coordsize="21600,21600" o:gfxdata="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98O3&#10;itUAAAAIAQAADwAAAAAAAAABACAAAAAiAAAAZHJzL2Rvd25yZXYueG1sUEsBAhQAFAAAAAgAh07i&#10;QL/pLsKzAQAASQMAAA4AAAAAAAAAAQAgAAAAJAEAAGRycy9lMm9Eb2MueG1sUEsFBgAAAAAGAAYA&#10;WQEAAEkFAAAAAA==&#10;">
                <v:fill on="t" opacity="0f" focussize="0,0"/>
                <v:stroke on="f"/>
                <v:imagedata o:title=""/>
                <o:lock v:ext="edit" aspectratio="f"/>
                <v:textbox>
                  <w:txbxContent>
                    <w:p>
                      <w:pPr>
                        <w:rPr>
                          <w:rFonts w:hint="eastAsia"/>
                        </w:rPr>
                      </w:pPr>
                      <w:r>
                        <w:rPr>
                          <w:rFonts w:hint="eastAsia"/>
                        </w:rPr>
                        <w:t>蒸汽</w:t>
                      </w:r>
                    </w:p>
                  </w:txbxContent>
                </v:textbox>
              </v:shape>
            </w:pict>
          </mc:Fallback>
        </mc:AlternateContent>
      </w:r>
      <w:r>
        <w:rPr>
          <w:rFonts w:ascii="宋体" w:hAnsi="宋体"/>
          <w:sz w:val="20"/>
        </w:rPr>
        <mc:AlternateContent>
          <mc:Choice Requires="wps">
            <w:drawing>
              <wp:anchor distT="0" distB="0" distL="114300" distR="114300" simplePos="0" relativeHeight="251729920" behindDoc="0" locked="0" layoutInCell="1" allowOverlap="1">
                <wp:simplePos x="0" y="0"/>
                <wp:positionH relativeFrom="column">
                  <wp:posOffset>3886200</wp:posOffset>
                </wp:positionH>
                <wp:positionV relativeFrom="paragraph">
                  <wp:posOffset>106680</wp:posOffset>
                </wp:positionV>
                <wp:extent cx="0" cy="198120"/>
                <wp:effectExtent l="13970" t="0" r="24130" b="0"/>
                <wp:wrapNone/>
                <wp:docPr id="343" name="直接连接符 343"/>
                <wp:cNvGraphicFramePr/>
                <a:graphic xmlns:a="http://schemas.openxmlformats.org/drawingml/2006/main">
                  <a:graphicData uri="http://schemas.microsoft.com/office/word/2010/wordprocessingShape">
                    <wps:wsp>
                      <wps:cNvCnPr/>
                      <wps:spPr>
                        <a:xfrm>
                          <a:off x="0" y="0"/>
                          <a:ext cx="0" cy="198120"/>
                        </a:xfrm>
                        <a:prstGeom prst="line">
                          <a:avLst/>
                        </a:prstGeom>
                        <a:ln w="2857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306pt;margin-top:8.4pt;height:15.6pt;width:0pt;z-index:251729920;mso-width-relative:page;mso-height-relative:page;" filled="f" stroked="t" coordsize="21600,21600" o:gfxdata="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mPDJ51gAAAAkBAAAPAAAA&#10;AAAAAAEAIAAAACIAAABkcnMvZG93bnJldi54bWxQSwECFAAUAAAACACHTuJABdK4Zt4BAACZAwAA&#10;DgAAAAAAAAABACAAAAAlAQAAZHJzL2Uyb0RvYy54bWxQSwUGAAAAAAYABgBZAQAAdQUAAAAA&#10;">
                <v:fill on="f" focussize="0,0"/>
                <v:stroke weight="2.25pt" color="#000000" joinstyle="round" dashstyle="dash"/>
                <v:imagedata o:title=""/>
                <o:lock v:ext="edit" aspectratio="f"/>
              </v:line>
            </w:pict>
          </mc:Fallback>
        </mc:AlternateContent>
      </w:r>
      <w:r>
        <w:rPr>
          <w:rFonts w:ascii="宋体" w:hAnsi="宋体"/>
          <w:sz w:val="20"/>
        </w:rPr>
        <mc:AlternateContent>
          <mc:Choice Requires="wps">
            <w:drawing>
              <wp:anchor distT="0" distB="0" distL="114300" distR="114300" simplePos="0" relativeHeight="251728896" behindDoc="0" locked="0" layoutInCell="1" allowOverlap="1">
                <wp:simplePos x="0" y="0"/>
                <wp:positionH relativeFrom="column">
                  <wp:posOffset>3314700</wp:posOffset>
                </wp:positionH>
                <wp:positionV relativeFrom="paragraph">
                  <wp:posOffset>106680</wp:posOffset>
                </wp:positionV>
                <wp:extent cx="571500" cy="0"/>
                <wp:effectExtent l="0" t="13970" r="0" b="24130"/>
                <wp:wrapNone/>
                <wp:docPr id="344" name="直接连接符 344"/>
                <wp:cNvGraphicFramePr/>
                <a:graphic xmlns:a="http://schemas.openxmlformats.org/drawingml/2006/main">
                  <a:graphicData uri="http://schemas.microsoft.com/office/word/2010/wordprocessingShape">
                    <wps:wsp>
                      <wps:cNvCnPr/>
                      <wps:spPr>
                        <a:xfrm>
                          <a:off x="0" y="0"/>
                          <a:ext cx="571500" cy="0"/>
                        </a:xfrm>
                        <a:prstGeom prst="line">
                          <a:avLst/>
                        </a:prstGeom>
                        <a:ln w="2857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261pt;margin-top:8.4pt;height:0pt;width:45pt;z-index:251728896;mso-width-relative:page;mso-height-relative:page;" filled="f" stroked="t" coordsize="21600,21600" o:gfxdata="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7XJnf1gAAAAkBAAAPAAAA&#10;AAAAAAEAIAAAACIAAABkcnMvZG93bnJldi54bWxQSwECFAAUAAAACACHTuJAVhXckd4BAACZAwAA&#10;DgAAAAAAAAABACAAAAAlAQAAZHJzL2Uyb0RvYy54bWxQSwUGAAAAAAYABgBZAQAAdQUAAAAA&#10;">
                <v:fill on="f" focussize="0,0"/>
                <v:stroke weight="2.25pt" color="#000000" joinstyle="round" dashstyle="dash"/>
                <v:imagedata o:title=""/>
                <o:lock v:ext="edit" aspectratio="f"/>
              </v:line>
            </w:pict>
          </mc:Fallback>
        </mc:AlternateContent>
      </w:r>
      <w:r>
        <w:rPr>
          <w:rFonts w:ascii="宋体" w:hAnsi="宋体"/>
          <w:sz w:val="20"/>
        </w:rPr>
        <mc:AlternateContent>
          <mc:Choice Requires="wps">
            <w:drawing>
              <wp:anchor distT="0" distB="0" distL="114300" distR="114300" simplePos="0" relativeHeight="251726848" behindDoc="0" locked="0" layoutInCell="1" allowOverlap="1">
                <wp:simplePos x="0" y="0"/>
                <wp:positionH relativeFrom="column">
                  <wp:posOffset>3086100</wp:posOffset>
                </wp:positionH>
                <wp:positionV relativeFrom="paragraph">
                  <wp:posOffset>205740</wp:posOffset>
                </wp:positionV>
                <wp:extent cx="1143000" cy="297180"/>
                <wp:effectExtent l="0" t="0" r="0" b="0"/>
                <wp:wrapNone/>
                <wp:docPr id="333" name="文本框 333"/>
                <wp:cNvGraphicFramePr/>
                <a:graphic xmlns:a="http://schemas.openxmlformats.org/drawingml/2006/main">
                  <a:graphicData uri="http://schemas.microsoft.com/office/word/2010/wordprocessingShape">
                    <wps:wsp>
                      <wps:cNvSpPr txBox="1"/>
                      <wps:spPr>
                        <a:xfrm>
                          <a:off x="0" y="0"/>
                          <a:ext cx="1143000" cy="297180"/>
                        </a:xfrm>
                        <a:prstGeom prst="rect">
                          <a:avLst/>
                        </a:prstGeom>
                        <a:solidFill>
                          <a:srgbClr val="FFFFFF">
                            <a:alpha val="0"/>
                          </a:srgbClr>
                        </a:solidFill>
                        <a:ln>
                          <a:noFill/>
                        </a:ln>
                      </wps:spPr>
                      <wps:txbx>
                        <w:txbxContent>
                          <w:p>
                            <w:pPr>
                              <w:rPr>
                                <w:rFonts w:hint="eastAsia"/>
                              </w:rPr>
                            </w:pPr>
                            <w:r>
                              <w:rPr>
                                <w:rFonts w:hint="eastAsia"/>
                              </w:rPr>
                              <w:t>窑尾废气</w:t>
                            </w:r>
                          </w:p>
                        </w:txbxContent>
                      </wps:txbx>
                      <wps:bodyPr upright="1"/>
                    </wps:wsp>
                  </a:graphicData>
                </a:graphic>
              </wp:anchor>
            </w:drawing>
          </mc:Choice>
          <mc:Fallback>
            <w:pict>
              <v:shape id="_x0000_s1026" o:spid="_x0000_s1026" o:spt="202" type="#_x0000_t202" style="position:absolute;left:0pt;margin-left:243pt;margin-top:16.2pt;height:23.4pt;width:90pt;z-index:251726848;mso-width-relative:page;mso-height-relative:page;" fillcolor="#FFFFFF" filled="t" stroked="f" coordsize="21600,21600" o:gfxdata="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t7vc7ZAAAACQEAAA8AAAAAAAAAAQAgAAAAIgAAAGRycy9kb3ducmV2LnhtbFBLAQIUABQAAAAI&#10;AIdO4kDRboVMswEAAEoDAAAOAAAAAAAAAAEAIAAAACgBAABkcnMvZTJvRG9jLnhtbFBLBQYAAAAA&#10;BgAGAFkBAABNBQAAAAA=&#10;">
                <v:fill on="t" opacity="0f" focussize="0,0"/>
                <v:stroke on="f"/>
                <v:imagedata o:title=""/>
                <o:lock v:ext="edit" aspectratio="f"/>
                <v:textbox>
                  <w:txbxContent>
                    <w:p>
                      <w:pPr>
                        <w:rPr>
                          <w:rFonts w:hint="eastAsia"/>
                        </w:rPr>
                      </w:pPr>
                      <w:r>
                        <w:rPr>
                          <w:rFonts w:hint="eastAsia"/>
                        </w:rPr>
                        <w:t>窑尾废气</w:t>
                      </w:r>
                    </w:p>
                  </w:txbxContent>
                </v:textbox>
              </v:shape>
            </w:pict>
          </mc:Fallback>
        </mc:AlternateContent>
      </w:r>
      <w:r>
        <w:rPr>
          <w:rFonts w:ascii="宋体" w:hAnsi="宋体"/>
          <w:sz w:val="20"/>
        </w:rPr>
        <mc:AlternateContent>
          <mc:Choice Requires="wps">
            <w:drawing>
              <wp:anchor distT="0" distB="0" distL="114300" distR="114300" simplePos="0" relativeHeight="251714560" behindDoc="0" locked="0" layoutInCell="1" allowOverlap="1">
                <wp:simplePos x="0" y="0"/>
                <wp:positionH relativeFrom="column">
                  <wp:posOffset>571500</wp:posOffset>
                </wp:positionH>
                <wp:positionV relativeFrom="paragraph">
                  <wp:posOffset>7620</wp:posOffset>
                </wp:positionV>
                <wp:extent cx="0" cy="297180"/>
                <wp:effectExtent l="38100" t="0" r="38100" b="7620"/>
                <wp:wrapNone/>
                <wp:docPr id="323" name="直接连接符 323"/>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45pt;margin-top:0.6pt;height:23.4pt;width:0pt;z-index:251714560;mso-width-relative:page;mso-height-relative:page;" filled="f" stroked="t" coordsize="21600,21600" o:gfxdata="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lO/u&#10;1AAAAAYBAAAPAAAAAAAAAAEAIAAAACIAAABkcnMvZG93bnJldi54bWxQSwECFAAUAAAACACHTuJA&#10;34OmEuwBAACnAwAADgAAAAAAAAABACAAAAAjAQAAZHJzL2Uyb0RvYy54bWxQSwUGAAAAAAYABgBZ&#10;AQAAgQU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665408" behindDoc="0" locked="0" layoutInCell="1" allowOverlap="1">
                <wp:simplePos x="0" y="0"/>
                <wp:positionH relativeFrom="column">
                  <wp:posOffset>1877695</wp:posOffset>
                </wp:positionH>
                <wp:positionV relativeFrom="paragraph">
                  <wp:posOffset>283845</wp:posOffset>
                </wp:positionV>
                <wp:extent cx="1208405" cy="655320"/>
                <wp:effectExtent l="5080" t="4445" r="5715" b="6985"/>
                <wp:wrapNone/>
                <wp:docPr id="324" name="矩形 324"/>
                <wp:cNvGraphicFramePr/>
                <a:graphic xmlns:a="http://schemas.openxmlformats.org/drawingml/2006/main">
                  <a:graphicData uri="http://schemas.microsoft.com/office/word/2010/wordprocessingShape">
                    <wps:wsp>
                      <wps:cNvSpPr/>
                      <wps:spPr>
                        <a:xfrm>
                          <a:off x="0" y="0"/>
                          <a:ext cx="1208405" cy="655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预热器</w:t>
                            </w:r>
                          </w:p>
                          <w:p>
                            <w:pPr>
                              <w:jc w:val="center"/>
                              <w:rPr>
                                <w:rFonts w:hint="eastAsia"/>
                              </w:rPr>
                            </w:pPr>
                            <w:r>
                              <w:rPr>
                                <w:rFonts w:hint="eastAsia"/>
                              </w:rPr>
                              <w:t>分解炉</w:t>
                            </w:r>
                          </w:p>
                          <w:p>
                            <w:pPr>
                              <w:jc w:val="center"/>
                            </w:pPr>
                            <w:r>
                              <w:rPr>
                                <w:rFonts w:hint="eastAsia"/>
                              </w:rPr>
                              <w:t>回转窑</w:t>
                            </w:r>
                          </w:p>
                        </w:txbxContent>
                      </wps:txbx>
                      <wps:bodyPr upright="1"/>
                    </wps:wsp>
                  </a:graphicData>
                </a:graphic>
              </wp:anchor>
            </w:drawing>
          </mc:Choice>
          <mc:Fallback>
            <w:pict>
              <v:rect id="_x0000_s1026" o:spid="_x0000_s1026" o:spt="1" style="position:absolute;left:0pt;margin-left:147.85pt;margin-top:22.35pt;height:51.6pt;width:95.15pt;z-index:251665408;mso-width-relative:page;mso-height-relative:page;" fillcolor="#FFFFFF" filled="t" stroked="t" coordsize="21600,21600" o:gfxdata="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Df1M7ZAAAACgEAAA8AAAAAAAAAAQAgAAAAIgAAAGRycy9kb3ducmV2LnhtbFBLAQIUABQAAAAI&#10;AIdO4kBudfzn7AEAAN8DAAAOAAAAAAAAAAEAIAAAACgBAABkcnMvZTJvRG9jLnhtbFBLBQYAAAAA&#10;BgAGAFkBAACGBQAAAAA=&#10;">
                <v:fill on="t" focussize="0,0"/>
                <v:stroke color="#000000" joinstyle="miter"/>
                <v:imagedata o:title=""/>
                <o:lock v:ext="edit" aspectratio="f"/>
                <v:textbox>
                  <w:txbxContent>
                    <w:p>
                      <w:pPr>
                        <w:jc w:val="center"/>
                        <w:rPr>
                          <w:rFonts w:hint="eastAsia"/>
                        </w:rPr>
                      </w:pPr>
                      <w:r>
                        <w:rPr>
                          <w:rFonts w:hint="eastAsia"/>
                        </w:rPr>
                        <w:t>预热器</w:t>
                      </w:r>
                    </w:p>
                    <w:p>
                      <w:pPr>
                        <w:jc w:val="center"/>
                        <w:rPr>
                          <w:rFonts w:hint="eastAsia"/>
                        </w:rPr>
                      </w:pPr>
                      <w:r>
                        <w:rPr>
                          <w:rFonts w:hint="eastAsia"/>
                        </w:rPr>
                        <w:t>分解炉</w:t>
                      </w:r>
                    </w:p>
                    <w:p>
                      <w:pPr>
                        <w:jc w:val="center"/>
                      </w:pPr>
                      <w:r>
                        <w:rPr>
                          <w:rFonts w:hint="eastAsia"/>
                        </w:rPr>
                        <w:t>回转窑</w:t>
                      </w:r>
                    </w:p>
                  </w:txbxContent>
                </v:textbox>
              </v:rect>
            </w:pict>
          </mc:Fallback>
        </mc:AlternateContent>
      </w:r>
      <w:r>
        <w:rPr>
          <w:rFonts w:ascii="宋体" w:hAnsi="宋体"/>
          <w:sz w:val="20"/>
        </w:rPr>
        <mc:AlternateContent>
          <mc:Choice Requires="wps">
            <w:drawing>
              <wp:anchor distT="0" distB="0" distL="114300" distR="114300" simplePos="0" relativeHeight="251691008" behindDoc="0" locked="0" layoutInCell="1" allowOverlap="1">
                <wp:simplePos x="0" y="0"/>
                <wp:positionH relativeFrom="column">
                  <wp:posOffset>2423795</wp:posOffset>
                </wp:positionH>
                <wp:positionV relativeFrom="paragraph">
                  <wp:posOffset>15875</wp:posOffset>
                </wp:positionV>
                <wp:extent cx="0" cy="274320"/>
                <wp:effectExtent l="42545" t="0" r="52705" b="11430"/>
                <wp:wrapNone/>
                <wp:docPr id="325" name="直接连接符 325"/>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0.85pt;margin-top:1.25pt;height:21.6pt;width:0pt;z-index:251691008;mso-width-relative:page;mso-height-relative:page;" filled="f" stroked="t" coordsize="21600,21600" o:gfxdata="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c3QS51AAAAAgBAAAP&#10;AAAAAAAAAAEAIAAAACIAAABkcnMvZG93bnJldi54bWxQSwECFAAUAAAACACHTuJA2vwSAeMBAACe&#10;AwAADgAAAAAAAAABACAAAAAjAQAAZHJzL2Uyb0RvYy54bWxQSwUGAAAAAAYABgBZAQAAeAUAAAAA&#10;">
                <v:fill on="f" focussize="0,0"/>
                <v:stroke weight="2.25pt" color="#000000" joinstyle="round" endarrow="block"/>
                <v:imagedata o:title=""/>
                <o:lock v:ext="edit" aspectratio="f"/>
              </v:line>
            </w:pict>
          </mc:Fallback>
        </mc:AlternateContent>
      </w:r>
      <w:r>
        <w:rPr>
          <w:rFonts w:ascii="宋体" w:hAnsi="宋体"/>
        </w:rPr>
        <w:t xml:space="preserve"> </w: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747328" behindDoc="0" locked="0" layoutInCell="1" allowOverlap="1">
                <wp:simplePos x="0" y="0"/>
                <wp:positionH relativeFrom="column">
                  <wp:posOffset>5029200</wp:posOffset>
                </wp:positionH>
                <wp:positionV relativeFrom="paragraph">
                  <wp:posOffset>297180</wp:posOffset>
                </wp:positionV>
                <wp:extent cx="1238250" cy="297180"/>
                <wp:effectExtent l="4445" t="4445" r="14605" b="22225"/>
                <wp:wrapNone/>
                <wp:docPr id="345" name="矩形 345"/>
                <wp:cNvGraphicFramePr/>
                <a:graphic xmlns:a="http://schemas.openxmlformats.org/drawingml/2006/main">
                  <a:graphicData uri="http://schemas.microsoft.com/office/word/2010/wordprocessingShape">
                    <wps:wsp>
                      <wps:cNvSpPr/>
                      <wps:spPr>
                        <a:xfrm>
                          <a:off x="0" y="0"/>
                          <a:ext cx="12382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color w:val="0000FF"/>
                              </w:rPr>
                            </w:pPr>
                            <w:r>
                              <w:rPr>
                                <w:rFonts w:hint="eastAsia"/>
                                <w:color w:val="0000FF"/>
                              </w:rPr>
                              <w:t>袋收尘器</w:t>
                            </w:r>
                          </w:p>
                        </w:txbxContent>
                      </wps:txbx>
                      <wps:bodyPr upright="1"/>
                    </wps:wsp>
                  </a:graphicData>
                </a:graphic>
              </wp:anchor>
            </w:drawing>
          </mc:Choice>
          <mc:Fallback>
            <w:pict>
              <v:rect id="_x0000_s1026" o:spid="_x0000_s1026" o:spt="1" style="position:absolute;left:0pt;margin-left:396pt;margin-top:23.4pt;height:23.4pt;width:97.5pt;z-index:251747328;mso-width-relative:page;mso-height-relative:page;" fillcolor="#FFFFFF" filled="t" stroked="t" coordsize="21600,21600" o:gfxdata="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GdMqdgAAAAJAQAADwAAAAAAAAABACAAAAAiAAAAZHJzL2Rvd25yZXYueG1sUEsBAhQAFAAAAAgA&#10;h07iQEjny+fsAQAA3wMAAA4AAAAAAAAAAQAgAAAAJwEAAGRycy9lMm9Eb2MueG1sUEsFBgAAAAAG&#10;AAYAWQEAAIUFAAAAAA==&#10;">
                <v:fill on="t" focussize="0,0"/>
                <v:stroke color="#000000" joinstyle="miter"/>
                <v:imagedata o:title=""/>
                <o:lock v:ext="edit" aspectratio="f"/>
                <v:textbox>
                  <w:txbxContent>
                    <w:p>
                      <w:pPr>
                        <w:jc w:val="center"/>
                        <w:rPr>
                          <w:color w:val="0000FF"/>
                        </w:rPr>
                      </w:pPr>
                      <w:r>
                        <w:rPr>
                          <w:rFonts w:hint="eastAsia"/>
                          <w:color w:val="0000FF"/>
                        </w:rPr>
                        <w:t>袋收尘器</w:t>
                      </w:r>
                    </w:p>
                  </w:txbxContent>
                </v:textbox>
              </v:rect>
            </w:pict>
          </mc:Fallback>
        </mc:AlternateContent>
      </w:r>
      <w:r>
        <w:rPr>
          <w:rFonts w:hint="eastAsia" w:ascii="宋体" w:hAnsi="宋体"/>
        </w:rPr>
        <mc:AlternateContent>
          <mc:Choice Requires="wps">
            <w:drawing>
              <wp:anchor distT="0" distB="0" distL="114300" distR="114300" simplePos="0" relativeHeight="251748352" behindDoc="0" locked="0" layoutInCell="1" allowOverlap="1">
                <wp:simplePos x="0" y="0"/>
                <wp:positionH relativeFrom="column">
                  <wp:posOffset>5486400</wp:posOffset>
                </wp:positionH>
                <wp:positionV relativeFrom="paragraph">
                  <wp:posOffset>0</wp:posOffset>
                </wp:positionV>
                <wp:extent cx="0" cy="297180"/>
                <wp:effectExtent l="38100" t="0" r="38100" b="7620"/>
                <wp:wrapNone/>
                <wp:docPr id="334" name="直接连接符 334"/>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432pt;margin-top:0pt;height:23.4pt;width:0pt;z-index:251748352;mso-width-relative:page;mso-height-relative:page;" filled="f" stroked="t" coordsize="21600,21600" o:gfxdata="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g9&#10;YjLWAAAABwEAAA8AAAAAAAAAAQAgAAAAIgAAAGRycy9kb3ducmV2LnhtbFBLAQIUABQAAAAIAIdO&#10;4kBe15nx7AEAAKcDAAAOAAAAAAAAAAEAIAAAACUBAABkcnMvZTJvRG9jLnhtbFBLBQYAAAAABgAG&#10;AFkBAACDBQ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674624" behindDoc="0" locked="0" layoutInCell="1" allowOverlap="1">
                <wp:simplePos x="0" y="0"/>
                <wp:positionH relativeFrom="column">
                  <wp:posOffset>228600</wp:posOffset>
                </wp:positionH>
                <wp:positionV relativeFrom="paragraph">
                  <wp:posOffset>0</wp:posOffset>
                </wp:positionV>
                <wp:extent cx="699770" cy="297180"/>
                <wp:effectExtent l="4445" t="4445" r="19685" b="22225"/>
                <wp:wrapNone/>
                <wp:docPr id="346" name="矩形 346"/>
                <wp:cNvGraphicFramePr/>
                <a:graphic xmlns:a="http://schemas.openxmlformats.org/drawingml/2006/main">
                  <a:graphicData uri="http://schemas.microsoft.com/office/word/2010/wordprocessingShape">
                    <wps:wsp>
                      <wps:cNvSpPr/>
                      <wps:spPr>
                        <a:xfrm>
                          <a:off x="0" y="0"/>
                          <a:ext cx="6997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增湿塔</w:t>
                            </w:r>
                          </w:p>
                        </w:txbxContent>
                      </wps:txbx>
                      <wps:bodyPr upright="1"/>
                    </wps:wsp>
                  </a:graphicData>
                </a:graphic>
              </wp:anchor>
            </w:drawing>
          </mc:Choice>
          <mc:Fallback>
            <w:pict>
              <v:rect id="_x0000_s1026" o:spid="_x0000_s1026" o:spt="1" style="position:absolute;left:0pt;margin-left:18pt;margin-top:0pt;height:23.4pt;width:55.1pt;z-index:251674624;mso-width-relative:page;mso-height-relative:page;" fillcolor="#FFFFFF" filled="t" stroked="t" coordsize="21600,21600" o:gfxdata="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1X&#10;zpvWAAAABgEAAA8AAAAAAAAAAQAgAAAAIgAAAGRycy9kb3ducmV2LnhtbFBLAQIUABQAAAAIAIdO&#10;4kBW4HVA7AEAAN4DAAAOAAAAAAAAAAEAIAAAACUBAABkcnMvZTJvRG9jLnhtbFBLBQYAAAAABgAG&#10;AFkBAACDBQAAAAA=&#10;">
                <v:fill on="t" focussize="0,0"/>
                <v:stroke color="#000000" joinstyle="miter"/>
                <v:imagedata o:title=""/>
                <o:lock v:ext="edit" aspectratio="f"/>
                <v:textbox>
                  <w:txbxContent>
                    <w:p>
                      <w:pPr>
                        <w:jc w:val="center"/>
                      </w:pPr>
                      <w:r>
                        <w:rPr>
                          <w:rFonts w:hint="eastAsia"/>
                        </w:rPr>
                        <w:t>增湿塔</w:t>
                      </w:r>
                    </w:p>
                  </w:txbxContent>
                </v:textbox>
              </v:rect>
            </w:pict>
          </mc:Fallback>
        </mc:AlternateContent>
      </w:r>
      <w:r>
        <w:rPr>
          <w:rFonts w:ascii="宋体" w:hAnsi="宋体"/>
          <w:sz w:val="20"/>
        </w:rPr>
        <mc:AlternateContent>
          <mc:Choice Requires="wps">
            <w:drawing>
              <wp:anchor distT="0" distB="0" distL="114300" distR="114300" simplePos="0" relativeHeight="251720704" behindDoc="0" locked="0" layoutInCell="1" allowOverlap="1">
                <wp:simplePos x="0" y="0"/>
                <wp:positionH relativeFrom="column">
                  <wp:posOffset>3771900</wp:posOffset>
                </wp:positionH>
                <wp:positionV relativeFrom="paragraph">
                  <wp:posOffset>0</wp:posOffset>
                </wp:positionV>
                <wp:extent cx="1028700" cy="297180"/>
                <wp:effectExtent l="4445" t="4445" r="14605" b="22225"/>
                <wp:wrapNone/>
                <wp:docPr id="357" name="文本框 357"/>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 w:val="18"/>
                                <w:szCs w:val="18"/>
                              </w:rPr>
                            </w:pPr>
                            <w:r>
                              <w:rPr>
                                <w:rFonts w:hint="eastAsia" w:ascii="宋体" w:hAnsi="宋体"/>
                                <w:sz w:val="18"/>
                                <w:szCs w:val="18"/>
                              </w:rPr>
                              <w:t>SP余热锅炉※△</w:t>
                            </w:r>
                          </w:p>
                        </w:txbxContent>
                      </wps:txbx>
                      <wps:bodyPr upright="1"/>
                    </wps:wsp>
                  </a:graphicData>
                </a:graphic>
              </wp:anchor>
            </w:drawing>
          </mc:Choice>
          <mc:Fallback>
            <w:pict>
              <v:shape id="_x0000_s1026" o:spid="_x0000_s1026" o:spt="202" type="#_x0000_t202" style="position:absolute;left:0pt;margin-left:297pt;margin-top:0pt;height:23.4pt;width:81pt;z-index:251720704;mso-width-relative:page;mso-height-relative:page;" fillcolor="#FFFFFF" filled="t" stroked="t" coordsize="21600,21600" o:gfxdata="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Na+xPXAAAABwEAAA8AAAAAAAAAAQAgAAAAIgAAAGRycy9kb3ducmV2LnhtbFBLAQIU&#10;ABQAAAAIAIdO4kBobvhB9AEAAOwDAAAOAAAAAAAAAAEAIAAAACYBAABkcnMvZTJvRG9jLnhtbFBL&#10;BQYAAAAABgAGAFkBAACMBQAAAAA=&#10;">
                <v:fill on="t" focussize="0,0"/>
                <v:stroke color="#000000" joinstyle="miter"/>
                <v:imagedata o:title=""/>
                <o:lock v:ext="edit" aspectratio="f"/>
                <v:textbox>
                  <w:txbxContent>
                    <w:p>
                      <w:pPr>
                        <w:rPr>
                          <w:rFonts w:hint="eastAsia" w:ascii="宋体" w:hAnsi="宋体"/>
                          <w:sz w:val="18"/>
                          <w:szCs w:val="18"/>
                        </w:rPr>
                      </w:pPr>
                      <w:r>
                        <w:rPr>
                          <w:rFonts w:hint="eastAsia" w:ascii="宋体" w:hAnsi="宋体"/>
                          <w:sz w:val="18"/>
                          <w:szCs w:val="18"/>
                        </w:rPr>
                        <w:t>SP余热锅炉※△</w:t>
                      </w:r>
                    </w:p>
                  </w:txbxContent>
                </v:textbox>
              </v:shape>
            </w:pict>
          </mc:Fallback>
        </mc:AlternateContent>
      </w:r>
      <w:r>
        <w:rPr>
          <w:rFonts w:ascii="宋体" w:hAnsi="宋体"/>
          <w:sz w:val="20"/>
        </w:rPr>
        <mc:AlternateContent>
          <mc:Choice Requires="wps">
            <w:drawing>
              <wp:anchor distT="0" distB="0" distL="114300" distR="114300" simplePos="0" relativeHeight="251737088" behindDoc="0" locked="0" layoutInCell="1" allowOverlap="1">
                <wp:simplePos x="0" y="0"/>
                <wp:positionH relativeFrom="column">
                  <wp:posOffset>4229100</wp:posOffset>
                </wp:positionH>
                <wp:positionV relativeFrom="paragraph">
                  <wp:posOffset>299085</wp:posOffset>
                </wp:positionV>
                <wp:extent cx="0" cy="198120"/>
                <wp:effectExtent l="42545" t="0" r="52705" b="11430"/>
                <wp:wrapNone/>
                <wp:docPr id="358" name="直接连接符 358"/>
                <wp:cNvGraphicFramePr/>
                <a:graphic xmlns:a="http://schemas.openxmlformats.org/drawingml/2006/main">
                  <a:graphicData uri="http://schemas.microsoft.com/office/word/2010/wordprocessingShape">
                    <wps:wsp>
                      <wps:cNvCnPr/>
                      <wps:spPr>
                        <a:xfrm flipV="1">
                          <a:off x="0" y="0"/>
                          <a:ext cx="0" cy="198120"/>
                        </a:xfrm>
                        <a:prstGeom prst="line">
                          <a:avLst/>
                        </a:prstGeom>
                        <a:ln w="2857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333pt;margin-top:23.55pt;height:15.6pt;width:0pt;z-index:251737088;mso-width-relative:page;mso-height-relative:page;" filled="f" stroked="t" coordsize="21600,21600" o:gfxdata="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6uhbb2QAAAAkBAAAPAAAAAAAAAAEAIAAAACIAAABkcnMvZG93bnJldi54bWxQSwECFAAUAAAA&#10;CACHTuJAS2f/2e0BAACnAwAADgAAAAAAAAABACAAAAAoAQAAZHJzL2Uyb0RvYy54bWxQSwUGAAAA&#10;AAYABgBZAQAAhwUAAAAA&#10;">
                <v:fill on="f" focussize="0,0"/>
                <v:stroke weight="2.25pt" color="#000000" joinstyle="round" dashstyle="dash"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719680" behindDoc="0" locked="0" layoutInCell="1" allowOverlap="1">
                <wp:simplePos x="0" y="0"/>
                <wp:positionH relativeFrom="column">
                  <wp:posOffset>3086100</wp:posOffset>
                </wp:positionH>
                <wp:positionV relativeFrom="paragraph">
                  <wp:posOffset>198120</wp:posOffset>
                </wp:positionV>
                <wp:extent cx="685800" cy="0"/>
                <wp:effectExtent l="0" t="42545" r="0" b="52705"/>
                <wp:wrapNone/>
                <wp:docPr id="361" name="直接连接符 361"/>
                <wp:cNvGraphicFramePr/>
                <a:graphic xmlns:a="http://schemas.openxmlformats.org/drawingml/2006/main">
                  <a:graphicData uri="http://schemas.microsoft.com/office/word/2010/wordprocessingShape">
                    <wps:wsp>
                      <wps:cNvCnPr/>
                      <wps:spPr>
                        <a:xfrm>
                          <a:off x="0" y="0"/>
                          <a:ext cx="685800" cy="0"/>
                        </a:xfrm>
                        <a:prstGeom prst="line">
                          <a:avLst/>
                        </a:prstGeom>
                        <a:ln w="2857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margin-left:243pt;margin-top:15.6pt;height:0pt;width:54pt;z-index:251719680;mso-width-relative:page;mso-height-relative:page;" filled="f" stroked="t" coordsize="21600,21600" o:gfxdata="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miHk1wAAAAkB&#10;AAAPAAAAAAAAAAEAIAAAACIAAABkcnMvZG93bnJldi54bWxQSwECFAAUAAAACACHTuJAzN56i+MB&#10;AACdAwAADgAAAAAAAAABACAAAAAmAQAAZHJzL2Uyb0RvYy54bWxQSwUGAAAAAAYABgBZAQAAewUA&#10;AAAA&#10;">
                <v:fill on="f" focussize="0,0"/>
                <v:stroke weight="2.25pt" color="#000000" joinstyle="round" dashstyle="dash"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675648" behindDoc="0" locked="0" layoutInCell="1" allowOverlap="1">
                <wp:simplePos x="0" y="0"/>
                <wp:positionH relativeFrom="column">
                  <wp:posOffset>928370</wp:posOffset>
                </wp:positionH>
                <wp:positionV relativeFrom="paragraph">
                  <wp:posOffset>166370</wp:posOffset>
                </wp:positionV>
                <wp:extent cx="914400" cy="0"/>
                <wp:effectExtent l="0" t="38100" r="0" b="38100"/>
                <wp:wrapNone/>
                <wp:docPr id="352" name="直接连接符 352"/>
                <wp:cNvGraphicFramePr/>
                <a:graphic xmlns:a="http://schemas.openxmlformats.org/drawingml/2006/main">
                  <a:graphicData uri="http://schemas.microsoft.com/office/word/2010/wordprocessingShape">
                    <wps:wsp>
                      <wps:cNvCnPr/>
                      <wps:spPr>
                        <a:xfrm flipH="1">
                          <a:off x="0" y="0"/>
                          <a:ext cx="9144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3.1pt;margin-top:13.1pt;height:0pt;width:72pt;z-index:251675648;mso-width-relative:page;mso-height-relative:page;" filled="f" stroked="t" coordsize="21600,21600" o:gfxdata="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xkz&#10;p9cAAAAJAQAADwAAAAAAAAABACAAAAAiAAAAZHJzL2Rvd25yZXYueG1sUEsBAhQAFAAAAAgAh07i&#10;QIk6qcPqAQAApwMAAA4AAAAAAAAAAQAgAAAAJgEAAGRycy9lMm9Eb2MueG1sUEsFBgAAAAAGAAYA&#10;WQEAAIIFAAAAAA==&#10;">
                <v:fill on="f" focussize="0,0"/>
                <v:stroke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751424" behindDoc="0" locked="0" layoutInCell="1" allowOverlap="1">
                <wp:simplePos x="0" y="0"/>
                <wp:positionH relativeFrom="column">
                  <wp:posOffset>5486400</wp:posOffset>
                </wp:positionH>
                <wp:positionV relativeFrom="paragraph">
                  <wp:posOffset>289560</wp:posOffset>
                </wp:positionV>
                <wp:extent cx="0" cy="396240"/>
                <wp:effectExtent l="38100" t="0" r="38100" b="3810"/>
                <wp:wrapNone/>
                <wp:docPr id="359" name="直接连接符 359"/>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432pt;margin-top:22.8pt;height:31.2pt;width:0pt;z-index:251751424;mso-width-relative:page;mso-height-relative:page;" filled="f" stroked="t" coordsize="21600,21600" o:gfxdata="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zc+PtgAAAAKAQAADwAAAAAAAAABACAAAAAiAAAAZHJzL2Rvd25yZXYueG1sUEsBAhQAFAAAAAgA&#10;h07iQHS4qpvsAQAApwMAAA4AAAAAAAAAAQAgAAAAJwEAAGRycy9lMm9Eb2MueG1sUEsFBgAAAAAG&#10;AAYAWQEAAIUFA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738112" behindDoc="0" locked="0" layoutInCell="1" allowOverlap="1">
                <wp:simplePos x="0" y="0"/>
                <wp:positionH relativeFrom="column">
                  <wp:posOffset>4114800</wp:posOffset>
                </wp:positionH>
                <wp:positionV relativeFrom="paragraph">
                  <wp:posOffset>289560</wp:posOffset>
                </wp:positionV>
                <wp:extent cx="685800" cy="739140"/>
                <wp:effectExtent l="0" t="0" r="0" b="0"/>
                <wp:wrapNone/>
                <wp:docPr id="364" name="文本框 364"/>
                <wp:cNvGraphicFramePr/>
                <a:graphic xmlns:a="http://schemas.openxmlformats.org/drawingml/2006/main">
                  <a:graphicData uri="http://schemas.microsoft.com/office/word/2010/wordprocessingShape">
                    <wps:wsp>
                      <wps:cNvSpPr txBox="1"/>
                      <wps:spPr>
                        <a:xfrm>
                          <a:off x="0" y="0"/>
                          <a:ext cx="685800" cy="739140"/>
                        </a:xfrm>
                        <a:prstGeom prst="rect">
                          <a:avLst/>
                        </a:prstGeom>
                        <a:solidFill>
                          <a:srgbClr val="FFFFFF">
                            <a:alpha val="0"/>
                          </a:srgbClr>
                        </a:solidFill>
                        <a:ln>
                          <a:noFill/>
                        </a:ln>
                      </wps:spPr>
                      <wps:txbx>
                        <w:txbxContent>
                          <w:p>
                            <w:pPr>
                              <w:rPr>
                                <w:rFonts w:hint="eastAsia"/>
                              </w:rPr>
                            </w:pPr>
                            <w:r>
                              <w:rPr>
                                <w:rFonts w:hint="eastAsia"/>
                              </w:rPr>
                              <w:t>蒸汽</w:t>
                            </w:r>
                          </w:p>
                        </w:txbxContent>
                      </wps:txbx>
                      <wps:bodyPr upright="1"/>
                    </wps:wsp>
                  </a:graphicData>
                </a:graphic>
              </wp:anchor>
            </w:drawing>
          </mc:Choice>
          <mc:Fallback>
            <w:pict>
              <v:shape id="_x0000_s1026" o:spid="_x0000_s1026" o:spt="202" type="#_x0000_t202" style="position:absolute;left:0pt;margin-left:324pt;margin-top:22.8pt;height:58.2pt;width:54pt;z-index:251738112;mso-width-relative:page;mso-height-relative:page;" fillcolor="#FFFFFF" filled="t" stroked="f" coordsize="21600,21600" o:gfxdata="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VXnc9gAAAAKAQAADwAAAAAAAAABACAAAAAiAAAAZHJzL2Rvd25yZXYueG1sUEsBAhQAFAAAAAgA&#10;h07iQIy4D7qzAQAASQMAAA4AAAAAAAAAAQAgAAAAJwEAAGRycy9lMm9Eb2MueG1sUEsFBgAAAAAG&#10;AAYAWQEAAEwFAAAAAA==&#10;">
                <v:fill on="t" opacity="0f" focussize="0,0"/>
                <v:stroke on="f"/>
                <v:imagedata o:title=""/>
                <o:lock v:ext="edit" aspectratio="f"/>
                <v:textbox>
                  <w:txbxContent>
                    <w:p>
                      <w:pPr>
                        <w:rPr>
                          <w:rFonts w:hint="eastAsia"/>
                        </w:rPr>
                      </w:pPr>
                      <w:r>
                        <w:rPr>
                          <w:rFonts w:hint="eastAsia"/>
                        </w:rPr>
                        <w:t>蒸汽</w:t>
                      </w:r>
                    </w:p>
                  </w:txbxContent>
                </v:textbox>
              </v:shape>
            </w:pict>
          </mc:Fallback>
        </mc:AlternateContent>
      </w:r>
      <w:r>
        <w:rPr>
          <w:rFonts w:ascii="宋体" w:hAnsi="宋体"/>
          <w:sz w:val="20"/>
        </w:rPr>
        <mc:AlternateContent>
          <mc:Choice Requires="wps">
            <w:drawing>
              <wp:anchor distT="0" distB="0" distL="114300" distR="114300" simplePos="0" relativeHeight="251736064" behindDoc="0" locked="0" layoutInCell="1" allowOverlap="1">
                <wp:simplePos x="0" y="0"/>
                <wp:positionH relativeFrom="column">
                  <wp:posOffset>4229100</wp:posOffset>
                </wp:positionH>
                <wp:positionV relativeFrom="paragraph">
                  <wp:posOffset>289560</wp:posOffset>
                </wp:positionV>
                <wp:extent cx="0" cy="99060"/>
                <wp:effectExtent l="4445" t="0" r="14605" b="15240"/>
                <wp:wrapNone/>
                <wp:docPr id="362" name="直接连接符 362"/>
                <wp:cNvGraphicFramePr/>
                <a:graphic xmlns:a="http://schemas.openxmlformats.org/drawingml/2006/main">
                  <a:graphicData uri="http://schemas.microsoft.com/office/word/2010/wordprocessingShape">
                    <wps:wsp>
                      <wps:cNvCnPr/>
                      <wps:spPr>
                        <a:xfrm flipV="1">
                          <a:off x="0" y="0"/>
                          <a:ext cx="0" cy="990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33pt;margin-top:22.8pt;height:7.8pt;width:0pt;z-index:251736064;mso-width-relative:page;mso-height-relative:page;" filled="f" stroked="t" coordsize="21600,21600" o:gfxdata="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lp+GNYAAAAJAQAA&#10;DwAAAAAAAAABACAAAAAiAAAAZHJzL2Rvd25yZXYueG1sUEsBAhQAFAAAAAgAh07iQIIyP27iAQAA&#10;ogMAAA4AAAAAAAAAAQAgAAAAJQEAAGRycy9lMm9Eb2MueG1sUEsFBgAAAAAGAAYAWQEAAHkFAAAA&#10;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693056" behindDoc="0" locked="0" layoutInCell="1" allowOverlap="1">
                <wp:simplePos x="0" y="0"/>
                <wp:positionH relativeFrom="column">
                  <wp:posOffset>3081020</wp:posOffset>
                </wp:positionH>
                <wp:positionV relativeFrom="paragraph">
                  <wp:posOffset>271145</wp:posOffset>
                </wp:positionV>
                <wp:extent cx="1828800" cy="0"/>
                <wp:effectExtent l="0" t="38100" r="0" b="38100"/>
                <wp:wrapNone/>
                <wp:docPr id="360" name="直接连接符 360"/>
                <wp:cNvGraphicFramePr/>
                <a:graphic xmlns:a="http://schemas.openxmlformats.org/drawingml/2006/main">
                  <a:graphicData uri="http://schemas.microsoft.com/office/word/2010/wordprocessingShape">
                    <wps:wsp>
                      <wps:cNvCnPr/>
                      <wps:spPr>
                        <a:xfrm flipH="1">
                          <a:off x="0" y="0"/>
                          <a:ext cx="1828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42.6pt;margin-top:21.35pt;height:0pt;width:144pt;z-index:251693056;mso-width-relative:page;mso-height-relative:page;" filled="f" stroked="t" coordsize="21600,21600" o:gfxdata="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zuUzdkAAAAJAQAADwAAAAAAAAABACAAAAAiAAAAZHJzL2Rvd25yZXYueG1sUEsBAhQAFAAAAAgA&#10;h07iQFkweyLrAQAAqAMAAA4AAAAAAAAAAQAgAAAAKAEAAGRycy9lMm9Eb2MueG1sUEsFBgAAAAAG&#10;AAYAWQEAAIUFAAAAAA==&#10;">
                <v:fill on="f" focussize="0,0"/>
                <v:stroke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744256" behindDoc="0" locked="0" layoutInCell="1" allowOverlap="1">
                <wp:simplePos x="0" y="0"/>
                <wp:positionH relativeFrom="column">
                  <wp:posOffset>960120</wp:posOffset>
                </wp:positionH>
                <wp:positionV relativeFrom="paragraph">
                  <wp:posOffset>281940</wp:posOffset>
                </wp:positionV>
                <wp:extent cx="868680" cy="211455"/>
                <wp:effectExtent l="0" t="0" r="7620" b="17145"/>
                <wp:wrapNone/>
                <wp:docPr id="353" name="矩形 353"/>
                <wp:cNvGraphicFramePr/>
                <a:graphic xmlns:a="http://schemas.openxmlformats.org/drawingml/2006/main">
                  <a:graphicData uri="http://schemas.microsoft.com/office/word/2010/wordprocessingShape">
                    <wps:wsp>
                      <wps:cNvSpPr/>
                      <wps:spPr>
                        <a:xfrm flipV="1">
                          <a:off x="0" y="0"/>
                          <a:ext cx="868680" cy="211455"/>
                        </a:xfrm>
                        <a:prstGeom prst="rect">
                          <a:avLst/>
                        </a:prstGeom>
                        <a:solidFill>
                          <a:srgbClr val="FFFFFF"/>
                        </a:solidFill>
                        <a:ln>
                          <a:noFill/>
                        </a:ln>
                      </wps:spPr>
                      <wps:txbx>
                        <w:txbxContent>
                          <w:p>
                            <w:pPr>
                              <w:spacing w:line="240" w:lineRule="exact"/>
                              <w:jc w:val="center"/>
                              <w:rPr>
                                <w:rFonts w:hint="eastAsia"/>
                              </w:rPr>
                            </w:pPr>
                            <w:r>
                              <w:rPr>
                                <w:rFonts w:hint="eastAsia"/>
                              </w:rPr>
                              <w:t>窑头废气</w:t>
                            </w:r>
                          </w:p>
                        </w:txbxContent>
                      </wps:txbx>
                      <wps:bodyPr lIns="0" tIns="0" rIns="0" bIns="0" upright="1"/>
                    </wps:wsp>
                  </a:graphicData>
                </a:graphic>
              </wp:anchor>
            </w:drawing>
          </mc:Choice>
          <mc:Fallback>
            <w:pict>
              <v:rect id="_x0000_s1026" o:spid="_x0000_s1026" o:spt="1" style="position:absolute;left:0pt;flip:y;margin-left:75.6pt;margin-top:22.2pt;height:16.65pt;width:68.4pt;z-index:251744256;mso-width-relative:page;mso-height-relative:page;" fillcolor="#FFFFFF" filled="t" stroked="f" coordsize="21600,21600" o:gfxdata="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c+q1DX&#10;AAAACQEAAA8AAAAAAAAAAQAgAAAAIgAAAGRycy9kb3ducmV2LnhtbFBLAQIUABQAAAAIAIdO4kCt&#10;C91hrwEAAE0DAAAOAAAAAAAAAAEAIAAAACYBAABkcnMvZTJvRG9jLnhtbFBLBQYAAAAABgAGAFkB&#10;AABHBQAAAAA=&#10;">
                <v:fill on="t" focussize="0,0"/>
                <v:stroke on="f"/>
                <v:imagedata o:title=""/>
                <o:lock v:ext="edit" aspectratio="f"/>
                <v:textbox inset="0mm,0mm,0mm,0mm">
                  <w:txbxContent>
                    <w:p>
                      <w:pPr>
                        <w:spacing w:line="240" w:lineRule="exact"/>
                        <w:jc w:val="center"/>
                        <w:rPr>
                          <w:rFonts w:hint="eastAsia"/>
                        </w:rPr>
                      </w:pPr>
                      <w:r>
                        <w:rPr>
                          <w:rFonts w:hint="eastAsia"/>
                        </w:rPr>
                        <w:t>窑头废气</w:t>
                      </w:r>
                    </w:p>
                  </w:txbxContent>
                </v:textbox>
              </v:rect>
            </w:pict>
          </mc:Fallback>
        </mc:AlternateContent>
      </w:r>
      <w:r>
        <w:rPr>
          <w:rFonts w:hint="eastAsia" w:ascii="宋体" w:hAnsi="宋体"/>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281940</wp:posOffset>
                </wp:positionV>
                <wp:extent cx="699770" cy="297180"/>
                <wp:effectExtent l="4445" t="4445" r="19685" b="22225"/>
                <wp:wrapNone/>
                <wp:docPr id="363" name="矩形 363"/>
                <wp:cNvGraphicFramePr/>
                <a:graphic xmlns:a="http://schemas.openxmlformats.org/drawingml/2006/main">
                  <a:graphicData uri="http://schemas.microsoft.com/office/word/2010/wordprocessingShape">
                    <wps:wsp>
                      <wps:cNvSpPr/>
                      <wps:spPr>
                        <a:xfrm>
                          <a:off x="0" y="0"/>
                          <a:ext cx="6997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增湿塔</w:t>
                            </w:r>
                          </w:p>
                        </w:txbxContent>
                      </wps:txbx>
                      <wps:bodyPr upright="1"/>
                    </wps:wsp>
                  </a:graphicData>
                </a:graphic>
              </wp:anchor>
            </w:drawing>
          </mc:Choice>
          <mc:Fallback>
            <w:pict>
              <v:rect id="_x0000_s1026" o:spid="_x0000_s1026" o:spt="1" style="position:absolute;left:0pt;margin-left:-9pt;margin-top:22.2pt;height:23.4pt;width:55.1pt;z-index:251745280;mso-width-relative:page;mso-height-relative:page;" fillcolor="#FFFFFF" filled="t" stroked="t" coordsize="21600,21600" o:gfxdata="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I&#10;W93I1wAAAAgBAAAPAAAAAAAAAAEAIAAAACIAAABkcnMvZG93bnJldi54bWxQSwECFAAUAAAACACH&#10;TuJAKSS1YuwBAADeAwAADgAAAAAAAAABACAAAAAmAQAAZHJzL2Uyb0RvYy54bWxQSwUGAAAAAAYA&#10;BgBZAQAAhAUAAAAA&#10;">
                <v:fill on="t" focussize="0,0"/>
                <v:stroke color="#000000" joinstyle="miter"/>
                <v:imagedata o:title=""/>
                <o:lock v:ext="edit" aspectratio="f"/>
                <v:textbox>
                  <w:txbxContent>
                    <w:p>
                      <w:pPr>
                        <w:jc w:val="center"/>
                      </w:pPr>
                      <w:r>
                        <w:rPr>
                          <w:rFonts w:hint="eastAsia"/>
                        </w:rPr>
                        <w:t>增湿塔</w:t>
                      </w:r>
                    </w:p>
                  </w:txbxContent>
                </v:textbox>
              </v:rect>
            </w:pict>
          </mc:Fallback>
        </mc:AlternateContent>
      </w:r>
      <w:r>
        <w:rPr>
          <w:rFonts w:ascii="宋体" w:hAnsi="宋体"/>
          <w:sz w:val="20"/>
        </w:rPr>
        <mc:AlternateContent>
          <mc:Choice Requires="wps">
            <w:drawing>
              <wp:anchor distT="0" distB="0" distL="114300" distR="114300" simplePos="0" relativeHeight="251739136" behindDoc="0" locked="0" layoutInCell="1" allowOverlap="1">
                <wp:simplePos x="0" y="0"/>
                <wp:positionH relativeFrom="column">
                  <wp:posOffset>4800600</wp:posOffset>
                </wp:positionH>
                <wp:positionV relativeFrom="paragraph">
                  <wp:posOffset>182880</wp:posOffset>
                </wp:positionV>
                <wp:extent cx="1143000" cy="297180"/>
                <wp:effectExtent l="0" t="0" r="0" b="0"/>
                <wp:wrapNone/>
                <wp:docPr id="354" name="文本框 354"/>
                <wp:cNvGraphicFramePr/>
                <a:graphic xmlns:a="http://schemas.openxmlformats.org/drawingml/2006/main">
                  <a:graphicData uri="http://schemas.microsoft.com/office/word/2010/wordprocessingShape">
                    <wps:wsp>
                      <wps:cNvSpPr txBox="1"/>
                      <wps:spPr>
                        <a:xfrm>
                          <a:off x="0" y="0"/>
                          <a:ext cx="1143000" cy="297180"/>
                        </a:xfrm>
                        <a:prstGeom prst="rect">
                          <a:avLst/>
                        </a:prstGeom>
                        <a:solidFill>
                          <a:srgbClr val="FFFFFF">
                            <a:alpha val="0"/>
                          </a:srgbClr>
                        </a:solidFill>
                        <a:ln>
                          <a:noFill/>
                        </a:ln>
                      </wps:spPr>
                      <wps:txbx>
                        <w:txbxContent>
                          <w:p>
                            <w:pPr>
                              <w:rPr>
                                <w:rFonts w:hint="eastAsia"/>
                              </w:rPr>
                            </w:pPr>
                            <w:r>
                              <w:rPr>
                                <w:rFonts w:hint="eastAsia"/>
                              </w:rPr>
                              <w:t>锅炉废气</w:t>
                            </w:r>
                          </w:p>
                        </w:txbxContent>
                      </wps:txbx>
                      <wps:bodyPr upright="1"/>
                    </wps:wsp>
                  </a:graphicData>
                </a:graphic>
              </wp:anchor>
            </w:drawing>
          </mc:Choice>
          <mc:Fallback>
            <w:pict>
              <v:shape id="_x0000_s1026" o:spid="_x0000_s1026" o:spt="202" type="#_x0000_t202" style="position:absolute;left:0pt;margin-left:378pt;margin-top:14.4pt;height:23.4pt;width:90pt;z-index:251739136;mso-width-relative:page;mso-height-relative:page;" fillcolor="#FFFFFF" filled="t" stroked="f" coordsize="21600,21600" o:gfxdata="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v&#10;6Com1gAAAAkBAAAPAAAAAAAAAAEAIAAAACIAAABkcnMvZG93bnJldi54bWxQSwECFAAUAAAACACH&#10;TuJAFcSHWbQBAABKAwAADgAAAAAAAAABACAAAAAlAQAAZHJzL2Uyb0RvYy54bWxQSwUGAAAAAAYA&#10;BgBZAQAASwUAAAAA&#10;">
                <v:fill on="t" opacity="0f" focussize="0,0"/>
                <v:stroke on="f"/>
                <v:imagedata o:title=""/>
                <o:lock v:ext="edit" aspectratio="f"/>
                <v:textbox>
                  <w:txbxContent>
                    <w:p>
                      <w:pPr>
                        <w:rPr>
                          <w:rFonts w:hint="eastAsia"/>
                        </w:rPr>
                      </w:pPr>
                      <w:r>
                        <w:rPr>
                          <w:rFonts w:hint="eastAsia"/>
                        </w:rPr>
                        <w:t>锅炉废气</w:t>
                      </w:r>
                    </w:p>
                  </w:txbxContent>
                </v:textbox>
              </v:shape>
            </w:pict>
          </mc:Fallback>
        </mc:AlternateContent>
      </w:r>
      <w:r>
        <w:rPr>
          <w:rFonts w:ascii="宋体" w:hAnsi="宋体"/>
          <w:sz w:val="20"/>
        </w:rPr>
        <mc:AlternateContent>
          <mc:Choice Requires="wps">
            <w:drawing>
              <wp:anchor distT="0" distB="0" distL="114300" distR="114300" simplePos="0" relativeHeight="251732992" behindDoc="0" locked="0" layoutInCell="1" allowOverlap="1">
                <wp:simplePos x="0" y="0"/>
                <wp:positionH relativeFrom="column">
                  <wp:posOffset>3771900</wp:posOffset>
                </wp:positionH>
                <wp:positionV relativeFrom="paragraph">
                  <wp:posOffset>281940</wp:posOffset>
                </wp:positionV>
                <wp:extent cx="1143000" cy="297180"/>
                <wp:effectExtent l="4445" t="4445" r="14605" b="22225"/>
                <wp:wrapNone/>
                <wp:docPr id="355" name="文本框 355"/>
                <wp:cNvGraphicFramePr/>
                <a:graphic xmlns:a="http://schemas.openxmlformats.org/drawingml/2006/main">
                  <a:graphicData uri="http://schemas.microsoft.com/office/word/2010/wordprocessingShape">
                    <wps:wsp>
                      <wps:cNvSpPr txBox="1"/>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 w:val="18"/>
                                <w:szCs w:val="18"/>
                              </w:rPr>
                            </w:pPr>
                            <w:r>
                              <w:rPr>
                                <w:rFonts w:hint="eastAsia" w:ascii="宋体" w:hAnsi="宋体"/>
                                <w:sz w:val="18"/>
                                <w:szCs w:val="18"/>
                              </w:rPr>
                              <w:t>AQC余热锅炉※△</w:t>
                            </w:r>
                          </w:p>
                        </w:txbxContent>
                      </wps:txbx>
                      <wps:bodyPr upright="1"/>
                    </wps:wsp>
                  </a:graphicData>
                </a:graphic>
              </wp:anchor>
            </w:drawing>
          </mc:Choice>
          <mc:Fallback>
            <w:pict>
              <v:shape id="_x0000_s1026" o:spid="_x0000_s1026" o:spt="202" type="#_x0000_t202" style="position:absolute;left:0pt;margin-left:297pt;margin-top:22.2pt;height:23.4pt;width:90pt;z-index:251732992;mso-width-relative:page;mso-height-relative:page;" fillcolor="#FFFFFF" filled="t" stroked="t" coordsize="21600,21600" o:gfxdata="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rKrAO2QAAAAkBAAAPAAAAAAAAAAEAIAAAACIAAABkcnMvZG93bnJldi54bWxQ&#10;SwECFAAUAAAACACHTuJAWJ/s7fYBAADsAwAADgAAAAAAAAABACAAAAAoAQAAZHJzL2Uyb0RvYy54&#10;bWxQSwUGAAAAAAYABgBZAQAAkAUAAAAA&#10;">
                <v:fill on="t" focussize="0,0"/>
                <v:stroke color="#000000" joinstyle="miter"/>
                <v:imagedata o:title=""/>
                <o:lock v:ext="edit" aspectratio="f"/>
                <v:textbox>
                  <w:txbxContent>
                    <w:p>
                      <w:pPr>
                        <w:rPr>
                          <w:rFonts w:hint="eastAsia" w:ascii="宋体" w:hAnsi="宋体"/>
                          <w:sz w:val="18"/>
                          <w:szCs w:val="18"/>
                        </w:rPr>
                      </w:pPr>
                      <w:r>
                        <w:rPr>
                          <w:rFonts w:hint="eastAsia" w:ascii="宋体" w:hAnsi="宋体"/>
                          <w:sz w:val="18"/>
                          <w:szCs w:val="18"/>
                        </w:rPr>
                        <w:t>AQC余热锅炉※△</w:t>
                      </w:r>
                    </w:p>
                  </w:txbxContent>
                </v:textbox>
              </v:shape>
            </w:pict>
          </mc:Fallback>
        </mc:AlternateContent>
      </w:r>
      <w:r>
        <w:rPr>
          <w:rFonts w:ascii="宋体" w:hAnsi="宋体"/>
          <w:sz w:val="20"/>
        </w:rPr>
        <mc:AlternateContent>
          <mc:Choice Requires="wps">
            <w:drawing>
              <wp:anchor distT="0" distB="0" distL="114300" distR="114300" simplePos="0" relativeHeight="251735040" behindDoc="0" locked="0" layoutInCell="1" allowOverlap="1">
                <wp:simplePos x="0" y="0"/>
                <wp:positionH relativeFrom="column">
                  <wp:posOffset>4000500</wp:posOffset>
                </wp:positionH>
                <wp:positionV relativeFrom="paragraph">
                  <wp:posOffset>83820</wp:posOffset>
                </wp:positionV>
                <wp:extent cx="228600" cy="0"/>
                <wp:effectExtent l="0" t="13970" r="0" b="24130"/>
                <wp:wrapNone/>
                <wp:docPr id="369" name="直接连接符 369"/>
                <wp:cNvGraphicFramePr/>
                <a:graphic xmlns:a="http://schemas.openxmlformats.org/drawingml/2006/main">
                  <a:graphicData uri="http://schemas.microsoft.com/office/word/2010/wordprocessingShape">
                    <wps:wsp>
                      <wps:cNvCnPr/>
                      <wps:spPr>
                        <a:xfrm>
                          <a:off x="0" y="0"/>
                          <a:ext cx="228600" cy="0"/>
                        </a:xfrm>
                        <a:prstGeom prst="line">
                          <a:avLst/>
                        </a:prstGeom>
                        <a:ln w="285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pt;margin-top:6.6pt;height:0pt;width:18pt;z-index:251735040;mso-width-relative:page;mso-height-relative:page;" filled="f" stroked="t" coordsize="21600,21600" o:gfxdata="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NPqWc1QAAAAkBAAAPAAAAAAAA&#10;AAEAIAAAACIAAABkcnMvZG93bnJldi54bWxQSwECFAAUAAAACACHTuJARAUYzNwBAACaAwAADgAA&#10;AAAAAAABACAAAAAkAQAAZHJzL2Uyb0RvYy54bWxQSwUGAAAAAAYABgBZAQAAcgUAAAAA&#10;">
                <v:fill on="f" focussize="0,0"/>
                <v:stroke weight="2.25pt"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734016" behindDoc="0" locked="0" layoutInCell="1" allowOverlap="1">
                <wp:simplePos x="0" y="0"/>
                <wp:positionH relativeFrom="column">
                  <wp:posOffset>4000500</wp:posOffset>
                </wp:positionH>
                <wp:positionV relativeFrom="paragraph">
                  <wp:posOffset>83820</wp:posOffset>
                </wp:positionV>
                <wp:extent cx="0" cy="198120"/>
                <wp:effectExtent l="13970" t="0" r="24130" b="15240"/>
                <wp:wrapNone/>
                <wp:docPr id="365" name="直接连接符 365"/>
                <wp:cNvGraphicFramePr/>
                <a:graphic xmlns:a="http://schemas.openxmlformats.org/drawingml/2006/main">
                  <a:graphicData uri="http://schemas.microsoft.com/office/word/2010/wordprocessingShape">
                    <wps:wsp>
                      <wps:cNvCnPr/>
                      <wps:spPr>
                        <a:xfrm flipV="1">
                          <a:off x="0" y="0"/>
                          <a:ext cx="0" cy="198120"/>
                        </a:xfrm>
                        <a:prstGeom prst="line">
                          <a:avLst/>
                        </a:prstGeom>
                        <a:ln w="2857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y;margin-left:315pt;margin-top:6.6pt;height:15.6pt;width:0pt;z-index:251734016;mso-width-relative:page;mso-height-relative:page;" filled="f" stroked="t" coordsize="21600,21600" o:gfxdata="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asf2a1wAA&#10;AAkBAAAPAAAAAAAAAAEAIAAAACIAAABkcnMvZG93bnJldi54bWxQSwECFAAUAAAACACHTuJANhkb&#10;EOYBAACjAwAADgAAAAAAAAABACAAAAAmAQAAZHJzL2Uyb0RvYy54bWxQSwUGAAAAAAYABgBZAQAA&#10;fgUAAAAA&#10;">
                <v:fill on="f" focussize="0,0"/>
                <v:stroke weight="2.25pt" color="#000000" joinstyle="round" dashstyle="dash"/>
                <v:imagedata o:title=""/>
                <o:lock v:ext="edit" aspectratio="f"/>
              </v:line>
            </w:pict>
          </mc:Fallback>
        </mc:AlternateContent>
      </w:r>
      <w:r>
        <w:rPr>
          <w:rFonts w:ascii="宋体" w:hAnsi="宋体"/>
          <w:sz w:val="20"/>
        </w:rPr>
        <mc:AlternateContent>
          <mc:Choice Requires="wps">
            <w:drawing>
              <wp:anchor distT="0" distB="0" distL="114300" distR="114300" simplePos="0" relativeHeight="251731968" behindDoc="0" locked="0" layoutInCell="1" allowOverlap="1">
                <wp:simplePos x="0" y="0"/>
                <wp:positionH relativeFrom="column">
                  <wp:posOffset>3086100</wp:posOffset>
                </wp:positionH>
                <wp:positionV relativeFrom="paragraph">
                  <wp:posOffset>182880</wp:posOffset>
                </wp:positionV>
                <wp:extent cx="1143000" cy="297180"/>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1143000" cy="297180"/>
                        </a:xfrm>
                        <a:prstGeom prst="rect">
                          <a:avLst/>
                        </a:prstGeom>
                        <a:solidFill>
                          <a:srgbClr val="FFFFFF">
                            <a:alpha val="0"/>
                          </a:srgbClr>
                        </a:solidFill>
                        <a:ln>
                          <a:noFill/>
                        </a:ln>
                      </wps:spPr>
                      <wps:txbx>
                        <w:txbxContent>
                          <w:p>
                            <w:pPr>
                              <w:rPr>
                                <w:rFonts w:hint="eastAsia"/>
                              </w:rPr>
                            </w:pPr>
                            <w:r>
                              <w:rPr>
                                <w:rFonts w:hint="eastAsia"/>
                              </w:rPr>
                              <w:t>窑头废气</w:t>
                            </w:r>
                          </w:p>
                        </w:txbxContent>
                      </wps:txbx>
                      <wps:bodyPr upright="1"/>
                    </wps:wsp>
                  </a:graphicData>
                </a:graphic>
              </wp:anchor>
            </w:drawing>
          </mc:Choice>
          <mc:Fallback>
            <w:pict>
              <v:shape id="_x0000_s1026" o:spid="_x0000_s1026" o:spt="202" type="#_x0000_t202" style="position:absolute;left:0pt;margin-left:243pt;margin-top:14.4pt;height:23.4pt;width:90pt;z-index:251731968;mso-width-relative:page;mso-height-relative:page;" fillcolor="#FFFFFF" filled="t" stroked="f" coordsize="21600,21600" o:gfxdata="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I&#10;2qw31wAAAAkBAAAPAAAAAAAAAAEAIAAAACIAAABkcnMvZG93bnJldi54bWxQSwECFAAUAAAACACH&#10;TuJAu1U49bMBAABKAwAADgAAAAAAAAABACAAAAAmAQAAZHJzL2Uyb0RvYy54bWxQSwUGAAAAAAYA&#10;BgBZAQAASwUAAAAA&#10;">
                <v:fill on="t" opacity="0f" focussize="0,0"/>
                <v:stroke on="f"/>
                <v:imagedata o:title=""/>
                <o:lock v:ext="edit" aspectratio="f"/>
                <v:textbox>
                  <w:txbxContent>
                    <w:p>
                      <w:pPr>
                        <w:rPr>
                          <w:rFonts w:hint="eastAsia"/>
                        </w:rPr>
                      </w:pPr>
                      <w:r>
                        <w:rPr>
                          <w:rFonts w:hint="eastAsia"/>
                        </w:rPr>
                        <w:t>窑头废气</w:t>
                      </w:r>
                    </w:p>
                  </w:txbxContent>
                </v:textbox>
              </v:shape>
            </w:pict>
          </mc:Fallback>
        </mc:AlternateContent>
      </w:r>
      <w:r>
        <w:rPr>
          <w:rFonts w:ascii="宋体" w:hAnsi="宋体"/>
          <w:sz w:val="20"/>
        </w:rPr>
        <mc:AlternateContent>
          <mc:Choice Requires="wps">
            <w:drawing>
              <wp:anchor distT="0" distB="0" distL="114300" distR="114300" simplePos="0" relativeHeight="251666432" behindDoc="0" locked="0" layoutInCell="1" allowOverlap="1">
                <wp:simplePos x="0" y="0"/>
                <wp:positionH relativeFrom="column">
                  <wp:posOffset>1872615</wp:posOffset>
                </wp:positionH>
                <wp:positionV relativeFrom="paragraph">
                  <wp:posOffset>295275</wp:posOffset>
                </wp:positionV>
                <wp:extent cx="1207770" cy="297180"/>
                <wp:effectExtent l="4445" t="4445" r="6985" b="22225"/>
                <wp:wrapNone/>
                <wp:docPr id="367" name="矩形 367"/>
                <wp:cNvGraphicFramePr/>
                <a:graphic xmlns:a="http://schemas.openxmlformats.org/drawingml/2006/main">
                  <a:graphicData uri="http://schemas.microsoft.com/office/word/2010/wordprocessingShape">
                    <wps:wsp>
                      <wps:cNvSpPr/>
                      <wps:spPr>
                        <a:xfrm>
                          <a:off x="0" y="0"/>
                          <a:ext cx="1207770" cy="297180"/>
                        </a:xfrm>
                        <a:prstGeom prst="rect">
                          <a:avLst/>
                        </a:prstGeom>
                        <a:noFill/>
                        <a:ln w="9525" cap="flat" cmpd="sng">
                          <a:solidFill>
                            <a:srgbClr val="000000"/>
                          </a:solidFill>
                          <a:prstDash val="solid"/>
                          <a:miter/>
                          <a:headEnd type="none" w="med" len="med"/>
                          <a:tailEnd type="none" w="med" len="med"/>
                        </a:ln>
                      </wps:spPr>
                      <wps:txbx>
                        <w:txbxContent>
                          <w:p>
                            <w:pPr>
                              <w:jc w:val="center"/>
                              <w:rPr>
                                <w:vertAlign w:val="subscript"/>
                              </w:rPr>
                            </w:pPr>
                            <w:r>
                              <w:rPr>
                                <w:rFonts w:hint="eastAsia"/>
                              </w:rPr>
                              <w:t>篦冷机</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147.45pt;margin-top:23.25pt;height:23.4pt;width:95.1pt;z-index:251666432;mso-width-relative:page;mso-height-relative:page;" filled="f" stroked="t" coordsize="21600,21600" o:gfxdata="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HUFZtkA&#10;AAAJAQAADwAAAAAAAAABACAAAAAiAAAAZHJzL2Rvd25yZXYueG1sUEsBAhQAFAAAAAgAh07iQCOD&#10;Dj3lAQAAtgMAAA4AAAAAAAAAAQAgAAAAKAEAAGRycy9lMm9Eb2MueG1sUEsFBgAAAAAGAAYAWQEA&#10;AH8FAAAAAA==&#10;">
                <v:fill on="f" focussize="0,0"/>
                <v:stroke color="#000000" joinstyle="miter"/>
                <v:imagedata o:title=""/>
                <o:lock v:ext="edit" aspectratio="f"/>
                <v:textbox>
                  <w:txbxContent>
                    <w:p>
                      <w:pPr>
                        <w:jc w:val="center"/>
                        <w:rPr>
                          <w:vertAlign w:val="subscript"/>
                        </w:rPr>
                      </w:pPr>
                      <w:r>
                        <w:rPr>
                          <w:rFonts w:hint="eastAsia"/>
                        </w:rPr>
                        <w:t>篦冷机</w:t>
                      </w:r>
                      <w:r>
                        <w:rPr>
                          <w:rFonts w:hint="eastAsia" w:ascii="宋体" w:hAnsi="宋体"/>
                          <w:sz w:val="21"/>
                          <w:szCs w:val="21"/>
                        </w:rPr>
                        <w:t>※△</w:t>
                      </w:r>
                    </w:p>
                  </w:txbxContent>
                </v:textbox>
              </v:rect>
            </w:pict>
          </mc:Fallback>
        </mc:AlternateContent>
      </w:r>
      <w:r>
        <w:rPr>
          <w:rFonts w:ascii="宋体" w:hAnsi="宋体"/>
          <w:sz w:val="20"/>
        </w:rPr>
        <mc:AlternateContent>
          <mc:Choice Requires="wps">
            <w:drawing>
              <wp:anchor distT="0" distB="0" distL="114300" distR="114300" simplePos="0" relativeHeight="251689984" behindDoc="0" locked="0" layoutInCell="1" allowOverlap="1">
                <wp:simplePos x="0" y="0"/>
                <wp:positionH relativeFrom="column">
                  <wp:posOffset>2447290</wp:posOffset>
                </wp:positionH>
                <wp:positionV relativeFrom="paragraph">
                  <wp:posOffset>31750</wp:posOffset>
                </wp:positionV>
                <wp:extent cx="0" cy="274320"/>
                <wp:effectExtent l="42545" t="0" r="52705" b="11430"/>
                <wp:wrapNone/>
                <wp:docPr id="368" name="直接连接符 368"/>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2.7pt;margin-top:2.5pt;height:21.6pt;width:0pt;z-index:251689984;mso-width-relative:page;mso-height-relative:page;" filled="f" stroked="t" coordsize="21600,21600" o:gfxdata="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SQGnzTAAAACAEAAA8A&#10;AAAAAAAAAQAgAAAAIgAAAGRycy9kb3ducmV2LnhtbFBLAQIUABQAAAAIAIdO4kAXM5/s4wEAAJ4D&#10;AAAOAAAAAAAAAAEAIAAAACIBAABkcnMvZTJvRG9jLnhtbFBLBQYAAAAABgAGAFkBAAB3BQAAAAA=&#10;">
                <v:fill on="f" focussize="0,0"/>
                <v:stroke weight="2.25pt"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1752448" behindDoc="0" locked="0" layoutInCell="1" allowOverlap="1">
                <wp:simplePos x="0" y="0"/>
                <wp:positionH relativeFrom="column">
                  <wp:posOffset>-228600</wp:posOffset>
                </wp:positionH>
                <wp:positionV relativeFrom="paragraph">
                  <wp:posOffset>175260</wp:posOffset>
                </wp:positionV>
                <wp:extent cx="114300" cy="0"/>
                <wp:effectExtent l="0" t="0" r="0" b="0"/>
                <wp:wrapNone/>
                <wp:docPr id="370" name="直接连接符 370"/>
                <wp:cNvGraphicFramePr/>
                <a:graphic xmlns:a="http://schemas.openxmlformats.org/drawingml/2006/main">
                  <a:graphicData uri="http://schemas.microsoft.com/office/word/2010/wordprocessingShape">
                    <wps:wsp>
                      <wps:cNvCnPr/>
                      <wps:spPr>
                        <a:xfrm flipH="1">
                          <a:off x="0" y="0"/>
                          <a:ext cx="114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8pt;margin-top:13.8pt;height:0pt;width:9pt;z-index:251752448;mso-width-relative:page;mso-height-relative:page;" filled="f" stroked="t" coordsize="21600,21600" o:gfxdata="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Ue2ezWAAAACQEA&#10;AA8AAAAAAAAAAQAgAAAAIgAAAGRycy9kb3ducmV2LnhtbFBLAQIUABQAAAAIAIdO4kA4YpjU4wEA&#10;AKMDAAAOAAAAAAAAAAEAIAAAACUBAABkcnMvZTJvRG9jLnhtbFBLBQYAAAAABgAGAFkBAAB6BQAA&#10;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746304" behindDoc="0" locked="0" layoutInCell="1" allowOverlap="1">
                <wp:simplePos x="0" y="0"/>
                <wp:positionH relativeFrom="column">
                  <wp:posOffset>571500</wp:posOffset>
                </wp:positionH>
                <wp:positionV relativeFrom="paragraph">
                  <wp:posOffset>175260</wp:posOffset>
                </wp:positionV>
                <wp:extent cx="1257300" cy="0"/>
                <wp:effectExtent l="0" t="38100" r="0" b="38100"/>
                <wp:wrapNone/>
                <wp:docPr id="371" name="直接连接符 371"/>
                <wp:cNvGraphicFramePr/>
                <a:graphic xmlns:a="http://schemas.openxmlformats.org/drawingml/2006/main">
                  <a:graphicData uri="http://schemas.microsoft.com/office/word/2010/wordprocessingShape">
                    <wps:wsp>
                      <wps:cNvCnPr/>
                      <wps:spPr>
                        <a:xfrm flipH="1">
                          <a:off x="0" y="0"/>
                          <a:ext cx="12573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45pt;margin-top:13.8pt;height:0pt;width:99pt;z-index:251746304;mso-width-relative:page;mso-height-relative:page;" filled="f" stroked="t" coordsize="21600,21600" o:gfxdata="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L6&#10;PZXWAAAACAEAAA8AAAAAAAAAAQAgAAAAIgAAAGRycy9kb3ducmV2LnhtbFBLAQIUABQAAAAIAIdO&#10;4kDXKVce7AEAAKgDAAAOAAAAAAAAAAEAIAAAACUBAABkcnMvZTJvRG9jLnhtbFBLBQYAAAAABgAG&#10;AFkBAACDBQ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750400" behindDoc="0" locked="0" layoutInCell="1" allowOverlap="1">
                <wp:simplePos x="0" y="0"/>
                <wp:positionH relativeFrom="column">
                  <wp:posOffset>4914900</wp:posOffset>
                </wp:positionH>
                <wp:positionV relativeFrom="paragraph">
                  <wp:posOffset>76200</wp:posOffset>
                </wp:positionV>
                <wp:extent cx="571500" cy="0"/>
                <wp:effectExtent l="0" t="0" r="0" b="0"/>
                <wp:wrapNone/>
                <wp:docPr id="372" name="直接连接符 372"/>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87pt;margin-top:6pt;height:0pt;width:45pt;z-index:251750400;mso-width-relative:page;mso-height-relative:page;" filled="f" stroked="t" coordsize="21600,21600" o:gfxdata="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h1Tpl1AAAAAkBAAAPAAAAAAAA&#10;AAEAIAAAACIAAABkcnMvZG93bnJldi54bWxQSwECFAAUAAAACACHTuJAWfs3td0BAACZAwAADgAA&#10;AAAAAAABACAAAAAjAQAAZHJzL2Uyb0RvYy54bWxQSwUGAAAAAAYABgBZAQAAcgUAA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730944" behindDoc="0" locked="0" layoutInCell="1" allowOverlap="1">
                <wp:simplePos x="0" y="0"/>
                <wp:positionH relativeFrom="column">
                  <wp:posOffset>3086100</wp:posOffset>
                </wp:positionH>
                <wp:positionV relativeFrom="paragraph">
                  <wp:posOffset>175260</wp:posOffset>
                </wp:positionV>
                <wp:extent cx="685800" cy="0"/>
                <wp:effectExtent l="0" t="42545" r="0" b="52705"/>
                <wp:wrapNone/>
                <wp:docPr id="356" name="直接连接符 356"/>
                <wp:cNvGraphicFramePr/>
                <a:graphic xmlns:a="http://schemas.openxmlformats.org/drawingml/2006/main">
                  <a:graphicData uri="http://schemas.microsoft.com/office/word/2010/wordprocessingShape">
                    <wps:wsp>
                      <wps:cNvCnPr/>
                      <wps:spPr>
                        <a:xfrm>
                          <a:off x="0" y="0"/>
                          <a:ext cx="685800" cy="0"/>
                        </a:xfrm>
                        <a:prstGeom prst="line">
                          <a:avLst/>
                        </a:prstGeom>
                        <a:ln w="2857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margin-left:243pt;margin-top:13.8pt;height:0pt;width:54pt;z-index:251730944;mso-width-relative:page;mso-height-relative:page;" filled="f" stroked="t" coordsize="21600,21600" o:gfxdata="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LUqoX1wAAAAkB&#10;AAAPAAAAAAAAAAEAIAAAACIAAABkcnMvZG93bnJldi54bWxQSwECFAAUAAAACACHTuJAhvjCVeMB&#10;AACdAwAADgAAAAAAAAABACAAAAAmAQAAZHJzL2Uyb0RvYy54bWxQSwUGAAAAAAYABgBZAQAAewUA&#10;AAAA&#10;">
                <v:fill on="f" focussize="0,0"/>
                <v:stroke weight="2.25pt" color="#000000" joinstyle="round" dashstyle="dash"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692032" behindDoc="0" locked="0" layoutInCell="1" allowOverlap="1">
                <wp:simplePos x="0" y="0"/>
                <wp:positionH relativeFrom="column">
                  <wp:posOffset>2432685</wp:posOffset>
                </wp:positionH>
                <wp:positionV relativeFrom="paragraph">
                  <wp:posOffset>297180</wp:posOffset>
                </wp:positionV>
                <wp:extent cx="0" cy="274320"/>
                <wp:effectExtent l="42545" t="0" r="52705" b="11430"/>
                <wp:wrapNone/>
                <wp:docPr id="373" name="直接连接符 373"/>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1.55pt;margin-top:23.4pt;height:21.6pt;width:0pt;z-index:251692032;mso-width-relative:page;mso-height-relative:page;" filled="f" stroked="t" coordsize="21600,21600" o:gfxdata="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fj93X1AAAAAkBAAAP&#10;AAAAAAAAAAEAIAAAACIAAABkcnMvZG93bnJldi54bWxQSwECFAAUAAAACACHTuJALU9e9uMBAACe&#10;AwAADgAAAAAAAAABACAAAAAjAQAAZHJzL2Uyb0RvYy54bWxQSwUGAAAAAAYABgBZAQAAeAUAAAAA&#10;">
                <v:fill on="f" focussize="0,0"/>
                <v:stroke weight="2.25pt"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698176" behindDoc="0" locked="0" layoutInCell="1" allowOverlap="1">
                <wp:simplePos x="0" y="0"/>
                <wp:positionH relativeFrom="column">
                  <wp:posOffset>3771900</wp:posOffset>
                </wp:positionH>
                <wp:positionV relativeFrom="paragraph">
                  <wp:posOffset>266700</wp:posOffset>
                </wp:positionV>
                <wp:extent cx="800100" cy="297180"/>
                <wp:effectExtent l="4445" t="4445" r="14605" b="22225"/>
                <wp:wrapNone/>
                <wp:docPr id="374" name="文本框 374"/>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高炉渣</w:t>
                            </w:r>
                            <w:r>
                              <w:rPr>
                                <w:rFonts w:hint="eastAsia" w:ascii="宋体" w:hAnsi="宋体"/>
                                <w:sz w:val="21"/>
                                <w:szCs w:val="21"/>
                              </w:rPr>
                              <w:t>※</w:t>
                            </w:r>
                          </w:p>
                        </w:txbxContent>
                      </wps:txbx>
                      <wps:bodyPr upright="1"/>
                    </wps:wsp>
                  </a:graphicData>
                </a:graphic>
              </wp:anchor>
            </w:drawing>
          </mc:Choice>
          <mc:Fallback>
            <w:pict>
              <v:shape id="_x0000_s1026" o:spid="_x0000_s1026" o:spt="202" type="#_x0000_t202" style="position:absolute;left:0pt;margin-left:297pt;margin-top:21pt;height:23.4pt;width:63pt;z-index:251698176;mso-width-relative:page;mso-height-relative:page;" fillcolor="#FFFFFF" filled="t" stroked="t" coordsize="21600,21600" o:gfxdata="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jNu+q2AAAAAkBAAAPAAAAAAAAAAEAIAAAACIAAABkcnMvZG93bnJldi54bWxQSwEC&#10;FAAUAAAACACHTuJA7Q6XnfQBAADrAwAADgAAAAAAAAABACAAAAAnAQAAZHJzL2Uyb0RvYy54bWxQ&#10;SwUGAAAAAAYABgBZAQAAjQUAAAAA&#10;">
                <v:fill on="t" focussize="0,0"/>
                <v:stroke color="#000000" joinstyle="miter"/>
                <v:imagedata o:title=""/>
                <o:lock v:ext="edit" aspectratio="f"/>
                <v:textbox>
                  <w:txbxContent>
                    <w:p>
                      <w:pPr>
                        <w:jc w:val="center"/>
                        <w:rPr>
                          <w:rFonts w:hint="eastAsia"/>
                        </w:rPr>
                      </w:pPr>
                      <w:r>
                        <w:rPr>
                          <w:rFonts w:hint="eastAsia"/>
                        </w:rPr>
                        <w:t>高炉渣</w:t>
                      </w:r>
                      <w:r>
                        <w:rPr>
                          <w:rFonts w:hint="eastAsia" w:ascii="宋体" w:hAnsi="宋体"/>
                          <w:sz w:val="21"/>
                          <w:szCs w:val="21"/>
                        </w:rPr>
                        <w:t>※</w:t>
                      </w:r>
                    </w:p>
                  </w:txbxContent>
                </v:textbox>
              </v:shape>
            </w:pict>
          </mc:Fallback>
        </mc:AlternateContent>
      </w:r>
      <w:r>
        <w:rPr>
          <w:rFonts w:hint="eastAsia" w:ascii="宋体" w:hAnsi="宋体"/>
        </w:rPr>
        <mc:AlternateContent>
          <mc:Choice Requires="wps">
            <w:drawing>
              <wp:anchor distT="0" distB="0" distL="114300" distR="114300" simplePos="0" relativeHeight="251718656" behindDoc="0" locked="0" layoutInCell="1" allowOverlap="1">
                <wp:simplePos x="0" y="0"/>
                <wp:positionH relativeFrom="column">
                  <wp:posOffset>5143500</wp:posOffset>
                </wp:positionH>
                <wp:positionV relativeFrom="paragraph">
                  <wp:posOffset>167640</wp:posOffset>
                </wp:positionV>
                <wp:extent cx="914400" cy="461010"/>
                <wp:effectExtent l="4445" t="4445" r="14605" b="10795"/>
                <wp:wrapNone/>
                <wp:docPr id="269" name="文本框 269"/>
                <wp:cNvGraphicFramePr/>
                <a:graphic xmlns:a="http://schemas.openxmlformats.org/drawingml/2006/main">
                  <a:graphicData uri="http://schemas.microsoft.com/office/word/2010/wordprocessingShape">
                    <wps:wsp>
                      <wps:cNvSpPr txBox="1"/>
                      <wps:spPr>
                        <a:xfrm>
                          <a:off x="0" y="0"/>
                          <a:ext cx="914400" cy="4610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石膏粉碎</w:t>
                            </w:r>
                          </w:p>
                          <w:p>
                            <w:pPr>
                              <w:jc w:val="center"/>
                              <w:rPr>
                                <w:rFonts w:hint="eastAsia"/>
                              </w:rPr>
                            </w:pPr>
                            <w:r>
                              <w:rPr>
                                <w:rFonts w:hint="eastAsia" w:ascii="宋体" w:hAnsi="宋体"/>
                                <w:sz w:val="21"/>
                                <w:szCs w:val="21"/>
                              </w:rPr>
                              <w:t>※△</w:t>
                            </w:r>
                          </w:p>
                        </w:txbxContent>
                      </wps:txbx>
                      <wps:bodyPr upright="1"/>
                    </wps:wsp>
                  </a:graphicData>
                </a:graphic>
              </wp:anchor>
            </w:drawing>
          </mc:Choice>
          <mc:Fallback>
            <w:pict>
              <v:shape id="_x0000_s1026" o:spid="_x0000_s1026" o:spt="202" type="#_x0000_t202" style="position:absolute;left:0pt;margin-left:405pt;margin-top:13.2pt;height:36.3pt;width:72pt;z-index:251718656;mso-width-relative:page;mso-height-relative:page;" fillcolor="#FFFFFF" filled="t" stroked="t" coordsize="21600,21600" o:gfxdata="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M4BpDYAAAACQEAAA8AAAAAAAAAAQAgAAAAIgAAAGRycy9kb3ducmV2LnhtbFBLAQIUABQA&#10;AAAIAIdO4kAMmyrg8AEAAOsDAAAOAAAAAAAAAAEAIAAAACcBAABkcnMvZTJvRG9jLnhtbFBLBQYA&#10;AAAABgAGAFkBAACJBQAAAAA=&#10;">
                <v:fill on="t" focussize="0,0"/>
                <v:stroke color="#000000" joinstyle="miter"/>
                <v:imagedata o:title=""/>
                <o:lock v:ext="edit" aspectratio="f"/>
                <v:textbox>
                  <w:txbxContent>
                    <w:p>
                      <w:pPr>
                        <w:jc w:val="center"/>
                        <w:rPr>
                          <w:rFonts w:hint="eastAsia"/>
                        </w:rPr>
                      </w:pPr>
                      <w:r>
                        <w:rPr>
                          <w:rFonts w:hint="eastAsia"/>
                        </w:rPr>
                        <w:t>石膏粉碎</w:t>
                      </w:r>
                    </w:p>
                    <w:p>
                      <w:pPr>
                        <w:jc w:val="center"/>
                        <w:rPr>
                          <w:rFonts w:hint="eastAsia"/>
                        </w:rPr>
                      </w:pPr>
                      <w:r>
                        <w:rPr>
                          <w:rFonts w:hint="eastAsia" w:ascii="宋体" w:hAnsi="宋体"/>
                          <w:sz w:val="21"/>
                          <w:szCs w:val="21"/>
                        </w:rPr>
                        <w:t>※△</w:t>
                      </w:r>
                    </w:p>
                  </w:txbxContent>
                </v:textbox>
              </v:shape>
            </w:pict>
          </mc:Fallback>
        </mc:AlternateContent>
      </w:r>
      <w:r>
        <w:rPr>
          <w:rFonts w:hint="eastAsia" w:ascii="宋体" w:hAnsi="宋体"/>
        </w:rPr>
        <mc:AlternateContent>
          <mc:Choice Requires="wps">
            <w:drawing>
              <wp:anchor distT="0" distB="0" distL="114300" distR="114300" simplePos="0" relativeHeight="251667456" behindDoc="0" locked="0" layoutInCell="1" allowOverlap="1">
                <wp:simplePos x="0" y="0"/>
                <wp:positionH relativeFrom="column">
                  <wp:posOffset>1866265</wp:posOffset>
                </wp:positionH>
                <wp:positionV relativeFrom="paragraph">
                  <wp:posOffset>263525</wp:posOffset>
                </wp:positionV>
                <wp:extent cx="1223645" cy="297180"/>
                <wp:effectExtent l="4445" t="4445" r="10160" b="22225"/>
                <wp:wrapNone/>
                <wp:docPr id="252" name="矩形 252"/>
                <wp:cNvGraphicFramePr/>
                <a:graphic xmlns:a="http://schemas.openxmlformats.org/drawingml/2006/main">
                  <a:graphicData uri="http://schemas.microsoft.com/office/word/2010/wordprocessingShape">
                    <wps:wsp>
                      <wps:cNvSpPr/>
                      <wps:spPr>
                        <a:xfrm>
                          <a:off x="0" y="0"/>
                          <a:ext cx="12236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熟料库</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146.95pt;margin-top:20.75pt;height:23.4pt;width:96.35pt;z-index:251667456;mso-width-relative:page;mso-height-relative:page;" fillcolor="#FFFFFF" filled="t" stroked="t" coordsize="21600,21600" o:gfxdata="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X&#10;gseP2AAAAAkBAAAPAAAAAAAAAAEAIAAAACIAAABkcnMvZG93bnJldi54bWxQSwECFAAUAAAACACH&#10;TuJA65H6AOsBAADfAwAADgAAAAAAAAABACAAAAAnAQAAZHJzL2Uyb0RvYy54bWxQSwUGAAAAAAYA&#10;BgBZAQAAhAUAAAAA&#10;">
                <v:fill on="t" focussize="0,0"/>
                <v:stroke color="#000000" joinstyle="miter"/>
                <v:imagedata o:title=""/>
                <o:lock v:ext="edit" aspectratio="f"/>
                <v:textbox>
                  <w:txbxContent>
                    <w:p>
                      <w:pPr>
                        <w:jc w:val="center"/>
                      </w:pPr>
                      <w:r>
                        <w:rPr>
                          <w:rFonts w:hint="eastAsia"/>
                        </w:rPr>
                        <w:t>熟料库</w:t>
                      </w:r>
                      <w:r>
                        <w:rPr>
                          <w:rFonts w:hint="eastAsia" w:ascii="宋体" w:hAnsi="宋体"/>
                          <w:sz w:val="21"/>
                          <w:szCs w:val="21"/>
                        </w:rPr>
                        <w:t>※</w:t>
                      </w:r>
                    </w:p>
                  </w:txbxContent>
                </v:textbox>
              </v:rect>
            </w:pict>
          </mc:Fallback>
        </mc:AlternateContent>
      </w:r>
    </w:p>
    <w:p>
      <w:pPr>
        <w:autoSpaceDE w:val="0"/>
        <w:autoSpaceDN w:val="0"/>
        <w:spacing w:line="480" w:lineRule="exact"/>
        <w:ind w:firstLine="573"/>
        <w:textAlignment w:val="bottom"/>
        <w:rPr>
          <w:rFonts w:hint="eastAsia" w:ascii="宋体" w:hAnsi="宋体"/>
        </w:rPr>
      </w:pPr>
      <w:r>
        <w:rPr>
          <w:rFonts w:ascii="宋体" w:hAnsi="宋体"/>
        </w:rPr>
        <mc:AlternateContent>
          <mc:Choice Requires="wps">
            <w:drawing>
              <wp:anchor distT="0" distB="0" distL="114300" distR="114300" simplePos="0" relativeHeight="251705344" behindDoc="0" locked="0" layoutInCell="1" allowOverlap="1">
                <wp:simplePos x="0" y="0"/>
                <wp:positionH relativeFrom="column">
                  <wp:posOffset>4114800</wp:posOffset>
                </wp:positionH>
                <wp:positionV relativeFrom="paragraph">
                  <wp:posOffset>233680</wp:posOffset>
                </wp:positionV>
                <wp:extent cx="0" cy="297180"/>
                <wp:effectExtent l="38100" t="0" r="38100" b="7620"/>
                <wp:wrapNone/>
                <wp:docPr id="258" name="直接连接符 25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4pt;margin-top:18.4pt;height:23.4pt;width:0pt;z-index:251705344;mso-width-relative:page;mso-height-relative:page;" filled="f" stroked="t" coordsize="21600,21600" o:gfxdata="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Yy4nq2AAAAAkB&#10;AAAPAAAAAAAAAAEAIAAAACIAAABkcnMvZG93bnJldi54bWxQSwECFAAUAAAACACHTuJAN790deIB&#10;AACdAwAADgAAAAAAAAABACAAAAAnAQAAZHJzL2Uyb0RvYy54bWxQSwUGAAAAAAYABgBZAQAAewUA&#10;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706368" behindDoc="0" locked="0" layoutInCell="1" allowOverlap="1">
                <wp:simplePos x="0" y="0"/>
                <wp:positionH relativeFrom="column">
                  <wp:posOffset>5600700</wp:posOffset>
                </wp:positionH>
                <wp:positionV relativeFrom="paragraph">
                  <wp:posOffset>259080</wp:posOffset>
                </wp:positionV>
                <wp:extent cx="0" cy="297180"/>
                <wp:effectExtent l="38100" t="0" r="38100" b="7620"/>
                <wp:wrapNone/>
                <wp:docPr id="253" name="直接连接符 25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41pt;margin-top:20.4pt;height:23.4pt;width:0pt;z-index:251706368;mso-width-relative:page;mso-height-relative:page;" filled="f" stroked="t" coordsize="21600,21600" o:gfxdata="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oZez/dgAAAAJ&#10;AQAADwAAAAAAAAABACAAAAAiAAAAZHJzL2Rvd25yZXYueG1sUEsBAhQAFAAAAAgAh07iQB0co+bj&#10;AQAAnQMAAA4AAAAAAAAAAQAgAAAAJwEAAGRycy9lMm9Eb2MueG1sUEsFBgAAAAAGAAYAWQEAAHwF&#10;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704320" behindDoc="0" locked="0" layoutInCell="1" allowOverlap="1">
                <wp:simplePos x="0" y="0"/>
                <wp:positionH relativeFrom="column">
                  <wp:posOffset>2452370</wp:posOffset>
                </wp:positionH>
                <wp:positionV relativeFrom="paragraph">
                  <wp:posOffset>238760</wp:posOffset>
                </wp:positionV>
                <wp:extent cx="0" cy="297180"/>
                <wp:effectExtent l="38100" t="0" r="38100" b="7620"/>
                <wp:wrapNone/>
                <wp:docPr id="266" name="直接连接符 26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3.1pt;margin-top:18.8pt;height:23.4pt;width:0pt;z-index:251704320;mso-width-relative:page;mso-height-relative:page;" filled="f" stroked="t" coordsize="21600,21600" o:gfxdata="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maG69gAAAAJ&#10;AQAADwAAAAAAAAABACAAAAAiAAAAZHJzL2Rvd25yZXYueG1sUEsBAhQAFAAAAAgAh07iQOeLZtfj&#10;AQAAnQMAAA4AAAAAAAAAAQAgAAAAJwEAAGRycy9lMm9Eb2MueG1sUEsFBgAAAAAGAAYAWQEAAHwF&#10;AAAAAA==&#10;">
                <v:fill on="f" focussize="0,0"/>
                <v:stroke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1877376" behindDoc="0" locked="0" layoutInCell="1" allowOverlap="1">
                <wp:simplePos x="0" y="0"/>
                <wp:positionH relativeFrom="column">
                  <wp:posOffset>2461895</wp:posOffset>
                </wp:positionH>
                <wp:positionV relativeFrom="paragraph">
                  <wp:posOffset>232410</wp:posOffset>
                </wp:positionV>
                <wp:extent cx="3086100" cy="0"/>
                <wp:effectExtent l="0" t="0" r="0" b="0"/>
                <wp:wrapNone/>
                <wp:docPr id="268" name="直接连接符 268"/>
                <wp:cNvGraphicFramePr/>
                <a:graphic xmlns:a="http://schemas.openxmlformats.org/drawingml/2006/main">
                  <a:graphicData uri="http://schemas.microsoft.com/office/word/2010/wordprocessingShape">
                    <wps:wsp>
                      <wps:cNvCnPr/>
                      <wps:spPr>
                        <a:xfrm>
                          <a:off x="0" y="0"/>
                          <a:ext cx="30861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3.85pt;margin-top:18.3pt;height:0pt;width:243pt;z-index:251877376;mso-width-relative:page;mso-height-relative:page;" filled="f" stroked="t" coordsize="21600,21600" o:gfxdata="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3swvvWAAAACQEAAA8AAAAA&#10;AAAAAQAgAAAAIgAAAGRycy9kb3ducmV2LnhtbFBLAQIUABQAAAAIAIdO4kBeWxAi3QEAAJoDAAAO&#10;AAAAAAAAAAEAIAAAACUBAABkcnMvZTJvRG9jLnhtbFBLBQYAAAAABgAGAFkBAAB0BQAA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707392" behindDoc="0" locked="0" layoutInCell="1" allowOverlap="1">
                <wp:simplePos x="0" y="0"/>
                <wp:positionH relativeFrom="column">
                  <wp:posOffset>3738245</wp:posOffset>
                </wp:positionH>
                <wp:positionV relativeFrom="paragraph">
                  <wp:posOffset>257810</wp:posOffset>
                </wp:positionV>
                <wp:extent cx="0" cy="274320"/>
                <wp:effectExtent l="42545" t="0" r="52705" b="11430"/>
                <wp:wrapNone/>
                <wp:docPr id="250" name="直接连接符 250"/>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94.35pt;margin-top:20.3pt;height:21.6pt;width:0pt;z-index:251707392;mso-width-relative:page;mso-height-relative:page;" filled="f" stroked="t" coordsize="21600,21600" o:gfxdata="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FH32q1QAAAAkBAAAP&#10;AAAAAAAAAAEAIAAAACIAAABkcnMvZG93bnJldi54bWxQSwECFAAUAAAACACHTuJAkhKuC+IBAACe&#10;AwAADgAAAAAAAAABACAAAAAkAQAAZHJzL2Uyb0RvYy54bWxQSwUGAAAAAAYABgBZAQAAeAUAAAAA&#10;">
                <v:fill on="f" focussize="0,0"/>
                <v:stroke weight="2.25pt"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699200" behindDoc="0" locked="0" layoutInCell="1" allowOverlap="1">
                <wp:simplePos x="0" y="0"/>
                <wp:positionH relativeFrom="column">
                  <wp:posOffset>3292475</wp:posOffset>
                </wp:positionH>
                <wp:positionV relativeFrom="paragraph">
                  <wp:posOffset>215265</wp:posOffset>
                </wp:positionV>
                <wp:extent cx="924560" cy="297180"/>
                <wp:effectExtent l="5080" t="4445" r="22860" b="22225"/>
                <wp:wrapNone/>
                <wp:docPr id="255" name="文本框 255"/>
                <wp:cNvGraphicFramePr/>
                <a:graphic xmlns:a="http://schemas.openxmlformats.org/drawingml/2006/main">
                  <a:graphicData uri="http://schemas.microsoft.com/office/word/2010/wordprocessingShape">
                    <wps:wsp>
                      <wps:cNvSpPr txBox="1"/>
                      <wps:spPr>
                        <a:xfrm>
                          <a:off x="0" y="0"/>
                          <a:ext cx="9245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水泥磨</w:t>
                            </w:r>
                            <w:r>
                              <w:rPr>
                                <w:rFonts w:hint="eastAsia" w:ascii="宋体" w:hAnsi="宋体"/>
                                <w:sz w:val="21"/>
                                <w:szCs w:val="21"/>
                              </w:rPr>
                              <w:t>※△</w:t>
                            </w:r>
                          </w:p>
                        </w:txbxContent>
                      </wps:txbx>
                      <wps:bodyPr upright="1"/>
                    </wps:wsp>
                  </a:graphicData>
                </a:graphic>
              </wp:anchor>
            </w:drawing>
          </mc:Choice>
          <mc:Fallback>
            <w:pict>
              <v:shape id="_x0000_s1026" o:spid="_x0000_s1026" o:spt="202" type="#_x0000_t202" style="position:absolute;left:0pt;margin-left:259.25pt;margin-top:16.95pt;height:23.4pt;width:72.8pt;z-index:251699200;mso-width-relative:page;mso-height-relative:page;" fillcolor="#FFFFFF" filled="t" stroked="t" coordsize="21600,21600" o:gfxdata="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ZI0x2AAAAAkBAAAPAAAAAAAAAAEAIAAAACIAAABkcnMvZG93bnJldi54bWxQSwEC&#10;FAAUAAAACACHTuJABNJ3r/QBAADrAwAADgAAAAAAAAABACAAAAAnAQAAZHJzL2Uyb0RvYy54bWxQ&#10;SwUGAAAAAAYABgBZAQAAjQUAAAAA&#10;">
                <v:fill on="t" focussize="0,0"/>
                <v:stroke color="#000000" joinstyle="miter"/>
                <v:imagedata o:title=""/>
                <o:lock v:ext="edit" aspectratio="f"/>
                <v:textbox>
                  <w:txbxContent>
                    <w:p>
                      <w:pPr>
                        <w:jc w:val="center"/>
                        <w:rPr>
                          <w:rFonts w:hint="eastAsia"/>
                        </w:rPr>
                      </w:pPr>
                      <w:r>
                        <w:rPr>
                          <w:rFonts w:hint="eastAsia"/>
                        </w:rPr>
                        <w:t>水泥磨</w:t>
                      </w:r>
                      <w:r>
                        <w:rPr>
                          <w:rFonts w:hint="eastAsia" w:ascii="宋体" w:hAnsi="宋体"/>
                          <w:sz w:val="21"/>
                          <w:szCs w:val="21"/>
                        </w:rPr>
                        <w:t>※△</w:t>
                      </w:r>
                    </w:p>
                  </w:txbxContent>
                </v:textbox>
              </v:shap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1708416" behindDoc="0" locked="0" layoutInCell="1" allowOverlap="1">
                <wp:simplePos x="0" y="0"/>
                <wp:positionH relativeFrom="column">
                  <wp:posOffset>3723640</wp:posOffset>
                </wp:positionH>
                <wp:positionV relativeFrom="paragraph">
                  <wp:posOffset>199390</wp:posOffset>
                </wp:positionV>
                <wp:extent cx="0" cy="274320"/>
                <wp:effectExtent l="42545" t="0" r="52705" b="11430"/>
                <wp:wrapNone/>
                <wp:docPr id="262" name="直接连接符 262"/>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93.2pt;margin-top:15.7pt;height:21.6pt;width:0pt;z-index:251708416;mso-width-relative:page;mso-height-relative:page;" filled="f" stroked="t" coordsize="21600,21600" o:gfxdata="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ErmUtUAAAAJAQAA&#10;DwAAAAAAAAABACAAAAAiAAAAZHJzL2Rvd25yZXYueG1sUEsBAhQAFAAAAAgAh07iQD98alnjAQAA&#10;ngMAAA4AAAAAAAAAAQAgAAAAJAEAAGRycy9lMm9Eb2MueG1sUEsFBgAAAAAGAAYAWQEAAHkFAAAA&#10;AA==&#10;">
                <v:fill on="f" focussize="0,0"/>
                <v:stroke weight="2.25pt"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1678720" behindDoc="0" locked="0" layoutInCell="1" allowOverlap="1">
                <wp:simplePos x="0" y="0"/>
                <wp:positionH relativeFrom="column">
                  <wp:posOffset>242570</wp:posOffset>
                </wp:positionH>
                <wp:positionV relativeFrom="paragraph">
                  <wp:posOffset>23495</wp:posOffset>
                </wp:positionV>
                <wp:extent cx="1345565" cy="794385"/>
                <wp:effectExtent l="13970" t="0" r="31115" b="29210"/>
                <wp:wrapNone/>
                <wp:docPr id="263" name="文本框 263"/>
                <wp:cNvGraphicFramePr/>
                <a:graphic xmlns:a="http://schemas.openxmlformats.org/drawingml/2006/main">
                  <a:graphicData uri="http://schemas.microsoft.com/office/word/2010/wordprocessingShape">
                    <wps:wsp>
                      <wps:cNvSpPr txBox="1"/>
                      <wps:spPr>
                        <a:xfrm>
                          <a:off x="0" y="0"/>
                          <a:ext cx="1345565" cy="794385"/>
                        </a:xfrm>
                        <a:prstGeom prst="rect">
                          <a:avLst/>
                        </a:prstGeom>
                        <a:solidFill>
                          <a:srgbClr val="FFFFFF"/>
                        </a:solidFill>
                        <a:ln w="2857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 xml:space="preserve"> 图例：</w:t>
                            </w:r>
                          </w:p>
                          <w:p>
                            <w:pPr>
                              <w:numPr>
                                <w:ilvl w:val="0"/>
                                <w:numId w:val="4"/>
                              </w:numPr>
                              <w:rPr>
                                <w:rFonts w:hint="eastAsia" w:ascii="宋体" w:hAnsi="宋体"/>
                                <w:sz w:val="21"/>
                                <w:szCs w:val="21"/>
                              </w:rPr>
                            </w:pPr>
                            <w:r>
                              <w:rPr>
                                <w:rFonts w:hint="eastAsia" w:ascii="宋体" w:hAnsi="宋体"/>
                                <w:sz w:val="21"/>
                                <w:szCs w:val="21"/>
                              </w:rPr>
                              <w:t>：主要产尘点</w:t>
                            </w:r>
                          </w:p>
                          <w:p>
                            <w:pPr>
                              <w:rPr>
                                <w:rFonts w:hint="eastAsia"/>
                                <w:sz w:val="21"/>
                                <w:szCs w:val="21"/>
                              </w:rPr>
                            </w:pPr>
                            <w:r>
                              <w:rPr>
                                <w:rFonts w:hint="eastAsia" w:ascii="宋体" w:hAnsi="宋体"/>
                                <w:sz w:val="21"/>
                                <w:szCs w:val="21"/>
                              </w:rPr>
                              <w:t>△： 噪声源</w:t>
                            </w:r>
                          </w:p>
                        </w:txbxContent>
                      </wps:txbx>
                      <wps:bodyPr upright="1"/>
                    </wps:wsp>
                  </a:graphicData>
                </a:graphic>
              </wp:anchor>
            </w:drawing>
          </mc:Choice>
          <mc:Fallback>
            <w:pict>
              <v:shape id="_x0000_s1026" o:spid="_x0000_s1026" o:spt="202" type="#_x0000_t202" style="position:absolute;left:0pt;margin-left:19.1pt;margin-top:1.85pt;height:62.55pt;width:105.95pt;z-index:251678720;mso-width-relative:page;mso-height-relative:page;" fillcolor="#FFFFFF" filled="t" stroked="t" coordsize="21600,21600" o:gfxdata="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0uSvT2AAAAAgBAAAPAAAAAAAAAAEAIAAAACIAAABkcnMvZG93bnJldi54bWxQSwEC&#10;FAAUAAAACACHTuJA1spLoPQBAADtAwAADgAAAAAAAAABACAAAAAnAQAAZHJzL2Uyb0RvYy54bWxQ&#10;SwUGAAAAAAYABgBZAQAAjQUAAAAA&#10;">
                <v:fill on="t" focussize="0,0"/>
                <v:stroke weight="2.25pt" color="#000000" joinstyle="miter"/>
                <v:imagedata o:title=""/>
                <o:lock v:ext="edit" aspectratio="f"/>
                <v:textbox>
                  <w:txbxContent>
                    <w:p>
                      <w:pPr>
                        <w:jc w:val="center"/>
                        <w:rPr>
                          <w:rFonts w:hint="eastAsia"/>
                          <w:sz w:val="21"/>
                          <w:szCs w:val="21"/>
                        </w:rPr>
                      </w:pPr>
                      <w:r>
                        <w:rPr>
                          <w:rFonts w:hint="eastAsia"/>
                          <w:sz w:val="21"/>
                          <w:szCs w:val="21"/>
                        </w:rPr>
                        <w:t xml:space="preserve"> 图例：</w:t>
                      </w:r>
                    </w:p>
                    <w:p>
                      <w:pPr>
                        <w:numPr>
                          <w:ilvl w:val="0"/>
                          <w:numId w:val="4"/>
                        </w:numPr>
                        <w:rPr>
                          <w:rFonts w:hint="eastAsia" w:ascii="宋体" w:hAnsi="宋体"/>
                          <w:sz w:val="21"/>
                          <w:szCs w:val="21"/>
                        </w:rPr>
                      </w:pPr>
                      <w:r>
                        <w:rPr>
                          <w:rFonts w:hint="eastAsia" w:ascii="宋体" w:hAnsi="宋体"/>
                          <w:sz w:val="21"/>
                          <w:szCs w:val="21"/>
                        </w:rPr>
                        <w:t>：主要产尘点</w:t>
                      </w:r>
                    </w:p>
                    <w:p>
                      <w:pPr>
                        <w:rPr>
                          <w:rFonts w:hint="eastAsia"/>
                          <w:sz w:val="21"/>
                          <w:szCs w:val="21"/>
                        </w:rPr>
                      </w:pPr>
                      <w:r>
                        <w:rPr>
                          <w:rFonts w:hint="eastAsia" w:ascii="宋体" w:hAnsi="宋体"/>
                          <w:sz w:val="21"/>
                          <w:szCs w:val="21"/>
                        </w:rPr>
                        <w:t>△： 噪声源</w:t>
                      </w:r>
                    </w:p>
                  </w:txbxContent>
                </v:textbox>
              </v:shape>
            </w:pict>
          </mc:Fallback>
        </mc:AlternateContent>
      </w:r>
      <w:r>
        <w:rPr>
          <w:rFonts w:hint="eastAsia" w:ascii="宋体" w:hAnsi="宋体"/>
        </w:rPr>
        <mc:AlternateContent>
          <mc:Choice Requires="wps">
            <w:drawing>
              <wp:anchor distT="0" distB="0" distL="114300" distR="114300" simplePos="0" relativeHeight="251700224" behindDoc="0" locked="0" layoutInCell="1" allowOverlap="1">
                <wp:simplePos x="0" y="0"/>
                <wp:positionH relativeFrom="column">
                  <wp:posOffset>3242310</wp:posOffset>
                </wp:positionH>
                <wp:positionV relativeFrom="paragraph">
                  <wp:posOffset>150495</wp:posOffset>
                </wp:positionV>
                <wp:extent cx="924560" cy="297180"/>
                <wp:effectExtent l="5080" t="4445" r="22860" b="22225"/>
                <wp:wrapNone/>
                <wp:docPr id="270" name="文本框 270"/>
                <wp:cNvGraphicFramePr/>
                <a:graphic xmlns:a="http://schemas.openxmlformats.org/drawingml/2006/main">
                  <a:graphicData uri="http://schemas.microsoft.com/office/word/2010/wordprocessingShape">
                    <wps:wsp>
                      <wps:cNvSpPr txBox="1"/>
                      <wps:spPr>
                        <a:xfrm>
                          <a:off x="0" y="0"/>
                          <a:ext cx="9245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水泥库</w:t>
                            </w:r>
                            <w:r>
                              <w:rPr>
                                <w:rFonts w:hint="eastAsia" w:ascii="宋体" w:hAnsi="宋体"/>
                                <w:sz w:val="21"/>
                                <w:szCs w:val="21"/>
                              </w:rPr>
                              <w:t>※</w:t>
                            </w:r>
                          </w:p>
                        </w:txbxContent>
                      </wps:txbx>
                      <wps:bodyPr upright="1"/>
                    </wps:wsp>
                  </a:graphicData>
                </a:graphic>
              </wp:anchor>
            </w:drawing>
          </mc:Choice>
          <mc:Fallback>
            <w:pict>
              <v:shape id="_x0000_s1026" o:spid="_x0000_s1026" o:spt="202" type="#_x0000_t202" style="position:absolute;left:0pt;margin-left:255.3pt;margin-top:11.85pt;height:23.4pt;width:72.8pt;z-index:251700224;mso-width-relative:page;mso-height-relative:page;" fillcolor="#FFFFFF" filled="t" stroked="t" coordsize="21600,21600" o:gfxdata="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861K2QAAAAkBAAAPAAAAAAAAAAEAIAAAACIAAABkcnMvZG93bnJldi54bWxQSwEC&#10;FAAUAAAACACHTuJA0abh8vMBAADrAwAADgAAAAAAAAABACAAAAAoAQAAZHJzL2Uyb0RvYy54bWxQ&#10;SwUGAAAAAAYABgBZAQAAjQUAAAAA&#10;">
                <v:fill on="t" focussize="0,0"/>
                <v:stroke color="#000000" joinstyle="miter"/>
                <v:imagedata o:title=""/>
                <o:lock v:ext="edit" aspectratio="f"/>
                <v:textbox>
                  <w:txbxContent>
                    <w:p>
                      <w:pPr>
                        <w:jc w:val="center"/>
                        <w:rPr>
                          <w:rFonts w:hint="eastAsia"/>
                        </w:rPr>
                      </w:pPr>
                      <w:r>
                        <w:rPr>
                          <w:rFonts w:hint="eastAsia"/>
                        </w:rPr>
                        <w:t>水泥库</w:t>
                      </w:r>
                      <w:r>
                        <w:rPr>
                          <w:rFonts w:hint="eastAsia" w:ascii="宋体" w:hAnsi="宋体"/>
                          <w:sz w:val="21"/>
                          <w:szCs w:val="21"/>
                        </w:rPr>
                        <w:t>※</w:t>
                      </w:r>
                    </w:p>
                  </w:txbxContent>
                </v:textbox>
              </v:shap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1709440" behindDoc="0" locked="0" layoutInCell="1" allowOverlap="1">
                <wp:simplePos x="0" y="0"/>
                <wp:positionH relativeFrom="column">
                  <wp:posOffset>3700145</wp:posOffset>
                </wp:positionH>
                <wp:positionV relativeFrom="paragraph">
                  <wp:posOffset>133985</wp:posOffset>
                </wp:positionV>
                <wp:extent cx="0" cy="274320"/>
                <wp:effectExtent l="42545" t="0" r="52705" b="11430"/>
                <wp:wrapNone/>
                <wp:docPr id="261" name="直接连接符 261"/>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91.35pt;margin-top:10.55pt;height:21.6pt;width:0pt;z-index:251709440;mso-width-relative:page;mso-height-relative:page;" filled="f" stroked="t" coordsize="21600,21600" o:gfxdata="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eD+771QAAAAkBAAAP&#10;AAAAAAAAAAEAIAAAACIAAABkcnMvZG93bnJldi54bWxQSwECFAAUAAAACACHTuJAPFabGuIBAACe&#10;AwAADgAAAAAAAAABACAAAAAkAQAAZHJzL2Uyb0RvYy54bWxQSwUGAAAAAAYABgBZAQAAeAUAAAAA&#10;">
                <v:fill on="f" focussize="0,0"/>
                <v:stroke weight="2.25pt"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1713536" behindDoc="0" locked="0" layoutInCell="1" allowOverlap="1">
                <wp:simplePos x="0" y="0"/>
                <wp:positionH relativeFrom="column">
                  <wp:posOffset>4556125</wp:posOffset>
                </wp:positionH>
                <wp:positionV relativeFrom="paragraph">
                  <wp:posOffset>98425</wp:posOffset>
                </wp:positionV>
                <wp:extent cx="0" cy="274320"/>
                <wp:effectExtent l="42545" t="0" r="52705" b="11430"/>
                <wp:wrapNone/>
                <wp:docPr id="256" name="直接连接符 256"/>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8.75pt;margin-top:7.75pt;height:21.6pt;width:0pt;z-index:251713536;mso-width-relative:page;mso-height-relative:page;" filled="f" stroked="t" coordsize="21600,21600" o:gfxdata="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vi9P9UAAAAJAQAA&#10;DwAAAAAAAAABACAAAAAiAAAAZHJzL2Rvd25yZXYueG1sUEsBAhQAFAAAAAgAh07iQJRGTIzjAQAA&#10;ngMAAA4AAAAAAAAAAQAgAAAAJAEAAGRycy9lMm9Eb2MueG1sUEsFBgAAAAAGAAYAWQEAAHkFAAAA&#10;AA==&#10;">
                <v:fill on="f" focussize="0,0"/>
                <v:stroke weight="2.25pt"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710464" behindDoc="0" locked="0" layoutInCell="1" allowOverlap="1">
                <wp:simplePos x="0" y="0"/>
                <wp:positionH relativeFrom="column">
                  <wp:posOffset>2971800</wp:posOffset>
                </wp:positionH>
                <wp:positionV relativeFrom="paragraph">
                  <wp:posOffset>114300</wp:posOffset>
                </wp:positionV>
                <wp:extent cx="1600200" cy="0"/>
                <wp:effectExtent l="0" t="0" r="0" b="0"/>
                <wp:wrapNone/>
                <wp:docPr id="267" name="直接连接符 267"/>
                <wp:cNvGraphicFramePr/>
                <a:graphic xmlns:a="http://schemas.openxmlformats.org/drawingml/2006/main">
                  <a:graphicData uri="http://schemas.microsoft.com/office/word/2010/wordprocessingShape">
                    <wps:wsp>
                      <wps:cNvCnPr/>
                      <wps:spPr>
                        <a:xfrm>
                          <a:off x="0" y="0"/>
                          <a:ext cx="1600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4pt;margin-top:9pt;height:0pt;width:126pt;z-index:251710464;mso-width-relative:page;mso-height-relative:page;" filled="f" stroked="t" coordsize="21600,21600" o:gfxdata="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qrZrT1AAAAAkBAAAPAAAAAAAA&#10;AAEAIAAAACIAAABkcnMvZG93bnJldi54bWxQSwECFAAUAAAACACHTuJAtm77W90BAACaAwAADgAA&#10;AAAAAAABACAAAAAjAQAAZHJzL2Uyb0RvYy54bWxQSwUGAAAAAAYABgBZAQAAcgUAA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711488" behindDoc="0" locked="0" layoutInCell="1" allowOverlap="1">
                <wp:simplePos x="0" y="0"/>
                <wp:positionH relativeFrom="column">
                  <wp:posOffset>2961640</wp:posOffset>
                </wp:positionH>
                <wp:positionV relativeFrom="paragraph">
                  <wp:posOffset>123190</wp:posOffset>
                </wp:positionV>
                <wp:extent cx="0" cy="274320"/>
                <wp:effectExtent l="42545" t="0" r="52705" b="11430"/>
                <wp:wrapNone/>
                <wp:docPr id="254" name="直接连接符 254"/>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3.2pt;margin-top:9.7pt;height:21.6pt;width:0pt;z-index:251711488;mso-width-relative:page;mso-height-relative:page;" filled="f" stroked="t" coordsize="21600,21600" o:gfxdata="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b3YXrNUAAAAJAQAA&#10;DwAAAAAAAAABACAAAAAiAAAAZHJzL2Rvd25yZXYueG1sUEsBAhQAFAAAAAgAh07iQKmIwkfjAQAA&#10;ngMAAA4AAAAAAAAAAQAgAAAAJAEAAGRycy9lMm9Eb2MueG1sUEsFBgAAAAAGAAYAWQEAAHkFAAAA&#10;AA==&#10;">
                <v:fill on="f" focussize="0,0"/>
                <v:stroke weight="2.25pt"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703296" behindDoc="0" locked="0" layoutInCell="1" allowOverlap="1">
                <wp:simplePos x="0" y="0"/>
                <wp:positionH relativeFrom="column">
                  <wp:posOffset>4055745</wp:posOffset>
                </wp:positionH>
                <wp:positionV relativeFrom="paragraph">
                  <wp:posOffset>67310</wp:posOffset>
                </wp:positionV>
                <wp:extent cx="924560" cy="297180"/>
                <wp:effectExtent l="5080" t="4445" r="22860" b="22225"/>
                <wp:wrapNone/>
                <wp:docPr id="264" name="文本框 264"/>
                <wp:cNvGraphicFramePr/>
                <a:graphic xmlns:a="http://schemas.openxmlformats.org/drawingml/2006/main">
                  <a:graphicData uri="http://schemas.microsoft.com/office/word/2010/wordprocessingShape">
                    <wps:wsp>
                      <wps:cNvSpPr txBox="1"/>
                      <wps:spPr>
                        <a:xfrm>
                          <a:off x="0" y="0"/>
                          <a:ext cx="9245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宋体" w:hAnsi="宋体"/>
                                <w:sz w:val="21"/>
                                <w:szCs w:val="21"/>
                              </w:rPr>
                              <w:t>散装水泥※</w:t>
                            </w:r>
                          </w:p>
                        </w:txbxContent>
                      </wps:txbx>
                      <wps:bodyPr upright="1"/>
                    </wps:wsp>
                  </a:graphicData>
                </a:graphic>
              </wp:anchor>
            </w:drawing>
          </mc:Choice>
          <mc:Fallback>
            <w:pict>
              <v:shape id="_x0000_s1026" o:spid="_x0000_s1026" o:spt="202" type="#_x0000_t202" style="position:absolute;left:0pt;margin-left:319.35pt;margin-top:5.3pt;height:23.4pt;width:72.8pt;z-index:251703296;mso-width-relative:page;mso-height-relative:page;" fillcolor="#FFFFFF" filled="t" stroked="t" coordsize="21600,21600" o:gfxdata="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oANKj2AAAAAkBAAAPAAAAAAAAAAEAIAAAACIAAABkcnMvZG93bnJldi54bWxQSwEC&#10;FAAUAAAACACHTuJAmBkIi/QBAADrAwAADgAAAAAAAAABACAAAAAnAQAAZHJzL2Uyb0RvYy54bWxQ&#10;SwUGAAAAAAYABgBZAQAAjQUAAAAA&#10;">
                <v:fill on="t" focussize="0,0"/>
                <v:stroke color="#000000" joinstyle="miter"/>
                <v:imagedata o:title=""/>
                <o:lock v:ext="edit" aspectratio="f"/>
                <v:textbox>
                  <w:txbxContent>
                    <w:p>
                      <w:pPr>
                        <w:jc w:val="center"/>
                        <w:rPr>
                          <w:rFonts w:hint="eastAsia"/>
                        </w:rPr>
                      </w:pPr>
                      <w:r>
                        <w:rPr>
                          <w:rFonts w:hint="eastAsia" w:ascii="宋体" w:hAnsi="宋体"/>
                          <w:sz w:val="21"/>
                          <w:szCs w:val="21"/>
                        </w:rPr>
                        <w:t>散装水泥※</w:t>
                      </w:r>
                    </w:p>
                  </w:txbxContent>
                </v:textbox>
              </v:shape>
            </w:pict>
          </mc:Fallback>
        </mc:AlternateContent>
      </w:r>
      <w:r>
        <w:rPr>
          <w:rFonts w:hint="eastAsia" w:ascii="宋体" w:hAnsi="宋体"/>
        </w:rPr>
        <mc:AlternateContent>
          <mc:Choice Requires="wps">
            <w:drawing>
              <wp:anchor distT="0" distB="0" distL="114300" distR="114300" simplePos="0" relativeHeight="251701248" behindDoc="0" locked="0" layoutInCell="1" allowOverlap="1">
                <wp:simplePos x="0" y="0"/>
                <wp:positionH relativeFrom="column">
                  <wp:posOffset>2503170</wp:posOffset>
                </wp:positionH>
                <wp:positionV relativeFrom="paragraph">
                  <wp:posOffset>71120</wp:posOffset>
                </wp:positionV>
                <wp:extent cx="924560" cy="297180"/>
                <wp:effectExtent l="5080" t="4445" r="22860" b="22225"/>
                <wp:wrapNone/>
                <wp:docPr id="246" name="文本框 246"/>
                <wp:cNvGraphicFramePr/>
                <a:graphic xmlns:a="http://schemas.openxmlformats.org/drawingml/2006/main">
                  <a:graphicData uri="http://schemas.microsoft.com/office/word/2010/wordprocessingShape">
                    <wps:wsp>
                      <wps:cNvSpPr txBox="1"/>
                      <wps:spPr>
                        <a:xfrm>
                          <a:off x="0" y="0"/>
                          <a:ext cx="9245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包装</w:t>
                            </w:r>
                            <w:r>
                              <w:rPr>
                                <w:rFonts w:hint="eastAsia" w:ascii="宋体" w:hAnsi="宋体"/>
                                <w:sz w:val="21"/>
                                <w:szCs w:val="21"/>
                              </w:rPr>
                              <w:t>※</w:t>
                            </w:r>
                          </w:p>
                        </w:txbxContent>
                      </wps:txbx>
                      <wps:bodyPr upright="1"/>
                    </wps:wsp>
                  </a:graphicData>
                </a:graphic>
              </wp:anchor>
            </w:drawing>
          </mc:Choice>
          <mc:Fallback>
            <w:pict>
              <v:shape id="_x0000_s1026" o:spid="_x0000_s1026" o:spt="202" type="#_x0000_t202" style="position:absolute;left:0pt;margin-left:197.1pt;margin-top:5.6pt;height:23.4pt;width:72.8pt;z-index:251701248;mso-width-relative:page;mso-height-relative:page;" fillcolor="#FFFFFF" filled="t" stroked="t" coordsize="21600,21600" o:gfxdata="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HpD9b2AAAAAkBAAAPAAAAAAAAAAEAIAAAACIAAABkcnMvZG93bnJldi54bWxQSwEC&#10;FAAUAAAACACHTuJADvXVwPQBAADrAwAADgAAAAAAAAABACAAAAAnAQAAZHJzL2Uyb0RvYy54bWxQ&#10;SwUGAAAAAAYABgBZAQAAjQUAAAAA&#10;">
                <v:fill on="t" focussize="0,0"/>
                <v:stroke color="#000000" joinstyle="miter"/>
                <v:imagedata o:title=""/>
                <o:lock v:ext="edit" aspectratio="f"/>
                <v:textbox>
                  <w:txbxContent>
                    <w:p>
                      <w:pPr>
                        <w:jc w:val="center"/>
                        <w:rPr>
                          <w:rFonts w:hint="eastAsia"/>
                        </w:rPr>
                      </w:pPr>
                      <w:r>
                        <w:rPr>
                          <w:rFonts w:hint="eastAsia"/>
                        </w:rPr>
                        <w:t>包装</w:t>
                      </w:r>
                      <w:r>
                        <w:rPr>
                          <w:rFonts w:hint="eastAsia" w:ascii="宋体" w:hAnsi="宋体"/>
                          <w:sz w:val="21"/>
                          <w:szCs w:val="21"/>
                        </w:rPr>
                        <w:t>※</w:t>
                      </w:r>
                    </w:p>
                  </w:txbxContent>
                </v:textbox>
              </v:shape>
            </w:pict>
          </mc:Fallback>
        </mc:AlternateContent>
      </w:r>
    </w:p>
    <w:p>
      <w:pPr>
        <w:spacing w:line="480" w:lineRule="exact"/>
        <w:ind w:firstLine="1392" w:firstLineChars="696"/>
        <w:rPr>
          <w:rFonts w:hint="eastAsia"/>
          <w:b/>
        </w:rPr>
      </w:pPr>
      <w:r>
        <w:rPr>
          <w:rFonts w:ascii="宋体" w:hAnsi="宋体"/>
          <w:sz w:val="20"/>
        </w:rPr>
        <mc:AlternateContent>
          <mc:Choice Requires="wps">
            <w:drawing>
              <wp:anchor distT="0" distB="0" distL="114300" distR="114300" simplePos="0" relativeHeight="251712512" behindDoc="0" locked="0" layoutInCell="1" allowOverlap="1">
                <wp:simplePos x="0" y="0"/>
                <wp:positionH relativeFrom="column">
                  <wp:posOffset>2932430</wp:posOffset>
                </wp:positionH>
                <wp:positionV relativeFrom="paragraph">
                  <wp:posOffset>88265</wp:posOffset>
                </wp:positionV>
                <wp:extent cx="0" cy="274320"/>
                <wp:effectExtent l="42545" t="0" r="52705" b="11430"/>
                <wp:wrapNone/>
                <wp:docPr id="257" name="直接连接符 257"/>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0.9pt;margin-top:6.95pt;height:21.6pt;width:0pt;z-index:251712512;mso-width-relative:page;mso-height-relative:page;" filled="f" stroked="t" coordsize="21600,21600" o:gfxdata="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1qhQNNUAAAAJAQAA&#10;DwAAAAAAAAABACAAAAAiAAAAZHJzL2Rvd25yZXYueG1sUEsBAhQAFAAAAAgAh07iQKqiMwTjAQAA&#10;ngMAAA4AAAAAAAAAAQAgAAAAJAEAAGRycy9lMm9Eb2MueG1sUEsFBgAAAAAGAAYAWQEAAHkFAAAA&#10;AA==&#10;">
                <v:fill on="f" focussize="0,0"/>
                <v:stroke weight="2.25pt" color="#000000" joinstyle="round" endarrow="block"/>
                <v:imagedata o:title=""/>
                <o:lock v:ext="edit" aspectratio="f"/>
              </v:line>
            </w:pict>
          </mc:Fallback>
        </mc:AlternateContent>
      </w:r>
    </w:p>
    <w:p>
      <w:pPr>
        <w:spacing w:line="480" w:lineRule="exact"/>
        <w:ind w:firstLine="1392" w:firstLineChars="696"/>
        <w:jc w:val="center"/>
        <w:rPr>
          <w:rFonts w:hint="eastAsia"/>
          <w:b/>
        </w:rPr>
      </w:pPr>
      <w:r>
        <w:rPr>
          <w:rFonts w:ascii="宋体" w:hAnsi="宋体"/>
          <w:sz w:val="20"/>
        </w:rPr>
        <mc:AlternateContent>
          <mc:Choice Requires="wps">
            <w:drawing>
              <wp:anchor distT="0" distB="0" distL="114300" distR="114300" simplePos="0" relativeHeight="251702272" behindDoc="0" locked="0" layoutInCell="1" allowOverlap="1">
                <wp:simplePos x="0" y="0"/>
                <wp:positionH relativeFrom="column">
                  <wp:posOffset>2453640</wp:posOffset>
                </wp:positionH>
                <wp:positionV relativeFrom="paragraph">
                  <wp:posOffset>23495</wp:posOffset>
                </wp:positionV>
                <wp:extent cx="924560" cy="297180"/>
                <wp:effectExtent l="5080" t="4445" r="22860" b="22225"/>
                <wp:wrapNone/>
                <wp:docPr id="244" name="文本框 244"/>
                <wp:cNvGraphicFramePr/>
                <a:graphic xmlns:a="http://schemas.openxmlformats.org/drawingml/2006/main">
                  <a:graphicData uri="http://schemas.microsoft.com/office/word/2010/wordprocessingShape">
                    <wps:wsp>
                      <wps:cNvSpPr txBox="1"/>
                      <wps:spPr>
                        <a:xfrm>
                          <a:off x="0" y="0"/>
                          <a:ext cx="9245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宋体" w:hAnsi="宋体"/>
                                <w:sz w:val="21"/>
                                <w:szCs w:val="21"/>
                              </w:rPr>
                              <w:t>成品库※</w:t>
                            </w:r>
                          </w:p>
                        </w:txbxContent>
                      </wps:txbx>
                      <wps:bodyPr upright="1"/>
                    </wps:wsp>
                  </a:graphicData>
                </a:graphic>
              </wp:anchor>
            </w:drawing>
          </mc:Choice>
          <mc:Fallback>
            <w:pict>
              <v:shape id="_x0000_s1026" o:spid="_x0000_s1026" o:spt="202" type="#_x0000_t202" style="position:absolute;left:0pt;margin-left:193.2pt;margin-top:1.85pt;height:23.4pt;width:72.8pt;z-index:251702272;mso-width-relative:page;mso-height-relative:page;" fillcolor="#FFFFFF" filled="t" stroked="t" coordsize="21600,21600" o:gfxdata="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NI7h3XAAAACAEAAA8AAAAAAAAAAQAgAAAAIgAAAGRycy9kb3ducmV2LnhtbFBLAQIU&#10;ABQAAAAIAIdO4kBPJJmK9AEAAOsDAAAOAAAAAAAAAAEAIAAAACYBAABkcnMvZTJvRG9jLnhtbFBL&#10;BQYAAAAABgAGAFkBAACMBQAAAAA=&#10;">
                <v:fill on="t" focussize="0,0"/>
                <v:stroke color="#000000" joinstyle="miter"/>
                <v:imagedata o:title=""/>
                <o:lock v:ext="edit" aspectratio="f"/>
                <v:textbox>
                  <w:txbxContent>
                    <w:p>
                      <w:pPr>
                        <w:jc w:val="center"/>
                        <w:rPr>
                          <w:rFonts w:hint="eastAsia"/>
                        </w:rPr>
                      </w:pPr>
                      <w:r>
                        <w:rPr>
                          <w:rFonts w:hint="eastAsia" w:ascii="宋体" w:hAnsi="宋体"/>
                          <w:sz w:val="21"/>
                          <w:szCs w:val="21"/>
                        </w:rPr>
                        <w:t>成品库※</w:t>
                      </w:r>
                    </w:p>
                  </w:txbxContent>
                </v:textbox>
              </v:shape>
            </w:pict>
          </mc:Fallback>
        </mc:AlternateContent>
      </w:r>
    </w:p>
    <w:p>
      <w:pPr>
        <w:spacing w:line="480" w:lineRule="exact"/>
        <w:ind w:firstLine="1130" w:firstLineChars="536"/>
        <w:rPr>
          <w:rFonts w:hint="eastAsia"/>
          <w:b/>
        </w:rPr>
      </w:pPr>
    </w:p>
    <w:p>
      <w:pPr>
        <w:spacing w:line="480" w:lineRule="exact"/>
        <w:ind w:firstLine="1130" w:firstLineChars="536"/>
        <w:jc w:val="center"/>
        <w:rPr>
          <w:rFonts w:ascii="宋体" w:hAnsi="宋体"/>
          <w:b/>
        </w:rPr>
      </w:pPr>
      <w:r>
        <w:rPr>
          <w:rFonts w:hint="eastAsia" w:ascii="宋体" w:hAnsi="宋体"/>
          <w:b/>
        </w:rPr>
        <w:t>图3.3 技改项目工艺流程及排污环节</w:t>
      </w:r>
    </w:p>
    <w:p>
      <w:pPr>
        <w:spacing w:line="360" w:lineRule="auto"/>
        <w:ind w:firstLine="420" w:firstLineChars="200"/>
        <w:rPr>
          <w:rFonts w:ascii="宋体" w:hAnsi="宋体"/>
        </w:rPr>
      </w:pPr>
      <w:bookmarkStart w:id="144" w:name="_Toc189814144"/>
      <w:bookmarkStart w:id="145" w:name="_Toc175479798"/>
      <w:bookmarkStart w:id="146" w:name="_Toc473281502"/>
      <w:r>
        <w:rPr>
          <w:rFonts w:hint="eastAsia" w:ascii="宋体" w:hAnsi="宋体"/>
        </w:rPr>
        <w:t>（7）</w:t>
      </w:r>
      <w:r>
        <w:rPr>
          <w:rFonts w:ascii="宋体" w:hAnsi="宋体"/>
        </w:rPr>
        <w:t>原料调配</w:t>
      </w:r>
    </w:p>
    <w:p>
      <w:pPr>
        <w:spacing w:line="360" w:lineRule="auto"/>
        <w:ind w:firstLine="420" w:firstLineChars="200"/>
        <w:rPr>
          <w:rFonts w:ascii="宋体" w:hAnsi="宋体"/>
        </w:rPr>
      </w:pPr>
      <w:r>
        <w:rPr>
          <w:rFonts w:ascii="宋体" w:hAnsi="宋体"/>
        </w:rPr>
        <w:t>原料调配站设四座圆库分别储存石灰石，而砂岩、硫酸渣及煤矸石。由于硫酸渣、煤矸石及砂岩卸料不畅，此三种物料的配料仓下需设置板式喂料机，以使硫酸渣、煤矸石及砂岩能稳定卸料。参与配料的砂岩、硫酸渣、煤矸石和石灰石分别由库底调速电子皮带秤按设定配比卸出，经带式输送机送至生料磨。由多元素荧光分析仪和微机组成的生料质量控制系统，可自动分析出磨生料成份，并据分析结果和目标值自动调节电子皮带秤转速控制各原料的下料量，确保出磨生料成份合格。</w:t>
      </w:r>
    </w:p>
    <w:p>
      <w:pPr>
        <w:spacing w:line="360" w:lineRule="auto"/>
        <w:ind w:firstLine="420" w:firstLineChars="200"/>
        <w:rPr>
          <w:rFonts w:ascii="宋体" w:hAnsi="宋体"/>
        </w:rPr>
      </w:pPr>
      <w:r>
        <w:rPr>
          <w:rFonts w:hint="eastAsia" w:ascii="宋体" w:hAnsi="宋体"/>
        </w:rPr>
        <w:t>（8）</w:t>
      </w:r>
      <w:r>
        <w:rPr>
          <w:rFonts w:ascii="宋体" w:hAnsi="宋体"/>
        </w:rPr>
        <w:t>生料粉磨</w:t>
      </w:r>
    </w:p>
    <w:p>
      <w:pPr>
        <w:spacing w:line="360" w:lineRule="auto"/>
        <w:ind w:firstLine="420" w:firstLineChars="200"/>
        <w:rPr>
          <w:rFonts w:ascii="宋体" w:hAnsi="宋体"/>
        </w:rPr>
      </w:pPr>
      <w:r>
        <w:rPr>
          <w:rFonts w:ascii="宋体" w:hAnsi="宋体"/>
        </w:rPr>
        <w:t>配合原料经磨头锁风阀进入生料磨内，生料磨采用集烘干和粉磨、选粉于一体的MLS3626立式磨，生产能力为190t/h(磨蚀后期)。磨机烘干热源来自窑尾高温风机出来的废气，气体温度300～320℃。</w:t>
      </w:r>
    </w:p>
    <w:p>
      <w:pPr>
        <w:spacing w:line="360" w:lineRule="auto"/>
        <w:ind w:firstLine="420" w:firstLineChars="200"/>
        <w:rPr>
          <w:rFonts w:ascii="宋体" w:hAnsi="宋体"/>
          <w:snapToGrid w:val="0"/>
          <w:kern w:val="0"/>
        </w:rPr>
      </w:pPr>
      <w:r>
        <w:rPr>
          <w:rFonts w:ascii="宋体" w:hAnsi="宋体"/>
        </w:rPr>
        <w:t>随气流出磨的合格生料粉由旋风收尘器收集下来后由斗式提升机送入生料均化库。从磨内吐出的粗料经带式输送机、斗式提升机送至回料仓，由电子皮带秤计量后回磨内重新粉磨。为保证立磨的安全运转，在入磨带式输送机上设有金属探测器和除铁器。</w:t>
      </w:r>
    </w:p>
    <w:p>
      <w:pPr>
        <w:spacing w:line="360" w:lineRule="auto"/>
        <w:ind w:firstLine="420" w:firstLineChars="200"/>
        <w:rPr>
          <w:rFonts w:ascii="宋体" w:hAnsi="宋体"/>
        </w:rPr>
      </w:pPr>
      <w:r>
        <w:rPr>
          <w:rFonts w:hint="eastAsia" w:ascii="宋体" w:hAnsi="宋体"/>
        </w:rPr>
        <w:t>（9）</w:t>
      </w:r>
      <w:r>
        <w:rPr>
          <w:rFonts w:ascii="宋体" w:hAnsi="宋体"/>
        </w:rPr>
        <w:t>废气处理系统</w:t>
      </w:r>
    </w:p>
    <w:p>
      <w:pPr>
        <w:spacing w:line="360" w:lineRule="auto"/>
        <w:ind w:firstLine="420" w:firstLineChars="200"/>
        <w:rPr>
          <w:rFonts w:ascii="宋体" w:hAnsi="宋体"/>
        </w:rPr>
      </w:pPr>
      <w:r>
        <w:rPr>
          <w:rFonts w:ascii="宋体" w:hAnsi="宋体"/>
        </w:rPr>
        <w:t>窑尾出来的废气在开磨状态下全部送入生料磨作烘干热源，磨停窑开时经Φ8.5×34m增湿塔降温调质处理后进入电收尘器净化处理，最后经烟囱达标排出。从生料磨排出的废气也由窑尾电收尘器净化处理。经增湿塔、电收尘器收下的粉尘，随同出磨生料一起由斗式提升机送入生料均化库。</w:t>
      </w:r>
    </w:p>
    <w:p>
      <w:pPr>
        <w:spacing w:line="360" w:lineRule="auto"/>
        <w:ind w:firstLine="420" w:firstLineChars="200"/>
        <w:rPr>
          <w:rFonts w:ascii="宋体" w:hAnsi="宋体"/>
        </w:rPr>
      </w:pPr>
      <w:r>
        <w:rPr>
          <w:rFonts w:hint="eastAsia" w:ascii="宋体" w:hAnsi="宋体"/>
        </w:rPr>
        <w:t>（10）</w:t>
      </w:r>
      <w:r>
        <w:rPr>
          <w:rFonts w:ascii="宋体" w:hAnsi="宋体"/>
        </w:rPr>
        <w:t>生料均化和窑尾喂料系统</w:t>
      </w:r>
    </w:p>
    <w:p>
      <w:pPr>
        <w:spacing w:line="360" w:lineRule="auto"/>
        <w:ind w:firstLine="420" w:firstLineChars="200"/>
        <w:rPr>
          <w:rFonts w:ascii="宋体" w:hAnsi="宋体"/>
        </w:rPr>
      </w:pPr>
      <w:r>
        <w:rPr>
          <w:rFonts w:ascii="宋体" w:hAnsi="宋体"/>
        </w:rPr>
        <w:t>生料粉经提升机，溢流式生料分配器，由六条空气斜槽布料进入生料均化库。设置一座Φ15m均化库储存、均化生料。库内分六个卸料区，生料按照一定的顺序分别由各个卸料区卸出进入搅拌仓进行搅拌，均化作用主要由库内重力切割和搅拌仓的搅拌来实现。出库生料CaCO</w:t>
      </w:r>
      <w:r>
        <w:rPr>
          <w:rFonts w:ascii="宋体" w:hAnsi="宋体"/>
          <w:vertAlign w:val="subscript"/>
        </w:rPr>
        <w:t>3</w:t>
      </w:r>
      <w:r>
        <w:rPr>
          <w:rFonts w:ascii="宋体" w:hAnsi="宋体"/>
        </w:rPr>
        <w:t>标准偏差控制在±0.25%。出库生料经斜槽输送到库底的计量仓，仓上带有荷重传感器、充气装置。计量仓内料面的波动将直接影响冲出仓的流量阀物料的稳定，因此根据计量仓的荷重传感器计的仓重信号来调节出库的流量阀，以使仓内维持一个稳定的料面。仓下设有由流量控制阀和冲板流量计组成的喂料计量系统，通过冲板流量计测量出的流量，调节流量阀以实现喂料量的调节。经计量的生料通过空气斜槽送至窑尾提升机，将生料喂入窑尾预热器。</w:t>
      </w:r>
    </w:p>
    <w:p>
      <w:pPr>
        <w:spacing w:line="360" w:lineRule="auto"/>
        <w:ind w:firstLine="420" w:firstLineChars="200"/>
        <w:rPr>
          <w:rFonts w:ascii="宋体" w:hAnsi="宋体"/>
        </w:rPr>
      </w:pPr>
      <w:r>
        <w:rPr>
          <w:rFonts w:ascii="宋体" w:hAnsi="宋体"/>
        </w:rPr>
        <w:t>入窑尾提升机前设有取样器，通过对出库生料的取样、制样分析，来实现对烧成系统的操作指导。</w:t>
      </w:r>
    </w:p>
    <w:p>
      <w:pPr>
        <w:spacing w:line="360" w:lineRule="auto"/>
        <w:ind w:firstLine="420" w:firstLineChars="200"/>
        <w:rPr>
          <w:rFonts w:ascii="宋体" w:hAnsi="宋体"/>
        </w:rPr>
      </w:pPr>
      <w:r>
        <w:rPr>
          <w:rFonts w:ascii="宋体" w:hAnsi="宋体"/>
        </w:rPr>
        <w:t>均化库所用高压空气由罗茨风机提供。</w:t>
      </w:r>
    </w:p>
    <w:p>
      <w:pPr>
        <w:spacing w:line="360" w:lineRule="auto"/>
        <w:ind w:firstLine="420" w:firstLineChars="200"/>
        <w:rPr>
          <w:rFonts w:ascii="宋体" w:hAnsi="宋体"/>
        </w:rPr>
      </w:pPr>
      <w:r>
        <w:rPr>
          <w:rFonts w:hint="eastAsia" w:ascii="宋体" w:hAnsi="宋体"/>
        </w:rPr>
        <w:t>（11）</w:t>
      </w:r>
      <w:r>
        <w:rPr>
          <w:rFonts w:ascii="宋体" w:hAnsi="宋体"/>
        </w:rPr>
        <w:t>窑尾预分解系统</w:t>
      </w:r>
    </w:p>
    <w:p>
      <w:pPr>
        <w:spacing w:line="360" w:lineRule="auto"/>
        <w:ind w:firstLine="420" w:firstLineChars="200"/>
        <w:rPr>
          <w:rFonts w:ascii="宋体" w:hAnsi="宋体"/>
        </w:rPr>
      </w:pPr>
      <w:r>
        <w:rPr>
          <w:rFonts w:ascii="宋体" w:hAnsi="宋体"/>
        </w:rPr>
        <w:t>窑尾采用单列五级旋风预热器和CDC分解炉组成的窑外分解系统。</w:t>
      </w:r>
    </w:p>
    <w:p>
      <w:pPr>
        <w:spacing w:line="360" w:lineRule="auto"/>
        <w:ind w:firstLine="420" w:firstLineChars="200"/>
        <w:rPr>
          <w:rFonts w:ascii="宋体" w:hAnsi="宋体"/>
        </w:rPr>
      </w:pPr>
      <w:r>
        <w:rPr>
          <w:rFonts w:ascii="宋体" w:hAnsi="宋体"/>
        </w:rPr>
        <w:t>来自均化库的合格生料经五级旋风预热器和分解炉预热、预分解后入窑煅烧。出预热器气体经窑尾高温风机排出，进入生料磨作为烘干热源。</w:t>
      </w:r>
    </w:p>
    <w:p>
      <w:pPr>
        <w:spacing w:line="360" w:lineRule="auto"/>
        <w:ind w:firstLine="420" w:firstLineChars="200"/>
        <w:rPr>
          <w:rFonts w:ascii="宋体" w:hAnsi="宋体"/>
        </w:rPr>
      </w:pPr>
      <w:r>
        <w:rPr>
          <w:rFonts w:hint="eastAsia" w:ascii="宋体" w:hAnsi="宋体"/>
        </w:rPr>
        <w:t>（12）</w:t>
      </w:r>
      <w:r>
        <w:rPr>
          <w:rFonts w:ascii="宋体" w:hAnsi="宋体"/>
        </w:rPr>
        <w:t xml:space="preserve"> 烧成窑中及窑头</w:t>
      </w:r>
    </w:p>
    <w:p>
      <w:pPr>
        <w:spacing w:line="360" w:lineRule="auto"/>
        <w:ind w:firstLine="420" w:firstLineChars="200"/>
        <w:rPr>
          <w:rFonts w:ascii="宋体" w:hAnsi="宋体"/>
        </w:rPr>
      </w:pPr>
      <w:r>
        <w:rPr>
          <w:rFonts w:ascii="宋体" w:hAnsi="宋体"/>
        </w:rPr>
        <w:t>生料在预分解系统内预分解后，进入Φ4×60m回转窑内煅烧成熟料。为了达到良好的煅烧操作和保证熟料质量的稳定，窑头煤粉燃烧器采用先进的多通道喷煤管。</w:t>
      </w:r>
    </w:p>
    <w:p>
      <w:pPr>
        <w:spacing w:line="360" w:lineRule="auto"/>
        <w:ind w:firstLine="420" w:firstLineChars="200"/>
        <w:rPr>
          <w:rFonts w:ascii="宋体" w:hAnsi="宋体"/>
        </w:rPr>
      </w:pPr>
      <w:r>
        <w:rPr>
          <w:rFonts w:ascii="宋体" w:hAnsi="宋体"/>
        </w:rPr>
        <w:t>从回转窑进入篦冷机的高温熟料，由篦板下鼓入的冷空气急速冷却，出篦冷机的熟料温度为环境温度+65℃，冷却破碎后的熟料由链斗输送机送入熟料库。</w:t>
      </w:r>
    </w:p>
    <w:p>
      <w:pPr>
        <w:spacing w:line="360" w:lineRule="auto"/>
        <w:ind w:firstLine="420" w:firstLineChars="200"/>
        <w:rPr>
          <w:rFonts w:ascii="宋体" w:hAnsi="宋体"/>
        </w:rPr>
      </w:pPr>
      <w:r>
        <w:rPr>
          <w:rFonts w:ascii="宋体" w:hAnsi="宋体"/>
        </w:rPr>
        <w:t>篦冷机高温废气一部分作为窑用二次空气；另一部分由三次风管送到分解炉作为燃烧空气；再有一部分废气送往煤磨，作为煤粉制备的烘干热源；剩余废气经电尘器收尘后达标排出。电除尘器收下的粉尘经链运机送到熟料链斗机上入熟料库。</w:t>
      </w:r>
    </w:p>
    <w:p>
      <w:pPr>
        <w:spacing w:line="360" w:lineRule="auto"/>
        <w:ind w:firstLine="420" w:firstLineChars="200"/>
        <w:rPr>
          <w:rFonts w:ascii="宋体" w:hAnsi="宋体"/>
        </w:rPr>
      </w:pPr>
      <w:r>
        <w:rPr>
          <w:rFonts w:hint="eastAsia" w:ascii="宋体" w:hAnsi="宋体"/>
        </w:rPr>
        <w:t>（13）</w:t>
      </w:r>
      <w:r>
        <w:rPr>
          <w:rFonts w:ascii="宋体" w:hAnsi="宋体"/>
        </w:rPr>
        <w:t>熟料储存及输送</w:t>
      </w:r>
    </w:p>
    <w:p>
      <w:pPr>
        <w:spacing w:line="360" w:lineRule="auto"/>
        <w:ind w:firstLine="420" w:firstLineChars="200"/>
        <w:rPr>
          <w:rFonts w:ascii="宋体" w:hAnsi="宋体"/>
        </w:rPr>
      </w:pPr>
      <w:r>
        <w:rPr>
          <w:rFonts w:ascii="宋体" w:hAnsi="宋体"/>
        </w:rPr>
        <w:t>经破碎、冷却后的熟料由链斗输送机送入一座Φ26m熟料库中储存。熟料库库侧考虑熟料汽车散装系统，用于散装商品熟料。</w:t>
      </w:r>
    </w:p>
    <w:p>
      <w:pPr>
        <w:spacing w:line="360" w:lineRule="auto"/>
        <w:ind w:firstLine="420" w:firstLineChars="200"/>
        <w:rPr>
          <w:rFonts w:ascii="宋体" w:hAnsi="宋体"/>
        </w:rPr>
      </w:pPr>
      <w:r>
        <w:rPr>
          <w:rFonts w:hint="eastAsia" w:ascii="宋体" w:hAnsi="宋体"/>
        </w:rPr>
        <w:t>（14）</w:t>
      </w:r>
      <w:r>
        <w:rPr>
          <w:rFonts w:ascii="宋体" w:hAnsi="宋体"/>
        </w:rPr>
        <w:t>煤粉制备</w:t>
      </w:r>
    </w:p>
    <w:p>
      <w:pPr>
        <w:spacing w:line="360" w:lineRule="auto"/>
        <w:ind w:firstLine="420" w:firstLineChars="200"/>
        <w:rPr>
          <w:rFonts w:ascii="宋体" w:hAnsi="宋体"/>
        </w:rPr>
      </w:pPr>
      <w:r>
        <w:rPr>
          <w:rFonts w:ascii="宋体" w:hAnsi="宋体"/>
        </w:rPr>
        <w:t>原煤经过磨头原煤仓皮带秤计量，喂入ZGM80立磨进行烘干和粉磨，烘干用热风来自窑头篦冷机废气。出磨煤粉由煤磨专用高浓度防爆袋收尘器收集，收下的煤粉送入两个煤粉仓，煤粉仓下设有计量秤，对煤粉进行计量，计量后的煤粉用罗茨风机分别送入窑头多通道喷煤管及窑尾分解炉燃烧器。出磨废气经袋收尘器收尘净化后的气体达标排出。</w:t>
      </w:r>
    </w:p>
    <w:p>
      <w:pPr>
        <w:spacing w:line="360" w:lineRule="auto"/>
        <w:ind w:firstLine="420" w:firstLineChars="200"/>
        <w:rPr>
          <w:rFonts w:ascii="宋体" w:hAnsi="宋体"/>
        </w:rPr>
      </w:pPr>
      <w:r>
        <w:rPr>
          <w:rFonts w:hint="eastAsia" w:ascii="宋体" w:hAnsi="宋体"/>
        </w:rPr>
        <w:t>（15）</w:t>
      </w:r>
      <w:r>
        <w:rPr>
          <w:rFonts w:ascii="宋体" w:hAnsi="宋体"/>
        </w:rPr>
        <w:t xml:space="preserve"> 混合材输送</w:t>
      </w:r>
    </w:p>
    <w:p>
      <w:pPr>
        <w:spacing w:line="360" w:lineRule="auto"/>
        <w:ind w:firstLine="420" w:firstLineChars="200"/>
        <w:rPr>
          <w:rFonts w:ascii="宋体" w:hAnsi="宋体"/>
        </w:rPr>
      </w:pPr>
      <w:r>
        <w:rPr>
          <w:rFonts w:ascii="宋体" w:hAnsi="宋体"/>
        </w:rPr>
        <w:t>烧煤矸石及高炉渣由汽车分别运输进厂，先卸至堆棚，再由铲车分别运至卸车坑，经皮带机输送至水泥磨头仓经皮带计量秤送入水泥磨粉磨。</w:t>
      </w:r>
    </w:p>
    <w:p>
      <w:pPr>
        <w:spacing w:line="360" w:lineRule="auto"/>
        <w:ind w:firstLine="420" w:firstLineChars="200"/>
        <w:rPr>
          <w:rFonts w:ascii="宋体" w:hAnsi="宋体"/>
        </w:rPr>
      </w:pPr>
      <w:r>
        <w:rPr>
          <w:rFonts w:hint="eastAsia" w:ascii="宋体" w:hAnsi="宋体"/>
        </w:rPr>
        <w:t>（16）</w:t>
      </w:r>
      <w:r>
        <w:rPr>
          <w:rFonts w:ascii="宋体" w:hAnsi="宋体"/>
        </w:rPr>
        <w:t>水泥配料及粉磨</w:t>
      </w:r>
    </w:p>
    <w:p>
      <w:pPr>
        <w:spacing w:line="360" w:lineRule="auto"/>
        <w:ind w:firstLine="420" w:firstLineChars="200"/>
        <w:rPr>
          <w:rFonts w:ascii="宋体" w:hAnsi="宋体"/>
        </w:rPr>
      </w:pPr>
      <w:r>
        <w:rPr>
          <w:rFonts w:ascii="宋体" w:hAnsi="宋体"/>
        </w:rPr>
        <w:t>配料库中的熟料、石膏、烧煤矸石及矿渣分别由配料库底微机配料秤按设定的比例搭配后，由带式输送机送入水泥磨内粉磨。</w:t>
      </w:r>
    </w:p>
    <w:p>
      <w:pPr>
        <w:spacing w:line="360" w:lineRule="auto"/>
        <w:ind w:firstLine="420" w:firstLineChars="200"/>
        <w:rPr>
          <w:rFonts w:ascii="宋体" w:hAnsi="宋体"/>
        </w:rPr>
      </w:pPr>
      <w:r>
        <w:rPr>
          <w:rFonts w:hint="eastAsia" w:ascii="宋体" w:hAnsi="宋体"/>
        </w:rPr>
        <w:t>（17）</w:t>
      </w:r>
      <w:r>
        <w:rPr>
          <w:rFonts w:ascii="宋体" w:hAnsi="宋体"/>
        </w:rPr>
        <w:t>水泥储存及散装</w:t>
      </w:r>
    </w:p>
    <w:p>
      <w:pPr>
        <w:spacing w:line="360" w:lineRule="auto"/>
        <w:ind w:firstLine="420" w:firstLineChars="200"/>
        <w:rPr>
          <w:rFonts w:ascii="宋体" w:hAnsi="宋体"/>
        </w:rPr>
      </w:pPr>
      <w:r>
        <w:rPr>
          <w:rFonts w:ascii="宋体" w:hAnsi="宋体"/>
        </w:rPr>
        <w:t>设4座Φ15m水泥库储存出磨水泥，出库水泥经斜槽，提升机输送至包装系统。库底设汽车散装系统供散装水泥出厂。</w:t>
      </w:r>
    </w:p>
    <w:p>
      <w:pPr>
        <w:spacing w:line="360" w:lineRule="auto"/>
        <w:ind w:firstLine="420" w:firstLineChars="200"/>
        <w:rPr>
          <w:rFonts w:ascii="宋体" w:hAnsi="宋体"/>
        </w:rPr>
      </w:pPr>
      <w:r>
        <w:rPr>
          <w:rFonts w:hint="eastAsia" w:ascii="宋体" w:hAnsi="宋体"/>
        </w:rPr>
        <w:t>（18）</w:t>
      </w:r>
      <w:r>
        <w:rPr>
          <w:rFonts w:ascii="宋体" w:hAnsi="宋体"/>
        </w:rPr>
        <w:t xml:space="preserve"> 水泥包装及成品库</w:t>
      </w:r>
    </w:p>
    <w:p>
      <w:pPr>
        <w:spacing w:line="360" w:lineRule="auto"/>
        <w:ind w:firstLine="420" w:firstLineChars="200"/>
        <w:rPr>
          <w:rFonts w:ascii="宋体" w:hAnsi="宋体"/>
        </w:rPr>
      </w:pPr>
      <w:r>
        <w:rPr>
          <w:rFonts w:ascii="宋体" w:hAnsi="宋体"/>
        </w:rPr>
        <w:t>水泥包装机选用两台回转式八嘴包装机。来自水泥库的水泥由提升机经斜槽送至振动筛，筛去杂物后进入衡压仓，再进入八嘴回转式包装机包装成袋装水泥，由电子秤计量，包装后的水泥用带式输送机送至24×78m成品库内堆放。</w:t>
      </w:r>
    </w:p>
    <w:p>
      <w:pPr>
        <w:spacing w:line="360" w:lineRule="auto"/>
        <w:outlineLvl w:val="2"/>
        <w:rPr>
          <w:rFonts w:hint="eastAsia"/>
          <w:b/>
          <w:bCs/>
          <w:szCs w:val="20"/>
        </w:rPr>
      </w:pPr>
      <w:r>
        <w:rPr>
          <w:rFonts w:hint="eastAsia"/>
          <w:b/>
          <w:bCs/>
          <w:szCs w:val="20"/>
        </w:rPr>
        <w:t>3.2.3物料平衡</w:t>
      </w:r>
      <w:bookmarkEnd w:id="144"/>
      <w:bookmarkEnd w:id="145"/>
      <w:bookmarkEnd w:id="146"/>
      <w:r>
        <w:rPr>
          <w:rFonts w:hint="eastAsia"/>
          <w:b/>
          <w:bCs/>
          <w:szCs w:val="20"/>
        </w:rPr>
        <w:t>、硫平衡</w:t>
      </w:r>
    </w:p>
    <w:p>
      <w:pPr>
        <w:spacing w:line="360" w:lineRule="auto"/>
        <w:ind w:firstLine="420" w:firstLineChars="200"/>
        <w:rPr>
          <w:rFonts w:hint="eastAsia"/>
        </w:rPr>
      </w:pPr>
      <w:r>
        <w:rPr>
          <w:rFonts w:hint="eastAsia"/>
        </w:rPr>
        <w:t>水泥生产物料平衡见表3-11，硫平衡见图3.4。</w:t>
      </w:r>
    </w:p>
    <w:p>
      <w:pPr>
        <w:spacing w:line="480" w:lineRule="exact"/>
        <w:jc w:val="center"/>
        <w:rPr>
          <w:rFonts w:hint="eastAsia" w:ascii="宋体" w:hAnsi="宋体"/>
          <w:b/>
        </w:rPr>
      </w:pPr>
      <w:r>
        <w:rPr>
          <w:rFonts w:hint="eastAsia" w:ascii="宋体" w:hAnsi="宋体"/>
          <w:b/>
        </w:rPr>
        <w:t>表3-11   技改项目水泥生产物料平衡表</w:t>
      </w:r>
    </w:p>
    <w:tbl>
      <w:tblPr>
        <w:tblStyle w:val="21"/>
        <w:tblW w:w="9752" w:type="dxa"/>
        <w:tblInd w:w="-55" w:type="dxa"/>
        <w:tblLayout w:type="fixed"/>
        <w:tblCellMar>
          <w:top w:w="0" w:type="dxa"/>
          <w:left w:w="0" w:type="dxa"/>
          <w:bottom w:w="0" w:type="dxa"/>
          <w:right w:w="0" w:type="dxa"/>
        </w:tblCellMar>
      </w:tblPr>
      <w:tblGrid>
        <w:gridCol w:w="810"/>
        <w:gridCol w:w="890"/>
        <w:gridCol w:w="665"/>
        <w:gridCol w:w="670"/>
        <w:gridCol w:w="840"/>
        <w:gridCol w:w="800"/>
        <w:gridCol w:w="710"/>
        <w:gridCol w:w="810"/>
        <w:gridCol w:w="975"/>
        <w:gridCol w:w="765"/>
        <w:gridCol w:w="690"/>
        <w:gridCol w:w="1127"/>
      </w:tblGrid>
      <w:tr>
        <w:tblPrEx>
          <w:tblLayout w:type="fixed"/>
          <w:tblCellMar>
            <w:top w:w="0" w:type="dxa"/>
            <w:left w:w="0" w:type="dxa"/>
            <w:bottom w:w="0" w:type="dxa"/>
            <w:right w:w="0" w:type="dxa"/>
          </w:tblCellMar>
        </w:tblPrEx>
        <w:trPr>
          <w:cantSplit/>
          <w:trHeight w:val="379" w:hRule="atLeast"/>
        </w:trPr>
        <w:tc>
          <w:tcPr>
            <w:tcW w:w="1700"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物料名称</w:t>
            </w:r>
          </w:p>
        </w:tc>
        <w:tc>
          <w:tcPr>
            <w:tcW w:w="665" w:type="dxa"/>
            <w:vMerge w:val="restart"/>
            <w:tcBorders>
              <w:top w:val="single" w:color="auto" w:sz="4" w:space="0"/>
              <w:left w:val="nil"/>
              <w:right w:val="single" w:color="auto" w:sz="4" w:space="0"/>
            </w:tcBorders>
            <w:vAlign w:val="center"/>
          </w:tcPr>
          <w:p>
            <w:pPr>
              <w:jc w:val="center"/>
              <w:rPr>
                <w:rFonts w:ascii="宋体" w:hAnsi="宋体"/>
                <w:sz w:val="21"/>
                <w:szCs w:val="21"/>
              </w:rPr>
            </w:pPr>
            <w:r>
              <w:rPr>
                <w:rFonts w:ascii="宋体" w:hAnsi="宋体"/>
                <w:sz w:val="21"/>
                <w:szCs w:val="21"/>
              </w:rPr>
              <w:t>天然水分（%）</w:t>
            </w:r>
          </w:p>
        </w:tc>
        <w:tc>
          <w:tcPr>
            <w:tcW w:w="670" w:type="dxa"/>
            <w:vMerge w:val="restart"/>
            <w:tcBorders>
              <w:top w:val="single" w:color="auto" w:sz="4" w:space="0"/>
              <w:left w:val="nil"/>
              <w:right w:val="single" w:color="auto" w:sz="4" w:space="0"/>
            </w:tcBorders>
            <w:vAlign w:val="center"/>
          </w:tcPr>
          <w:p>
            <w:pPr>
              <w:jc w:val="center"/>
              <w:rPr>
                <w:rFonts w:ascii="宋体" w:hAnsi="宋体"/>
                <w:sz w:val="21"/>
                <w:szCs w:val="21"/>
              </w:rPr>
            </w:pPr>
            <w:r>
              <w:rPr>
                <w:rFonts w:ascii="宋体" w:hAnsi="宋体"/>
                <w:sz w:val="21"/>
                <w:szCs w:val="21"/>
              </w:rPr>
              <w:t>配合比</w:t>
            </w:r>
          </w:p>
          <w:p>
            <w:pPr>
              <w:jc w:val="center"/>
              <w:rPr>
                <w:rFonts w:ascii="宋体" w:hAnsi="宋体"/>
                <w:sz w:val="21"/>
                <w:szCs w:val="21"/>
              </w:rPr>
            </w:pPr>
            <w:r>
              <w:rPr>
                <w:rFonts w:ascii="宋体" w:hAnsi="宋体"/>
                <w:sz w:val="21"/>
                <w:szCs w:val="21"/>
              </w:rPr>
              <w:t>（%）</w:t>
            </w:r>
          </w:p>
        </w:tc>
        <w:tc>
          <w:tcPr>
            <w:tcW w:w="1640" w:type="dxa"/>
            <w:gridSpan w:val="2"/>
            <w:vMerge w:val="restart"/>
            <w:tcBorders>
              <w:top w:val="single" w:color="auto" w:sz="4" w:space="0"/>
              <w:left w:val="nil"/>
              <w:right w:val="single" w:color="auto" w:sz="4" w:space="0"/>
            </w:tcBorders>
            <w:vAlign w:val="center"/>
          </w:tcPr>
          <w:p>
            <w:pPr>
              <w:jc w:val="center"/>
              <w:rPr>
                <w:rFonts w:ascii="宋体" w:hAnsi="宋体"/>
                <w:sz w:val="21"/>
                <w:szCs w:val="21"/>
              </w:rPr>
            </w:pPr>
            <w:r>
              <w:rPr>
                <w:rFonts w:ascii="宋体" w:hAnsi="宋体"/>
                <w:sz w:val="21"/>
                <w:szCs w:val="21"/>
              </w:rPr>
              <w:t>每吨熟料消耗定额</w:t>
            </w:r>
          </w:p>
          <w:p>
            <w:pPr>
              <w:jc w:val="center"/>
              <w:rPr>
                <w:rFonts w:ascii="宋体" w:hAnsi="宋体"/>
                <w:sz w:val="21"/>
                <w:szCs w:val="21"/>
              </w:rPr>
            </w:pPr>
            <w:r>
              <w:rPr>
                <w:rFonts w:ascii="宋体" w:hAnsi="宋体"/>
                <w:sz w:val="21"/>
                <w:szCs w:val="21"/>
              </w:rPr>
              <w:t>（千克/吨熟料）</w:t>
            </w:r>
          </w:p>
        </w:tc>
        <w:tc>
          <w:tcPr>
            <w:tcW w:w="5077" w:type="dxa"/>
            <w:gridSpan w:val="6"/>
            <w:tcBorders>
              <w:top w:val="single" w:color="auto" w:sz="4" w:space="0"/>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物料平衡量（t）</w:t>
            </w:r>
          </w:p>
        </w:tc>
      </w:tr>
      <w:tr>
        <w:tblPrEx>
          <w:tblLayout w:type="fixed"/>
          <w:tblCellMar>
            <w:top w:w="0" w:type="dxa"/>
            <w:left w:w="0" w:type="dxa"/>
            <w:bottom w:w="0" w:type="dxa"/>
            <w:right w:w="0" w:type="dxa"/>
          </w:tblCellMar>
        </w:tblPrEx>
        <w:trPr>
          <w:cantSplit/>
          <w:trHeight w:val="455" w:hRule="atLeast"/>
        </w:trPr>
        <w:tc>
          <w:tcPr>
            <w:tcW w:w="1700"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665" w:type="dxa"/>
            <w:vMerge w:val="continue"/>
            <w:tcBorders>
              <w:left w:val="nil"/>
              <w:right w:val="single" w:color="auto" w:sz="4" w:space="0"/>
            </w:tcBorders>
            <w:vAlign w:val="center"/>
          </w:tcPr>
          <w:p>
            <w:pPr>
              <w:jc w:val="center"/>
              <w:rPr>
                <w:rFonts w:ascii="宋体" w:hAnsi="宋体"/>
                <w:sz w:val="21"/>
                <w:szCs w:val="21"/>
              </w:rPr>
            </w:pPr>
          </w:p>
        </w:tc>
        <w:tc>
          <w:tcPr>
            <w:tcW w:w="670" w:type="dxa"/>
            <w:vMerge w:val="continue"/>
            <w:tcBorders>
              <w:left w:val="nil"/>
              <w:right w:val="single" w:color="auto" w:sz="4" w:space="0"/>
            </w:tcBorders>
            <w:vAlign w:val="center"/>
          </w:tcPr>
          <w:p>
            <w:pPr>
              <w:jc w:val="center"/>
              <w:rPr>
                <w:rFonts w:ascii="宋体" w:hAnsi="宋体"/>
                <w:sz w:val="21"/>
                <w:szCs w:val="21"/>
              </w:rPr>
            </w:pPr>
          </w:p>
        </w:tc>
        <w:tc>
          <w:tcPr>
            <w:tcW w:w="1640" w:type="dxa"/>
            <w:gridSpan w:val="2"/>
            <w:vMerge w:val="continue"/>
            <w:tcBorders>
              <w:left w:val="nil"/>
              <w:bottom w:val="single" w:color="auto" w:sz="4" w:space="0"/>
              <w:right w:val="single" w:color="auto" w:sz="4" w:space="0"/>
            </w:tcBorders>
            <w:vAlign w:val="center"/>
          </w:tcPr>
          <w:p>
            <w:pPr>
              <w:jc w:val="center"/>
              <w:rPr>
                <w:rFonts w:ascii="宋体" w:hAnsi="宋体"/>
                <w:sz w:val="21"/>
                <w:szCs w:val="21"/>
              </w:rPr>
            </w:pPr>
          </w:p>
        </w:tc>
        <w:tc>
          <w:tcPr>
            <w:tcW w:w="2495" w:type="dxa"/>
            <w:gridSpan w:val="3"/>
            <w:tcBorders>
              <w:top w:val="single" w:color="auto" w:sz="4" w:space="0"/>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干基物料</w:t>
            </w:r>
          </w:p>
        </w:tc>
        <w:tc>
          <w:tcPr>
            <w:tcW w:w="2582" w:type="dxa"/>
            <w:gridSpan w:val="3"/>
            <w:tcBorders>
              <w:top w:val="single" w:color="auto" w:sz="4" w:space="0"/>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含天然水分物料</w:t>
            </w:r>
          </w:p>
        </w:tc>
      </w:tr>
      <w:tr>
        <w:tblPrEx>
          <w:tblLayout w:type="fixed"/>
          <w:tblCellMar>
            <w:top w:w="0" w:type="dxa"/>
            <w:left w:w="0" w:type="dxa"/>
            <w:bottom w:w="0" w:type="dxa"/>
            <w:right w:w="0" w:type="dxa"/>
          </w:tblCellMar>
        </w:tblPrEx>
        <w:trPr>
          <w:cantSplit/>
          <w:trHeight w:val="458" w:hRule="atLeast"/>
        </w:trPr>
        <w:tc>
          <w:tcPr>
            <w:tcW w:w="1700"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665" w:type="dxa"/>
            <w:vMerge w:val="continue"/>
            <w:tcBorders>
              <w:left w:val="nil"/>
              <w:bottom w:val="single" w:color="auto" w:sz="4" w:space="0"/>
              <w:right w:val="single" w:color="auto" w:sz="4" w:space="0"/>
            </w:tcBorders>
            <w:vAlign w:val="center"/>
          </w:tcPr>
          <w:p>
            <w:pPr>
              <w:jc w:val="center"/>
              <w:rPr>
                <w:rFonts w:ascii="宋体" w:hAnsi="宋体"/>
                <w:sz w:val="21"/>
                <w:szCs w:val="21"/>
              </w:rPr>
            </w:pPr>
          </w:p>
        </w:tc>
        <w:tc>
          <w:tcPr>
            <w:tcW w:w="670" w:type="dxa"/>
            <w:vMerge w:val="continue"/>
            <w:tcBorders>
              <w:left w:val="nil"/>
              <w:bottom w:val="single" w:color="auto" w:sz="4" w:space="0"/>
              <w:right w:val="single" w:color="auto" w:sz="4" w:space="0"/>
            </w:tcBorders>
            <w:vAlign w:val="center"/>
          </w:tcPr>
          <w:p>
            <w:pPr>
              <w:jc w:val="center"/>
              <w:rPr>
                <w:rFonts w:ascii="宋体" w:hAnsi="宋体"/>
                <w:sz w:val="21"/>
                <w:szCs w:val="21"/>
              </w:rPr>
            </w:pPr>
          </w:p>
        </w:tc>
        <w:tc>
          <w:tcPr>
            <w:tcW w:w="84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干基</w:t>
            </w:r>
          </w:p>
        </w:tc>
        <w:tc>
          <w:tcPr>
            <w:tcW w:w="80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湿基</w:t>
            </w:r>
          </w:p>
        </w:tc>
        <w:tc>
          <w:tcPr>
            <w:tcW w:w="71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每小时</w:t>
            </w:r>
          </w:p>
        </w:tc>
        <w:tc>
          <w:tcPr>
            <w:tcW w:w="81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每天</w:t>
            </w:r>
          </w:p>
        </w:tc>
        <w:tc>
          <w:tcPr>
            <w:tcW w:w="975"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每年</w:t>
            </w:r>
          </w:p>
        </w:tc>
        <w:tc>
          <w:tcPr>
            <w:tcW w:w="765"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每小时</w:t>
            </w:r>
          </w:p>
        </w:tc>
        <w:tc>
          <w:tcPr>
            <w:tcW w:w="690" w:type="dxa"/>
            <w:tcBorders>
              <w:top w:val="nil"/>
              <w:left w:val="nil"/>
              <w:bottom w:val="single" w:color="auto" w:sz="4" w:space="0"/>
              <w:right w:val="nil"/>
            </w:tcBorders>
            <w:vAlign w:val="center"/>
          </w:tcPr>
          <w:p>
            <w:pPr>
              <w:jc w:val="center"/>
              <w:rPr>
                <w:rFonts w:ascii="宋体" w:hAnsi="宋体"/>
                <w:sz w:val="21"/>
                <w:szCs w:val="21"/>
              </w:rPr>
            </w:pPr>
            <w:r>
              <w:rPr>
                <w:rFonts w:ascii="宋体" w:hAnsi="宋体"/>
                <w:sz w:val="21"/>
                <w:szCs w:val="21"/>
              </w:rPr>
              <w:t>每天</w:t>
            </w:r>
          </w:p>
        </w:tc>
        <w:tc>
          <w:tcPr>
            <w:tcW w:w="1127" w:type="dxa"/>
            <w:tcBorders>
              <w:top w:val="nil"/>
              <w:left w:val="single" w:color="auto" w:sz="4" w:space="0"/>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每年</w:t>
            </w:r>
          </w:p>
        </w:tc>
      </w:tr>
      <w:tr>
        <w:tblPrEx>
          <w:tblLayout w:type="fixed"/>
          <w:tblCellMar>
            <w:top w:w="0" w:type="dxa"/>
            <w:left w:w="0" w:type="dxa"/>
            <w:bottom w:w="0" w:type="dxa"/>
            <w:right w:w="0" w:type="dxa"/>
          </w:tblCellMar>
        </w:tblPrEx>
        <w:trPr>
          <w:trHeight w:val="402" w:hRule="atLeast"/>
        </w:trPr>
        <w:tc>
          <w:tcPr>
            <w:tcW w:w="810" w:type="dxa"/>
            <w:tcBorders>
              <w:top w:val="nil"/>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89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石灰石</w:t>
            </w:r>
          </w:p>
        </w:tc>
        <w:tc>
          <w:tcPr>
            <w:tcW w:w="665"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w:t>
            </w:r>
          </w:p>
        </w:tc>
        <w:tc>
          <w:tcPr>
            <w:tcW w:w="67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85.67</w:t>
            </w:r>
          </w:p>
        </w:tc>
        <w:tc>
          <w:tcPr>
            <w:tcW w:w="84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1301.30</w:t>
            </w:r>
          </w:p>
        </w:tc>
        <w:tc>
          <w:tcPr>
            <w:tcW w:w="80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1314.44</w:t>
            </w:r>
          </w:p>
        </w:tc>
        <w:tc>
          <w:tcPr>
            <w:tcW w:w="71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135.56</w:t>
            </w:r>
          </w:p>
        </w:tc>
        <w:tc>
          <w:tcPr>
            <w:tcW w:w="81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3253</w:t>
            </w:r>
          </w:p>
        </w:tc>
        <w:tc>
          <w:tcPr>
            <w:tcW w:w="975"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1008430</w:t>
            </w:r>
          </w:p>
        </w:tc>
        <w:tc>
          <w:tcPr>
            <w:tcW w:w="765"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136.92</w:t>
            </w:r>
          </w:p>
        </w:tc>
        <w:tc>
          <w:tcPr>
            <w:tcW w:w="690" w:type="dxa"/>
            <w:tcBorders>
              <w:top w:val="nil"/>
              <w:left w:val="nil"/>
              <w:bottom w:val="single" w:color="auto" w:sz="4" w:space="0"/>
              <w:right w:val="nil"/>
            </w:tcBorders>
            <w:vAlign w:val="center"/>
          </w:tcPr>
          <w:p>
            <w:pPr>
              <w:jc w:val="center"/>
              <w:rPr>
                <w:rFonts w:ascii="宋体" w:hAnsi="宋体"/>
                <w:sz w:val="21"/>
                <w:szCs w:val="21"/>
              </w:rPr>
            </w:pPr>
            <w:r>
              <w:rPr>
                <w:rFonts w:ascii="宋体" w:hAnsi="宋体"/>
                <w:sz w:val="21"/>
                <w:szCs w:val="21"/>
              </w:rPr>
              <w:t>3286</w:t>
            </w:r>
          </w:p>
        </w:tc>
        <w:tc>
          <w:tcPr>
            <w:tcW w:w="1127" w:type="dxa"/>
            <w:tcBorders>
              <w:top w:val="nil"/>
              <w:left w:val="single" w:color="auto" w:sz="4" w:space="0"/>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1018660</w:t>
            </w:r>
          </w:p>
        </w:tc>
      </w:tr>
      <w:tr>
        <w:tblPrEx>
          <w:tblLayout w:type="fixed"/>
          <w:tblCellMar>
            <w:top w:w="0" w:type="dxa"/>
            <w:left w:w="0" w:type="dxa"/>
            <w:bottom w:w="0" w:type="dxa"/>
            <w:right w:w="0" w:type="dxa"/>
          </w:tblCellMar>
        </w:tblPrEx>
        <w:trPr>
          <w:trHeight w:val="402" w:hRule="atLeast"/>
        </w:trPr>
        <w:tc>
          <w:tcPr>
            <w:tcW w:w="810" w:type="dxa"/>
            <w:tcBorders>
              <w:top w:val="nil"/>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89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砂岩</w:t>
            </w:r>
          </w:p>
        </w:tc>
        <w:tc>
          <w:tcPr>
            <w:tcW w:w="665"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w:t>
            </w:r>
          </w:p>
        </w:tc>
        <w:tc>
          <w:tcPr>
            <w:tcW w:w="67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5.67</w:t>
            </w:r>
          </w:p>
        </w:tc>
        <w:tc>
          <w:tcPr>
            <w:tcW w:w="84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86.04</w:t>
            </w:r>
          </w:p>
        </w:tc>
        <w:tc>
          <w:tcPr>
            <w:tcW w:w="80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86.90</w:t>
            </w:r>
          </w:p>
        </w:tc>
        <w:tc>
          <w:tcPr>
            <w:tcW w:w="71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8.97</w:t>
            </w:r>
          </w:p>
        </w:tc>
        <w:tc>
          <w:tcPr>
            <w:tcW w:w="81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215</w:t>
            </w:r>
          </w:p>
        </w:tc>
        <w:tc>
          <w:tcPr>
            <w:tcW w:w="975"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66650</w:t>
            </w:r>
          </w:p>
        </w:tc>
        <w:tc>
          <w:tcPr>
            <w:tcW w:w="765"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9.0</w:t>
            </w:r>
          </w:p>
        </w:tc>
        <w:tc>
          <w:tcPr>
            <w:tcW w:w="690" w:type="dxa"/>
            <w:tcBorders>
              <w:top w:val="nil"/>
              <w:left w:val="nil"/>
              <w:bottom w:val="single" w:color="auto" w:sz="4" w:space="0"/>
              <w:right w:val="nil"/>
            </w:tcBorders>
            <w:vAlign w:val="center"/>
          </w:tcPr>
          <w:p>
            <w:pPr>
              <w:jc w:val="center"/>
              <w:rPr>
                <w:rFonts w:ascii="宋体" w:hAnsi="宋体"/>
                <w:sz w:val="21"/>
                <w:szCs w:val="21"/>
              </w:rPr>
            </w:pPr>
            <w:r>
              <w:rPr>
                <w:rFonts w:ascii="宋体" w:hAnsi="宋体"/>
                <w:sz w:val="21"/>
                <w:szCs w:val="21"/>
              </w:rPr>
              <w:t>216</w:t>
            </w:r>
          </w:p>
        </w:tc>
        <w:tc>
          <w:tcPr>
            <w:tcW w:w="1127" w:type="dxa"/>
            <w:tcBorders>
              <w:top w:val="nil"/>
              <w:left w:val="single" w:color="auto" w:sz="4" w:space="0"/>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66960</w:t>
            </w:r>
          </w:p>
        </w:tc>
      </w:tr>
      <w:tr>
        <w:tblPrEx>
          <w:tblLayout w:type="fixed"/>
          <w:tblCellMar>
            <w:top w:w="0" w:type="dxa"/>
            <w:left w:w="0" w:type="dxa"/>
            <w:bottom w:w="0" w:type="dxa"/>
            <w:right w:w="0" w:type="dxa"/>
          </w:tblCellMar>
        </w:tblPrEx>
        <w:trPr>
          <w:trHeight w:val="402" w:hRule="atLeast"/>
        </w:trPr>
        <w:tc>
          <w:tcPr>
            <w:tcW w:w="810" w:type="dxa"/>
            <w:tcBorders>
              <w:top w:val="nil"/>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89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煤矸石</w:t>
            </w:r>
          </w:p>
        </w:tc>
        <w:tc>
          <w:tcPr>
            <w:tcW w:w="665"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5</w:t>
            </w:r>
          </w:p>
        </w:tc>
        <w:tc>
          <w:tcPr>
            <w:tcW w:w="67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7.44</w:t>
            </w:r>
          </w:p>
        </w:tc>
        <w:tc>
          <w:tcPr>
            <w:tcW w:w="84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112.89</w:t>
            </w:r>
          </w:p>
        </w:tc>
        <w:tc>
          <w:tcPr>
            <w:tcW w:w="80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118.83</w:t>
            </w:r>
          </w:p>
        </w:tc>
        <w:tc>
          <w:tcPr>
            <w:tcW w:w="71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11.78</w:t>
            </w:r>
          </w:p>
        </w:tc>
        <w:tc>
          <w:tcPr>
            <w:tcW w:w="81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283</w:t>
            </w:r>
          </w:p>
        </w:tc>
        <w:tc>
          <w:tcPr>
            <w:tcW w:w="975"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87730</w:t>
            </w:r>
          </w:p>
        </w:tc>
        <w:tc>
          <w:tcPr>
            <w:tcW w:w="765"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12.37</w:t>
            </w:r>
          </w:p>
        </w:tc>
        <w:tc>
          <w:tcPr>
            <w:tcW w:w="690" w:type="dxa"/>
            <w:tcBorders>
              <w:top w:val="nil"/>
              <w:left w:val="nil"/>
              <w:bottom w:val="single" w:color="auto" w:sz="4" w:space="0"/>
              <w:right w:val="nil"/>
            </w:tcBorders>
            <w:vAlign w:val="center"/>
          </w:tcPr>
          <w:p>
            <w:pPr>
              <w:jc w:val="center"/>
              <w:rPr>
                <w:rFonts w:ascii="宋体" w:hAnsi="宋体"/>
                <w:sz w:val="21"/>
                <w:szCs w:val="21"/>
              </w:rPr>
            </w:pPr>
            <w:r>
              <w:rPr>
                <w:rFonts w:ascii="宋体" w:hAnsi="宋体"/>
                <w:sz w:val="21"/>
                <w:szCs w:val="21"/>
              </w:rPr>
              <w:t>296.9</w:t>
            </w:r>
          </w:p>
        </w:tc>
        <w:tc>
          <w:tcPr>
            <w:tcW w:w="1127" w:type="dxa"/>
            <w:tcBorders>
              <w:top w:val="nil"/>
              <w:left w:val="single" w:color="auto" w:sz="4" w:space="0"/>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92039</w:t>
            </w:r>
          </w:p>
        </w:tc>
      </w:tr>
      <w:tr>
        <w:tblPrEx>
          <w:tblLayout w:type="fixed"/>
          <w:tblCellMar>
            <w:top w:w="0" w:type="dxa"/>
            <w:left w:w="0" w:type="dxa"/>
            <w:bottom w:w="0" w:type="dxa"/>
            <w:right w:w="0" w:type="dxa"/>
          </w:tblCellMar>
        </w:tblPrEx>
        <w:trPr>
          <w:trHeight w:val="260" w:hRule="atLeast"/>
        </w:trPr>
        <w:tc>
          <w:tcPr>
            <w:tcW w:w="810" w:type="dxa"/>
            <w:tcBorders>
              <w:top w:val="nil"/>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89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硫酸渣</w:t>
            </w:r>
          </w:p>
        </w:tc>
        <w:tc>
          <w:tcPr>
            <w:tcW w:w="665"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18</w:t>
            </w:r>
          </w:p>
        </w:tc>
        <w:tc>
          <w:tcPr>
            <w:tcW w:w="67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1.13</w:t>
            </w:r>
          </w:p>
        </w:tc>
        <w:tc>
          <w:tcPr>
            <w:tcW w:w="84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17.15</w:t>
            </w:r>
          </w:p>
        </w:tc>
        <w:tc>
          <w:tcPr>
            <w:tcW w:w="80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20.91</w:t>
            </w:r>
          </w:p>
        </w:tc>
        <w:tc>
          <w:tcPr>
            <w:tcW w:w="71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1.80</w:t>
            </w:r>
          </w:p>
        </w:tc>
        <w:tc>
          <w:tcPr>
            <w:tcW w:w="81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43</w:t>
            </w:r>
          </w:p>
        </w:tc>
        <w:tc>
          <w:tcPr>
            <w:tcW w:w="975"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13330</w:t>
            </w:r>
          </w:p>
        </w:tc>
        <w:tc>
          <w:tcPr>
            <w:tcW w:w="765"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2.13</w:t>
            </w:r>
          </w:p>
        </w:tc>
        <w:tc>
          <w:tcPr>
            <w:tcW w:w="690" w:type="dxa"/>
            <w:tcBorders>
              <w:top w:val="nil"/>
              <w:left w:val="nil"/>
              <w:bottom w:val="single" w:color="auto" w:sz="4" w:space="0"/>
              <w:right w:val="nil"/>
            </w:tcBorders>
            <w:vAlign w:val="center"/>
          </w:tcPr>
          <w:p>
            <w:pPr>
              <w:jc w:val="center"/>
              <w:rPr>
                <w:rFonts w:ascii="宋体" w:hAnsi="宋体"/>
                <w:sz w:val="21"/>
                <w:szCs w:val="21"/>
              </w:rPr>
            </w:pPr>
            <w:r>
              <w:rPr>
                <w:rFonts w:ascii="宋体" w:hAnsi="宋体"/>
                <w:sz w:val="21"/>
                <w:szCs w:val="21"/>
              </w:rPr>
              <w:t>51.12</w:t>
            </w:r>
          </w:p>
        </w:tc>
        <w:tc>
          <w:tcPr>
            <w:tcW w:w="1127" w:type="dxa"/>
            <w:tcBorders>
              <w:top w:val="nil"/>
              <w:left w:val="single" w:color="auto" w:sz="4" w:space="0"/>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15847</w:t>
            </w:r>
          </w:p>
        </w:tc>
      </w:tr>
      <w:tr>
        <w:tblPrEx>
          <w:tblLayout w:type="fixed"/>
          <w:tblCellMar>
            <w:top w:w="0" w:type="dxa"/>
            <w:left w:w="0" w:type="dxa"/>
            <w:bottom w:w="0" w:type="dxa"/>
            <w:right w:w="0" w:type="dxa"/>
          </w:tblCellMar>
        </w:tblPrEx>
        <w:trPr>
          <w:trHeight w:val="402" w:hRule="atLeast"/>
        </w:trPr>
        <w:tc>
          <w:tcPr>
            <w:tcW w:w="810" w:type="dxa"/>
            <w:tcBorders>
              <w:top w:val="nil"/>
              <w:left w:val="single" w:color="auto" w:sz="4" w:space="0"/>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生料</w:t>
            </w:r>
          </w:p>
        </w:tc>
        <w:tc>
          <w:tcPr>
            <w:tcW w:w="89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生料</w:t>
            </w:r>
          </w:p>
        </w:tc>
        <w:tc>
          <w:tcPr>
            <w:tcW w:w="665"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670"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84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1517.37</w:t>
            </w:r>
          </w:p>
        </w:tc>
        <w:tc>
          <w:tcPr>
            <w:tcW w:w="800"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71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158.11</w:t>
            </w:r>
          </w:p>
        </w:tc>
        <w:tc>
          <w:tcPr>
            <w:tcW w:w="81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3795</w:t>
            </w:r>
          </w:p>
        </w:tc>
        <w:tc>
          <w:tcPr>
            <w:tcW w:w="975"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1176140</w:t>
            </w:r>
          </w:p>
        </w:tc>
        <w:tc>
          <w:tcPr>
            <w:tcW w:w="765"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160.42</w:t>
            </w:r>
          </w:p>
        </w:tc>
        <w:tc>
          <w:tcPr>
            <w:tcW w:w="690" w:type="dxa"/>
            <w:tcBorders>
              <w:top w:val="nil"/>
              <w:left w:val="nil"/>
              <w:bottom w:val="single" w:color="auto" w:sz="4" w:space="0"/>
              <w:right w:val="nil"/>
            </w:tcBorders>
            <w:vAlign w:val="center"/>
          </w:tcPr>
          <w:p>
            <w:pPr>
              <w:jc w:val="center"/>
              <w:rPr>
                <w:rFonts w:ascii="宋体" w:hAnsi="宋体"/>
                <w:sz w:val="21"/>
                <w:szCs w:val="21"/>
              </w:rPr>
            </w:pPr>
            <w:r>
              <w:rPr>
                <w:rFonts w:ascii="宋体" w:hAnsi="宋体"/>
                <w:sz w:val="21"/>
                <w:szCs w:val="21"/>
              </w:rPr>
              <w:t>3850</w:t>
            </w:r>
          </w:p>
        </w:tc>
        <w:tc>
          <w:tcPr>
            <w:tcW w:w="1127" w:type="dxa"/>
            <w:tcBorders>
              <w:top w:val="nil"/>
              <w:left w:val="single" w:color="auto" w:sz="4" w:space="0"/>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11935246</w:t>
            </w:r>
          </w:p>
        </w:tc>
      </w:tr>
      <w:tr>
        <w:tblPrEx>
          <w:tblLayout w:type="fixed"/>
          <w:tblCellMar>
            <w:top w:w="0" w:type="dxa"/>
            <w:left w:w="0" w:type="dxa"/>
            <w:bottom w:w="0" w:type="dxa"/>
            <w:right w:w="0" w:type="dxa"/>
          </w:tblCellMar>
        </w:tblPrEx>
        <w:trPr>
          <w:trHeight w:val="402" w:hRule="atLeast"/>
        </w:trPr>
        <w:tc>
          <w:tcPr>
            <w:tcW w:w="810" w:type="dxa"/>
            <w:tcBorders>
              <w:top w:val="nil"/>
              <w:left w:val="single" w:color="auto" w:sz="4" w:space="0"/>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熟料</w:t>
            </w:r>
          </w:p>
        </w:tc>
        <w:tc>
          <w:tcPr>
            <w:tcW w:w="89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熟料</w:t>
            </w:r>
          </w:p>
        </w:tc>
        <w:tc>
          <w:tcPr>
            <w:tcW w:w="665"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670"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840"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800"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71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104.17</w:t>
            </w:r>
          </w:p>
        </w:tc>
        <w:tc>
          <w:tcPr>
            <w:tcW w:w="81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2500</w:t>
            </w:r>
          </w:p>
        </w:tc>
        <w:tc>
          <w:tcPr>
            <w:tcW w:w="975"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775000</w:t>
            </w:r>
          </w:p>
        </w:tc>
        <w:tc>
          <w:tcPr>
            <w:tcW w:w="765"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690" w:type="dxa"/>
            <w:tcBorders>
              <w:top w:val="nil"/>
              <w:left w:val="nil"/>
              <w:bottom w:val="single" w:color="auto" w:sz="4" w:space="0"/>
              <w:right w:val="nil"/>
            </w:tcBorders>
            <w:vAlign w:val="center"/>
          </w:tcPr>
          <w:p>
            <w:pPr>
              <w:jc w:val="center"/>
              <w:rPr>
                <w:rFonts w:ascii="宋体" w:hAnsi="宋体"/>
                <w:sz w:val="21"/>
                <w:szCs w:val="21"/>
              </w:rPr>
            </w:pPr>
          </w:p>
        </w:tc>
        <w:tc>
          <w:tcPr>
            <w:tcW w:w="1127" w:type="dxa"/>
            <w:tcBorders>
              <w:top w:val="nil"/>
              <w:left w:val="single" w:color="auto" w:sz="4" w:space="0"/>
              <w:bottom w:val="single" w:color="auto" w:sz="4" w:space="0"/>
              <w:right w:val="single" w:color="auto" w:sz="4" w:space="0"/>
            </w:tcBorders>
            <w:vAlign w:val="center"/>
          </w:tcPr>
          <w:p>
            <w:pPr>
              <w:jc w:val="center"/>
              <w:rPr>
                <w:rFonts w:ascii="宋体" w:hAnsi="宋体"/>
                <w:sz w:val="21"/>
                <w:szCs w:val="21"/>
              </w:rPr>
            </w:pPr>
          </w:p>
        </w:tc>
      </w:tr>
      <w:tr>
        <w:tblPrEx>
          <w:tblLayout w:type="fixed"/>
          <w:tblCellMar>
            <w:top w:w="0" w:type="dxa"/>
            <w:left w:w="0" w:type="dxa"/>
            <w:bottom w:w="0" w:type="dxa"/>
            <w:right w:w="0" w:type="dxa"/>
          </w:tblCellMar>
        </w:tblPrEx>
        <w:trPr>
          <w:trHeight w:val="402" w:hRule="atLeast"/>
        </w:trPr>
        <w:tc>
          <w:tcPr>
            <w:tcW w:w="810" w:type="dxa"/>
            <w:tcBorders>
              <w:top w:val="nil"/>
              <w:left w:val="single" w:color="auto" w:sz="4" w:space="0"/>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燃料</w:t>
            </w:r>
          </w:p>
        </w:tc>
        <w:tc>
          <w:tcPr>
            <w:tcW w:w="89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煤</w:t>
            </w:r>
          </w:p>
        </w:tc>
        <w:tc>
          <w:tcPr>
            <w:tcW w:w="665"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8</w:t>
            </w:r>
          </w:p>
        </w:tc>
        <w:tc>
          <w:tcPr>
            <w:tcW w:w="670" w:type="dxa"/>
            <w:tcBorders>
              <w:top w:val="nil"/>
              <w:left w:val="nil"/>
              <w:bottom w:val="single" w:color="auto" w:sz="4" w:space="0"/>
              <w:right w:val="single" w:color="auto" w:sz="4" w:space="0"/>
            </w:tcBorders>
            <w:vAlign w:val="center"/>
          </w:tcPr>
          <w:p>
            <w:pPr>
              <w:spacing w:line="560" w:lineRule="exact"/>
              <w:jc w:val="center"/>
              <w:rPr>
                <w:b/>
                <w:szCs w:val="21"/>
              </w:rPr>
            </w:pPr>
          </w:p>
        </w:tc>
        <w:tc>
          <w:tcPr>
            <w:tcW w:w="840" w:type="dxa"/>
            <w:tcBorders>
              <w:top w:val="nil"/>
              <w:left w:val="nil"/>
              <w:bottom w:val="single" w:color="auto" w:sz="4" w:space="0"/>
              <w:right w:val="single" w:color="auto" w:sz="4" w:space="0"/>
            </w:tcBorders>
            <w:vAlign w:val="center"/>
          </w:tcPr>
          <w:p>
            <w:pPr>
              <w:jc w:val="center"/>
              <w:rPr>
                <w:rFonts w:hint="eastAsia"/>
                <w:sz w:val="21"/>
                <w:szCs w:val="21"/>
              </w:rPr>
            </w:pPr>
            <w:r>
              <w:rPr>
                <w:rFonts w:hint="eastAsia" w:ascii="宋体" w:hAnsi="宋体"/>
                <w:sz w:val="21"/>
                <w:szCs w:val="21"/>
              </w:rPr>
              <w:t>140</w:t>
            </w:r>
            <w:r>
              <w:rPr>
                <w:rFonts w:hint="eastAsia"/>
                <w:sz w:val="21"/>
                <w:szCs w:val="21"/>
              </w:rPr>
              <w:t>.8</w:t>
            </w:r>
          </w:p>
        </w:tc>
        <w:tc>
          <w:tcPr>
            <w:tcW w:w="800" w:type="dxa"/>
            <w:tcBorders>
              <w:top w:val="nil"/>
              <w:left w:val="nil"/>
              <w:bottom w:val="single" w:color="auto" w:sz="4" w:space="0"/>
              <w:right w:val="single" w:color="auto" w:sz="4" w:space="0"/>
            </w:tcBorders>
            <w:vAlign w:val="center"/>
          </w:tcPr>
          <w:p>
            <w:pPr>
              <w:spacing w:line="560" w:lineRule="exact"/>
              <w:jc w:val="center"/>
              <w:rPr>
                <w:rFonts w:hint="eastAsia"/>
                <w:sz w:val="21"/>
                <w:szCs w:val="21"/>
              </w:rPr>
            </w:pPr>
            <w:r>
              <w:rPr>
                <w:rFonts w:hint="eastAsia"/>
                <w:sz w:val="21"/>
                <w:szCs w:val="21"/>
              </w:rPr>
              <w:t>153.1</w:t>
            </w:r>
          </w:p>
        </w:tc>
        <w:tc>
          <w:tcPr>
            <w:tcW w:w="710" w:type="dxa"/>
            <w:tcBorders>
              <w:top w:val="nil"/>
              <w:left w:val="nil"/>
              <w:bottom w:val="single" w:color="auto" w:sz="4" w:space="0"/>
              <w:right w:val="single" w:color="auto" w:sz="4" w:space="0"/>
            </w:tcBorders>
            <w:vAlign w:val="center"/>
          </w:tcPr>
          <w:p>
            <w:pPr>
              <w:spacing w:line="560" w:lineRule="exact"/>
              <w:jc w:val="center"/>
              <w:rPr>
                <w:rFonts w:hint="eastAsia"/>
                <w:sz w:val="21"/>
                <w:szCs w:val="21"/>
              </w:rPr>
            </w:pPr>
            <w:r>
              <w:rPr>
                <w:sz w:val="21"/>
                <w:szCs w:val="21"/>
              </w:rPr>
              <w:t>1</w:t>
            </w:r>
            <w:r>
              <w:rPr>
                <w:rFonts w:hint="eastAsia"/>
                <w:sz w:val="21"/>
                <w:szCs w:val="21"/>
              </w:rPr>
              <w:t>4.67</w:t>
            </w:r>
          </w:p>
        </w:tc>
        <w:tc>
          <w:tcPr>
            <w:tcW w:w="810" w:type="dxa"/>
            <w:tcBorders>
              <w:top w:val="nil"/>
              <w:left w:val="nil"/>
              <w:bottom w:val="single" w:color="auto" w:sz="4" w:space="0"/>
              <w:right w:val="single" w:color="auto" w:sz="4" w:space="0"/>
            </w:tcBorders>
            <w:vAlign w:val="center"/>
          </w:tcPr>
          <w:p>
            <w:pPr>
              <w:spacing w:line="560" w:lineRule="exact"/>
              <w:jc w:val="center"/>
              <w:rPr>
                <w:rFonts w:hint="eastAsia"/>
                <w:sz w:val="21"/>
                <w:szCs w:val="21"/>
              </w:rPr>
            </w:pPr>
            <w:r>
              <w:rPr>
                <w:sz w:val="21"/>
                <w:szCs w:val="21"/>
              </w:rPr>
              <w:t>3</w:t>
            </w:r>
            <w:r>
              <w:rPr>
                <w:rFonts w:hint="eastAsia"/>
                <w:sz w:val="21"/>
                <w:szCs w:val="21"/>
              </w:rPr>
              <w:t>52.07</w:t>
            </w:r>
          </w:p>
        </w:tc>
        <w:tc>
          <w:tcPr>
            <w:tcW w:w="975" w:type="dxa"/>
            <w:tcBorders>
              <w:top w:val="nil"/>
              <w:left w:val="nil"/>
              <w:bottom w:val="single" w:color="auto" w:sz="4" w:space="0"/>
              <w:right w:val="single" w:color="auto" w:sz="4" w:space="0"/>
            </w:tcBorders>
            <w:vAlign w:val="center"/>
          </w:tcPr>
          <w:p>
            <w:pPr>
              <w:spacing w:line="560" w:lineRule="exact"/>
              <w:jc w:val="center"/>
              <w:rPr>
                <w:rFonts w:hint="eastAsia"/>
                <w:sz w:val="21"/>
                <w:szCs w:val="21"/>
              </w:rPr>
            </w:pPr>
            <w:r>
              <w:rPr>
                <w:rFonts w:hint="eastAsia"/>
                <w:sz w:val="21"/>
                <w:szCs w:val="21"/>
              </w:rPr>
              <w:t>109142</w:t>
            </w:r>
          </w:p>
        </w:tc>
        <w:tc>
          <w:tcPr>
            <w:tcW w:w="765" w:type="dxa"/>
            <w:tcBorders>
              <w:top w:val="nil"/>
              <w:left w:val="nil"/>
              <w:bottom w:val="single" w:color="auto" w:sz="4" w:space="0"/>
              <w:right w:val="single" w:color="auto" w:sz="4" w:space="0"/>
            </w:tcBorders>
            <w:vAlign w:val="center"/>
          </w:tcPr>
          <w:p>
            <w:pPr>
              <w:spacing w:line="560" w:lineRule="exact"/>
              <w:jc w:val="center"/>
              <w:rPr>
                <w:rFonts w:hint="eastAsia"/>
                <w:sz w:val="21"/>
                <w:szCs w:val="21"/>
              </w:rPr>
            </w:pPr>
            <w:r>
              <w:rPr>
                <w:sz w:val="21"/>
                <w:szCs w:val="21"/>
              </w:rPr>
              <w:t>1</w:t>
            </w:r>
            <w:r>
              <w:rPr>
                <w:rFonts w:hint="eastAsia"/>
                <w:sz w:val="21"/>
                <w:szCs w:val="21"/>
              </w:rPr>
              <w:t>5.94</w:t>
            </w:r>
          </w:p>
        </w:tc>
        <w:tc>
          <w:tcPr>
            <w:tcW w:w="690" w:type="dxa"/>
            <w:tcBorders>
              <w:top w:val="nil"/>
              <w:left w:val="nil"/>
              <w:bottom w:val="single" w:color="auto" w:sz="4" w:space="0"/>
              <w:right w:val="nil"/>
            </w:tcBorders>
            <w:vAlign w:val="center"/>
          </w:tcPr>
          <w:p>
            <w:pPr>
              <w:spacing w:line="560" w:lineRule="exact"/>
              <w:jc w:val="center"/>
              <w:rPr>
                <w:rFonts w:hint="eastAsia"/>
                <w:sz w:val="21"/>
                <w:szCs w:val="21"/>
              </w:rPr>
            </w:pPr>
            <w:r>
              <w:rPr>
                <w:sz w:val="21"/>
                <w:szCs w:val="21"/>
              </w:rPr>
              <w:t>3</w:t>
            </w:r>
            <w:r>
              <w:rPr>
                <w:rFonts w:hint="eastAsia"/>
                <w:sz w:val="21"/>
                <w:szCs w:val="21"/>
              </w:rPr>
              <w:t>82.68</w:t>
            </w:r>
          </w:p>
        </w:tc>
        <w:tc>
          <w:tcPr>
            <w:tcW w:w="1127" w:type="dxa"/>
            <w:tcBorders>
              <w:top w:val="nil"/>
              <w:left w:val="single" w:color="auto" w:sz="4" w:space="0"/>
              <w:bottom w:val="single" w:color="auto" w:sz="4" w:space="0"/>
              <w:right w:val="single" w:color="auto" w:sz="4" w:space="0"/>
            </w:tcBorders>
            <w:vAlign w:val="center"/>
          </w:tcPr>
          <w:p>
            <w:pPr>
              <w:spacing w:line="560" w:lineRule="exact"/>
              <w:jc w:val="center"/>
              <w:rPr>
                <w:rFonts w:hint="eastAsia"/>
                <w:sz w:val="21"/>
                <w:szCs w:val="21"/>
              </w:rPr>
            </w:pPr>
            <w:r>
              <w:rPr>
                <w:sz w:val="21"/>
                <w:szCs w:val="21"/>
              </w:rPr>
              <w:t>1</w:t>
            </w:r>
            <w:r>
              <w:rPr>
                <w:rFonts w:hint="eastAsia"/>
                <w:sz w:val="21"/>
                <w:szCs w:val="21"/>
              </w:rPr>
              <w:t>16255</w:t>
            </w:r>
          </w:p>
        </w:tc>
      </w:tr>
      <w:tr>
        <w:tblPrEx>
          <w:tblLayout w:type="fixed"/>
          <w:tblCellMar>
            <w:top w:w="0" w:type="dxa"/>
            <w:left w:w="0" w:type="dxa"/>
            <w:bottom w:w="0" w:type="dxa"/>
            <w:right w:w="0" w:type="dxa"/>
          </w:tblCellMar>
        </w:tblPrEx>
        <w:trPr>
          <w:trHeight w:val="402" w:hRule="atLeast"/>
        </w:trPr>
        <w:tc>
          <w:tcPr>
            <w:tcW w:w="810" w:type="dxa"/>
            <w:tcBorders>
              <w:top w:val="nil"/>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89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熟料</w:t>
            </w:r>
          </w:p>
        </w:tc>
        <w:tc>
          <w:tcPr>
            <w:tcW w:w="665"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670"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840"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800"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710"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810"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975"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765"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690" w:type="dxa"/>
            <w:tcBorders>
              <w:top w:val="nil"/>
              <w:left w:val="nil"/>
              <w:bottom w:val="single" w:color="auto" w:sz="4" w:space="0"/>
              <w:right w:val="nil"/>
            </w:tcBorders>
            <w:vAlign w:val="center"/>
          </w:tcPr>
          <w:p>
            <w:pPr>
              <w:jc w:val="center"/>
              <w:rPr>
                <w:rFonts w:ascii="宋体" w:hAnsi="宋体"/>
                <w:sz w:val="21"/>
                <w:szCs w:val="21"/>
              </w:rPr>
            </w:pPr>
            <w:r>
              <w:rPr>
                <w:rFonts w:ascii="宋体" w:hAnsi="宋体"/>
                <w:sz w:val="21"/>
                <w:szCs w:val="21"/>
              </w:rPr>
              <w:t>2500</w:t>
            </w:r>
          </w:p>
        </w:tc>
        <w:tc>
          <w:tcPr>
            <w:tcW w:w="1127" w:type="dxa"/>
            <w:tcBorders>
              <w:top w:val="nil"/>
              <w:left w:val="single" w:color="auto" w:sz="4" w:space="0"/>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775000</w:t>
            </w:r>
          </w:p>
        </w:tc>
      </w:tr>
      <w:tr>
        <w:tblPrEx>
          <w:tblLayout w:type="fixed"/>
          <w:tblCellMar>
            <w:top w:w="0" w:type="dxa"/>
            <w:left w:w="0" w:type="dxa"/>
            <w:bottom w:w="0" w:type="dxa"/>
            <w:right w:w="0" w:type="dxa"/>
          </w:tblCellMar>
        </w:tblPrEx>
        <w:trPr>
          <w:trHeight w:val="402" w:hRule="atLeast"/>
        </w:trPr>
        <w:tc>
          <w:tcPr>
            <w:tcW w:w="810" w:type="dxa"/>
            <w:tcBorders>
              <w:top w:val="nil"/>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89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石膏</w:t>
            </w:r>
          </w:p>
        </w:tc>
        <w:tc>
          <w:tcPr>
            <w:tcW w:w="665"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670"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840"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800"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710"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810"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975"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765"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690" w:type="dxa"/>
            <w:tcBorders>
              <w:top w:val="nil"/>
              <w:left w:val="nil"/>
              <w:bottom w:val="single" w:color="auto" w:sz="4" w:space="0"/>
              <w:right w:val="nil"/>
            </w:tcBorders>
            <w:vAlign w:val="center"/>
          </w:tcPr>
          <w:p>
            <w:pPr>
              <w:jc w:val="center"/>
              <w:rPr>
                <w:rFonts w:ascii="宋体" w:hAnsi="宋体"/>
                <w:sz w:val="21"/>
                <w:szCs w:val="21"/>
              </w:rPr>
            </w:pPr>
            <w:r>
              <w:rPr>
                <w:rFonts w:ascii="宋体" w:hAnsi="宋体"/>
                <w:sz w:val="21"/>
                <w:szCs w:val="21"/>
              </w:rPr>
              <w:t>120</w:t>
            </w:r>
          </w:p>
        </w:tc>
        <w:tc>
          <w:tcPr>
            <w:tcW w:w="1127" w:type="dxa"/>
            <w:tcBorders>
              <w:top w:val="nil"/>
              <w:left w:val="single" w:color="auto" w:sz="4" w:space="0"/>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37200</w:t>
            </w:r>
          </w:p>
        </w:tc>
      </w:tr>
      <w:tr>
        <w:tblPrEx>
          <w:tblLayout w:type="fixed"/>
          <w:tblCellMar>
            <w:top w:w="0" w:type="dxa"/>
            <w:left w:w="0" w:type="dxa"/>
            <w:bottom w:w="0" w:type="dxa"/>
            <w:right w:w="0" w:type="dxa"/>
          </w:tblCellMar>
        </w:tblPrEx>
        <w:trPr>
          <w:trHeight w:val="402" w:hRule="atLeast"/>
        </w:trPr>
        <w:tc>
          <w:tcPr>
            <w:tcW w:w="810" w:type="dxa"/>
            <w:tcBorders>
              <w:top w:val="nil"/>
              <w:left w:val="single" w:color="auto" w:sz="4" w:space="0"/>
              <w:bottom w:val="single" w:color="auto" w:sz="4" w:space="0"/>
              <w:right w:val="single" w:color="auto" w:sz="4" w:space="0"/>
            </w:tcBorders>
            <w:vAlign w:val="center"/>
          </w:tcPr>
          <w:p>
            <w:pPr>
              <w:jc w:val="center"/>
              <w:rPr>
                <w:rFonts w:ascii="宋体" w:hAnsi="宋体"/>
                <w:sz w:val="21"/>
                <w:szCs w:val="21"/>
              </w:rPr>
            </w:pPr>
          </w:p>
        </w:tc>
        <w:tc>
          <w:tcPr>
            <w:tcW w:w="89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混合材</w:t>
            </w:r>
          </w:p>
        </w:tc>
        <w:tc>
          <w:tcPr>
            <w:tcW w:w="665"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670"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840"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800"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710"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810"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975"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765"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690" w:type="dxa"/>
            <w:tcBorders>
              <w:top w:val="nil"/>
              <w:left w:val="nil"/>
              <w:bottom w:val="single" w:color="auto" w:sz="4" w:space="0"/>
              <w:right w:val="nil"/>
            </w:tcBorders>
            <w:vAlign w:val="center"/>
          </w:tcPr>
          <w:p>
            <w:pPr>
              <w:jc w:val="center"/>
              <w:rPr>
                <w:rFonts w:ascii="宋体" w:hAnsi="宋体"/>
                <w:sz w:val="21"/>
                <w:szCs w:val="21"/>
              </w:rPr>
            </w:pPr>
            <w:r>
              <w:rPr>
                <w:rFonts w:ascii="宋体" w:hAnsi="宋体"/>
                <w:sz w:val="21"/>
                <w:szCs w:val="21"/>
              </w:rPr>
              <w:t>610</w:t>
            </w:r>
          </w:p>
        </w:tc>
        <w:tc>
          <w:tcPr>
            <w:tcW w:w="1127" w:type="dxa"/>
            <w:tcBorders>
              <w:top w:val="nil"/>
              <w:left w:val="single" w:color="auto" w:sz="4" w:space="0"/>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189100</w:t>
            </w:r>
          </w:p>
        </w:tc>
      </w:tr>
      <w:tr>
        <w:tblPrEx>
          <w:tblLayout w:type="fixed"/>
          <w:tblCellMar>
            <w:top w:w="0" w:type="dxa"/>
            <w:left w:w="0" w:type="dxa"/>
            <w:bottom w:w="0" w:type="dxa"/>
            <w:right w:w="0" w:type="dxa"/>
          </w:tblCellMar>
        </w:tblPrEx>
        <w:trPr>
          <w:trHeight w:val="402" w:hRule="atLeast"/>
        </w:trPr>
        <w:tc>
          <w:tcPr>
            <w:tcW w:w="810" w:type="dxa"/>
            <w:tcBorders>
              <w:top w:val="nil"/>
              <w:left w:val="single" w:color="auto" w:sz="4" w:space="0"/>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水泥</w:t>
            </w:r>
          </w:p>
        </w:tc>
        <w:tc>
          <w:tcPr>
            <w:tcW w:w="890" w:type="dxa"/>
            <w:tcBorders>
              <w:top w:val="nil"/>
              <w:left w:val="nil"/>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水泥</w:t>
            </w:r>
          </w:p>
        </w:tc>
        <w:tc>
          <w:tcPr>
            <w:tcW w:w="665"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670"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840"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800"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710"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810"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975"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765" w:type="dxa"/>
            <w:tcBorders>
              <w:top w:val="nil"/>
              <w:left w:val="nil"/>
              <w:bottom w:val="single" w:color="auto" w:sz="4" w:space="0"/>
              <w:right w:val="single" w:color="auto" w:sz="4" w:space="0"/>
            </w:tcBorders>
            <w:vAlign w:val="center"/>
          </w:tcPr>
          <w:p>
            <w:pPr>
              <w:jc w:val="center"/>
              <w:rPr>
                <w:rFonts w:ascii="宋体" w:hAnsi="宋体"/>
                <w:sz w:val="21"/>
                <w:szCs w:val="21"/>
              </w:rPr>
            </w:pPr>
          </w:p>
        </w:tc>
        <w:tc>
          <w:tcPr>
            <w:tcW w:w="690" w:type="dxa"/>
            <w:tcBorders>
              <w:top w:val="nil"/>
              <w:left w:val="nil"/>
              <w:bottom w:val="single" w:color="auto" w:sz="4" w:space="0"/>
              <w:right w:val="nil"/>
            </w:tcBorders>
            <w:vAlign w:val="center"/>
          </w:tcPr>
          <w:p>
            <w:pPr>
              <w:jc w:val="center"/>
              <w:rPr>
                <w:rFonts w:ascii="宋体" w:hAnsi="宋体"/>
                <w:sz w:val="21"/>
                <w:szCs w:val="21"/>
              </w:rPr>
            </w:pPr>
            <w:r>
              <w:rPr>
                <w:rFonts w:ascii="宋体" w:hAnsi="宋体"/>
                <w:sz w:val="21"/>
                <w:szCs w:val="21"/>
              </w:rPr>
              <w:t>3230</w:t>
            </w:r>
          </w:p>
        </w:tc>
        <w:tc>
          <w:tcPr>
            <w:tcW w:w="1127" w:type="dxa"/>
            <w:tcBorders>
              <w:top w:val="nil"/>
              <w:left w:val="single" w:color="auto" w:sz="4" w:space="0"/>
              <w:bottom w:val="single" w:color="auto" w:sz="4" w:space="0"/>
              <w:right w:val="single" w:color="auto" w:sz="4" w:space="0"/>
            </w:tcBorders>
            <w:vAlign w:val="center"/>
          </w:tcPr>
          <w:p>
            <w:pPr>
              <w:jc w:val="center"/>
              <w:rPr>
                <w:rFonts w:ascii="宋体" w:hAnsi="宋体"/>
                <w:sz w:val="21"/>
                <w:szCs w:val="21"/>
              </w:rPr>
            </w:pPr>
            <w:r>
              <w:rPr>
                <w:rFonts w:ascii="宋体" w:hAnsi="宋体"/>
                <w:sz w:val="21"/>
                <w:szCs w:val="21"/>
              </w:rPr>
              <w:t>1001300</w:t>
            </w:r>
          </w:p>
        </w:tc>
      </w:tr>
    </w:tbl>
    <w:p>
      <w:pPr>
        <w:spacing w:line="460" w:lineRule="exact"/>
        <w:ind w:firstLine="420" w:firstLineChars="200"/>
        <w:rPr>
          <w:rFonts w:hint="eastAsia"/>
        </w:rPr>
      </w:pPr>
    </w:p>
    <w:p>
      <w:pPr>
        <w:spacing w:line="460" w:lineRule="exact"/>
        <w:ind w:firstLine="420" w:firstLineChars="200"/>
        <w:rPr>
          <w:rFonts w:hint="eastAsia"/>
        </w:rPr>
      </w:pPr>
    </w:p>
    <w:p>
      <w:pPr>
        <w:spacing w:line="460" w:lineRule="exact"/>
        <w:ind w:firstLine="420" w:firstLineChars="200"/>
        <w:rPr>
          <w:rFonts w:hint="eastAsia"/>
        </w:rPr>
      </w:pPr>
    </w:p>
    <w:p>
      <w:pPr>
        <w:spacing w:line="460" w:lineRule="exact"/>
        <w:ind w:firstLine="420" w:firstLineChars="200"/>
        <w:rPr>
          <w:rFonts w:hint="eastAsia"/>
        </w:rPr>
      </w:pPr>
    </w:p>
    <w:p>
      <w:pPr>
        <w:spacing w:line="460" w:lineRule="exact"/>
        <w:ind w:firstLine="420" w:firstLineChars="200"/>
        <w:rPr>
          <w:rFonts w:hint="eastAsia"/>
        </w:rPr>
      </w:pPr>
    </w:p>
    <w:p>
      <w:pPr>
        <w:spacing w:line="460" w:lineRule="exact"/>
        <w:ind w:firstLine="420" w:firstLineChars="200"/>
        <w:rPr>
          <w:rFonts w:hint="eastAsia"/>
        </w:rPr>
      </w:pPr>
    </w:p>
    <w:p>
      <w:pPr>
        <w:spacing w:line="460" w:lineRule="exact"/>
        <w:ind w:firstLine="420" w:firstLineChars="200"/>
        <w:rPr>
          <w:rFonts w:hint="eastAsia"/>
        </w:rPr>
      </w:pPr>
    </w:p>
    <w:p>
      <w:pPr>
        <w:spacing w:line="460" w:lineRule="exact"/>
        <w:ind w:firstLine="420" w:firstLineChars="200"/>
        <w:rPr>
          <w:rFonts w:hint="eastAsia"/>
        </w:rPr>
      </w:pPr>
    </w:p>
    <w:p>
      <w:pPr>
        <w:spacing w:line="460" w:lineRule="exact"/>
        <w:ind w:firstLine="420" w:firstLineChars="200"/>
        <w:rPr>
          <w:rFonts w:hint="eastAsia"/>
        </w:rPr>
      </w:pPr>
    </w:p>
    <w:p>
      <w:pPr>
        <w:spacing w:line="460" w:lineRule="exact"/>
        <w:ind w:firstLine="420" w:firstLineChars="200"/>
        <w:rPr>
          <w:rFonts w:hint="eastAsia"/>
        </w:rPr>
      </w:pPr>
    </w:p>
    <w:p>
      <w:pPr>
        <w:spacing w:line="460" w:lineRule="exact"/>
        <w:ind w:firstLine="420" w:firstLineChars="200"/>
        <w:rPr>
          <w:rFonts w:hint="eastAsia"/>
        </w:rPr>
      </w:pPr>
    </w:p>
    <w:p>
      <w:pPr>
        <w:pStyle w:val="25"/>
        <w:widowControl w:val="0"/>
        <w:spacing w:before="0" w:beforeAutospacing="0" w:after="0" w:afterAutospacing="0" w:line="480" w:lineRule="exact"/>
        <w:rPr>
          <w:kern w:val="2"/>
        </w:rPr>
      </w:pPr>
      <w:r>
        <mc:AlternateContent>
          <mc:Choice Requires="wps">
            <w:drawing>
              <wp:anchor distT="0" distB="0" distL="114300" distR="114300" simplePos="0" relativeHeight="251762688" behindDoc="0" locked="0" layoutInCell="1" allowOverlap="1">
                <wp:simplePos x="0" y="0"/>
                <wp:positionH relativeFrom="column">
                  <wp:posOffset>1943100</wp:posOffset>
                </wp:positionH>
                <wp:positionV relativeFrom="paragraph">
                  <wp:posOffset>99060</wp:posOffset>
                </wp:positionV>
                <wp:extent cx="2136775" cy="312420"/>
                <wp:effectExtent l="4445" t="4445" r="11430" b="6985"/>
                <wp:wrapNone/>
                <wp:docPr id="251" name="矩形 251"/>
                <wp:cNvGraphicFramePr/>
                <a:graphic xmlns:a="http://schemas.openxmlformats.org/drawingml/2006/main">
                  <a:graphicData uri="http://schemas.microsoft.com/office/word/2010/wordprocessingShape">
                    <wps:wsp>
                      <wps:cNvSpPr/>
                      <wps:spPr>
                        <a:xfrm>
                          <a:off x="0" y="0"/>
                          <a:ext cx="2136775" cy="312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sz w:val="21"/>
                                <w:szCs w:val="21"/>
                              </w:rPr>
                              <w:t>石灰石、煤矸石、砂岩、硫酸渣</w:t>
                            </w:r>
                          </w:p>
                        </w:txbxContent>
                      </wps:txbx>
                      <wps:bodyPr upright="1"/>
                    </wps:wsp>
                  </a:graphicData>
                </a:graphic>
              </wp:anchor>
            </w:drawing>
          </mc:Choice>
          <mc:Fallback>
            <w:pict>
              <v:rect id="_x0000_s1026" o:spid="_x0000_s1026" o:spt="1" style="position:absolute;left:0pt;margin-left:153pt;margin-top:7.8pt;height:24.6pt;width:168.25pt;z-index:251762688;mso-width-relative:page;mso-height-relative:page;" fillcolor="#FFFFFF" filled="t" stroked="t" coordsize="21600,21600" o:gfxdata="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IMp&#10;c9cAAAAJAQAADwAAAAAAAAABACAAAAAiAAAAZHJzL2Rvd25yZXYueG1sUEsBAhQAFAAAAAgAh07i&#10;QJWTTz3qAQAA3wMAAA4AAAAAAAAAAQAgAAAAJgEAAGRycy9lMm9Eb2MueG1sUEsFBgAAAAAGAAYA&#10;WQEAAIIFAAAAAA==&#10;">
                <v:fill on="t" focussize="0,0"/>
                <v:stroke color="#000000" joinstyle="miter"/>
                <v:imagedata o:title=""/>
                <o:lock v:ext="edit" aspectratio="f"/>
                <v:textbox>
                  <w:txbxContent>
                    <w:p>
                      <w:pPr>
                        <w:rPr>
                          <w:rFonts w:hint="eastAsia"/>
                        </w:rPr>
                      </w:pPr>
                      <w:r>
                        <w:rPr>
                          <w:rFonts w:hint="eastAsia"/>
                          <w:sz w:val="21"/>
                          <w:szCs w:val="21"/>
                        </w:rPr>
                        <w:t>石灰石、煤矸石、砂岩、硫酸渣</w:t>
                      </w:r>
                    </w:p>
                  </w:txbxContent>
                </v:textbox>
              </v:rect>
            </w:pict>
          </mc:Fallback>
        </mc:AlternateContent>
      </w:r>
      <w:r>
        <w:rPr>
          <w:kern w:val="2"/>
        </w:rPr>
        <w:t xml:space="preserve">                                      </w:t>
      </w:r>
    </w:p>
    <w:p>
      <w:pPr>
        <w:pStyle w:val="25"/>
        <w:widowControl w:val="0"/>
        <w:spacing w:before="0" w:beforeAutospacing="0" w:after="0" w:afterAutospacing="0" w:line="480" w:lineRule="exact"/>
      </w:pPr>
      <w:r>
        <w:rPr>
          <w:b/>
          <w:bCs/>
        </w:rPr>
        <mc:AlternateContent>
          <mc:Choice Requires="wps">
            <w:drawing>
              <wp:anchor distT="0" distB="0" distL="114300" distR="114300" simplePos="0" relativeHeight="251773952" behindDoc="0" locked="0" layoutInCell="1" allowOverlap="1">
                <wp:simplePos x="0" y="0"/>
                <wp:positionH relativeFrom="column">
                  <wp:posOffset>2857500</wp:posOffset>
                </wp:positionH>
                <wp:positionV relativeFrom="paragraph">
                  <wp:posOffset>114300</wp:posOffset>
                </wp:positionV>
                <wp:extent cx="6350" cy="662940"/>
                <wp:effectExtent l="37465" t="0" r="32385" b="3810"/>
                <wp:wrapNone/>
                <wp:docPr id="265" name="直接连接符 265"/>
                <wp:cNvGraphicFramePr/>
                <a:graphic xmlns:a="http://schemas.openxmlformats.org/drawingml/2006/main">
                  <a:graphicData uri="http://schemas.microsoft.com/office/word/2010/wordprocessingShape">
                    <wps:wsp>
                      <wps:cNvCnPr/>
                      <wps:spPr>
                        <a:xfrm flipH="1">
                          <a:off x="0" y="0"/>
                          <a:ext cx="6350" cy="662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5pt;margin-top:9pt;height:52.2pt;width:0.5pt;z-index:251773952;mso-width-relative:page;mso-height-relative:page;" filled="f" stroked="t" coordsize="21600,21600" o:gfxdata="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P4U191wAAAAoBAAAPAAAAAAAAAAEAIAAAACIAAABkcnMvZG93bnJldi54bWxQSwECFAAUAAAA&#10;CACHTuJAMttF8u8BAACqAwAADgAAAAAAAAABACAAAAAmAQAAZHJzL2Uyb0RvYy54bWxQSwUGAAAA&#10;AAYABgBZAQAAhwUAAAAA&#10;">
                <v:fill on="f" focussize="0,0"/>
                <v:stroke color="#000000" joinstyle="round" endarrow="block"/>
                <v:imagedata o:title=""/>
                <o:lock v:ext="edit" aspectratio="f"/>
              </v:line>
            </w:pict>
          </mc:Fallback>
        </mc:AlternateContent>
      </w:r>
      <w:r>
        <w:rPr>
          <w:b/>
          <w:bCs/>
        </w:rPr>
        <mc:AlternateContent>
          <mc:Choice Requires="wps">
            <w:drawing>
              <wp:anchor distT="0" distB="0" distL="114300" distR="114300" simplePos="0" relativeHeight="251770880" behindDoc="0" locked="0" layoutInCell="1" allowOverlap="1">
                <wp:simplePos x="0" y="0"/>
                <wp:positionH relativeFrom="column">
                  <wp:posOffset>2857500</wp:posOffset>
                </wp:positionH>
                <wp:positionV relativeFrom="paragraph">
                  <wp:posOffset>294640</wp:posOffset>
                </wp:positionV>
                <wp:extent cx="719455" cy="260985"/>
                <wp:effectExtent l="0" t="0" r="0" b="0"/>
                <wp:wrapNone/>
                <wp:docPr id="239" name="矩形 239"/>
                <wp:cNvGraphicFramePr/>
                <a:graphic xmlns:a="http://schemas.openxmlformats.org/drawingml/2006/main">
                  <a:graphicData uri="http://schemas.microsoft.com/office/word/2010/wordprocessingShape">
                    <wps:wsp>
                      <wps:cNvSpPr/>
                      <wps:spPr>
                        <a:xfrm>
                          <a:off x="0" y="0"/>
                          <a:ext cx="719455" cy="260985"/>
                        </a:xfrm>
                        <a:prstGeom prst="rect">
                          <a:avLst/>
                        </a:prstGeom>
                        <a:solidFill>
                          <a:srgbClr val="FFFFFF">
                            <a:alpha val="0"/>
                          </a:srgbClr>
                        </a:solidFill>
                        <a:ln>
                          <a:noFill/>
                        </a:ln>
                      </wps:spPr>
                      <wps:txbx>
                        <w:txbxContent>
                          <w:p>
                            <w:pPr>
                              <w:rPr>
                                <w:rFonts w:ascii="宋体" w:hAnsi="宋体"/>
                                <w:sz w:val="21"/>
                                <w:szCs w:val="21"/>
                              </w:rPr>
                            </w:pPr>
                            <w:r>
                              <w:rPr>
                                <w:rFonts w:hint="eastAsia" w:ascii="宋体" w:hAnsi="宋体"/>
                                <w:sz w:val="21"/>
                                <w:szCs w:val="21"/>
                              </w:rPr>
                              <w:t>746.24</w:t>
                            </w:r>
                          </w:p>
                        </w:txbxContent>
                      </wps:txbx>
                      <wps:bodyPr upright="1"/>
                    </wps:wsp>
                  </a:graphicData>
                </a:graphic>
              </wp:anchor>
            </w:drawing>
          </mc:Choice>
          <mc:Fallback>
            <w:pict>
              <v:rect id="_x0000_s1026" o:spid="_x0000_s1026" o:spt="1" style="position:absolute;left:0pt;margin-left:225pt;margin-top:23.2pt;height:20.55pt;width:56.65pt;z-index:251770880;mso-width-relative:page;mso-height-relative:page;" fillcolor="#FFFFFF" filled="t" stroked="f" coordsize="21600,21600" o:gfxdata="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T4MSPaAAAA&#10;CQEAAA8AAAAAAAAAAQAgAAAAIgAAAGRycy9kb3ducmV2LnhtbFBLAQIUABQAAAAIAIdO4kCNCP6t&#10;qQEAADwDAAAOAAAAAAAAAAEAIAAAACkBAABkcnMvZTJvRG9jLnhtbFBLBQYAAAAABgAGAFkBAABE&#10;BQAAAAA=&#10;">
                <v:fill on="t" opacity="0f" focussize="0,0"/>
                <v:stroke on="f"/>
                <v:imagedata o:title=""/>
                <o:lock v:ext="edit" aspectratio="f"/>
                <v:textbox>
                  <w:txbxContent>
                    <w:p>
                      <w:pPr>
                        <w:rPr>
                          <w:rFonts w:ascii="宋体" w:hAnsi="宋体"/>
                          <w:sz w:val="21"/>
                          <w:szCs w:val="21"/>
                        </w:rPr>
                      </w:pPr>
                      <w:r>
                        <w:rPr>
                          <w:rFonts w:hint="eastAsia" w:ascii="宋体" w:hAnsi="宋体"/>
                          <w:sz w:val="21"/>
                          <w:szCs w:val="21"/>
                        </w:rPr>
                        <w:t>746.24</w:t>
                      </w:r>
                    </w:p>
                  </w:txbxContent>
                </v:textbox>
              </v:rect>
            </w:pict>
          </mc:Fallback>
        </mc:AlternateContent>
      </w:r>
    </w:p>
    <w:p>
      <w:pPr>
        <w:spacing w:line="480" w:lineRule="exact"/>
        <w:ind w:firstLine="2941" w:firstLineChars="1395"/>
        <w:rPr>
          <w:rFonts w:hint="eastAsia" w:ascii="宋体" w:hAnsi="宋体"/>
          <w:bCs/>
        </w:rPr>
      </w:pPr>
      <w:r>
        <w:rPr>
          <w:rFonts w:hint="eastAsia" w:ascii="宋体" w:hAnsi="宋体"/>
          <w:b/>
          <w:bCs/>
        </w:rPr>
        <w:t xml:space="preserve">                           </w:t>
      </w:r>
    </w:p>
    <w:p>
      <w:pPr>
        <w:spacing w:line="480" w:lineRule="exact"/>
        <w:rPr>
          <w:rFonts w:hint="eastAsia" w:ascii="宋体" w:hAnsi="宋体"/>
          <w:bCs/>
        </w:rPr>
      </w:pPr>
      <w:r>
        <w:rPr>
          <w:rFonts w:hint="eastAsia" w:ascii="宋体" w:hAnsi="宋体"/>
          <w:b/>
          <w:bCs/>
        </w:rPr>
        <mc:AlternateContent>
          <mc:Choice Requires="wps">
            <w:drawing>
              <wp:anchor distT="0" distB="0" distL="114300" distR="114300" simplePos="0" relativeHeight="251777024" behindDoc="0" locked="0" layoutInCell="1" allowOverlap="1">
                <wp:simplePos x="0" y="0"/>
                <wp:positionH relativeFrom="column">
                  <wp:posOffset>4229100</wp:posOffset>
                </wp:positionH>
                <wp:positionV relativeFrom="paragraph">
                  <wp:posOffset>175260</wp:posOffset>
                </wp:positionV>
                <wp:extent cx="1028700" cy="297180"/>
                <wp:effectExtent l="0" t="0" r="0" b="0"/>
                <wp:wrapNone/>
                <wp:docPr id="259" name="矩形 259"/>
                <wp:cNvGraphicFramePr/>
                <a:graphic xmlns:a="http://schemas.openxmlformats.org/drawingml/2006/main">
                  <a:graphicData uri="http://schemas.microsoft.com/office/word/2010/wordprocessingShape">
                    <wps:wsp>
                      <wps:cNvSpPr/>
                      <wps:spPr>
                        <a:xfrm>
                          <a:off x="0" y="0"/>
                          <a:ext cx="1028700" cy="297180"/>
                        </a:xfrm>
                        <a:prstGeom prst="rect">
                          <a:avLst/>
                        </a:prstGeom>
                        <a:noFill/>
                        <a:ln>
                          <a:noFill/>
                        </a:ln>
                      </wps:spPr>
                      <wps:txbx>
                        <w:txbxContent>
                          <w:p>
                            <w:pPr>
                              <w:rPr>
                                <w:sz w:val="21"/>
                                <w:szCs w:val="21"/>
                              </w:rPr>
                            </w:pPr>
                            <w:r>
                              <w:rPr>
                                <w:rFonts w:hint="eastAsia"/>
                                <w:sz w:val="21"/>
                                <w:szCs w:val="21"/>
                              </w:rPr>
                              <w:t>外排粉尘</w:t>
                            </w:r>
                          </w:p>
                        </w:txbxContent>
                      </wps:txbx>
                      <wps:bodyPr upright="1"/>
                    </wps:wsp>
                  </a:graphicData>
                </a:graphic>
              </wp:anchor>
            </w:drawing>
          </mc:Choice>
          <mc:Fallback>
            <w:pict>
              <v:rect id="_x0000_s1026" o:spid="_x0000_s1026" o:spt="1" style="position:absolute;left:0pt;margin-left:333pt;margin-top:13.8pt;height:23.4pt;width:81pt;z-index:251777024;mso-width-relative:page;mso-height-relative:page;" filled="f" stroked="f" coordsize="21600,21600" o:gfxdata="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Cyo5znaAAAACQEAAA8AAAAAAAAAAQAgAAAAIgAAAGRycy9kb3ducmV2Lnht&#10;bFBLAQIUABQAAAAIAIdO4kDRwIv7hQEAAPcCAAAOAAAAAAAAAAEAIAAAACkBAABkcnMvZTJvRG9j&#10;LnhtbFBLBQYAAAAABgAGAFkBAAAgBQAAAAA=&#10;">
                <v:fill on="f" focussize="0,0"/>
                <v:stroke on="f"/>
                <v:imagedata o:title=""/>
                <o:lock v:ext="edit" aspectratio="f"/>
                <v:textbox>
                  <w:txbxContent>
                    <w:p>
                      <w:pPr>
                        <w:rPr>
                          <w:sz w:val="21"/>
                          <w:szCs w:val="21"/>
                        </w:rPr>
                      </w:pPr>
                      <w:r>
                        <w:rPr>
                          <w:rFonts w:hint="eastAsia"/>
                          <w:sz w:val="21"/>
                          <w:szCs w:val="21"/>
                        </w:rPr>
                        <w:t>外排粉尘</w:t>
                      </w:r>
                    </w:p>
                  </w:txbxContent>
                </v:textbox>
              </v:rect>
            </w:pict>
          </mc:Fallback>
        </mc:AlternateContent>
      </w:r>
      <w:r>
        <w:rPr>
          <w:rFonts w:hint="eastAsia" w:ascii="宋体" w:hAnsi="宋体"/>
          <w:b/>
          <w:bCs/>
        </w:rPr>
        <mc:AlternateContent>
          <mc:Choice Requires="wps">
            <w:drawing>
              <wp:anchor distT="0" distB="0" distL="114300" distR="114300" simplePos="0" relativeHeight="251776000" behindDoc="0" locked="0" layoutInCell="1" allowOverlap="1">
                <wp:simplePos x="0" y="0"/>
                <wp:positionH relativeFrom="column">
                  <wp:posOffset>3657600</wp:posOffset>
                </wp:positionH>
                <wp:positionV relativeFrom="paragraph">
                  <wp:posOffset>81280</wp:posOffset>
                </wp:positionV>
                <wp:extent cx="719455" cy="260985"/>
                <wp:effectExtent l="0" t="0" r="0" b="0"/>
                <wp:wrapNone/>
                <wp:docPr id="240" name="矩形 240"/>
                <wp:cNvGraphicFramePr/>
                <a:graphic xmlns:a="http://schemas.openxmlformats.org/drawingml/2006/main">
                  <a:graphicData uri="http://schemas.microsoft.com/office/word/2010/wordprocessingShape">
                    <wps:wsp>
                      <wps:cNvSpPr/>
                      <wps:spPr>
                        <a:xfrm>
                          <a:off x="0" y="0"/>
                          <a:ext cx="719455" cy="260985"/>
                        </a:xfrm>
                        <a:prstGeom prst="rect">
                          <a:avLst/>
                        </a:prstGeom>
                        <a:solidFill>
                          <a:srgbClr val="FFFFFF">
                            <a:alpha val="0"/>
                          </a:srgbClr>
                        </a:solidFill>
                        <a:ln>
                          <a:noFill/>
                        </a:ln>
                      </wps:spPr>
                      <wps:txbx>
                        <w:txbxContent>
                          <w:p>
                            <w:pPr>
                              <w:rPr>
                                <w:rFonts w:ascii="宋体" w:hAnsi="宋体"/>
                                <w:sz w:val="21"/>
                                <w:szCs w:val="21"/>
                              </w:rPr>
                            </w:pPr>
                            <w:r>
                              <w:rPr>
                                <w:rFonts w:hint="eastAsia" w:ascii="宋体" w:hAnsi="宋体"/>
                                <w:sz w:val="21"/>
                                <w:szCs w:val="21"/>
                              </w:rPr>
                              <w:t>0.01</w:t>
                            </w:r>
                          </w:p>
                        </w:txbxContent>
                      </wps:txbx>
                      <wps:bodyPr upright="1"/>
                    </wps:wsp>
                  </a:graphicData>
                </a:graphic>
              </wp:anchor>
            </w:drawing>
          </mc:Choice>
          <mc:Fallback>
            <w:pict>
              <v:rect id="_x0000_s1026" o:spid="_x0000_s1026" o:spt="1" style="position:absolute;left:0pt;margin-left:288pt;margin-top:6.4pt;height:20.55pt;width:56.65pt;z-index:251776000;mso-width-relative:page;mso-height-relative:page;" fillcolor="#FFFFFF" filled="t" stroked="f" coordsize="21600,21600" o:gfxdata="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O0ftJ2AAAAAkB&#10;AAAPAAAAAAAAAAEAIAAAACIAAABkcnMvZG93bnJldi54bWxQSwECFAAUAAAACACHTuJAICSR2qkB&#10;AAA8AwAADgAAAAAAAAABACAAAAAnAQAAZHJzL2Uyb0RvYy54bWxQSwUGAAAAAAYABgBZAQAAQgUA&#10;AAAA&#10;">
                <v:fill on="t" opacity="0f" focussize="0,0"/>
                <v:stroke on="f"/>
                <v:imagedata o:title=""/>
                <o:lock v:ext="edit" aspectratio="f"/>
                <v:textbox>
                  <w:txbxContent>
                    <w:p>
                      <w:pPr>
                        <w:rPr>
                          <w:rFonts w:ascii="宋体" w:hAnsi="宋体"/>
                          <w:sz w:val="21"/>
                          <w:szCs w:val="21"/>
                        </w:rPr>
                      </w:pPr>
                      <w:r>
                        <w:rPr>
                          <w:rFonts w:hint="eastAsia" w:ascii="宋体" w:hAnsi="宋体"/>
                          <w:sz w:val="21"/>
                          <w:szCs w:val="21"/>
                        </w:rPr>
                        <w:t>0.01</w:t>
                      </w:r>
                    </w:p>
                  </w:txbxContent>
                </v:textbox>
              </v:rect>
            </w:pict>
          </mc:Fallback>
        </mc:AlternateContent>
      </w:r>
      <w:r>
        <w:rPr>
          <w:rFonts w:hint="eastAsia" w:ascii="宋体" w:hAnsi="宋体"/>
          <w:b/>
          <w:bCs/>
        </w:rPr>
        <mc:AlternateContent>
          <mc:Choice Requires="wps">
            <w:drawing>
              <wp:anchor distT="0" distB="0" distL="114300" distR="114300" simplePos="0" relativeHeight="251763712" behindDoc="0" locked="0" layoutInCell="1" allowOverlap="1">
                <wp:simplePos x="0" y="0"/>
                <wp:positionH relativeFrom="column">
                  <wp:posOffset>2286000</wp:posOffset>
                </wp:positionH>
                <wp:positionV relativeFrom="paragraph">
                  <wp:posOffset>167640</wp:posOffset>
                </wp:positionV>
                <wp:extent cx="1257300" cy="297180"/>
                <wp:effectExtent l="5080" t="4445" r="13970" b="22225"/>
                <wp:wrapNone/>
                <wp:docPr id="241" name="矩形 241"/>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生料生产系统</w:t>
                            </w:r>
                          </w:p>
                        </w:txbxContent>
                      </wps:txbx>
                      <wps:bodyPr upright="1"/>
                    </wps:wsp>
                  </a:graphicData>
                </a:graphic>
              </wp:anchor>
            </w:drawing>
          </mc:Choice>
          <mc:Fallback>
            <w:pict>
              <v:rect id="_x0000_s1026" o:spid="_x0000_s1026" o:spt="1" style="position:absolute;left:0pt;margin-left:180pt;margin-top:13.2pt;height:23.4pt;width:99pt;z-index:251763712;mso-width-relative:page;mso-height-relative:page;" fillcolor="#FFFFFF" filled="t" stroked="t" coordsize="21600,21600" o:gfxdata="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C&#10;EUYU2AAAAAkBAAAPAAAAAAAAAAEAIAAAACIAAABkcnMvZG93bnJldi54bWxQSwECFAAUAAAACACH&#10;TuJA/KexE+sBAADfAwAADgAAAAAAAAABACAAAAAnAQAAZHJzL2Uyb0RvYy54bWxQSwUGAAAAAAYA&#10;BgBZAQAAhAUAAAAA&#10;">
                <v:fill on="t" focussize="0,0"/>
                <v:stroke color="#000000" joinstyle="miter"/>
                <v:imagedata o:title=""/>
                <o:lock v:ext="edit" aspectratio="f"/>
                <v:textbox>
                  <w:txbxContent>
                    <w:p>
                      <w:pPr>
                        <w:rPr>
                          <w:sz w:val="21"/>
                          <w:szCs w:val="21"/>
                        </w:rPr>
                      </w:pPr>
                      <w:r>
                        <w:rPr>
                          <w:rFonts w:hint="eastAsia"/>
                          <w:sz w:val="21"/>
                          <w:szCs w:val="21"/>
                        </w:rPr>
                        <w:t>生料生产系统</w:t>
                      </w:r>
                    </w:p>
                  </w:txbxContent>
                </v:textbox>
              </v:rect>
            </w:pict>
          </mc:Fallback>
        </mc:AlternateContent>
      </w:r>
      <w:r>
        <w:rPr>
          <w:rFonts w:hint="eastAsia" w:ascii="宋体" w:hAnsi="宋体"/>
          <w:b/>
          <w:bCs/>
        </w:rPr>
        <w:t xml:space="preserve">                                                             </w:t>
      </w:r>
    </w:p>
    <w:p>
      <w:pPr>
        <w:spacing w:line="480" w:lineRule="exact"/>
        <w:jc w:val="center"/>
        <w:rPr>
          <w:rFonts w:hint="eastAsia" w:ascii="宋体" w:hAnsi="宋体"/>
          <w:b/>
          <w:bCs/>
        </w:rPr>
      </w:pPr>
      <w:r>
        <w:rPr>
          <w:b/>
          <w:bCs/>
        </w:rPr>
        <mc:AlternateContent>
          <mc:Choice Requires="wps">
            <w:drawing>
              <wp:anchor distT="0" distB="0" distL="114300" distR="114300" simplePos="0" relativeHeight="251782144" behindDoc="0" locked="0" layoutInCell="1" allowOverlap="1">
                <wp:simplePos x="0" y="0"/>
                <wp:positionH relativeFrom="column">
                  <wp:posOffset>917575</wp:posOffset>
                </wp:positionH>
                <wp:positionV relativeFrom="paragraph">
                  <wp:posOffset>121920</wp:posOffset>
                </wp:positionV>
                <wp:extent cx="555625" cy="297180"/>
                <wp:effectExtent l="5080" t="4445" r="10795" b="22225"/>
                <wp:wrapNone/>
                <wp:docPr id="242" name="矩形 242"/>
                <wp:cNvGraphicFramePr/>
                <a:graphic xmlns:a="http://schemas.openxmlformats.org/drawingml/2006/main">
                  <a:graphicData uri="http://schemas.microsoft.com/office/word/2010/wordprocessingShape">
                    <wps:wsp>
                      <wps:cNvSpPr/>
                      <wps:spPr>
                        <a:xfrm>
                          <a:off x="0" y="0"/>
                          <a:ext cx="5556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原煤</w:t>
                            </w:r>
                          </w:p>
                        </w:txbxContent>
                      </wps:txbx>
                      <wps:bodyPr upright="1"/>
                    </wps:wsp>
                  </a:graphicData>
                </a:graphic>
              </wp:anchor>
            </w:drawing>
          </mc:Choice>
          <mc:Fallback>
            <w:pict>
              <v:rect id="_x0000_s1026" o:spid="_x0000_s1026" o:spt="1" style="position:absolute;left:0pt;margin-left:72.25pt;margin-top:9.6pt;height:23.4pt;width:43.75pt;z-index:251782144;mso-width-relative:page;mso-height-relative:page;" fillcolor="#FFFFFF" filled="t" stroked="t" coordsize="21600,21600" o:gfxdata="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OT7ve&#10;1gAAAAkBAAAPAAAAAAAAAAEAIAAAACIAAABkcnMvZG93bnJldi54bWxQSwECFAAUAAAACACHTuJA&#10;SG1h3eoBAADeAwAADgAAAAAAAAABACAAAAAlAQAAZHJzL2Uyb0RvYy54bWxQSwUGAAAAAAYABgBZ&#10;AQAAgQUAAAAA&#10;">
                <v:fill on="t" focussize="0,0"/>
                <v:stroke color="#000000" joinstyle="miter"/>
                <v:imagedata o:title=""/>
                <o:lock v:ext="edit" aspectratio="f"/>
                <v:textbox>
                  <w:txbxContent>
                    <w:p>
                      <w:pPr>
                        <w:rPr>
                          <w:sz w:val="21"/>
                          <w:szCs w:val="21"/>
                        </w:rPr>
                      </w:pPr>
                      <w:r>
                        <w:rPr>
                          <w:rFonts w:hint="eastAsia"/>
                          <w:sz w:val="21"/>
                          <w:szCs w:val="21"/>
                        </w:rPr>
                        <w:t>原煤</w:t>
                      </w:r>
                    </w:p>
                  </w:txbxContent>
                </v:textbox>
              </v:rect>
            </w:pict>
          </mc:Fallback>
        </mc:AlternateContent>
      </w:r>
      <w:r>
        <w:rPr>
          <w:rFonts w:hint="eastAsia" w:ascii="宋体" w:hAnsi="宋体"/>
          <w:b/>
          <w:bCs/>
        </w:rPr>
        <mc:AlternateContent>
          <mc:Choice Requires="wps">
            <w:drawing>
              <wp:anchor distT="0" distB="0" distL="114300" distR="114300" simplePos="0" relativeHeight="251771904" behindDoc="0" locked="0" layoutInCell="1" allowOverlap="1">
                <wp:simplePos x="0" y="0"/>
                <wp:positionH relativeFrom="column">
                  <wp:posOffset>2861945</wp:posOffset>
                </wp:positionH>
                <wp:positionV relativeFrom="paragraph">
                  <wp:posOffset>255905</wp:posOffset>
                </wp:positionV>
                <wp:extent cx="719455" cy="260985"/>
                <wp:effectExtent l="0" t="0" r="4445" b="5715"/>
                <wp:wrapNone/>
                <wp:docPr id="243" name="矩形 243"/>
                <wp:cNvGraphicFramePr/>
                <a:graphic xmlns:a="http://schemas.openxmlformats.org/drawingml/2006/main">
                  <a:graphicData uri="http://schemas.microsoft.com/office/word/2010/wordprocessingShape">
                    <wps:wsp>
                      <wps:cNvSpPr/>
                      <wps:spPr>
                        <a:xfrm>
                          <a:off x="0" y="0"/>
                          <a:ext cx="719455" cy="260985"/>
                        </a:xfrm>
                        <a:prstGeom prst="rect">
                          <a:avLst/>
                        </a:prstGeom>
                        <a:solidFill>
                          <a:srgbClr val="FFFFFF"/>
                        </a:solidFill>
                        <a:ln>
                          <a:noFill/>
                        </a:ln>
                      </wps:spPr>
                      <wps:txbx>
                        <w:txbxContent>
                          <w:p>
                            <w:pPr>
                              <w:rPr>
                                <w:rFonts w:hint="eastAsia"/>
                                <w:sz w:val="21"/>
                                <w:szCs w:val="21"/>
                              </w:rPr>
                            </w:pPr>
                            <w:r>
                              <w:rPr>
                                <w:rFonts w:hint="eastAsia"/>
                                <w:sz w:val="21"/>
                                <w:szCs w:val="21"/>
                              </w:rPr>
                              <w:t>746.23</w:t>
                            </w:r>
                          </w:p>
                        </w:txbxContent>
                      </wps:txbx>
                      <wps:bodyPr upright="1"/>
                    </wps:wsp>
                  </a:graphicData>
                </a:graphic>
              </wp:anchor>
            </w:drawing>
          </mc:Choice>
          <mc:Fallback>
            <w:pict>
              <v:rect id="_x0000_s1026" o:spid="_x0000_s1026" o:spt="1" style="position:absolute;left:0pt;margin-left:225.35pt;margin-top:20.15pt;height:20.55pt;width:56.65pt;z-index:251771904;mso-width-relative:page;mso-height-relative:page;" fillcolor="#FFFFFF" filled="t" stroked="f" coordsize="21600,21600" o:gfxdata="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MzlFlTXAAAACQEAAA8AAAAAAAAAAQAg&#10;AAAAIgAAAGRycy9kb3ducmV2LnhtbFBLAQIUABQAAAAIAIdO4kDpXPG0nQEAAB8DAAAOAAAAAAAA&#10;AAEAIAAAACYBAABkcnMvZTJvRG9jLnhtbFBLBQYAAAAABgAGAFkBAAA1BQAAAAA=&#10;">
                <v:fill on="t" focussize="0,0"/>
                <v:stroke on="f"/>
                <v:imagedata o:title=""/>
                <o:lock v:ext="edit" aspectratio="f"/>
                <v:textbox>
                  <w:txbxContent>
                    <w:p>
                      <w:pPr>
                        <w:rPr>
                          <w:rFonts w:hint="eastAsia"/>
                          <w:sz w:val="21"/>
                          <w:szCs w:val="21"/>
                        </w:rPr>
                      </w:pPr>
                      <w:r>
                        <w:rPr>
                          <w:rFonts w:hint="eastAsia"/>
                          <w:sz w:val="21"/>
                          <w:szCs w:val="21"/>
                        </w:rPr>
                        <w:t>746.23</w:t>
                      </w:r>
                    </w:p>
                  </w:txbxContent>
                </v:textbox>
              </v:rect>
            </w:pict>
          </mc:Fallback>
        </mc:AlternateContent>
      </w:r>
      <w:r>
        <w:rPr>
          <w:rFonts w:hint="eastAsia" w:ascii="宋体" w:hAnsi="宋体"/>
          <w:b/>
          <w:bCs/>
        </w:rPr>
        <mc:AlternateContent>
          <mc:Choice Requires="wps">
            <w:drawing>
              <wp:anchor distT="0" distB="0" distL="114300" distR="114300" simplePos="0" relativeHeight="251774976" behindDoc="0" locked="0" layoutInCell="1" allowOverlap="1">
                <wp:simplePos x="0" y="0"/>
                <wp:positionH relativeFrom="column">
                  <wp:posOffset>3543300</wp:posOffset>
                </wp:positionH>
                <wp:positionV relativeFrom="paragraph">
                  <wp:posOffset>50800</wp:posOffset>
                </wp:positionV>
                <wp:extent cx="800100" cy="0"/>
                <wp:effectExtent l="0" t="38100" r="0" b="38100"/>
                <wp:wrapNone/>
                <wp:docPr id="260" name="直接连接符 260"/>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9pt;margin-top:4pt;height:0pt;width:63pt;z-index:251774976;mso-width-relative:page;mso-height-relative:page;" filled="f" stroked="t" coordsize="21600,21600" o:gfxdata="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J2lirWAAAABwEAAA8A&#10;AAAAAAAAAQAgAAAAIgAAAGRycy9kb3ducmV2LnhtbFBLAQIUABQAAAAIAIdO4kDqL9i94AEAAJ0D&#10;AAAOAAAAAAAAAAEAIAAAACUBAABkcnMvZTJvRG9jLnhtbFBLBQYAAAAABgAGAFkBAAB3BQAAAAA=&#10;">
                <v:fill on="f" focussize="0,0"/>
                <v:stroke color="#000000" joinstyle="round" endarrow="block"/>
                <v:imagedata o:title=""/>
                <o:lock v:ext="edit" aspectratio="f"/>
              </v:line>
            </w:pict>
          </mc:Fallback>
        </mc:AlternateContent>
      </w:r>
      <w:r>
        <w:rPr>
          <w:rFonts w:hint="eastAsia" w:ascii="宋体" w:hAnsi="宋体"/>
          <w:b/>
          <w:bCs/>
        </w:rPr>
        <mc:AlternateContent>
          <mc:Choice Requires="wps">
            <w:drawing>
              <wp:anchor distT="0" distB="0" distL="114300" distR="114300" simplePos="0" relativeHeight="251768832" behindDoc="0" locked="0" layoutInCell="1" allowOverlap="1">
                <wp:simplePos x="0" y="0"/>
                <wp:positionH relativeFrom="column">
                  <wp:posOffset>2857500</wp:posOffset>
                </wp:positionH>
                <wp:positionV relativeFrom="paragraph">
                  <wp:posOffset>160020</wp:posOffset>
                </wp:positionV>
                <wp:extent cx="0" cy="594360"/>
                <wp:effectExtent l="38100" t="0" r="38100" b="15240"/>
                <wp:wrapNone/>
                <wp:docPr id="245" name="直接连接符 245"/>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pt;margin-top:12.6pt;height:46.8pt;width:0pt;z-index:251768832;mso-width-relative:page;mso-height-relative:page;" filled="f" stroked="t" coordsize="21600,21600" o:gfxdata="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DMYvfZAAAA&#10;CgEAAA8AAAAAAAAAAQAgAAAAIgAAAGRycy9kb3ducmV2LnhtbFBLAQIUABQAAAAIAIdO4kDfMSTO&#10;4wEAAJ0DAAAOAAAAAAAAAAEAIAAAACgBAABkcnMvZTJvRG9jLnhtbFBLBQYAAAAABgAGAFkBAAB9&#10;BQAAAAA=&#10;">
                <v:fill on="f" focussize="0,0"/>
                <v:stroke color="#000000" joinstyle="round" endarrow="block"/>
                <v:imagedata o:title=""/>
                <o:lock v:ext="edit" aspectratio="f"/>
              </v:line>
            </w:pict>
          </mc:Fallback>
        </mc:AlternateContent>
      </w:r>
      <w:r>
        <w:rPr>
          <w:rFonts w:hint="eastAsia" w:ascii="宋体" w:hAnsi="宋体"/>
          <w:b/>
          <w:bCs/>
        </w:rPr>
        <w:t xml:space="preserve">                                                                                                                   </w:t>
      </w:r>
    </w:p>
    <w:p>
      <w:pPr>
        <w:spacing w:line="480" w:lineRule="exact"/>
        <w:ind w:firstLine="3202" w:firstLineChars="1519"/>
        <w:rPr>
          <w:rFonts w:hint="eastAsia" w:ascii="宋体" w:hAnsi="宋体"/>
          <w:bCs/>
        </w:rPr>
      </w:pPr>
      <w:r>
        <w:rPr>
          <w:rFonts w:hint="eastAsia" w:ascii="宋体" w:hAnsi="宋体"/>
          <w:b/>
          <w:bCs/>
        </w:rPr>
        <mc:AlternateContent>
          <mc:Choice Requires="wps">
            <w:drawing>
              <wp:anchor distT="0" distB="0" distL="114300" distR="114300" simplePos="0" relativeHeight="251785216" behindDoc="0" locked="0" layoutInCell="1" allowOverlap="1">
                <wp:simplePos x="0" y="0"/>
                <wp:positionH relativeFrom="column">
                  <wp:posOffset>1165860</wp:posOffset>
                </wp:positionH>
                <wp:positionV relativeFrom="paragraph">
                  <wp:posOffset>114300</wp:posOffset>
                </wp:positionV>
                <wp:extent cx="635" cy="407670"/>
                <wp:effectExtent l="38100" t="0" r="37465" b="11430"/>
                <wp:wrapNone/>
                <wp:docPr id="247" name="直接连接符 247"/>
                <wp:cNvGraphicFramePr/>
                <a:graphic xmlns:a="http://schemas.openxmlformats.org/drawingml/2006/main">
                  <a:graphicData uri="http://schemas.microsoft.com/office/word/2010/wordprocessingShape">
                    <wps:wsp>
                      <wps:cNvCnPr/>
                      <wps:spPr>
                        <a:xfrm flipH="1">
                          <a:off x="0" y="0"/>
                          <a:ext cx="635" cy="4076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91.8pt;margin-top:9pt;height:32.1pt;width:0.05pt;z-index:251785216;mso-width-relative:page;mso-height-relative:page;" filled="f" stroked="t" coordsize="21600,21600" o:gfxdata="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NdFUtgAAAAJAQAADwAAAAAAAAABACAAAAAiAAAAZHJzL2Rvd25yZXYueG1sUEsBAhQAFAAA&#10;AAgAh07iQJeJKPnvAQAAqQMAAA4AAAAAAAAAAQAgAAAAJwEAAGRycy9lMm9Eb2MueG1sUEsFBgAA&#10;AAAGAAYAWQEAAIgFAAAAAA==&#10;">
                <v:fill on="f" focussize="0,0"/>
                <v:stroke color="#000000" joinstyle="round" endarrow="block"/>
                <v:imagedata o:title=""/>
                <o:lock v:ext="edit" aspectratio="f"/>
              </v:line>
            </w:pict>
          </mc:Fallback>
        </mc:AlternateContent>
      </w:r>
      <w:r>
        <w:rPr>
          <w:rFonts w:hint="eastAsia" w:ascii="宋体" w:hAnsi="宋体"/>
          <w:b/>
          <w:bCs/>
        </w:rPr>
        <mc:AlternateContent>
          <mc:Choice Requires="wps">
            <w:drawing>
              <wp:anchor distT="0" distB="0" distL="114300" distR="114300" simplePos="0" relativeHeight="251769856" behindDoc="0" locked="0" layoutInCell="1" allowOverlap="1">
                <wp:simplePos x="0" y="0"/>
                <wp:positionH relativeFrom="column">
                  <wp:posOffset>3543300</wp:posOffset>
                </wp:positionH>
                <wp:positionV relativeFrom="paragraph">
                  <wp:posOffset>274320</wp:posOffset>
                </wp:positionV>
                <wp:extent cx="685800" cy="260985"/>
                <wp:effectExtent l="0" t="0" r="0" b="5715"/>
                <wp:wrapNone/>
                <wp:docPr id="248" name="矩形 248"/>
                <wp:cNvGraphicFramePr/>
                <a:graphic xmlns:a="http://schemas.openxmlformats.org/drawingml/2006/main">
                  <a:graphicData uri="http://schemas.microsoft.com/office/word/2010/wordprocessingShape">
                    <wps:wsp>
                      <wps:cNvSpPr/>
                      <wps:spPr>
                        <a:xfrm>
                          <a:off x="0" y="0"/>
                          <a:ext cx="685800" cy="260985"/>
                        </a:xfrm>
                        <a:prstGeom prst="rect">
                          <a:avLst/>
                        </a:prstGeom>
                        <a:solidFill>
                          <a:srgbClr val="FFFFFF"/>
                        </a:solidFill>
                        <a:ln>
                          <a:noFill/>
                        </a:ln>
                      </wps:spPr>
                      <wps:txbx>
                        <w:txbxContent>
                          <w:p>
                            <w:pPr>
                              <w:rPr>
                                <w:rFonts w:hint="eastAsia" w:ascii="宋体" w:hAnsi="宋体"/>
                                <w:sz w:val="21"/>
                                <w:szCs w:val="21"/>
                              </w:rPr>
                            </w:pPr>
                            <w:r>
                              <w:rPr>
                                <w:rFonts w:hint="eastAsia" w:ascii="宋体" w:hAnsi="宋体"/>
                                <w:sz w:val="21"/>
                                <w:szCs w:val="21"/>
                              </w:rPr>
                              <w:t>108.22</w:t>
                            </w:r>
                          </w:p>
                        </w:txbxContent>
                      </wps:txbx>
                      <wps:bodyPr upright="1"/>
                    </wps:wsp>
                  </a:graphicData>
                </a:graphic>
              </wp:anchor>
            </w:drawing>
          </mc:Choice>
          <mc:Fallback>
            <w:pict>
              <v:rect id="_x0000_s1026" o:spid="_x0000_s1026" o:spt="1" style="position:absolute;left:0pt;margin-left:279pt;margin-top:21.6pt;height:20.55pt;width:54pt;z-index:251769856;mso-width-relative:page;mso-height-relative:page;" fillcolor="#FFFFFF" filled="t" stroked="f" coordsize="21600,21600" o:gfxdata="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o3k+HtgAAAAJAQAADwAAAAAAAAABACAA&#10;AAAiAAAAZHJzL2Rvd25yZXYueG1sUEsBAhQAFAAAAAgAh07iQNaAPZibAQAAHwMAAA4AAAAAAAAA&#10;AQAgAAAAJwEAAGRycy9lMm9Eb2MueG1sUEsFBgAAAAAGAAYAWQEAADQFAAAAAA==&#10;">
                <v:fill on="t" focussize="0,0"/>
                <v:stroke on="f"/>
                <v:imagedata o:title=""/>
                <o:lock v:ext="edit" aspectratio="f"/>
                <v:textbox>
                  <w:txbxContent>
                    <w:p>
                      <w:pPr>
                        <w:rPr>
                          <w:rFonts w:hint="eastAsia" w:ascii="宋体" w:hAnsi="宋体"/>
                          <w:sz w:val="21"/>
                          <w:szCs w:val="21"/>
                        </w:rPr>
                      </w:pPr>
                      <w:r>
                        <w:rPr>
                          <w:rFonts w:hint="eastAsia" w:ascii="宋体" w:hAnsi="宋体"/>
                          <w:sz w:val="21"/>
                          <w:szCs w:val="21"/>
                        </w:rPr>
                        <w:t>108.22</w:t>
                      </w:r>
                    </w:p>
                  </w:txbxContent>
                </v:textbox>
              </v:rect>
            </w:pict>
          </mc:Fallback>
        </mc:AlternateContent>
      </w:r>
      <w:r>
        <w:rPr>
          <w:rFonts w:hint="eastAsia" w:ascii="宋体" w:hAnsi="宋体"/>
          <w:b/>
          <w:bCs/>
        </w:rPr>
        <mc:AlternateContent>
          <mc:Choice Requires="wps">
            <w:drawing>
              <wp:anchor distT="0" distB="0" distL="114300" distR="114300" simplePos="0" relativeHeight="251783168" behindDoc="0" locked="0" layoutInCell="1" allowOverlap="1">
                <wp:simplePos x="0" y="0"/>
                <wp:positionH relativeFrom="column">
                  <wp:posOffset>1331595</wp:posOffset>
                </wp:positionH>
                <wp:positionV relativeFrom="paragraph">
                  <wp:posOffset>161925</wp:posOffset>
                </wp:positionV>
                <wp:extent cx="719455" cy="260985"/>
                <wp:effectExtent l="0" t="0" r="0" b="0"/>
                <wp:wrapNone/>
                <wp:docPr id="249" name="矩形 249"/>
                <wp:cNvGraphicFramePr/>
                <a:graphic xmlns:a="http://schemas.openxmlformats.org/drawingml/2006/main">
                  <a:graphicData uri="http://schemas.microsoft.com/office/word/2010/wordprocessingShape">
                    <wps:wsp>
                      <wps:cNvSpPr/>
                      <wps:spPr>
                        <a:xfrm>
                          <a:off x="0" y="0"/>
                          <a:ext cx="719455" cy="260985"/>
                        </a:xfrm>
                        <a:prstGeom prst="rect">
                          <a:avLst/>
                        </a:prstGeom>
                        <a:solidFill>
                          <a:srgbClr val="FFFFFF">
                            <a:alpha val="0"/>
                          </a:srgbClr>
                        </a:solidFill>
                        <a:ln>
                          <a:noFill/>
                        </a:ln>
                      </wps:spPr>
                      <wps:txbx>
                        <w:txbxContent>
                          <w:p>
                            <w:pPr>
                              <w:rPr>
                                <w:rFonts w:ascii="宋体" w:hAnsi="宋体"/>
                                <w:sz w:val="21"/>
                                <w:szCs w:val="21"/>
                              </w:rPr>
                            </w:pPr>
                            <w:r>
                              <w:rPr>
                                <w:rFonts w:hint="eastAsia" w:ascii="宋体" w:hAnsi="宋体"/>
                                <w:sz w:val="21"/>
                                <w:szCs w:val="21"/>
                              </w:rPr>
                              <w:t>1418.31</w:t>
                            </w:r>
                          </w:p>
                        </w:txbxContent>
                      </wps:txbx>
                      <wps:bodyPr upright="1"/>
                    </wps:wsp>
                  </a:graphicData>
                </a:graphic>
              </wp:anchor>
            </w:drawing>
          </mc:Choice>
          <mc:Fallback>
            <w:pict>
              <v:rect id="_x0000_s1026" o:spid="_x0000_s1026" o:spt="1" style="position:absolute;left:0pt;margin-left:104.85pt;margin-top:12.75pt;height:20.55pt;width:56.65pt;z-index:251783168;mso-width-relative:page;mso-height-relative:page;" fillcolor="#FFFFFF" filled="t" stroked="f" coordsize="21600,21600" o:gfxdata="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WueeR2AAAAAkB&#10;AAAPAAAAAAAAAAEAIAAAACIAAABkcnMvZG93bnJldi54bWxQSwECFAAUAAAACACHTuJABG7euakB&#10;AAA8AwAADgAAAAAAAAABACAAAAAnAQAAZHJzL2Uyb0RvYy54bWxQSwUGAAAAAAYABgBZAQAAQgUA&#10;AAAA&#10;">
                <v:fill on="t" opacity="0f" focussize="0,0"/>
                <v:stroke on="f"/>
                <v:imagedata o:title=""/>
                <o:lock v:ext="edit" aspectratio="f"/>
                <v:textbox>
                  <w:txbxContent>
                    <w:p>
                      <w:pPr>
                        <w:rPr>
                          <w:rFonts w:ascii="宋体" w:hAnsi="宋体"/>
                          <w:sz w:val="21"/>
                          <w:szCs w:val="21"/>
                        </w:rPr>
                      </w:pPr>
                      <w:r>
                        <w:rPr>
                          <w:rFonts w:hint="eastAsia" w:ascii="宋体" w:hAnsi="宋体"/>
                          <w:sz w:val="21"/>
                          <w:szCs w:val="21"/>
                        </w:rPr>
                        <w:t>1418.31</w:t>
                      </w:r>
                    </w:p>
                  </w:txbxContent>
                </v:textbox>
              </v:rect>
            </w:pict>
          </mc:Fallback>
        </mc:AlternateContent>
      </w:r>
    </w:p>
    <w:p>
      <w:pPr>
        <w:spacing w:line="480" w:lineRule="exact"/>
        <w:ind w:firstLine="1653" w:firstLineChars="784"/>
        <w:rPr>
          <w:rFonts w:hint="eastAsia" w:ascii="宋体" w:hAnsi="宋体"/>
          <w:bCs/>
        </w:rPr>
      </w:pPr>
      <w:r>
        <w:rPr>
          <w:rFonts w:hint="eastAsia" w:ascii="宋体" w:hAnsi="宋体"/>
          <w:b/>
          <w:bCs/>
        </w:rPr>
        <mc:AlternateContent>
          <mc:Choice Requires="wps">
            <w:drawing>
              <wp:anchor distT="0" distB="0" distL="114300" distR="114300" simplePos="0" relativeHeight="251789312" behindDoc="0" locked="0" layoutInCell="1" allowOverlap="1">
                <wp:simplePos x="0" y="0"/>
                <wp:positionH relativeFrom="column">
                  <wp:posOffset>1708150</wp:posOffset>
                </wp:positionH>
                <wp:positionV relativeFrom="paragraph">
                  <wp:posOffset>104775</wp:posOffset>
                </wp:positionV>
                <wp:extent cx="747395" cy="260985"/>
                <wp:effectExtent l="0" t="0" r="0" b="0"/>
                <wp:wrapNone/>
                <wp:docPr id="273" name="矩形 273"/>
                <wp:cNvGraphicFramePr/>
                <a:graphic xmlns:a="http://schemas.openxmlformats.org/drawingml/2006/main">
                  <a:graphicData uri="http://schemas.microsoft.com/office/word/2010/wordprocessingShape">
                    <wps:wsp>
                      <wps:cNvSpPr/>
                      <wps:spPr>
                        <a:xfrm>
                          <a:off x="0" y="0"/>
                          <a:ext cx="747395" cy="260985"/>
                        </a:xfrm>
                        <a:prstGeom prst="rect">
                          <a:avLst/>
                        </a:prstGeom>
                        <a:noFill/>
                        <a:ln>
                          <a:noFill/>
                        </a:ln>
                      </wps:spPr>
                      <wps:txbx>
                        <w:txbxContent>
                          <w:p>
                            <w:pPr>
                              <w:rPr>
                                <w:rFonts w:hint="eastAsia" w:ascii="宋体" w:hAnsi="宋体"/>
                                <w:sz w:val="21"/>
                                <w:szCs w:val="21"/>
                              </w:rPr>
                            </w:pPr>
                            <w:r>
                              <w:rPr>
                                <w:rFonts w:hint="eastAsia" w:ascii="宋体" w:hAnsi="宋体"/>
                                <w:sz w:val="21"/>
                                <w:szCs w:val="21"/>
                              </w:rPr>
                              <w:t>1418.19</w:t>
                            </w:r>
                          </w:p>
                        </w:txbxContent>
                      </wps:txbx>
                      <wps:bodyPr upright="1"/>
                    </wps:wsp>
                  </a:graphicData>
                </a:graphic>
              </wp:anchor>
            </w:drawing>
          </mc:Choice>
          <mc:Fallback>
            <w:pict>
              <v:rect id="_x0000_s1026" o:spid="_x0000_s1026" o:spt="1" style="position:absolute;left:0pt;margin-left:134.5pt;margin-top:8.25pt;height:20.55pt;width:58.85pt;z-index:251789312;mso-width-relative:page;mso-height-relative:page;" filled="f" stroked="f" coordsize="21600,21600" o:gfxdata="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K81339oAAAAJAQAADwAAAAAAAAABACAAAAAiAAAAZHJzL2Rvd25yZXYu&#10;eG1sUEsBAhQAFAAAAAgAh07iQGYZQzCHAQAA9gIAAA4AAAAAAAAAAQAgAAAAKQEAAGRycy9lMm9E&#10;b2MueG1sUEsFBgAAAAAGAAYAWQEAACIFAAAAAA==&#10;">
                <v:fill on="f" focussize="0,0"/>
                <v:stroke on="f"/>
                <v:imagedata o:title=""/>
                <o:lock v:ext="edit" aspectratio="f"/>
                <v:textbox>
                  <w:txbxContent>
                    <w:p>
                      <w:pPr>
                        <w:rPr>
                          <w:rFonts w:hint="eastAsia" w:ascii="宋体" w:hAnsi="宋体"/>
                          <w:sz w:val="21"/>
                          <w:szCs w:val="21"/>
                        </w:rPr>
                      </w:pPr>
                      <w:r>
                        <w:rPr>
                          <w:rFonts w:hint="eastAsia" w:ascii="宋体" w:hAnsi="宋体"/>
                          <w:sz w:val="21"/>
                          <w:szCs w:val="21"/>
                        </w:rPr>
                        <w:t>1418.19</w:t>
                      </w:r>
                    </w:p>
                  </w:txbxContent>
                </v:textbox>
              </v:rect>
            </w:pict>
          </mc:Fallback>
        </mc:AlternateContent>
      </w:r>
      <w:r>
        <w:rPr>
          <w:rFonts w:hint="eastAsia" w:ascii="宋体" w:hAnsi="宋体"/>
          <w:b/>
          <w:bCs/>
        </w:rPr>
        <mc:AlternateContent>
          <mc:Choice Requires="wps">
            <w:drawing>
              <wp:anchor distT="0" distB="0" distL="114300" distR="114300" simplePos="0" relativeHeight="251784192" behindDoc="0" locked="0" layoutInCell="1" allowOverlap="1">
                <wp:simplePos x="0" y="0"/>
                <wp:positionH relativeFrom="column">
                  <wp:posOffset>775335</wp:posOffset>
                </wp:positionH>
                <wp:positionV relativeFrom="paragraph">
                  <wp:posOffset>186690</wp:posOffset>
                </wp:positionV>
                <wp:extent cx="918845" cy="297180"/>
                <wp:effectExtent l="4445" t="4445" r="10160" b="22225"/>
                <wp:wrapNone/>
                <wp:docPr id="282" name="矩形 282"/>
                <wp:cNvGraphicFramePr/>
                <a:graphic xmlns:a="http://schemas.openxmlformats.org/drawingml/2006/main">
                  <a:graphicData uri="http://schemas.microsoft.com/office/word/2010/wordprocessingShape">
                    <wps:wsp>
                      <wps:cNvSpPr/>
                      <wps:spPr>
                        <a:xfrm>
                          <a:off x="0" y="0"/>
                          <a:ext cx="9188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21"/>
                                <w:szCs w:val="21"/>
                              </w:rPr>
                              <w:t>煤加工系</w:t>
                            </w:r>
                            <w:r>
                              <w:rPr>
                                <w:rFonts w:hint="eastAsia"/>
                              </w:rPr>
                              <w:t>统</w:t>
                            </w:r>
                          </w:p>
                        </w:txbxContent>
                      </wps:txbx>
                      <wps:bodyPr upright="1"/>
                    </wps:wsp>
                  </a:graphicData>
                </a:graphic>
              </wp:anchor>
            </w:drawing>
          </mc:Choice>
          <mc:Fallback>
            <w:pict>
              <v:rect id="_x0000_s1026" o:spid="_x0000_s1026" o:spt="1" style="position:absolute;left:0pt;margin-left:61.05pt;margin-top:14.7pt;height:23.4pt;width:72.35pt;z-index:251784192;mso-width-relative:page;mso-height-relative:page;" fillcolor="#FFFFFF" filled="t" stroked="t" coordsize="21600,21600" o:gfxdata="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jnM03W&#10;AAAACQEAAA8AAAAAAAAAAQAgAAAAIgAAAGRycy9kb3ducmV2LnhtbFBLAQIUABQAAAAIAIdO4kBu&#10;5LGK6QEAAN4DAAAOAAAAAAAAAAEAIAAAACUBAABkcnMvZTJvRG9jLnhtbFBLBQYAAAAABgAGAFkB&#10;AACABQAAAAA=&#10;">
                <v:fill on="t" focussize="0,0"/>
                <v:stroke color="#000000" joinstyle="miter"/>
                <v:imagedata o:title=""/>
                <o:lock v:ext="edit" aspectratio="f"/>
                <v:textbox>
                  <w:txbxContent>
                    <w:p>
                      <w:r>
                        <w:rPr>
                          <w:rFonts w:hint="eastAsia"/>
                          <w:sz w:val="21"/>
                          <w:szCs w:val="21"/>
                        </w:rPr>
                        <w:t>煤加工系</w:t>
                      </w:r>
                      <w:r>
                        <w:rPr>
                          <w:rFonts w:hint="eastAsia"/>
                        </w:rPr>
                        <w:t>统</w:t>
                      </w:r>
                    </w:p>
                  </w:txbxContent>
                </v:textbox>
              </v:rect>
            </w:pict>
          </mc:Fallback>
        </mc:AlternateContent>
      </w:r>
      <w:r>
        <w:rPr>
          <w:rFonts w:hint="eastAsia" w:ascii="宋体" w:hAnsi="宋体"/>
          <w:b/>
          <w:bCs/>
        </w:rPr>
        <mc:AlternateContent>
          <mc:Choice Requires="wps">
            <w:drawing>
              <wp:anchor distT="0" distB="0" distL="114300" distR="114300" simplePos="0" relativeHeight="251764736" behindDoc="0" locked="0" layoutInCell="1" allowOverlap="1">
                <wp:simplePos x="0" y="0"/>
                <wp:positionH relativeFrom="column">
                  <wp:posOffset>2432050</wp:posOffset>
                </wp:positionH>
                <wp:positionV relativeFrom="paragraph">
                  <wp:posOffset>167640</wp:posOffset>
                </wp:positionV>
                <wp:extent cx="1071880" cy="297180"/>
                <wp:effectExtent l="4445" t="4445" r="9525" b="22225"/>
                <wp:wrapNone/>
                <wp:docPr id="275" name="矩形 275"/>
                <wp:cNvGraphicFramePr/>
                <a:graphic xmlns:a="http://schemas.openxmlformats.org/drawingml/2006/main">
                  <a:graphicData uri="http://schemas.microsoft.com/office/word/2010/wordprocessingShape">
                    <wps:wsp>
                      <wps:cNvSpPr/>
                      <wps:spPr>
                        <a:xfrm>
                          <a:off x="0" y="0"/>
                          <a:ext cx="107188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熟料烧成系统</w:t>
                            </w:r>
                          </w:p>
                        </w:txbxContent>
                      </wps:txbx>
                      <wps:bodyPr upright="1"/>
                    </wps:wsp>
                  </a:graphicData>
                </a:graphic>
              </wp:anchor>
            </w:drawing>
          </mc:Choice>
          <mc:Fallback>
            <w:pict>
              <v:rect id="_x0000_s1026" o:spid="_x0000_s1026" o:spt="1" style="position:absolute;left:0pt;margin-left:191.5pt;margin-top:13.2pt;height:23.4pt;width:84.4pt;z-index:251764736;mso-width-relative:page;mso-height-relative:page;" fillcolor="#FFFFFF" filled="t" stroked="t" coordsize="21600,21600" o:gfxdata="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Z&#10;I3922QAAAAkBAAAPAAAAAAAAAAEAIAAAACIAAABkcnMvZG93bnJldi54bWxQSwECFAAUAAAACACH&#10;TuJA0XG5K+oBAADfAwAADgAAAAAAAAABACAAAAAoAQAAZHJzL2Uyb0RvYy54bWxQSwUGAAAAAAYA&#10;BgBZAQAAhAUAAAAA&#10;">
                <v:fill on="t" focussize="0,0"/>
                <v:stroke color="#000000" joinstyle="miter"/>
                <v:imagedata o:title=""/>
                <o:lock v:ext="edit" aspectratio="f"/>
                <v:textbox>
                  <w:txbxContent>
                    <w:p>
                      <w:pPr>
                        <w:rPr>
                          <w:sz w:val="21"/>
                          <w:szCs w:val="21"/>
                        </w:rPr>
                      </w:pPr>
                      <w:r>
                        <w:rPr>
                          <w:rFonts w:hint="eastAsia"/>
                          <w:sz w:val="21"/>
                          <w:szCs w:val="21"/>
                        </w:rPr>
                        <w:t>熟料烧成系统</w:t>
                      </w:r>
                    </w:p>
                  </w:txbxContent>
                </v:textbox>
              </v:rect>
            </w:pict>
          </mc:Fallback>
        </mc:AlternateContent>
      </w:r>
      <w:r>
        <w:rPr>
          <w:b/>
          <w:bCs/>
        </w:rPr>
        <mc:AlternateContent>
          <mc:Choice Requires="wps">
            <w:drawing>
              <wp:anchor distT="0" distB="0" distL="114300" distR="114300" simplePos="0" relativeHeight="251766784" behindDoc="0" locked="0" layoutInCell="1" allowOverlap="1">
                <wp:simplePos x="0" y="0"/>
                <wp:positionH relativeFrom="column">
                  <wp:posOffset>4229100</wp:posOffset>
                </wp:positionH>
                <wp:positionV relativeFrom="paragraph">
                  <wp:posOffset>157480</wp:posOffset>
                </wp:positionV>
                <wp:extent cx="1028700" cy="297180"/>
                <wp:effectExtent l="0" t="0" r="0" b="0"/>
                <wp:wrapNone/>
                <wp:docPr id="295" name="矩形 295"/>
                <wp:cNvGraphicFramePr/>
                <a:graphic xmlns:a="http://schemas.openxmlformats.org/drawingml/2006/main">
                  <a:graphicData uri="http://schemas.microsoft.com/office/word/2010/wordprocessingShape">
                    <wps:wsp>
                      <wps:cNvSpPr/>
                      <wps:spPr>
                        <a:xfrm>
                          <a:off x="0" y="0"/>
                          <a:ext cx="1028700" cy="297180"/>
                        </a:xfrm>
                        <a:prstGeom prst="rect">
                          <a:avLst/>
                        </a:prstGeom>
                        <a:noFill/>
                        <a:ln>
                          <a:noFill/>
                        </a:ln>
                      </wps:spPr>
                      <wps:txbx>
                        <w:txbxContent>
                          <w:p>
                            <w:r>
                              <w:rPr>
                                <w:rFonts w:hint="eastAsia"/>
                              </w:rPr>
                              <w:t>废气</w:t>
                            </w:r>
                          </w:p>
                        </w:txbxContent>
                      </wps:txbx>
                      <wps:bodyPr upright="1"/>
                    </wps:wsp>
                  </a:graphicData>
                </a:graphic>
              </wp:anchor>
            </w:drawing>
          </mc:Choice>
          <mc:Fallback>
            <w:pict>
              <v:rect id="_x0000_s1026" o:spid="_x0000_s1026" o:spt="1" style="position:absolute;left:0pt;margin-left:333pt;margin-top:12.4pt;height:23.4pt;width:81pt;z-index:251766784;mso-width-relative:page;mso-height-relative:page;" filled="f" stroked="f" coordsize="21600,21600" o:gfxdata="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AfYhdkAAAAJAQAADwAAAAAAAAABACAAAAAiAAAAZHJzL2Rvd25yZXYueG1s&#10;UEsBAhQAFAAAAAgAh07iQELraEeFAQAA9wIAAA4AAAAAAAAAAQAgAAAAKAEAAGRycy9lMm9Eb2Mu&#10;eG1sUEsFBgAAAAAGAAYAWQEAAB8FAAAAAA==&#10;">
                <v:fill on="f" focussize="0,0"/>
                <v:stroke on="f"/>
                <v:imagedata o:title=""/>
                <o:lock v:ext="edit" aspectratio="f"/>
                <v:textbox>
                  <w:txbxContent>
                    <w:p>
                      <w:r>
                        <w:rPr>
                          <w:rFonts w:hint="eastAsia"/>
                        </w:rPr>
                        <w:t>废气</w:t>
                      </w:r>
                    </w:p>
                  </w:txbxContent>
                </v:textbox>
              </v:rect>
            </w:pict>
          </mc:Fallback>
        </mc:AlternateContent>
      </w:r>
      <w:r>
        <w:rPr>
          <w:rFonts w:hint="eastAsia" w:ascii="宋体" w:hAnsi="宋体"/>
        </w:rPr>
        <w:t xml:space="preserve"> </w:t>
      </w:r>
      <w:r>
        <w:rPr>
          <w:rFonts w:hint="eastAsia" w:ascii="宋体" w:hAnsi="宋体"/>
          <w:bCs/>
        </w:rPr>
        <w:t xml:space="preserve">                   </w:t>
      </w:r>
    </w:p>
    <w:p>
      <w:pPr>
        <w:spacing w:line="480" w:lineRule="exact"/>
        <w:rPr>
          <w:rFonts w:hint="eastAsia" w:ascii="宋体" w:hAnsi="宋体"/>
          <w:b/>
          <w:bCs/>
        </w:rPr>
      </w:pPr>
      <w:r>
        <w:rPr>
          <w:rFonts w:hint="eastAsia" w:ascii="宋体" w:hAnsi="宋体"/>
          <w:b/>
          <w:bCs/>
        </w:rPr>
        <mc:AlternateContent>
          <mc:Choice Requires="wps">
            <w:drawing>
              <wp:anchor distT="0" distB="0" distL="114300" distR="114300" simplePos="0" relativeHeight="251787264" behindDoc="0" locked="0" layoutInCell="1" allowOverlap="1">
                <wp:simplePos x="0" y="0"/>
                <wp:positionH relativeFrom="column">
                  <wp:posOffset>1250950</wp:posOffset>
                </wp:positionH>
                <wp:positionV relativeFrom="paragraph">
                  <wp:posOffset>270510</wp:posOffset>
                </wp:positionV>
                <wp:extent cx="719455" cy="260985"/>
                <wp:effectExtent l="0" t="0" r="0" b="0"/>
                <wp:wrapNone/>
                <wp:docPr id="293" name="矩形 293"/>
                <wp:cNvGraphicFramePr/>
                <a:graphic xmlns:a="http://schemas.openxmlformats.org/drawingml/2006/main">
                  <a:graphicData uri="http://schemas.microsoft.com/office/word/2010/wordprocessingShape">
                    <wps:wsp>
                      <wps:cNvSpPr/>
                      <wps:spPr>
                        <a:xfrm>
                          <a:off x="0" y="0"/>
                          <a:ext cx="719455" cy="260985"/>
                        </a:xfrm>
                        <a:prstGeom prst="rect">
                          <a:avLst/>
                        </a:prstGeom>
                        <a:solidFill>
                          <a:srgbClr val="FFFFFF">
                            <a:alpha val="0"/>
                          </a:srgbClr>
                        </a:solidFill>
                        <a:ln>
                          <a:noFill/>
                        </a:ln>
                      </wps:spPr>
                      <wps:txbx>
                        <w:txbxContent>
                          <w:p>
                            <w:pPr>
                              <w:rPr>
                                <w:rFonts w:hint="eastAsia"/>
                              </w:rPr>
                            </w:pPr>
                            <w:r>
                              <w:rPr>
                                <w:rFonts w:hint="eastAsia"/>
                              </w:rPr>
                              <w:t>0.12</w:t>
                            </w:r>
                          </w:p>
                        </w:txbxContent>
                      </wps:txbx>
                      <wps:bodyPr upright="1"/>
                    </wps:wsp>
                  </a:graphicData>
                </a:graphic>
              </wp:anchor>
            </w:drawing>
          </mc:Choice>
          <mc:Fallback>
            <w:pict>
              <v:rect id="_x0000_s1026" o:spid="_x0000_s1026" o:spt="1" style="position:absolute;left:0pt;margin-left:98.5pt;margin-top:21.3pt;height:20.55pt;width:56.65pt;z-index:251787264;mso-width-relative:page;mso-height-relative:page;" fillcolor="#FFFFFF" filled="t" stroked="f" coordsize="21600,21600" o:gfxdata="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VEWNkAAAAJ&#10;AQAADwAAAAAAAAABACAAAAAiAAAAZHJzL2Rvd25yZXYueG1sUEsBAhQAFAAAAAgAh07iQLt/Be2p&#10;AQAAPAMAAA4AAAAAAAAAAQAgAAAAKAEAAGRycy9lMm9Eb2MueG1sUEsFBgAAAAAGAAYAWQEAAEMF&#10;AAAAAA==&#10;">
                <v:fill on="t" opacity="0f" focussize="0,0"/>
                <v:stroke on="f"/>
                <v:imagedata o:title=""/>
                <o:lock v:ext="edit" aspectratio="f"/>
                <v:textbox>
                  <w:txbxContent>
                    <w:p>
                      <w:pPr>
                        <w:rPr>
                          <w:rFonts w:hint="eastAsia"/>
                        </w:rPr>
                      </w:pPr>
                      <w:r>
                        <w:rPr>
                          <w:rFonts w:hint="eastAsia"/>
                        </w:rPr>
                        <w:t>0.12</w:t>
                      </w:r>
                    </w:p>
                  </w:txbxContent>
                </v:textbox>
              </v:rect>
            </w:pict>
          </mc:Fallback>
        </mc:AlternateContent>
      </w:r>
      <w:r>
        <w:rPr>
          <w:rFonts w:hint="eastAsia" w:ascii="宋体" w:hAnsi="宋体"/>
          <w:b/>
          <w:bCs/>
        </w:rPr>
        <mc:AlternateContent>
          <mc:Choice Requires="wps">
            <w:drawing>
              <wp:anchor distT="0" distB="0" distL="114300" distR="114300" simplePos="0" relativeHeight="251772928" behindDoc="0" locked="0" layoutInCell="1" allowOverlap="1">
                <wp:simplePos x="0" y="0"/>
                <wp:positionH relativeFrom="column">
                  <wp:posOffset>2900045</wp:posOffset>
                </wp:positionH>
                <wp:positionV relativeFrom="paragraph">
                  <wp:posOffset>259080</wp:posOffset>
                </wp:positionV>
                <wp:extent cx="960120" cy="267335"/>
                <wp:effectExtent l="0" t="0" r="11430" b="18415"/>
                <wp:wrapNone/>
                <wp:docPr id="281" name="矩形 281"/>
                <wp:cNvGraphicFramePr/>
                <a:graphic xmlns:a="http://schemas.openxmlformats.org/drawingml/2006/main">
                  <a:graphicData uri="http://schemas.microsoft.com/office/word/2010/wordprocessingShape">
                    <wps:wsp>
                      <wps:cNvSpPr/>
                      <wps:spPr>
                        <a:xfrm>
                          <a:off x="0" y="0"/>
                          <a:ext cx="960120" cy="267335"/>
                        </a:xfrm>
                        <a:prstGeom prst="rect">
                          <a:avLst/>
                        </a:prstGeom>
                        <a:solidFill>
                          <a:srgbClr val="FFFFFF"/>
                        </a:solidFill>
                        <a:ln>
                          <a:noFill/>
                        </a:ln>
                      </wps:spPr>
                      <wps:txbx>
                        <w:txbxContent>
                          <w:p>
                            <w:pPr>
                              <w:rPr>
                                <w:rFonts w:hint="eastAsia" w:ascii="宋体" w:hAnsi="宋体"/>
                                <w:sz w:val="21"/>
                                <w:szCs w:val="21"/>
                              </w:rPr>
                            </w:pPr>
                            <w:r>
                              <w:rPr>
                                <w:rFonts w:hint="eastAsia" w:ascii="宋体" w:hAnsi="宋体"/>
                                <w:sz w:val="21"/>
                                <w:szCs w:val="21"/>
                              </w:rPr>
                              <w:t>2056.2</w:t>
                            </w:r>
                          </w:p>
                        </w:txbxContent>
                      </wps:txbx>
                      <wps:bodyPr upright="1"/>
                    </wps:wsp>
                  </a:graphicData>
                </a:graphic>
              </wp:anchor>
            </w:drawing>
          </mc:Choice>
          <mc:Fallback>
            <w:pict>
              <v:rect id="_x0000_s1026" o:spid="_x0000_s1026" o:spt="1" style="position:absolute;left:0pt;margin-left:228.35pt;margin-top:20.4pt;height:21.05pt;width:75.6pt;z-index:251772928;mso-width-relative:page;mso-height-relative:page;" fillcolor="#FFFFFF" filled="t" stroked="f" coordsize="21600,21600" o:gfxdata="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uMFLc1wAAAAkBAAAPAAAAAAAAAAEAIAAA&#10;ACIAAABkcnMvZG93bnJldi54bWxQSwECFAAUAAAACACHTuJAXof3uZsBAAAfAwAADgAAAAAAAAAB&#10;ACAAAAAmAQAAZHJzL2Uyb0RvYy54bWxQSwUGAAAAAAYABgBZAQAAMwUAAAAA&#10;">
                <v:fill on="t" focussize="0,0"/>
                <v:stroke on="f"/>
                <v:imagedata o:title=""/>
                <o:lock v:ext="edit" aspectratio="f"/>
                <v:textbox>
                  <w:txbxContent>
                    <w:p>
                      <w:pPr>
                        <w:rPr>
                          <w:rFonts w:hint="eastAsia" w:ascii="宋体" w:hAnsi="宋体"/>
                          <w:sz w:val="21"/>
                          <w:szCs w:val="21"/>
                        </w:rPr>
                      </w:pPr>
                      <w:r>
                        <w:rPr>
                          <w:rFonts w:hint="eastAsia" w:ascii="宋体" w:hAnsi="宋体"/>
                          <w:sz w:val="21"/>
                          <w:szCs w:val="21"/>
                        </w:rPr>
                        <w:t>2056.2</w:t>
                      </w:r>
                    </w:p>
                  </w:txbxContent>
                </v:textbox>
              </v:rect>
            </w:pict>
          </mc:Fallback>
        </mc:AlternateContent>
      </w:r>
      <w:r>
        <w:rPr>
          <w:rFonts w:hint="eastAsia" w:ascii="宋体" w:hAnsi="宋体"/>
          <w:b/>
          <w:bCs/>
        </w:rPr>
        <mc:AlternateContent>
          <mc:Choice Requires="wps">
            <w:drawing>
              <wp:anchor distT="0" distB="0" distL="114300" distR="114300" simplePos="0" relativeHeight="251767808" behindDoc="0" locked="0" layoutInCell="1" allowOverlap="1">
                <wp:simplePos x="0" y="0"/>
                <wp:positionH relativeFrom="column">
                  <wp:posOffset>1199515</wp:posOffset>
                </wp:positionH>
                <wp:positionV relativeFrom="paragraph">
                  <wp:posOffset>201930</wp:posOffset>
                </wp:positionV>
                <wp:extent cx="6350" cy="527685"/>
                <wp:effectExtent l="37465" t="0" r="32385" b="5715"/>
                <wp:wrapNone/>
                <wp:docPr id="298" name="直接连接符 298"/>
                <wp:cNvGraphicFramePr/>
                <a:graphic xmlns:a="http://schemas.openxmlformats.org/drawingml/2006/main">
                  <a:graphicData uri="http://schemas.microsoft.com/office/word/2010/wordprocessingShape">
                    <wps:wsp>
                      <wps:cNvCnPr/>
                      <wps:spPr>
                        <a:xfrm flipH="1">
                          <a:off x="0" y="0"/>
                          <a:ext cx="6350" cy="5276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94.45pt;margin-top:15.9pt;height:41.55pt;width:0.5pt;z-index:251767808;mso-width-relative:page;mso-height-relative:page;" filled="f" stroked="t" coordsize="21600,21600" o:gfxdata="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K4Q3rYAAAACgEAAA8AAAAAAAAAAQAgAAAAIgAAAGRycy9kb3ducmV2LnhtbFBLAQIUABQAAAAI&#10;AIdO4kBmauVw7QEAAKoDAAAOAAAAAAAAAAEAIAAAACcBAABkcnMvZTJvRG9jLnhtbFBLBQYAAAAA&#10;BgAGAFkBAACGBQAAAAA=&#10;">
                <v:fill on="f" focussize="0,0"/>
                <v:stroke color="#000000" joinstyle="round" endarrow="block"/>
                <v:imagedata o:title=""/>
                <o:lock v:ext="edit" aspectratio="f"/>
              </v:line>
            </w:pict>
          </mc:Fallback>
        </mc:AlternateContent>
      </w:r>
      <w:r>
        <w:rPr>
          <w:rFonts w:hint="eastAsia" w:ascii="宋体" w:hAnsi="宋体"/>
          <w:b/>
          <w:bCs/>
        </w:rPr>
        <mc:AlternateContent>
          <mc:Choice Requires="wps">
            <w:drawing>
              <wp:anchor distT="0" distB="0" distL="114300" distR="114300" simplePos="0" relativeHeight="251786240" behindDoc="0" locked="0" layoutInCell="1" allowOverlap="1">
                <wp:simplePos x="0" y="0"/>
                <wp:positionH relativeFrom="column">
                  <wp:posOffset>1747520</wp:posOffset>
                </wp:positionH>
                <wp:positionV relativeFrom="paragraph">
                  <wp:posOffset>60960</wp:posOffset>
                </wp:positionV>
                <wp:extent cx="671195" cy="0"/>
                <wp:effectExtent l="0" t="38100" r="14605" b="38100"/>
                <wp:wrapNone/>
                <wp:docPr id="276" name="直接连接符 276"/>
                <wp:cNvGraphicFramePr/>
                <a:graphic xmlns:a="http://schemas.openxmlformats.org/drawingml/2006/main">
                  <a:graphicData uri="http://schemas.microsoft.com/office/word/2010/wordprocessingShape">
                    <wps:wsp>
                      <wps:cNvCnPr/>
                      <wps:spPr>
                        <a:xfrm>
                          <a:off x="0" y="0"/>
                          <a:ext cx="67119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37.6pt;margin-top:4.8pt;height:0pt;width:52.85pt;z-index:251786240;mso-width-relative:page;mso-height-relative:page;" filled="f" stroked="t" coordsize="21600,21600" o:gfxdata="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iP5ajXAAAABwEA&#10;AA8AAAAAAAAAAQAgAAAAIgAAAGRycy9kb3ducmV2LnhtbFBLAQIUABQAAAAIAIdO4kCpbbQY4gEA&#10;AJ0DAAAOAAAAAAAAAAEAIAAAACYBAABkcnMvZTJvRG9jLnhtbFBLBQYAAAAABgAGAFkBAAB6BQAA&#10;AAA=&#10;">
                <v:fill on="f" focussize="0,0"/>
                <v:stroke color="#000000" joinstyle="round" endarrow="block"/>
                <v:imagedata o:title=""/>
                <o:lock v:ext="edit" aspectratio="f"/>
              </v:line>
            </w:pict>
          </mc:Fallback>
        </mc:AlternateContent>
      </w:r>
      <w:r>
        <w:rPr>
          <w:rFonts w:hint="eastAsia" w:ascii="宋体" w:hAnsi="宋体"/>
          <w:b/>
          <w:bCs/>
        </w:rPr>
        <mc:AlternateContent>
          <mc:Choice Requires="wps">
            <w:drawing>
              <wp:anchor distT="0" distB="0" distL="114300" distR="114300" simplePos="0" relativeHeight="251765760" behindDoc="0" locked="0" layoutInCell="1" allowOverlap="1">
                <wp:simplePos x="0" y="0"/>
                <wp:positionH relativeFrom="column">
                  <wp:posOffset>3471545</wp:posOffset>
                </wp:positionH>
                <wp:positionV relativeFrom="paragraph">
                  <wp:posOffset>38100</wp:posOffset>
                </wp:positionV>
                <wp:extent cx="871855" cy="0"/>
                <wp:effectExtent l="0" t="38100" r="4445" b="38100"/>
                <wp:wrapNone/>
                <wp:docPr id="286" name="直接连接符 286"/>
                <wp:cNvGraphicFramePr/>
                <a:graphic xmlns:a="http://schemas.openxmlformats.org/drawingml/2006/main">
                  <a:graphicData uri="http://schemas.microsoft.com/office/word/2010/wordprocessingShape">
                    <wps:wsp>
                      <wps:cNvCnPr/>
                      <wps:spPr>
                        <a:xfrm>
                          <a:off x="0" y="0"/>
                          <a:ext cx="87185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3.35pt;margin-top:3pt;height:0pt;width:68.65pt;z-index:251765760;mso-width-relative:page;mso-height-relative:page;" filled="f" stroked="t" coordsize="21600,21600" o:gfxdata="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1cfW3XAAAABwEA&#10;AA8AAAAAAAAAAQAgAAAAIgAAAGRycy9kb3ducmV2LnhtbFBLAQIUABQAAAAIAIdO4kDfEbKU4gEA&#10;AJ0DAAAOAAAAAAAAAAEAIAAAACYBAABkcnMvZTJvRG9jLnhtbFBLBQYAAAAABgAGAFkBAAB6BQAA&#10;AAA=&#10;">
                <v:fill on="f" focussize="0,0"/>
                <v:stroke color="#000000" joinstyle="round" endarrow="block"/>
                <v:imagedata o:title=""/>
                <o:lock v:ext="edit" aspectratio="f"/>
              </v:line>
            </w:pict>
          </mc:Fallback>
        </mc:AlternateContent>
      </w:r>
      <w:r>
        <w:rPr>
          <w:rFonts w:hint="eastAsia" w:ascii="宋体" w:hAnsi="宋体"/>
          <w:b/>
          <w:bCs/>
        </w:rPr>
        <mc:AlternateContent>
          <mc:Choice Requires="wps">
            <w:drawing>
              <wp:anchor distT="0" distB="0" distL="114300" distR="114300" simplePos="0" relativeHeight="251788288" behindDoc="0" locked="0" layoutInCell="1" allowOverlap="1">
                <wp:simplePos x="0" y="0"/>
                <wp:positionH relativeFrom="column">
                  <wp:posOffset>2861945</wp:posOffset>
                </wp:positionH>
                <wp:positionV relativeFrom="paragraph">
                  <wp:posOffset>220980</wp:posOffset>
                </wp:positionV>
                <wp:extent cx="6350" cy="527685"/>
                <wp:effectExtent l="37465" t="0" r="32385" b="5715"/>
                <wp:wrapNone/>
                <wp:docPr id="291" name="直接连接符 291"/>
                <wp:cNvGraphicFramePr/>
                <a:graphic xmlns:a="http://schemas.openxmlformats.org/drawingml/2006/main">
                  <a:graphicData uri="http://schemas.microsoft.com/office/word/2010/wordprocessingShape">
                    <wps:wsp>
                      <wps:cNvCnPr/>
                      <wps:spPr>
                        <a:xfrm flipH="1">
                          <a:off x="0" y="0"/>
                          <a:ext cx="6350" cy="5276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5.35pt;margin-top:17.4pt;height:41.55pt;width:0.5pt;z-index:251788288;mso-width-relative:page;mso-height-relative:page;" filled="f" stroked="t" coordsize="21600,21600" o:gfxdata="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i4nm/ZAAAACgEAAA8AAAAAAAAAAQAgAAAAIgAAAGRycy9kb3ducmV2LnhtbFBLAQIUABQAAAAI&#10;AIdO4kA0e1NB7AEAAKoDAAAOAAAAAAAAAAEAIAAAACgBAABkcnMvZTJvRG9jLnhtbFBLBQYAAAAA&#10;BgAGAFkBAACGBQAAAAA=&#10;">
                <v:fill on="f" focussize="0,0"/>
                <v:stroke color="#000000" joinstyle="round" endarrow="block"/>
                <v:imagedata o:title=""/>
                <o:lock v:ext="edit" aspectratio="f"/>
              </v:line>
            </w:pict>
          </mc:Fallback>
        </mc:AlternateContent>
      </w:r>
      <w:r>
        <w:rPr>
          <w:rFonts w:hint="eastAsia" w:ascii="宋体" w:hAnsi="宋体"/>
          <w:bCs/>
        </w:rPr>
        <w:t xml:space="preserve">                    </w:t>
      </w:r>
      <w:r>
        <w:rPr>
          <w:rFonts w:hint="eastAsia" w:ascii="宋体" w:hAnsi="宋体"/>
          <w:b/>
          <w:bCs/>
        </w:rPr>
        <w:t xml:space="preserve">                         </w:t>
      </w:r>
    </w:p>
    <w:p>
      <w:pPr>
        <w:spacing w:line="480" w:lineRule="exact"/>
        <w:rPr>
          <w:rFonts w:hint="eastAsia" w:ascii="宋体" w:hAnsi="宋体"/>
          <w:bCs/>
        </w:rPr>
      </w:pPr>
      <w:r>
        <w:rPr>
          <w:rFonts w:hint="eastAsia" w:ascii="宋体" w:hAnsi="宋体"/>
          <w:b/>
          <w:bCs/>
        </w:rPr>
        <w:t xml:space="preserve">                   </w:t>
      </w:r>
      <w:r>
        <w:rPr>
          <w:rFonts w:hint="eastAsia" w:ascii="宋体" w:hAnsi="宋体"/>
          <w:bCs/>
        </w:rPr>
        <w:t xml:space="preserve">                     </w:t>
      </w:r>
    </w:p>
    <w:p>
      <w:pPr>
        <w:spacing w:line="480" w:lineRule="exact"/>
        <w:jc w:val="center"/>
        <w:rPr>
          <w:rFonts w:hint="eastAsia" w:ascii="宋体" w:hAnsi="宋体"/>
          <w:b/>
          <w:bCs/>
        </w:rPr>
      </w:pPr>
      <w:r>
        <w:rPr>
          <w:rFonts w:hint="eastAsia" w:ascii="宋体" w:hAnsi="宋体"/>
          <w:b/>
          <w:bCs/>
        </w:rPr>
        <mc:AlternateContent>
          <mc:Choice Requires="wps">
            <w:drawing>
              <wp:anchor distT="0" distB="0" distL="114300" distR="114300" simplePos="0" relativeHeight="251870208" behindDoc="0" locked="0" layoutInCell="1" allowOverlap="1">
                <wp:simplePos x="0" y="0"/>
                <wp:positionH relativeFrom="column">
                  <wp:posOffset>4457700</wp:posOffset>
                </wp:positionH>
                <wp:positionV relativeFrom="paragraph">
                  <wp:posOffset>129540</wp:posOffset>
                </wp:positionV>
                <wp:extent cx="1028700" cy="297180"/>
                <wp:effectExtent l="0" t="0" r="0" b="0"/>
                <wp:wrapNone/>
                <wp:docPr id="287" name="矩形 287"/>
                <wp:cNvGraphicFramePr/>
                <a:graphic xmlns:a="http://schemas.openxmlformats.org/drawingml/2006/main">
                  <a:graphicData uri="http://schemas.microsoft.com/office/word/2010/wordprocessingShape">
                    <wps:wsp>
                      <wps:cNvSpPr/>
                      <wps:spPr>
                        <a:xfrm>
                          <a:off x="0" y="0"/>
                          <a:ext cx="1028700" cy="297180"/>
                        </a:xfrm>
                        <a:prstGeom prst="rect">
                          <a:avLst/>
                        </a:prstGeom>
                        <a:noFill/>
                        <a:ln>
                          <a:noFill/>
                        </a:ln>
                      </wps:spPr>
                      <wps:txbx>
                        <w:txbxContent>
                          <w:p>
                            <w:pPr>
                              <w:rPr>
                                <w:sz w:val="21"/>
                                <w:szCs w:val="21"/>
                              </w:rPr>
                            </w:pPr>
                            <w:r>
                              <w:rPr>
                                <w:rFonts w:hint="eastAsia"/>
                                <w:sz w:val="21"/>
                                <w:szCs w:val="21"/>
                              </w:rPr>
                              <w:t>外排粉尘</w:t>
                            </w:r>
                          </w:p>
                        </w:txbxContent>
                      </wps:txbx>
                      <wps:bodyPr upright="1"/>
                    </wps:wsp>
                  </a:graphicData>
                </a:graphic>
              </wp:anchor>
            </w:drawing>
          </mc:Choice>
          <mc:Fallback>
            <w:pict>
              <v:rect id="_x0000_s1026" o:spid="_x0000_s1026" o:spt="1" style="position:absolute;left:0pt;margin-left:351pt;margin-top:10.2pt;height:23.4pt;width:81pt;z-index:251870208;mso-width-relative:page;mso-height-relative:page;" filled="f" stroked="f" coordsize="21600,21600" o:gfxdata="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LyqKXNoAAAAJAQAADwAAAAAAAAABACAAAAAiAAAAZHJzL2Rvd25yZXYueG1s&#10;UEsBAhQAFAAAAAgAh07iQGuqBE+EAQAA9wIAAA4AAAAAAAAAAQAgAAAAKQEAAGRycy9lMm9Eb2Mu&#10;eG1sUEsFBgAAAAAGAAYAWQEAAB8FAAAAAA==&#10;">
                <v:fill on="f" focussize="0,0"/>
                <v:stroke on="f"/>
                <v:imagedata o:title=""/>
                <o:lock v:ext="edit" aspectratio="f"/>
                <v:textbox>
                  <w:txbxContent>
                    <w:p>
                      <w:pPr>
                        <w:rPr>
                          <w:sz w:val="21"/>
                          <w:szCs w:val="21"/>
                        </w:rPr>
                      </w:pPr>
                      <w:r>
                        <w:rPr>
                          <w:rFonts w:hint="eastAsia"/>
                          <w:sz w:val="21"/>
                          <w:szCs w:val="21"/>
                        </w:rPr>
                        <w:t>外排粉尘</w:t>
                      </w:r>
                    </w:p>
                  </w:txbxContent>
                </v:textbox>
              </v:rect>
            </w:pict>
          </mc:Fallback>
        </mc:AlternateContent>
      </w:r>
      <w:r>
        <w:rPr>
          <w:rFonts w:hint="eastAsia" w:ascii="宋体" w:hAnsi="宋体"/>
          <w:b/>
          <w:bCs/>
        </w:rPr>
        <mc:AlternateContent>
          <mc:Choice Requires="wps">
            <w:drawing>
              <wp:anchor distT="0" distB="0" distL="114300" distR="114300" simplePos="0" relativeHeight="251793408" behindDoc="0" locked="0" layoutInCell="1" allowOverlap="1">
                <wp:simplePos x="0" y="0"/>
                <wp:positionH relativeFrom="column">
                  <wp:posOffset>766445</wp:posOffset>
                </wp:positionH>
                <wp:positionV relativeFrom="paragraph">
                  <wp:posOffset>118110</wp:posOffset>
                </wp:positionV>
                <wp:extent cx="1028700" cy="297180"/>
                <wp:effectExtent l="0" t="0" r="0" b="0"/>
                <wp:wrapNone/>
                <wp:docPr id="300" name="矩形 300"/>
                <wp:cNvGraphicFramePr/>
                <a:graphic xmlns:a="http://schemas.openxmlformats.org/drawingml/2006/main">
                  <a:graphicData uri="http://schemas.microsoft.com/office/word/2010/wordprocessingShape">
                    <wps:wsp>
                      <wps:cNvSpPr/>
                      <wps:spPr>
                        <a:xfrm>
                          <a:off x="0" y="0"/>
                          <a:ext cx="1028700" cy="297180"/>
                        </a:xfrm>
                        <a:prstGeom prst="rect">
                          <a:avLst/>
                        </a:prstGeom>
                        <a:noFill/>
                        <a:ln>
                          <a:noFill/>
                        </a:ln>
                      </wps:spPr>
                      <wps:txbx>
                        <w:txbxContent>
                          <w:p>
                            <w:pPr>
                              <w:rPr>
                                <w:sz w:val="21"/>
                                <w:szCs w:val="21"/>
                              </w:rPr>
                            </w:pPr>
                            <w:r>
                              <w:rPr>
                                <w:rFonts w:hint="eastAsia"/>
                                <w:sz w:val="21"/>
                                <w:szCs w:val="21"/>
                              </w:rPr>
                              <w:t>外排粉尘</w:t>
                            </w:r>
                          </w:p>
                        </w:txbxContent>
                      </wps:txbx>
                      <wps:bodyPr upright="1"/>
                    </wps:wsp>
                  </a:graphicData>
                </a:graphic>
              </wp:anchor>
            </w:drawing>
          </mc:Choice>
          <mc:Fallback>
            <w:pict>
              <v:rect id="_x0000_s1026" o:spid="_x0000_s1026" o:spt="1" style="position:absolute;left:0pt;margin-left:60.35pt;margin-top:9.3pt;height:23.4pt;width:81pt;z-index:251793408;mso-width-relative:page;mso-height-relative:page;" filled="f" stroked="f" coordsize="21600,21600" o:gfxdata="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DuJVTa2QAAAAkBAAAPAAAAAAAAAAEAIAAAACIAAABkcnMvZG93bnJldi54bWxQ&#10;SwECFAAUAAAACACHTuJASkNMa4QBAAD3AgAADgAAAAAAAAABACAAAAAoAQAAZHJzL2Uyb0RvYy54&#10;bWxQSwUGAAAAAAYABgBZAQAAHgUAAAAA&#10;">
                <v:fill on="f" focussize="0,0"/>
                <v:stroke on="f"/>
                <v:imagedata o:title=""/>
                <o:lock v:ext="edit" aspectratio="f"/>
                <v:textbox>
                  <w:txbxContent>
                    <w:p>
                      <w:pPr>
                        <w:rPr>
                          <w:sz w:val="21"/>
                          <w:szCs w:val="21"/>
                        </w:rPr>
                      </w:pPr>
                      <w:r>
                        <w:rPr>
                          <w:rFonts w:hint="eastAsia"/>
                          <w:sz w:val="21"/>
                          <w:szCs w:val="21"/>
                        </w:rPr>
                        <w:t>外排粉尘</w:t>
                      </w:r>
                    </w:p>
                  </w:txbxContent>
                </v:textbox>
              </v:rect>
            </w:pict>
          </mc:Fallback>
        </mc:AlternateContent>
      </w:r>
      <w:r>
        <w:rPr>
          <w:rFonts w:hint="eastAsia" w:ascii="宋体" w:hAnsi="宋体"/>
          <w:b/>
          <w:bCs/>
        </w:rPr>
        <mc:AlternateContent>
          <mc:Choice Requires="wps">
            <w:drawing>
              <wp:anchor distT="0" distB="0" distL="114300" distR="114300" simplePos="0" relativeHeight="251791360" behindDoc="0" locked="0" layoutInCell="1" allowOverlap="1">
                <wp:simplePos x="0" y="0"/>
                <wp:positionH relativeFrom="column">
                  <wp:posOffset>3719195</wp:posOffset>
                </wp:positionH>
                <wp:positionV relativeFrom="paragraph">
                  <wp:posOffset>41910</wp:posOffset>
                </wp:positionV>
                <wp:extent cx="685800" cy="260985"/>
                <wp:effectExtent l="0" t="0" r="0" b="5715"/>
                <wp:wrapNone/>
                <wp:docPr id="283" name="矩形 283"/>
                <wp:cNvGraphicFramePr/>
                <a:graphic xmlns:a="http://schemas.openxmlformats.org/drawingml/2006/main">
                  <a:graphicData uri="http://schemas.microsoft.com/office/word/2010/wordprocessingShape">
                    <wps:wsp>
                      <wps:cNvSpPr/>
                      <wps:spPr>
                        <a:xfrm>
                          <a:off x="0" y="0"/>
                          <a:ext cx="685800" cy="260985"/>
                        </a:xfrm>
                        <a:prstGeom prst="rect">
                          <a:avLst/>
                        </a:prstGeom>
                        <a:solidFill>
                          <a:srgbClr val="FFFFFF"/>
                        </a:solidFill>
                        <a:ln>
                          <a:noFill/>
                        </a:ln>
                      </wps:spPr>
                      <wps:txbx>
                        <w:txbxContent>
                          <w:p>
                            <w:pPr>
                              <w:rPr>
                                <w:rFonts w:hint="eastAsia"/>
                                <w:sz w:val="21"/>
                                <w:szCs w:val="21"/>
                              </w:rPr>
                            </w:pPr>
                            <w:r>
                              <w:rPr>
                                <w:rFonts w:hint="eastAsia"/>
                                <w:sz w:val="21"/>
                                <w:szCs w:val="21"/>
                              </w:rPr>
                              <w:t>0.04</w:t>
                            </w:r>
                          </w:p>
                        </w:txbxContent>
                      </wps:txbx>
                      <wps:bodyPr upright="1"/>
                    </wps:wsp>
                  </a:graphicData>
                </a:graphic>
              </wp:anchor>
            </w:drawing>
          </mc:Choice>
          <mc:Fallback>
            <w:pict>
              <v:rect id="_x0000_s1026" o:spid="_x0000_s1026" o:spt="1" style="position:absolute;left:0pt;margin-left:292.85pt;margin-top:3.3pt;height:20.55pt;width:54pt;z-index:251791360;mso-width-relative:page;mso-height-relative:page;" fillcolor="#FFFFFF" filled="t" stroked="f" coordsize="21600,21600" o:gfxdata="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jca+3WAAAACAEAAA8AAAAAAAAAAQAgAAAA&#10;IgAAAGRycy9kb3ducmV2LnhtbFBLAQIUABQAAAAIAIdO4kBYfitWmwEAAB8DAAAOAAAAAAAAAAEA&#10;IAAAACUBAABkcnMvZTJvRG9jLnhtbFBLBQYAAAAABgAGAFkBAAAyBQAAAAA=&#10;">
                <v:fill on="t" focussize="0,0"/>
                <v:stroke on="f"/>
                <v:imagedata o:title=""/>
                <o:lock v:ext="edit" aspectratio="f"/>
                <v:textbox>
                  <w:txbxContent>
                    <w:p>
                      <w:pPr>
                        <w:rPr>
                          <w:rFonts w:hint="eastAsia"/>
                          <w:sz w:val="21"/>
                          <w:szCs w:val="21"/>
                        </w:rPr>
                      </w:pPr>
                      <w:r>
                        <w:rPr>
                          <w:rFonts w:hint="eastAsia"/>
                          <w:sz w:val="21"/>
                          <w:szCs w:val="21"/>
                        </w:rPr>
                        <w:t>0.04</w:t>
                      </w:r>
                    </w:p>
                  </w:txbxContent>
                </v:textbox>
              </v:rect>
            </w:pict>
          </mc:Fallback>
        </mc:AlternateContent>
      </w:r>
      <w:r>
        <w:rPr>
          <w:rFonts w:hint="eastAsia" w:ascii="宋体" w:hAnsi="宋体"/>
          <w:b/>
          <w:bCs/>
        </w:rPr>
        <mc:AlternateContent>
          <mc:Choice Requires="wps">
            <w:drawing>
              <wp:anchor distT="0" distB="0" distL="114300" distR="114300" simplePos="0" relativeHeight="251780096" behindDoc="0" locked="0" layoutInCell="1" allowOverlap="1">
                <wp:simplePos x="0" y="0"/>
                <wp:positionH relativeFrom="column">
                  <wp:posOffset>2152015</wp:posOffset>
                </wp:positionH>
                <wp:positionV relativeFrom="paragraph">
                  <wp:posOffset>167640</wp:posOffset>
                </wp:positionV>
                <wp:extent cx="1485900" cy="297180"/>
                <wp:effectExtent l="4445" t="4445" r="14605" b="22225"/>
                <wp:wrapNone/>
                <wp:docPr id="294" name="矩形 294"/>
                <wp:cNvGraphicFramePr/>
                <a:graphic xmlns:a="http://schemas.openxmlformats.org/drawingml/2006/main">
                  <a:graphicData uri="http://schemas.microsoft.com/office/word/2010/wordprocessingShape">
                    <wps:wsp>
                      <wps:cNvSpPr/>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21"/>
                                <w:szCs w:val="21"/>
                              </w:rPr>
                              <w:t>熟料冷却、储存系统</w:t>
                            </w:r>
                          </w:p>
                        </w:txbxContent>
                      </wps:txbx>
                      <wps:bodyPr upright="1"/>
                    </wps:wsp>
                  </a:graphicData>
                </a:graphic>
              </wp:anchor>
            </w:drawing>
          </mc:Choice>
          <mc:Fallback>
            <w:pict>
              <v:rect id="_x0000_s1026" o:spid="_x0000_s1026" o:spt="1" style="position:absolute;left:0pt;margin-left:169.45pt;margin-top:13.2pt;height:23.4pt;width:117pt;z-index:251780096;mso-width-relative:page;mso-height-relative:page;" fillcolor="#FFFFFF" filled="t" stroked="t" coordsize="21600,21600" o:gfxdata="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SPjl9gAAAAJAQAADwAAAAAAAAABACAAAAAiAAAAZHJzL2Rvd25yZXYueG1sUEsBAhQAFAAAAAgA&#10;h07iQC1vX/LsAQAA3wMAAA4AAAAAAAAAAQAgAAAAJwEAAGRycy9lMm9Eb2MueG1sUEsFBgAAAAAG&#10;AAYAWQEAAIUFAAAAAA==&#10;">
                <v:fill on="t" focussize="0,0"/>
                <v:stroke color="#000000" joinstyle="miter"/>
                <v:imagedata o:title=""/>
                <o:lock v:ext="edit" aspectratio="f"/>
                <v:textbox>
                  <w:txbxContent>
                    <w:p>
                      <w:r>
                        <w:rPr>
                          <w:rFonts w:hint="eastAsia"/>
                          <w:sz w:val="21"/>
                          <w:szCs w:val="21"/>
                        </w:rPr>
                        <w:t>熟料冷却、储存系统</w:t>
                      </w:r>
                    </w:p>
                  </w:txbxContent>
                </v:textbox>
              </v:rect>
            </w:pict>
          </mc:Fallback>
        </mc:AlternateContent>
      </w:r>
      <w:r>
        <w:rPr>
          <w:rFonts w:hint="eastAsia" w:ascii="宋体" w:hAnsi="宋体"/>
          <w:b/>
          <w:bCs/>
        </w:rPr>
        <w:t xml:space="preserve">                                    </w:t>
      </w:r>
    </w:p>
    <w:p>
      <w:pPr>
        <w:spacing w:line="480" w:lineRule="exact"/>
        <w:rPr>
          <w:rFonts w:hint="eastAsia" w:ascii="宋体" w:hAnsi="宋体"/>
          <w:b/>
          <w:bCs/>
        </w:rPr>
      </w:pPr>
      <w:r>
        <w:rPr>
          <w:rFonts w:hint="eastAsia" w:ascii="宋体" w:hAnsi="宋体"/>
          <w:b/>
          <w:bCs/>
        </w:rPr>
        <mc:AlternateContent>
          <mc:Choice Requires="wps">
            <w:drawing>
              <wp:anchor distT="0" distB="0" distL="114300" distR="114300" simplePos="0" relativeHeight="251790336" behindDoc="0" locked="0" layoutInCell="1" allowOverlap="1">
                <wp:simplePos x="0" y="0"/>
                <wp:positionH relativeFrom="column">
                  <wp:posOffset>3652520</wp:posOffset>
                </wp:positionH>
                <wp:positionV relativeFrom="paragraph">
                  <wp:posOffset>13335</wp:posOffset>
                </wp:positionV>
                <wp:extent cx="800100" cy="0"/>
                <wp:effectExtent l="0" t="38100" r="0" b="38100"/>
                <wp:wrapNone/>
                <wp:docPr id="277" name="直接连接符 277"/>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7.6pt;margin-top:1.05pt;height:0pt;width:63pt;z-index:251790336;mso-width-relative:page;mso-height-relative:page;" filled="f" stroked="t" coordsize="21600,21600" o:gfxdata="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OryTiNYAAAAHAQAA&#10;DwAAAAAAAAABACAAAAAiAAAAZHJzL2Rvd25yZXYueG1sUEsBAhQAFAAAAAgAh07iQJ3H7qjiAQAA&#10;nQMAAA4AAAAAAAAAAQAgAAAAJQEAAGRycy9lMm9Eb2MueG1sUEsFBgAAAAAGAAYAWQEAAHkFAAAA&#10;AA==&#10;">
                <v:fill on="f" focussize="0,0"/>
                <v:stroke color="#000000" joinstyle="round" endarrow="block"/>
                <v:imagedata o:title=""/>
                <o:lock v:ext="edit" aspectratio="f"/>
              </v:line>
            </w:pict>
          </mc:Fallback>
        </mc:AlternateContent>
      </w:r>
      <w:r>
        <w:rPr>
          <w:rFonts w:hint="eastAsia" w:ascii="宋体" w:hAnsi="宋体"/>
          <w:b/>
          <w:bCs/>
        </w:rPr>
        <mc:AlternateContent>
          <mc:Choice Requires="wps">
            <w:drawing>
              <wp:anchor distT="0" distB="0" distL="114300" distR="114300" simplePos="0" relativeHeight="251781120" behindDoc="0" locked="0" layoutInCell="1" allowOverlap="1">
                <wp:simplePos x="0" y="0"/>
                <wp:positionH relativeFrom="column">
                  <wp:posOffset>2866390</wp:posOffset>
                </wp:positionH>
                <wp:positionV relativeFrom="paragraph">
                  <wp:posOffset>180975</wp:posOffset>
                </wp:positionV>
                <wp:extent cx="0" cy="594360"/>
                <wp:effectExtent l="38100" t="0" r="38100" b="15240"/>
                <wp:wrapNone/>
                <wp:docPr id="297" name="直接连接符 297"/>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7pt;margin-top:14.25pt;height:46.8pt;width:0pt;z-index:251781120;mso-width-relative:page;mso-height-relative:page;" filled="f" stroked="t" coordsize="21600,21600" o:gfxdata="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D9k6nZAAAA&#10;CgEAAA8AAAAAAAAAAQAgAAAAIgAAAGRycy9kb3ducmV2LnhtbFBLAQIUABQAAAAIAIdO4kAcypN9&#10;4wEAAJ0DAAAOAAAAAAAAAAEAIAAAACgBAABkcnMvZTJvRG9jLnhtbFBLBQYAAAAABgAGAFkBAAB9&#10;BQAAAAA=&#10;">
                <v:fill on="f" focussize="0,0"/>
                <v:stroke color="#000000" joinstyle="round" endarrow="block"/>
                <v:imagedata o:title=""/>
                <o:lock v:ext="edit" aspectratio="f"/>
              </v:line>
            </w:pict>
          </mc:Fallback>
        </mc:AlternateContent>
      </w:r>
      <w:r>
        <w:rPr>
          <w:rFonts w:hint="eastAsia" w:ascii="宋体" w:hAnsi="宋体"/>
          <w:b/>
          <w:bCs/>
        </w:rPr>
        <w:t xml:space="preserve">        </w:t>
      </w:r>
    </w:p>
    <w:p>
      <w:pPr>
        <w:spacing w:line="480" w:lineRule="exact"/>
        <w:jc w:val="center"/>
        <w:rPr>
          <w:rFonts w:hint="eastAsia"/>
          <w:b/>
          <w:sz w:val="28"/>
          <w:szCs w:val="28"/>
        </w:rPr>
      </w:pPr>
      <w:r>
        <w:rPr>
          <w:rFonts w:hint="eastAsia" w:ascii="宋体" w:hAnsi="宋体"/>
          <w:b/>
          <w:bCs/>
        </w:rPr>
        <mc:AlternateContent>
          <mc:Choice Requires="wps">
            <w:drawing>
              <wp:anchor distT="0" distB="0" distL="114300" distR="114300" simplePos="0" relativeHeight="251792384" behindDoc="0" locked="0" layoutInCell="1" allowOverlap="1">
                <wp:simplePos x="0" y="0"/>
                <wp:positionH relativeFrom="column">
                  <wp:posOffset>2890520</wp:posOffset>
                </wp:positionH>
                <wp:positionV relativeFrom="paragraph">
                  <wp:posOffset>13335</wp:posOffset>
                </wp:positionV>
                <wp:extent cx="960120" cy="267335"/>
                <wp:effectExtent l="0" t="0" r="11430" b="18415"/>
                <wp:wrapNone/>
                <wp:docPr id="299" name="矩形 299"/>
                <wp:cNvGraphicFramePr/>
                <a:graphic xmlns:a="http://schemas.openxmlformats.org/drawingml/2006/main">
                  <a:graphicData uri="http://schemas.microsoft.com/office/word/2010/wordprocessingShape">
                    <wps:wsp>
                      <wps:cNvSpPr/>
                      <wps:spPr>
                        <a:xfrm>
                          <a:off x="0" y="0"/>
                          <a:ext cx="960120" cy="267335"/>
                        </a:xfrm>
                        <a:prstGeom prst="rect">
                          <a:avLst/>
                        </a:prstGeom>
                        <a:solidFill>
                          <a:srgbClr val="FFFFFF"/>
                        </a:solidFill>
                        <a:ln>
                          <a:noFill/>
                        </a:ln>
                      </wps:spPr>
                      <wps:txbx>
                        <w:txbxContent>
                          <w:p>
                            <w:pPr>
                              <w:rPr>
                                <w:rFonts w:hint="eastAsia" w:ascii="宋体" w:hAnsi="宋体"/>
                                <w:sz w:val="21"/>
                                <w:szCs w:val="21"/>
                              </w:rPr>
                            </w:pPr>
                            <w:r>
                              <w:rPr>
                                <w:rFonts w:hint="eastAsia" w:ascii="宋体" w:hAnsi="宋体"/>
                                <w:sz w:val="21"/>
                                <w:szCs w:val="21"/>
                              </w:rPr>
                              <w:t>2056.16</w:t>
                            </w:r>
                          </w:p>
                        </w:txbxContent>
                      </wps:txbx>
                      <wps:bodyPr upright="1"/>
                    </wps:wsp>
                  </a:graphicData>
                </a:graphic>
              </wp:anchor>
            </w:drawing>
          </mc:Choice>
          <mc:Fallback>
            <w:pict>
              <v:rect id="_x0000_s1026" o:spid="_x0000_s1026" o:spt="1" style="position:absolute;left:0pt;margin-left:227.6pt;margin-top:1.05pt;height:21.05pt;width:75.6pt;z-index:251792384;mso-width-relative:page;mso-height-relative:page;" fillcolor="#FFFFFF" filled="t" stroked="f" coordsize="21600,21600" o:gfxdata="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PM9mU1gAAAAgBAAAPAAAAAAAAAAEAIAAA&#10;ACIAAABkcnMvZG93bnJldi54bWxQSwECFAAUAAAACACHTuJAdaaJhJwBAAAfAwAADgAAAAAAAAAB&#10;ACAAAAAlAQAAZHJzL2Uyb0RvYy54bWxQSwUGAAAAAAYABgBZAQAAMwUAAAAA&#10;">
                <v:fill on="t" focussize="0,0"/>
                <v:stroke on="f"/>
                <v:imagedata o:title=""/>
                <o:lock v:ext="edit" aspectratio="f"/>
                <v:textbox>
                  <w:txbxContent>
                    <w:p>
                      <w:pPr>
                        <w:rPr>
                          <w:rFonts w:hint="eastAsia" w:ascii="宋体" w:hAnsi="宋体"/>
                          <w:sz w:val="21"/>
                          <w:szCs w:val="21"/>
                        </w:rPr>
                      </w:pPr>
                      <w:r>
                        <w:rPr>
                          <w:rFonts w:hint="eastAsia" w:ascii="宋体" w:hAnsi="宋体"/>
                          <w:sz w:val="21"/>
                          <w:szCs w:val="21"/>
                        </w:rPr>
                        <w:t>2056.16</w:t>
                      </w:r>
                    </w:p>
                  </w:txbxContent>
                </v:textbox>
              </v:rect>
            </w:pict>
          </mc:Fallback>
        </mc:AlternateContent>
      </w:r>
    </w:p>
    <w:p>
      <w:pPr>
        <w:spacing w:line="480" w:lineRule="exact"/>
        <w:jc w:val="center"/>
        <w:rPr>
          <w:rFonts w:hint="eastAsia"/>
          <w:b/>
          <w:sz w:val="28"/>
          <w:szCs w:val="28"/>
        </w:rPr>
      </w:pPr>
      <w:r>
        <w:rPr>
          <w:rFonts w:hint="eastAsia" w:ascii="宋体" w:hAnsi="宋体"/>
          <w:b/>
          <w:bCs/>
        </w:rPr>
        <mc:AlternateContent>
          <mc:Choice Requires="wps">
            <w:drawing>
              <wp:anchor distT="0" distB="0" distL="114300" distR="114300" simplePos="0" relativeHeight="251866112" behindDoc="0" locked="0" layoutInCell="1" allowOverlap="1">
                <wp:simplePos x="0" y="0"/>
                <wp:positionH relativeFrom="column">
                  <wp:posOffset>3366770</wp:posOffset>
                </wp:positionH>
                <wp:positionV relativeFrom="paragraph">
                  <wp:posOffset>55245</wp:posOffset>
                </wp:positionV>
                <wp:extent cx="685800" cy="260985"/>
                <wp:effectExtent l="0" t="0" r="0" b="5715"/>
                <wp:wrapNone/>
                <wp:docPr id="272" name="矩形 272"/>
                <wp:cNvGraphicFramePr/>
                <a:graphic xmlns:a="http://schemas.openxmlformats.org/drawingml/2006/main">
                  <a:graphicData uri="http://schemas.microsoft.com/office/word/2010/wordprocessingShape">
                    <wps:wsp>
                      <wps:cNvSpPr/>
                      <wps:spPr>
                        <a:xfrm>
                          <a:off x="0" y="0"/>
                          <a:ext cx="685800" cy="260985"/>
                        </a:xfrm>
                        <a:prstGeom prst="rect">
                          <a:avLst/>
                        </a:prstGeom>
                        <a:solidFill>
                          <a:srgbClr val="FFFFFF"/>
                        </a:solidFill>
                        <a:ln>
                          <a:noFill/>
                        </a:ln>
                      </wps:spPr>
                      <wps:txbx>
                        <w:txbxContent>
                          <w:p>
                            <w:pPr>
                              <w:rPr>
                                <w:rFonts w:hint="eastAsia"/>
                                <w:sz w:val="21"/>
                                <w:szCs w:val="21"/>
                              </w:rPr>
                            </w:pPr>
                            <w:r>
                              <w:rPr>
                                <w:rFonts w:hint="eastAsia"/>
                                <w:sz w:val="21"/>
                                <w:szCs w:val="21"/>
                              </w:rPr>
                              <w:t>0.04</w:t>
                            </w:r>
                          </w:p>
                        </w:txbxContent>
                      </wps:txbx>
                      <wps:bodyPr upright="1"/>
                    </wps:wsp>
                  </a:graphicData>
                </a:graphic>
              </wp:anchor>
            </w:drawing>
          </mc:Choice>
          <mc:Fallback>
            <w:pict>
              <v:rect id="_x0000_s1026" o:spid="_x0000_s1026" o:spt="1" style="position:absolute;left:0pt;margin-left:265.1pt;margin-top:4.35pt;height:20.55pt;width:54pt;z-index:251866112;mso-width-relative:page;mso-height-relative:page;" fillcolor="#FFFFFF" filled="t" stroked="f" coordsize="21600,21600" o:gfxdata="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DUz/wPWAAAACAEAAA8AAAAAAAAAAQAgAAAA&#10;IgAAAGRycy9kb3ducmV2LnhtbFBLAQIUABQAAAAIAIdO4kD79wk8mwEAAB8DAAAOAAAAAAAAAAEA&#10;IAAAACUBAABkcnMvZTJvRG9jLnhtbFBLBQYAAAAABgAGAFkBAAAyBQAAAAA=&#10;">
                <v:fill on="t" focussize="0,0"/>
                <v:stroke on="f"/>
                <v:imagedata o:title=""/>
                <o:lock v:ext="edit" aspectratio="f"/>
                <v:textbox>
                  <w:txbxContent>
                    <w:p>
                      <w:pPr>
                        <w:rPr>
                          <w:rFonts w:hint="eastAsia"/>
                          <w:sz w:val="21"/>
                          <w:szCs w:val="21"/>
                        </w:rPr>
                      </w:pPr>
                      <w:r>
                        <w:rPr>
                          <w:rFonts w:hint="eastAsia"/>
                          <w:sz w:val="21"/>
                          <w:szCs w:val="21"/>
                        </w:rPr>
                        <w:t>0.04</w:t>
                      </w:r>
                    </w:p>
                  </w:txbxContent>
                </v:textbox>
              </v:rect>
            </w:pict>
          </mc:Fallback>
        </mc:AlternateContent>
      </w:r>
      <w:r>
        <w:rPr>
          <w:rFonts w:hint="eastAsia" w:ascii="宋体" w:hAnsi="宋体"/>
          <w:b/>
          <w:bCs/>
        </w:rPr>
        <mc:AlternateContent>
          <mc:Choice Requires="wps">
            <w:drawing>
              <wp:anchor distT="0" distB="0" distL="114300" distR="114300" simplePos="0" relativeHeight="251779072" behindDoc="0" locked="0" layoutInCell="1" allowOverlap="1">
                <wp:simplePos x="0" y="0"/>
                <wp:positionH relativeFrom="column">
                  <wp:posOffset>4114800</wp:posOffset>
                </wp:positionH>
                <wp:positionV relativeFrom="paragraph">
                  <wp:posOffset>205740</wp:posOffset>
                </wp:positionV>
                <wp:extent cx="1028700" cy="297180"/>
                <wp:effectExtent l="0" t="0" r="0" b="0"/>
                <wp:wrapNone/>
                <wp:docPr id="278" name="矩形 278"/>
                <wp:cNvGraphicFramePr/>
                <a:graphic xmlns:a="http://schemas.openxmlformats.org/drawingml/2006/main">
                  <a:graphicData uri="http://schemas.microsoft.com/office/word/2010/wordprocessingShape">
                    <wps:wsp>
                      <wps:cNvSpPr/>
                      <wps:spPr>
                        <a:xfrm>
                          <a:off x="0" y="0"/>
                          <a:ext cx="1028700" cy="297180"/>
                        </a:xfrm>
                        <a:prstGeom prst="rect">
                          <a:avLst/>
                        </a:prstGeom>
                        <a:noFill/>
                        <a:ln>
                          <a:noFill/>
                        </a:ln>
                      </wps:spPr>
                      <wps:txbx>
                        <w:txbxContent>
                          <w:p>
                            <w:pPr>
                              <w:rPr>
                                <w:sz w:val="21"/>
                                <w:szCs w:val="21"/>
                              </w:rPr>
                            </w:pPr>
                            <w:r>
                              <w:rPr>
                                <w:rFonts w:hint="eastAsia"/>
                                <w:sz w:val="21"/>
                                <w:szCs w:val="21"/>
                              </w:rPr>
                              <w:t>外排粉尘</w:t>
                            </w:r>
                          </w:p>
                        </w:txbxContent>
                      </wps:txbx>
                      <wps:bodyPr upright="1"/>
                    </wps:wsp>
                  </a:graphicData>
                </a:graphic>
              </wp:anchor>
            </w:drawing>
          </mc:Choice>
          <mc:Fallback>
            <w:pict>
              <v:rect id="_x0000_s1026" o:spid="_x0000_s1026" o:spt="1" style="position:absolute;left:0pt;margin-left:324pt;margin-top:16.2pt;height:23.4pt;width:81pt;z-index:251779072;mso-width-relative:page;mso-height-relative:page;" filled="f" stroked="f" coordsize="21600,21600" o:gfxdata="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UrpW02wAAAAkBAAAPAAAAAAAAAAEAIAAAACIAAABkcnMvZG93bnJldi54&#10;bWxQSwECFAAUAAAACACHTuJArIm7R4UBAAD3AgAADgAAAAAAAAABACAAAAAqAQAAZHJzL2Uyb0Rv&#10;Yy54bWxQSwUGAAAAAAYABgBZAQAAIQUAAAAA&#10;">
                <v:fill on="f" focussize="0,0"/>
                <v:stroke on="f"/>
                <v:imagedata o:title=""/>
                <o:lock v:ext="edit" aspectratio="f"/>
                <v:textbox>
                  <w:txbxContent>
                    <w:p>
                      <w:pPr>
                        <w:rPr>
                          <w:sz w:val="21"/>
                          <w:szCs w:val="21"/>
                        </w:rPr>
                      </w:pPr>
                      <w:r>
                        <w:rPr>
                          <w:rFonts w:hint="eastAsia"/>
                          <w:sz w:val="21"/>
                          <w:szCs w:val="21"/>
                        </w:rPr>
                        <w:t>外排粉尘</w:t>
                      </w:r>
                    </w:p>
                  </w:txbxContent>
                </v:textbox>
              </v:rect>
            </w:pict>
          </mc:Fallback>
        </mc:AlternateContent>
      </w:r>
      <w:r>
        <w:rPr>
          <w:rFonts w:hint="eastAsia" w:ascii="宋体" w:hAnsi="宋体"/>
          <w:b/>
          <w:bCs/>
        </w:rPr>
        <mc:AlternateContent>
          <mc:Choice Requires="wps">
            <w:drawing>
              <wp:anchor distT="0" distB="0" distL="114300" distR="114300" simplePos="0" relativeHeight="251862016" behindDoc="0" locked="0" layoutInCell="1" allowOverlap="1">
                <wp:simplePos x="0" y="0"/>
                <wp:positionH relativeFrom="column">
                  <wp:posOffset>2451735</wp:posOffset>
                </wp:positionH>
                <wp:positionV relativeFrom="paragraph">
                  <wp:posOffset>184785</wp:posOffset>
                </wp:positionV>
                <wp:extent cx="852805" cy="297180"/>
                <wp:effectExtent l="4445" t="4445" r="19050" b="22225"/>
                <wp:wrapNone/>
                <wp:docPr id="279" name="矩形 279"/>
                <wp:cNvGraphicFramePr/>
                <a:graphic xmlns:a="http://schemas.openxmlformats.org/drawingml/2006/main">
                  <a:graphicData uri="http://schemas.microsoft.com/office/word/2010/wordprocessingShape">
                    <wps:wsp>
                      <wps:cNvSpPr/>
                      <wps:spPr>
                        <a:xfrm>
                          <a:off x="0" y="0"/>
                          <a:ext cx="85280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21"/>
                                <w:szCs w:val="21"/>
                              </w:rPr>
                              <w:t>水泥粉磨</w:t>
                            </w:r>
                          </w:p>
                        </w:txbxContent>
                      </wps:txbx>
                      <wps:bodyPr upright="1"/>
                    </wps:wsp>
                  </a:graphicData>
                </a:graphic>
              </wp:anchor>
            </w:drawing>
          </mc:Choice>
          <mc:Fallback>
            <w:pict>
              <v:rect id="_x0000_s1026" o:spid="_x0000_s1026" o:spt="1" style="position:absolute;left:0pt;margin-left:193.05pt;margin-top:14.55pt;height:23.4pt;width:67.15pt;z-index:251862016;mso-width-relative:page;mso-height-relative:page;" fillcolor="#FFFFFF" filled="t" stroked="t" coordsize="21600,21600" o:gfxdata="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n3on2QAAAAkBAAAPAAAAAAAAAAEAIAAAACIAAABkcnMvZG93bnJldi54bWxQSwECFAAUAAAACACH&#10;TuJA59xRW+oBAADeAwAADgAAAAAAAAABACAAAAAoAQAAZHJzL2Uyb0RvYy54bWxQSwUGAAAAAAYA&#10;BgBZAQAAhAUAAAAA&#10;">
                <v:fill on="t" focussize="0,0"/>
                <v:stroke color="#000000" joinstyle="miter"/>
                <v:imagedata o:title=""/>
                <o:lock v:ext="edit" aspectratio="f"/>
                <v:textbox>
                  <w:txbxContent>
                    <w:p>
                      <w:r>
                        <w:rPr>
                          <w:rFonts w:hint="eastAsia"/>
                          <w:sz w:val="21"/>
                          <w:szCs w:val="21"/>
                        </w:rPr>
                        <w:t>水泥粉磨</w:t>
                      </w:r>
                    </w:p>
                  </w:txbxContent>
                </v:textbox>
              </v:rect>
            </w:pict>
          </mc:Fallback>
        </mc:AlternateContent>
      </w:r>
    </w:p>
    <w:p>
      <w:pPr>
        <w:spacing w:line="480" w:lineRule="exact"/>
        <w:jc w:val="center"/>
        <w:rPr>
          <w:rFonts w:hint="eastAsia"/>
          <w:b/>
          <w:sz w:val="28"/>
          <w:szCs w:val="28"/>
        </w:rPr>
      </w:pPr>
      <w:r>
        <w:rPr>
          <w:rFonts w:hint="eastAsia" w:ascii="宋体" w:hAnsi="宋体"/>
          <w:b/>
          <w:bCs/>
        </w:rPr>
        <mc:AlternateContent>
          <mc:Choice Requires="wps">
            <w:drawing>
              <wp:anchor distT="0" distB="0" distL="114300" distR="114300" simplePos="0" relativeHeight="251867136" behindDoc="0" locked="0" layoutInCell="1" allowOverlap="1">
                <wp:simplePos x="0" y="0"/>
                <wp:positionH relativeFrom="column">
                  <wp:posOffset>2857500</wp:posOffset>
                </wp:positionH>
                <wp:positionV relativeFrom="paragraph">
                  <wp:posOffset>297180</wp:posOffset>
                </wp:positionV>
                <wp:extent cx="960120" cy="267335"/>
                <wp:effectExtent l="0" t="0" r="11430" b="18415"/>
                <wp:wrapNone/>
                <wp:docPr id="280" name="矩形 280"/>
                <wp:cNvGraphicFramePr/>
                <a:graphic xmlns:a="http://schemas.openxmlformats.org/drawingml/2006/main">
                  <a:graphicData uri="http://schemas.microsoft.com/office/word/2010/wordprocessingShape">
                    <wps:wsp>
                      <wps:cNvSpPr/>
                      <wps:spPr>
                        <a:xfrm>
                          <a:off x="0" y="0"/>
                          <a:ext cx="960120" cy="267335"/>
                        </a:xfrm>
                        <a:prstGeom prst="rect">
                          <a:avLst/>
                        </a:prstGeom>
                        <a:solidFill>
                          <a:srgbClr val="FFFFFF"/>
                        </a:solidFill>
                        <a:ln>
                          <a:noFill/>
                        </a:ln>
                      </wps:spPr>
                      <wps:txbx>
                        <w:txbxContent>
                          <w:p>
                            <w:pPr>
                              <w:rPr>
                                <w:rFonts w:hint="eastAsia" w:ascii="宋体" w:hAnsi="宋体"/>
                                <w:sz w:val="21"/>
                                <w:szCs w:val="21"/>
                              </w:rPr>
                            </w:pPr>
                            <w:r>
                              <w:rPr>
                                <w:rFonts w:hint="eastAsia" w:ascii="宋体" w:hAnsi="宋体"/>
                                <w:sz w:val="21"/>
                                <w:szCs w:val="21"/>
                              </w:rPr>
                              <w:t>2056.12</w:t>
                            </w:r>
                          </w:p>
                        </w:txbxContent>
                      </wps:txbx>
                      <wps:bodyPr upright="1"/>
                    </wps:wsp>
                  </a:graphicData>
                </a:graphic>
              </wp:anchor>
            </w:drawing>
          </mc:Choice>
          <mc:Fallback>
            <w:pict>
              <v:rect id="_x0000_s1026" o:spid="_x0000_s1026" o:spt="1" style="position:absolute;left:0pt;margin-left:225pt;margin-top:23.4pt;height:21.05pt;width:75.6pt;z-index:251867136;mso-width-relative:page;mso-height-relative:page;" fillcolor="#FFFFFF" filled="t" stroked="f" coordsize="21600,21600" o:gfxdata="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TT2Hi1wAAAAkBAAAPAAAAAAAAAAEAIAAA&#10;ACIAAABkcnMvZG93bnJldi54bWxQSwECFAAUAAAACACHTuJANoY0tpsBAAAfAwAADgAAAAAAAAAB&#10;ACAAAAAmAQAAZHJzL2Uyb0RvYy54bWxQSwUGAAAAAAYABgBZAQAAMwUAAAAA&#10;">
                <v:fill on="t" focussize="0,0"/>
                <v:stroke on="f"/>
                <v:imagedata o:title=""/>
                <o:lock v:ext="edit" aspectratio="f"/>
                <v:textbox>
                  <w:txbxContent>
                    <w:p>
                      <w:pPr>
                        <w:rPr>
                          <w:rFonts w:hint="eastAsia" w:ascii="宋体" w:hAnsi="宋体"/>
                          <w:sz w:val="21"/>
                          <w:szCs w:val="21"/>
                        </w:rPr>
                      </w:pPr>
                      <w:r>
                        <w:rPr>
                          <w:rFonts w:hint="eastAsia" w:ascii="宋体" w:hAnsi="宋体"/>
                          <w:sz w:val="21"/>
                          <w:szCs w:val="21"/>
                        </w:rPr>
                        <w:t>2056.12</w:t>
                      </w:r>
                    </w:p>
                  </w:txbxContent>
                </v:textbox>
              </v:rect>
            </w:pict>
          </mc:Fallback>
        </mc:AlternateContent>
      </w:r>
      <w:r>
        <w:rPr>
          <w:rFonts w:hint="eastAsia" w:ascii="宋体" w:hAnsi="宋体"/>
          <w:b/>
          <w:bCs/>
        </w:rPr>
        <mc:AlternateContent>
          <mc:Choice Requires="wps">
            <w:drawing>
              <wp:anchor distT="0" distB="0" distL="114300" distR="114300" simplePos="0" relativeHeight="251865088" behindDoc="0" locked="0" layoutInCell="1" allowOverlap="1">
                <wp:simplePos x="0" y="0"/>
                <wp:positionH relativeFrom="column">
                  <wp:posOffset>3300095</wp:posOffset>
                </wp:positionH>
                <wp:positionV relativeFrom="paragraph">
                  <wp:posOffset>41910</wp:posOffset>
                </wp:positionV>
                <wp:extent cx="800100" cy="0"/>
                <wp:effectExtent l="0" t="38100" r="0" b="38100"/>
                <wp:wrapNone/>
                <wp:docPr id="301" name="直接连接符 301"/>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9.85pt;margin-top:3.3pt;height:0pt;width:63pt;z-index:251865088;mso-width-relative:page;mso-height-relative:page;" filled="f" stroked="t" coordsize="21600,21600" o:gfxdata="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3889Y1gAAAAcBAAAP&#10;AAAAAAAAAAEAIAAAACIAAABkcnMvZG93bnJldi54bWxQSwECFAAUAAAACACHTuJAe8FtjOEBAACd&#10;AwAADgAAAAAAAAABACAAAAAlAQAAZHJzL2Uyb0RvYy54bWxQSwUGAAAAAAYABgBZAQAAeAUAAAAA&#10;">
                <v:fill on="f" focussize="0,0"/>
                <v:stroke color="#000000" joinstyle="round" endarrow="block"/>
                <v:imagedata o:title=""/>
                <o:lock v:ext="edit" aspectratio="f"/>
              </v:line>
            </w:pict>
          </mc:Fallback>
        </mc:AlternateContent>
      </w:r>
      <w:r>
        <w:rPr>
          <w:rFonts w:hint="eastAsia" w:ascii="宋体" w:hAnsi="宋体"/>
          <w:b/>
          <w:bCs/>
        </w:rPr>
        <mc:AlternateContent>
          <mc:Choice Requires="wps">
            <w:drawing>
              <wp:anchor distT="0" distB="0" distL="114300" distR="114300" simplePos="0" relativeHeight="251863040" behindDoc="0" locked="0" layoutInCell="1" allowOverlap="1">
                <wp:simplePos x="0" y="0"/>
                <wp:positionH relativeFrom="column">
                  <wp:posOffset>2857500</wp:posOffset>
                </wp:positionH>
                <wp:positionV relativeFrom="paragraph">
                  <wp:posOffset>198120</wp:posOffset>
                </wp:positionV>
                <wp:extent cx="4445" cy="462915"/>
                <wp:effectExtent l="34290" t="0" r="37465" b="13335"/>
                <wp:wrapNone/>
                <wp:docPr id="285" name="直接连接符 285"/>
                <wp:cNvGraphicFramePr/>
                <a:graphic xmlns:a="http://schemas.openxmlformats.org/drawingml/2006/main">
                  <a:graphicData uri="http://schemas.microsoft.com/office/word/2010/wordprocessingShape">
                    <wps:wsp>
                      <wps:cNvCnPr/>
                      <wps:spPr>
                        <a:xfrm>
                          <a:off x="0" y="0"/>
                          <a:ext cx="4445" cy="462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pt;margin-top:15.6pt;height:36.45pt;width:0.35pt;z-index:251863040;mso-width-relative:page;mso-height-relative:page;" filled="f" stroked="t" coordsize="21600,21600" o:gfxdata="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nq/XTZ&#10;AAAACgEAAA8AAAAAAAAAAQAgAAAAIgAAAGRycy9kb3ducmV2LnhtbFBLAQIUABQAAAAIAIdO4kCT&#10;wero5gEAAKADAAAOAAAAAAAAAAEAIAAAACgBAABkcnMvZTJvRG9jLnhtbFBLBQYAAAAABgAGAFkB&#10;AACABQAAAAA=&#10;">
                <v:fill on="f" focussize="0,0"/>
                <v:stroke color="#000000" joinstyle="round" endarrow="block"/>
                <v:imagedata o:title=""/>
                <o:lock v:ext="edit" aspectratio="f"/>
              </v:line>
            </w:pict>
          </mc:Fallback>
        </mc:AlternateContent>
      </w:r>
    </w:p>
    <w:p>
      <w:pPr>
        <w:spacing w:line="480" w:lineRule="exact"/>
        <w:jc w:val="center"/>
        <w:rPr>
          <w:rFonts w:hint="eastAsia"/>
          <w:b/>
          <w:sz w:val="28"/>
          <w:szCs w:val="28"/>
        </w:rPr>
      </w:pPr>
      <w:r>
        <w:rPr>
          <w:rFonts w:hint="eastAsia" w:ascii="宋体" w:hAnsi="宋体"/>
          <w:b/>
          <w:bCs/>
        </w:rPr>
        <mc:AlternateContent>
          <mc:Choice Requires="wps">
            <w:drawing>
              <wp:anchor distT="0" distB="0" distL="114300" distR="114300" simplePos="0" relativeHeight="251871232" behindDoc="0" locked="0" layoutInCell="1" allowOverlap="1">
                <wp:simplePos x="0" y="0"/>
                <wp:positionH relativeFrom="column">
                  <wp:posOffset>3543300</wp:posOffset>
                </wp:positionH>
                <wp:positionV relativeFrom="paragraph">
                  <wp:posOffset>190500</wp:posOffset>
                </wp:positionV>
                <wp:extent cx="685800" cy="260985"/>
                <wp:effectExtent l="0" t="0" r="0" b="5715"/>
                <wp:wrapNone/>
                <wp:docPr id="271" name="矩形 271"/>
                <wp:cNvGraphicFramePr/>
                <a:graphic xmlns:a="http://schemas.openxmlformats.org/drawingml/2006/main">
                  <a:graphicData uri="http://schemas.microsoft.com/office/word/2010/wordprocessingShape">
                    <wps:wsp>
                      <wps:cNvSpPr/>
                      <wps:spPr>
                        <a:xfrm>
                          <a:off x="0" y="0"/>
                          <a:ext cx="685800" cy="260985"/>
                        </a:xfrm>
                        <a:prstGeom prst="rect">
                          <a:avLst/>
                        </a:prstGeom>
                        <a:solidFill>
                          <a:srgbClr val="FFFFFF"/>
                        </a:solidFill>
                        <a:ln>
                          <a:noFill/>
                        </a:ln>
                      </wps:spPr>
                      <wps:txbx>
                        <w:txbxContent>
                          <w:p>
                            <w:pPr>
                              <w:rPr>
                                <w:rFonts w:hint="eastAsia"/>
                                <w:sz w:val="21"/>
                                <w:szCs w:val="21"/>
                              </w:rPr>
                            </w:pPr>
                            <w:r>
                              <w:rPr>
                                <w:rFonts w:hint="eastAsia"/>
                                <w:sz w:val="21"/>
                                <w:szCs w:val="21"/>
                              </w:rPr>
                              <w:t>0.01</w:t>
                            </w:r>
                          </w:p>
                        </w:txbxContent>
                      </wps:txbx>
                      <wps:bodyPr upright="1"/>
                    </wps:wsp>
                  </a:graphicData>
                </a:graphic>
              </wp:anchor>
            </w:drawing>
          </mc:Choice>
          <mc:Fallback>
            <w:pict>
              <v:rect id="_x0000_s1026" o:spid="_x0000_s1026" o:spt="1" style="position:absolute;left:0pt;margin-left:279pt;margin-top:15pt;height:20.55pt;width:54pt;z-index:251871232;mso-width-relative:page;mso-height-relative:page;" fillcolor="#FFFFFF" filled="t" stroked="f" coordsize="21600,21600" o:gfxdata="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ETbyw1wAAAAkBAAAPAAAAAAAAAAEAIAAA&#10;ACIAAABkcnMvZG93bnJldi54bWxQSwECFAAUAAAACACHTuJAQ/RMLJsBAAAfAwAADgAAAAAAAAAB&#10;ACAAAAAmAQAAZHJzL2Uyb0RvYy54bWxQSwUGAAAAAAYABgBZAQAAMwUAAAAA&#10;">
                <v:fill on="t" focussize="0,0"/>
                <v:stroke on="f"/>
                <v:imagedata o:title=""/>
                <o:lock v:ext="edit" aspectratio="f"/>
                <v:textbox>
                  <w:txbxContent>
                    <w:p>
                      <w:pPr>
                        <w:rPr>
                          <w:rFonts w:hint="eastAsia"/>
                          <w:sz w:val="21"/>
                          <w:szCs w:val="21"/>
                        </w:rPr>
                      </w:pPr>
                      <w:r>
                        <w:rPr>
                          <w:rFonts w:hint="eastAsia"/>
                          <w:sz w:val="21"/>
                          <w:szCs w:val="21"/>
                        </w:rPr>
                        <w:t>0.01</w:t>
                      </w:r>
                    </w:p>
                  </w:txbxContent>
                </v:textbox>
              </v:rect>
            </w:pict>
          </mc:Fallback>
        </mc:AlternateContent>
      </w:r>
    </w:p>
    <w:p>
      <w:pPr>
        <w:spacing w:line="480" w:lineRule="exact"/>
        <w:jc w:val="center"/>
        <w:rPr>
          <w:rFonts w:hint="eastAsia"/>
          <w:b/>
          <w:sz w:val="28"/>
          <w:szCs w:val="28"/>
        </w:rPr>
      </w:pPr>
      <w:r>
        <w:rPr>
          <w:rFonts w:hint="eastAsia" w:ascii="宋体" w:hAnsi="宋体"/>
          <w:b/>
          <w:bCs/>
        </w:rPr>
        <mc:AlternateContent>
          <mc:Choice Requires="wps">
            <w:drawing>
              <wp:anchor distT="0" distB="0" distL="114300" distR="114300" simplePos="0" relativeHeight="251869184" behindDoc="0" locked="0" layoutInCell="1" allowOverlap="1">
                <wp:simplePos x="0" y="0"/>
                <wp:positionH relativeFrom="column">
                  <wp:posOffset>4343400</wp:posOffset>
                </wp:positionH>
                <wp:positionV relativeFrom="paragraph">
                  <wp:posOffset>83820</wp:posOffset>
                </wp:positionV>
                <wp:extent cx="1028700" cy="297180"/>
                <wp:effectExtent l="0" t="0" r="0" b="0"/>
                <wp:wrapNone/>
                <wp:docPr id="296" name="矩形 296"/>
                <wp:cNvGraphicFramePr/>
                <a:graphic xmlns:a="http://schemas.openxmlformats.org/drawingml/2006/main">
                  <a:graphicData uri="http://schemas.microsoft.com/office/word/2010/wordprocessingShape">
                    <wps:wsp>
                      <wps:cNvSpPr/>
                      <wps:spPr>
                        <a:xfrm>
                          <a:off x="0" y="0"/>
                          <a:ext cx="1028700" cy="297180"/>
                        </a:xfrm>
                        <a:prstGeom prst="rect">
                          <a:avLst/>
                        </a:prstGeom>
                        <a:noFill/>
                        <a:ln>
                          <a:noFill/>
                        </a:ln>
                      </wps:spPr>
                      <wps:txbx>
                        <w:txbxContent>
                          <w:p>
                            <w:pPr>
                              <w:rPr>
                                <w:sz w:val="21"/>
                                <w:szCs w:val="21"/>
                              </w:rPr>
                            </w:pPr>
                            <w:r>
                              <w:rPr>
                                <w:rFonts w:hint="eastAsia"/>
                                <w:sz w:val="21"/>
                                <w:szCs w:val="21"/>
                              </w:rPr>
                              <w:t>外排粉尘</w:t>
                            </w:r>
                          </w:p>
                        </w:txbxContent>
                      </wps:txbx>
                      <wps:bodyPr upright="1"/>
                    </wps:wsp>
                  </a:graphicData>
                </a:graphic>
              </wp:anchor>
            </w:drawing>
          </mc:Choice>
          <mc:Fallback>
            <w:pict>
              <v:rect id="_x0000_s1026" o:spid="_x0000_s1026" o:spt="1" style="position:absolute;left:0pt;margin-left:342pt;margin-top:6.6pt;height:23.4pt;width:81pt;z-index:251869184;mso-width-relative:page;mso-height-relative:page;" filled="f" stroked="f" coordsize="21600,21600" o:gfxdata="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kSwWjNkAAAAJAQAADwAAAAAAAAABACAAAAAiAAAAZHJzL2Rvd25yZXYueG1s&#10;UEsBAhQAFAAAAAgAh07iQKetMCOFAQAA9wIAAA4AAAAAAAAAAQAgAAAAKAEAAGRycy9lMm9Eb2Mu&#10;eG1sUEsFBgAAAAAGAAYAWQEAAB8FAAAAAA==&#10;">
                <v:fill on="f" focussize="0,0"/>
                <v:stroke on="f"/>
                <v:imagedata o:title=""/>
                <o:lock v:ext="edit" aspectratio="f"/>
                <v:textbox>
                  <w:txbxContent>
                    <w:p>
                      <w:pPr>
                        <w:rPr>
                          <w:sz w:val="21"/>
                          <w:szCs w:val="21"/>
                        </w:rPr>
                      </w:pPr>
                      <w:r>
                        <w:rPr>
                          <w:rFonts w:hint="eastAsia"/>
                          <w:sz w:val="21"/>
                          <w:szCs w:val="21"/>
                        </w:rPr>
                        <w:t>外排粉尘</w:t>
                      </w:r>
                    </w:p>
                  </w:txbxContent>
                </v:textbox>
              </v:rect>
            </w:pict>
          </mc:Fallback>
        </mc:AlternateContent>
      </w:r>
      <w:r>
        <w:rPr>
          <w:rFonts w:hint="eastAsia" w:ascii="宋体" w:hAnsi="宋体"/>
          <w:b/>
          <w:bCs/>
        </w:rPr>
        <mc:AlternateContent>
          <mc:Choice Requires="wps">
            <w:drawing>
              <wp:anchor distT="0" distB="0" distL="114300" distR="114300" simplePos="0" relativeHeight="251868160" behindDoc="0" locked="0" layoutInCell="1" allowOverlap="1">
                <wp:simplePos x="0" y="0"/>
                <wp:positionH relativeFrom="column">
                  <wp:posOffset>3490595</wp:posOffset>
                </wp:positionH>
                <wp:positionV relativeFrom="paragraph">
                  <wp:posOffset>213360</wp:posOffset>
                </wp:positionV>
                <wp:extent cx="800100" cy="0"/>
                <wp:effectExtent l="0" t="38100" r="0" b="38100"/>
                <wp:wrapNone/>
                <wp:docPr id="274" name="直接连接符 274"/>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85pt;margin-top:16.8pt;height:0pt;width:63pt;z-index:251868160;mso-width-relative:page;mso-height-relative:page;" filled="f" stroked="t" coordsize="21600,21600" o:gfxdata="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RdzUNkAAAAJ&#10;AQAADwAAAAAAAAABACAAAAAiAAAAZHJzL2Rvd25yZXYueG1sUEsBAhQAFAAAAAgAh07iQPWuLTDi&#10;AQAAnQMAAA4AAAAAAAAAAQAgAAAAKAEAAGRycy9lMm9Eb2MueG1sUEsFBgAAAAAGAAYAWQEAAHwF&#10;AAAAAA==&#10;">
                <v:fill on="f" focussize="0,0"/>
                <v:stroke color="#000000" joinstyle="round" endarrow="block"/>
                <v:imagedata o:title=""/>
                <o:lock v:ext="edit" aspectratio="f"/>
              </v:line>
            </w:pict>
          </mc:Fallback>
        </mc:AlternateContent>
      </w:r>
      <w:r>
        <w:rPr>
          <w:rFonts w:hint="eastAsia" w:ascii="宋体" w:hAnsi="宋体"/>
          <w:b/>
          <w:bCs/>
        </w:rPr>
        <mc:AlternateContent>
          <mc:Choice Requires="wps">
            <w:drawing>
              <wp:anchor distT="0" distB="0" distL="114300" distR="114300" simplePos="0" relativeHeight="251864064" behindDoc="0" locked="0" layoutInCell="1" allowOverlap="1">
                <wp:simplePos x="0" y="0"/>
                <wp:positionH relativeFrom="column">
                  <wp:posOffset>2332990</wp:posOffset>
                </wp:positionH>
                <wp:positionV relativeFrom="paragraph">
                  <wp:posOffset>53340</wp:posOffset>
                </wp:positionV>
                <wp:extent cx="1143000" cy="297180"/>
                <wp:effectExtent l="4445" t="4445" r="14605" b="22225"/>
                <wp:wrapNone/>
                <wp:docPr id="284" name="矩形 284"/>
                <wp:cNvGraphicFramePr/>
                <a:graphic xmlns:a="http://schemas.openxmlformats.org/drawingml/2006/main">
                  <a:graphicData uri="http://schemas.microsoft.com/office/word/2010/wordprocessingShape">
                    <wps:wsp>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21"/>
                                <w:szCs w:val="21"/>
                              </w:rPr>
                              <w:t>水泥储存、包装</w:t>
                            </w:r>
                          </w:p>
                        </w:txbxContent>
                      </wps:txbx>
                      <wps:bodyPr upright="1"/>
                    </wps:wsp>
                  </a:graphicData>
                </a:graphic>
              </wp:anchor>
            </w:drawing>
          </mc:Choice>
          <mc:Fallback>
            <w:pict>
              <v:rect id="_x0000_s1026" o:spid="_x0000_s1026" o:spt="1" style="position:absolute;left:0pt;margin-left:183.7pt;margin-top:4.2pt;height:23.4pt;width:90pt;z-index:251864064;mso-width-relative:page;mso-height-relative:page;" fillcolor="#FFFFFF" filled="t" stroked="t" coordsize="21600,21600" o:gfxdata="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v&#10;wrSS1wAAAAgBAAAPAAAAAAAAAAEAIAAAACIAAABkcnMvZG93bnJldi54bWxQSwECFAAUAAAACACH&#10;TuJAR7NlNuwBAADfAwAADgAAAAAAAAABACAAAAAmAQAAZHJzL2Uyb0RvYy54bWxQSwUGAAAAAAYA&#10;BgBZAQAAhAUAAAAA&#10;">
                <v:fill on="t" focussize="0,0"/>
                <v:stroke color="#000000" joinstyle="miter"/>
                <v:imagedata o:title=""/>
                <o:lock v:ext="edit" aspectratio="f"/>
                <v:textbox>
                  <w:txbxContent>
                    <w:p>
                      <w:r>
                        <w:rPr>
                          <w:rFonts w:hint="eastAsia"/>
                          <w:sz w:val="21"/>
                          <w:szCs w:val="21"/>
                        </w:rPr>
                        <w:t>水泥储存、包装</w:t>
                      </w:r>
                    </w:p>
                  </w:txbxContent>
                </v:textbox>
              </v:rect>
            </w:pict>
          </mc:Fallback>
        </mc:AlternateContent>
      </w:r>
    </w:p>
    <w:p>
      <w:pPr>
        <w:spacing w:line="480" w:lineRule="exact"/>
        <w:jc w:val="center"/>
        <w:rPr>
          <w:rFonts w:hint="eastAsia"/>
          <w:b/>
          <w:sz w:val="28"/>
          <w:szCs w:val="28"/>
        </w:rPr>
      </w:pPr>
      <w:r>
        <w:rPr>
          <w:rFonts w:hint="eastAsia" w:ascii="宋体" w:hAnsi="宋体"/>
          <w:b/>
          <w:bCs/>
        </w:rPr>
        <mc:AlternateContent>
          <mc:Choice Requires="wps">
            <w:drawing>
              <wp:anchor distT="0" distB="0" distL="114300" distR="114300" simplePos="0" relativeHeight="251872256" behindDoc="0" locked="0" layoutInCell="1" allowOverlap="1">
                <wp:simplePos x="0" y="0"/>
                <wp:positionH relativeFrom="column">
                  <wp:posOffset>2857500</wp:posOffset>
                </wp:positionH>
                <wp:positionV relativeFrom="paragraph">
                  <wp:posOffset>76200</wp:posOffset>
                </wp:positionV>
                <wp:extent cx="0" cy="594360"/>
                <wp:effectExtent l="38100" t="0" r="38100" b="15240"/>
                <wp:wrapNone/>
                <wp:docPr id="288" name="直接连接符 288"/>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pt;margin-top:6pt;height:46.8pt;width:0pt;z-index:251872256;mso-width-relative:page;mso-height-relative:page;" filled="f" stroked="t" coordsize="21600,21600" o:gfxdata="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dlsZV1wAAAAoB&#10;AAAPAAAAAAAAAAEAIAAAACIAAABkcnMvZG93bnJldi54bWxQSwECFAAUAAAACACHTuJAKeixY+MB&#10;AACdAwAADgAAAAAAAAABACAAAAAmAQAAZHJzL2Uyb0RvYy54bWxQSwUGAAAAAAYABgBZAQAAewUA&#10;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78048" behindDoc="0" locked="0" layoutInCell="1" allowOverlap="1">
                <wp:simplePos x="0" y="0"/>
                <wp:positionH relativeFrom="column">
                  <wp:posOffset>2628900</wp:posOffset>
                </wp:positionH>
                <wp:positionV relativeFrom="paragraph">
                  <wp:posOffset>175260</wp:posOffset>
                </wp:positionV>
                <wp:extent cx="624205" cy="297180"/>
                <wp:effectExtent l="0" t="0" r="0" b="0"/>
                <wp:wrapNone/>
                <wp:docPr id="289" name="矩形 289"/>
                <wp:cNvGraphicFramePr/>
                <a:graphic xmlns:a="http://schemas.openxmlformats.org/drawingml/2006/main">
                  <a:graphicData uri="http://schemas.microsoft.com/office/word/2010/wordprocessingShape">
                    <wps:wsp>
                      <wps:cNvSpPr/>
                      <wps:spPr>
                        <a:xfrm>
                          <a:off x="0" y="0"/>
                          <a:ext cx="624205" cy="297180"/>
                        </a:xfrm>
                        <a:prstGeom prst="rect">
                          <a:avLst/>
                        </a:prstGeom>
                        <a:noFill/>
                        <a:ln>
                          <a:noFill/>
                        </a:ln>
                      </wps:spPr>
                      <wps:txbx>
                        <w:txbxContent>
                          <w:p/>
                        </w:txbxContent>
                      </wps:txbx>
                      <wps:bodyPr upright="1"/>
                    </wps:wsp>
                  </a:graphicData>
                </a:graphic>
              </wp:anchor>
            </w:drawing>
          </mc:Choice>
          <mc:Fallback>
            <w:pict>
              <v:rect id="_x0000_s1026" o:spid="_x0000_s1026" o:spt="1" style="position:absolute;left:0pt;margin-left:207pt;margin-top:13.8pt;height:23.4pt;width:49.15pt;z-index:251778048;mso-width-relative:page;mso-height-relative:page;" filled="f" stroked="f" coordsize="21600,21600" o:gfxdata="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TCYg+2wAAAAkBAAAPAAAAAAAAAAEAIAAAACIAAABkcnMvZG93bnJldi54&#10;bWxQSwECFAAUAAAACACHTuJAKS+k74UBAAD2AgAADgAAAAAAAAABACAAAAAqAQAAZHJzL2Uyb0Rv&#10;Yy54bWxQSwUGAAAAAAYABgBZAQAAIQUAAAAA&#10;">
                <v:fill on="f" focussize="0,0"/>
                <v:stroke on="f"/>
                <v:imagedata o:title=""/>
                <o:lock v:ext="edit" aspectratio="f"/>
                <v:textbox>
                  <w:txbxContent>
                    <w:p/>
                  </w:txbxContent>
                </v:textbox>
              </v:rect>
            </w:pict>
          </mc:Fallback>
        </mc:AlternateContent>
      </w:r>
    </w:p>
    <w:p>
      <w:pPr>
        <w:spacing w:line="480" w:lineRule="exact"/>
        <w:jc w:val="center"/>
        <w:rPr>
          <w:rFonts w:hint="eastAsia"/>
          <w:b/>
          <w:sz w:val="28"/>
          <w:szCs w:val="28"/>
        </w:rPr>
      </w:pPr>
      <w:r>
        <w:rPr>
          <w:rFonts w:hint="eastAsia" w:ascii="宋体" w:hAnsi="宋体"/>
          <w:b/>
          <w:bCs/>
        </w:rPr>
        <mc:AlternateContent>
          <mc:Choice Requires="wps">
            <w:drawing>
              <wp:anchor distT="0" distB="0" distL="114300" distR="114300" simplePos="0" relativeHeight="251874304" behindDoc="0" locked="0" layoutInCell="1" allowOverlap="1">
                <wp:simplePos x="0" y="0"/>
                <wp:positionH relativeFrom="column">
                  <wp:posOffset>2890520</wp:posOffset>
                </wp:positionH>
                <wp:positionV relativeFrom="paragraph">
                  <wp:posOffset>22860</wp:posOffset>
                </wp:positionV>
                <wp:extent cx="960120" cy="267335"/>
                <wp:effectExtent l="0" t="0" r="11430" b="18415"/>
                <wp:wrapNone/>
                <wp:docPr id="290" name="矩形 290"/>
                <wp:cNvGraphicFramePr/>
                <a:graphic xmlns:a="http://schemas.openxmlformats.org/drawingml/2006/main">
                  <a:graphicData uri="http://schemas.microsoft.com/office/word/2010/wordprocessingShape">
                    <wps:wsp>
                      <wps:cNvSpPr/>
                      <wps:spPr>
                        <a:xfrm>
                          <a:off x="0" y="0"/>
                          <a:ext cx="960120" cy="267335"/>
                        </a:xfrm>
                        <a:prstGeom prst="rect">
                          <a:avLst/>
                        </a:prstGeom>
                        <a:solidFill>
                          <a:srgbClr val="FFFFFF"/>
                        </a:solidFill>
                        <a:ln>
                          <a:noFill/>
                        </a:ln>
                      </wps:spPr>
                      <wps:txbx>
                        <w:txbxContent>
                          <w:p>
                            <w:pPr>
                              <w:rPr>
                                <w:rFonts w:hint="eastAsia" w:ascii="宋体" w:hAnsi="宋体"/>
                                <w:sz w:val="21"/>
                                <w:szCs w:val="21"/>
                              </w:rPr>
                            </w:pPr>
                            <w:r>
                              <w:rPr>
                                <w:rFonts w:hint="eastAsia" w:ascii="宋体" w:hAnsi="宋体"/>
                                <w:sz w:val="21"/>
                                <w:szCs w:val="21"/>
                              </w:rPr>
                              <w:t>2056.11</w:t>
                            </w:r>
                          </w:p>
                        </w:txbxContent>
                      </wps:txbx>
                      <wps:bodyPr upright="1"/>
                    </wps:wsp>
                  </a:graphicData>
                </a:graphic>
              </wp:anchor>
            </w:drawing>
          </mc:Choice>
          <mc:Fallback>
            <w:pict>
              <v:rect id="_x0000_s1026" o:spid="_x0000_s1026" o:spt="1" style="position:absolute;left:0pt;margin-left:227.6pt;margin-top:1.8pt;height:21.05pt;width:75.6pt;z-index:251874304;mso-width-relative:page;mso-height-relative:page;" fillcolor="#FFFFFF" filled="t" stroked="f" coordsize="21600,21600" o:gfxdata="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bF0E9UAAAAIAQAADwAAAAAAAAABACAAAAAi&#10;AAAAZHJzL2Rvd25yZXYueG1sUEsBAhQAFAAAAAgAh07iQF2sUvWbAQAAHwMAAA4AAAAAAAAAAQAg&#10;AAAAJAEAAGRycy9lMm9Eb2MueG1sUEsFBgAAAAAGAAYAWQEAADEFAAAAAA==&#10;">
                <v:fill on="t" focussize="0,0"/>
                <v:stroke on="f"/>
                <v:imagedata o:title=""/>
                <o:lock v:ext="edit" aspectratio="f"/>
                <v:textbox>
                  <w:txbxContent>
                    <w:p>
                      <w:pPr>
                        <w:rPr>
                          <w:rFonts w:hint="eastAsia" w:ascii="宋体" w:hAnsi="宋体"/>
                          <w:sz w:val="21"/>
                          <w:szCs w:val="21"/>
                        </w:rPr>
                      </w:pPr>
                      <w:r>
                        <w:rPr>
                          <w:rFonts w:hint="eastAsia" w:ascii="宋体" w:hAnsi="宋体"/>
                          <w:sz w:val="21"/>
                          <w:szCs w:val="21"/>
                        </w:rPr>
                        <w:t>2056.11</w:t>
                      </w:r>
                    </w:p>
                  </w:txbxContent>
                </v:textbox>
              </v:rect>
            </w:pict>
          </mc:Fallback>
        </mc:AlternateContent>
      </w:r>
    </w:p>
    <w:p>
      <w:pPr>
        <w:spacing w:line="480" w:lineRule="exact"/>
        <w:jc w:val="center"/>
        <w:rPr>
          <w:rFonts w:hint="eastAsia"/>
          <w:b/>
          <w:sz w:val="28"/>
          <w:szCs w:val="28"/>
        </w:rPr>
      </w:pPr>
      <w:r>
        <w:rPr>
          <w:rFonts w:hint="eastAsia" w:ascii="宋体" w:hAnsi="宋体"/>
          <w:b/>
          <w:bCs/>
        </w:rPr>
        <mc:AlternateContent>
          <mc:Choice Requires="wps">
            <w:drawing>
              <wp:anchor distT="0" distB="0" distL="114300" distR="114300" simplePos="0" relativeHeight="251873280" behindDoc="0" locked="0" layoutInCell="1" allowOverlap="1">
                <wp:simplePos x="0" y="0"/>
                <wp:positionH relativeFrom="column">
                  <wp:posOffset>2433320</wp:posOffset>
                </wp:positionH>
                <wp:positionV relativeFrom="paragraph">
                  <wp:posOffset>80010</wp:posOffset>
                </wp:positionV>
                <wp:extent cx="1028700" cy="297180"/>
                <wp:effectExtent l="0" t="0" r="0" b="0"/>
                <wp:wrapNone/>
                <wp:docPr id="292" name="矩形 292"/>
                <wp:cNvGraphicFramePr/>
                <a:graphic xmlns:a="http://schemas.openxmlformats.org/drawingml/2006/main">
                  <a:graphicData uri="http://schemas.microsoft.com/office/word/2010/wordprocessingShape">
                    <wps:wsp>
                      <wps:cNvSpPr/>
                      <wps:spPr>
                        <a:xfrm>
                          <a:off x="0" y="0"/>
                          <a:ext cx="1028700" cy="297180"/>
                        </a:xfrm>
                        <a:prstGeom prst="rect">
                          <a:avLst/>
                        </a:prstGeom>
                        <a:noFill/>
                        <a:ln>
                          <a:noFill/>
                        </a:ln>
                      </wps:spPr>
                      <wps:txbx>
                        <w:txbxContent>
                          <w:p>
                            <w:r>
                              <w:rPr>
                                <w:rFonts w:hint="eastAsia"/>
                              </w:rPr>
                              <w:t>水泥外运</w:t>
                            </w:r>
                          </w:p>
                        </w:txbxContent>
                      </wps:txbx>
                      <wps:bodyPr upright="1"/>
                    </wps:wsp>
                  </a:graphicData>
                </a:graphic>
              </wp:anchor>
            </w:drawing>
          </mc:Choice>
          <mc:Fallback>
            <w:pict>
              <v:rect id="_x0000_s1026" o:spid="_x0000_s1026" o:spt="1" style="position:absolute;left:0pt;margin-left:191.6pt;margin-top:6.3pt;height:23.4pt;width:81pt;z-index:251873280;mso-width-relative:page;mso-height-relative:page;" filled="f" stroked="f" coordsize="21600,21600" o:gfxdata="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yxJPr2wAAAAkBAAAPAAAAAAAAAAEAIAAAACIAAABkcnMvZG93bnJldi54&#10;bWxQSwECFAAUAAAACACHTuJAK1sQrIUBAAD3AgAADgAAAAAAAAABACAAAAAqAQAAZHJzL2Uyb0Rv&#10;Yy54bWxQSwUGAAAAAAYABgBZAQAAIQUAAAAA&#10;">
                <v:fill on="f" focussize="0,0"/>
                <v:stroke on="f"/>
                <v:imagedata o:title=""/>
                <o:lock v:ext="edit" aspectratio="f"/>
                <v:textbox>
                  <w:txbxContent>
                    <w:p>
                      <w:r>
                        <w:rPr>
                          <w:rFonts w:hint="eastAsia"/>
                        </w:rPr>
                        <w:t>水泥外运</w:t>
                      </w:r>
                    </w:p>
                  </w:txbxContent>
                </v:textbox>
              </v:rect>
            </w:pict>
          </mc:Fallback>
        </mc:AlternateContent>
      </w:r>
    </w:p>
    <w:p>
      <w:pPr>
        <w:spacing w:line="480" w:lineRule="exact"/>
        <w:jc w:val="center"/>
        <w:rPr>
          <w:rFonts w:hint="eastAsia"/>
          <w:b/>
          <w:sz w:val="28"/>
          <w:szCs w:val="28"/>
        </w:rPr>
      </w:pPr>
    </w:p>
    <w:p>
      <w:pPr>
        <w:spacing w:line="480" w:lineRule="exact"/>
        <w:jc w:val="center"/>
        <w:rPr>
          <w:rFonts w:hint="eastAsia"/>
          <w:b/>
          <w:sz w:val="28"/>
          <w:szCs w:val="28"/>
        </w:rPr>
      </w:pPr>
    </w:p>
    <w:p>
      <w:pPr>
        <w:spacing w:line="480" w:lineRule="exact"/>
        <w:jc w:val="center"/>
        <w:rPr>
          <w:rFonts w:hint="eastAsia" w:ascii="宋体" w:hAnsi="宋体"/>
          <w:b/>
          <w:bCs/>
        </w:rPr>
      </w:pPr>
      <w:r>
        <w:rPr>
          <w:rFonts w:hint="eastAsia" w:ascii="宋体" w:hAnsi="宋体"/>
          <w:b/>
        </w:rPr>
        <w:t xml:space="preserve">图3.4   </w:t>
      </w:r>
      <w:r>
        <w:rPr>
          <w:rFonts w:hint="eastAsia" w:ascii="宋体" w:hAnsi="宋体"/>
          <w:b/>
          <w:bCs/>
        </w:rPr>
        <w:t xml:space="preserve">  硫平衡图（以硫计，单位：t/a）</w:t>
      </w:r>
    </w:p>
    <w:p>
      <w:pPr>
        <w:spacing w:line="460" w:lineRule="exact"/>
        <w:ind w:firstLine="420" w:firstLineChars="200"/>
        <w:rPr>
          <w:rFonts w:hint="eastAsia"/>
        </w:rPr>
      </w:pPr>
    </w:p>
    <w:p>
      <w:pPr>
        <w:spacing w:line="460" w:lineRule="exact"/>
        <w:ind w:firstLine="420" w:firstLineChars="200"/>
        <w:rPr>
          <w:rFonts w:hint="eastAsia"/>
        </w:rPr>
      </w:pPr>
    </w:p>
    <w:p>
      <w:pPr>
        <w:spacing w:line="460" w:lineRule="exact"/>
        <w:ind w:firstLine="422" w:firstLineChars="200"/>
        <w:rPr>
          <w:b/>
        </w:rPr>
        <w:sectPr>
          <w:pgSz w:w="11906" w:h="16838"/>
          <w:pgMar w:top="1134" w:right="1418" w:bottom="1134" w:left="1418" w:header="851" w:footer="992" w:gutter="0"/>
          <w:paperSrc w:first="20070" w:other="20070"/>
          <w:cols w:space="425" w:num="1"/>
          <w:docGrid w:linePitch="312" w:charSpace="0"/>
        </w:sectPr>
      </w:pPr>
      <w:r>
        <w:rPr>
          <w:b/>
        </w:rPr>
        <w:t xml:space="preserve"> </w:t>
      </w:r>
    </w:p>
    <w:p>
      <w:pPr>
        <w:spacing w:line="360" w:lineRule="auto"/>
        <w:outlineLvl w:val="2"/>
        <w:rPr>
          <w:rFonts w:hint="eastAsia"/>
          <w:b/>
          <w:bCs/>
          <w:szCs w:val="20"/>
        </w:rPr>
      </w:pPr>
      <w:bookmarkStart w:id="147" w:name="_Toc155859740"/>
      <w:bookmarkStart w:id="148" w:name="_Toc150759638"/>
      <w:bookmarkStart w:id="149" w:name="_Toc473281501"/>
      <w:bookmarkStart w:id="150" w:name="_Toc189814143"/>
      <w:bookmarkStart w:id="151" w:name="_Toc175479799"/>
      <w:r>
        <w:rPr>
          <w:rFonts w:hint="eastAsia"/>
          <w:b/>
          <w:bCs/>
          <w:szCs w:val="20"/>
        </w:rPr>
        <w:t>3.2.3 余热发电部分</w:t>
      </w:r>
      <w:bookmarkEnd w:id="147"/>
      <w:bookmarkEnd w:id="148"/>
      <w:bookmarkEnd w:id="149"/>
      <w:bookmarkEnd w:id="150"/>
    </w:p>
    <w:p>
      <w:pPr>
        <w:spacing w:line="360" w:lineRule="auto"/>
        <w:outlineLvl w:val="2"/>
        <w:rPr>
          <w:b/>
          <w:bCs/>
          <w:szCs w:val="20"/>
        </w:rPr>
      </w:pPr>
      <w:bookmarkStart w:id="152" w:name="_Toc140500105"/>
      <w:r>
        <w:rPr>
          <w:rFonts w:hint="eastAsia"/>
          <w:b/>
          <w:bCs/>
          <w:szCs w:val="20"/>
        </w:rPr>
        <w:t xml:space="preserve">3.2.3.1 </w:t>
      </w:r>
      <w:r>
        <w:rPr>
          <w:b/>
          <w:bCs/>
          <w:szCs w:val="20"/>
        </w:rPr>
        <w:t>低温余热发电工艺流程简述</w:t>
      </w:r>
    </w:p>
    <w:p>
      <w:pPr>
        <w:spacing w:line="480" w:lineRule="exact"/>
        <w:ind w:firstLine="420" w:firstLineChars="200"/>
        <w:rPr>
          <w:rFonts w:ascii="宋体" w:hAnsi="宋体"/>
        </w:rPr>
      </w:pPr>
      <w:r>
        <w:rPr>
          <w:rFonts w:hint="eastAsia" w:ascii="宋体" w:hAnsi="宋体"/>
        </w:rPr>
        <w:t>（1）</w:t>
      </w:r>
      <w:r>
        <w:rPr>
          <w:rFonts w:ascii="宋体" w:hAnsi="宋体"/>
        </w:rPr>
        <w:t xml:space="preserve"> 烟气流程</w:t>
      </w:r>
    </w:p>
    <w:p>
      <w:pPr>
        <w:spacing w:line="480" w:lineRule="exact"/>
        <w:ind w:firstLine="420" w:firstLineChars="200"/>
        <w:rPr>
          <w:rFonts w:ascii="宋体" w:hAnsi="宋体"/>
        </w:rPr>
      </w:pPr>
      <w:r>
        <w:rPr>
          <w:rFonts w:ascii="宋体" w:hAnsi="宋体"/>
        </w:rPr>
        <w:t>出窑尾一级筒的废气（约330℃）经SP炉换热后温度降至230℃左右，经窑尾高温风机送至原料磨烘干原料后，经除尘器净化后达标排放。</w:t>
      </w:r>
    </w:p>
    <w:p>
      <w:pPr>
        <w:spacing w:line="480" w:lineRule="exact"/>
        <w:ind w:firstLine="420" w:firstLineChars="200"/>
        <w:rPr>
          <w:rFonts w:ascii="宋体" w:hAnsi="宋体"/>
        </w:rPr>
      </w:pPr>
      <w:r>
        <w:rPr>
          <w:rFonts w:ascii="宋体" w:hAnsi="宋体"/>
        </w:rPr>
        <w:t>取自窑头篦冷机废气（约360℃）经沉降室沉降（预收尘装置）后进入AQC炉，热交换后进入收尘器净化达标后与熟料冷却机尾部的废气会合后由引风机经烟囱达标排出。</w:t>
      </w:r>
    </w:p>
    <w:p>
      <w:pPr>
        <w:widowControl/>
        <w:tabs>
          <w:tab w:val="left" w:pos="567"/>
        </w:tabs>
        <w:spacing w:line="480" w:lineRule="exact"/>
        <w:ind w:firstLine="420" w:firstLineChars="200"/>
        <w:textAlignment w:val="bottom"/>
        <w:rPr>
          <w:rFonts w:ascii="宋体" w:hAnsi="宋体"/>
        </w:rPr>
      </w:pPr>
      <w:r>
        <w:rPr>
          <w:rFonts w:hint="eastAsia" w:ascii="宋体" w:hAnsi="宋体"/>
        </w:rPr>
        <w:t>（2）</w:t>
      </w:r>
      <w:r>
        <w:rPr>
          <w:rFonts w:ascii="宋体" w:hAnsi="宋体"/>
        </w:rPr>
        <w:t>水、汽流程</w:t>
      </w:r>
    </w:p>
    <w:p>
      <w:pPr>
        <w:widowControl/>
        <w:tabs>
          <w:tab w:val="left" w:pos="567"/>
        </w:tabs>
        <w:spacing w:line="480" w:lineRule="exact"/>
        <w:ind w:firstLine="420" w:firstLineChars="200"/>
        <w:textAlignment w:val="bottom"/>
        <w:rPr>
          <w:rFonts w:ascii="宋体" w:hAnsi="宋体"/>
        </w:rPr>
      </w:pPr>
      <w:r>
        <w:rPr>
          <w:rFonts w:ascii="宋体" w:hAnsi="宋体"/>
        </w:rPr>
        <w:t>原水经机械过滤器、活性碳过滤器预处理后进入软化水装置，达标后的软水作为发电系统的补充水补入发电系统的除氧器。经除氧后的软水由锅炉给水泵送至AQC炉的省煤器段。进入AQC炉的给水经炉内低温段预热，按一定比例分别进入AQC炉和SP炉的蒸发段、过热段后，AQC炉产1.6MPa、320℃及0.4MPa、160℃的过热蒸汽，SP炉得到1.6MPa、300℃的过热蒸汽，1.6MPa的过热蒸汽经集汽缸混合后，与低压过热蒸汽分别进入汽轮机的进汽口，供汽轮机做功发电。经汽轮机作功后的蒸汽进入凝汽器冷凝成凝结水后，由凝结水泵送至化学除氧器除氧，再由锅炉给水泵将除氧后的冷凝水和补充水直接送至AQC炉，完成一个汽水循环。</w:t>
      </w:r>
    </w:p>
    <w:p>
      <w:pPr>
        <w:widowControl/>
        <w:tabs>
          <w:tab w:val="left" w:pos="567"/>
        </w:tabs>
        <w:spacing w:line="480" w:lineRule="exact"/>
        <w:ind w:firstLine="420" w:firstLineChars="200"/>
        <w:textAlignment w:val="bottom"/>
        <w:rPr>
          <w:rFonts w:ascii="宋体" w:hAnsi="宋体"/>
        </w:rPr>
      </w:pPr>
      <w:r>
        <w:rPr>
          <w:rFonts w:hint="eastAsia" w:ascii="宋体" w:hAnsi="宋体"/>
        </w:rPr>
        <w:t>（3）</w:t>
      </w:r>
      <w:r>
        <w:rPr>
          <w:rFonts w:ascii="宋体" w:hAnsi="宋体"/>
        </w:rPr>
        <w:t xml:space="preserve"> 排灰流程</w:t>
      </w:r>
    </w:p>
    <w:p>
      <w:pPr>
        <w:widowControl/>
        <w:tabs>
          <w:tab w:val="left" w:pos="567"/>
        </w:tabs>
        <w:spacing w:line="480" w:lineRule="exact"/>
        <w:ind w:firstLine="420" w:firstLineChars="200"/>
        <w:textAlignment w:val="bottom"/>
        <w:rPr>
          <w:rFonts w:ascii="宋体" w:hAnsi="宋体"/>
        </w:rPr>
      </w:pPr>
      <w:r>
        <w:rPr>
          <w:rFonts w:ascii="宋体" w:hAnsi="宋体"/>
        </w:rPr>
        <w:t>SP炉的排灰为窑灰，可回到水泥生产工艺流程中，设计时拟与窑尾除尘器收下的窑灰一起用输送装置送到生料均化库。AQC炉产生的粉尘将和窑头收尘器收下的粉尘一起回入工艺系统。</w:t>
      </w:r>
    </w:p>
    <w:p>
      <w:pPr>
        <w:spacing w:line="360" w:lineRule="auto"/>
        <w:outlineLvl w:val="2"/>
        <w:rPr>
          <w:b/>
          <w:bCs/>
          <w:szCs w:val="20"/>
        </w:rPr>
      </w:pPr>
      <w:r>
        <w:rPr>
          <w:rFonts w:hint="eastAsia"/>
          <w:b/>
          <w:bCs/>
          <w:szCs w:val="20"/>
        </w:rPr>
        <w:t>3.2.3.2</w:t>
      </w:r>
      <w:r>
        <w:rPr>
          <w:b/>
          <w:bCs/>
          <w:szCs w:val="20"/>
        </w:rPr>
        <w:t xml:space="preserve"> 余热锅炉与水泥生产工艺系统的衔接</w:t>
      </w:r>
    </w:p>
    <w:p>
      <w:pPr>
        <w:widowControl/>
        <w:tabs>
          <w:tab w:val="left" w:pos="567"/>
        </w:tabs>
        <w:spacing w:line="480" w:lineRule="exact"/>
        <w:ind w:firstLine="420" w:firstLineChars="200"/>
        <w:textAlignment w:val="bottom"/>
        <w:rPr>
          <w:rFonts w:ascii="宋体" w:hAnsi="宋体"/>
        </w:rPr>
      </w:pPr>
      <w:r>
        <w:rPr>
          <w:rFonts w:ascii="宋体" w:hAnsi="宋体"/>
        </w:rPr>
        <w:t>(1) AQC炉</w:t>
      </w:r>
    </w:p>
    <w:p>
      <w:pPr>
        <w:widowControl/>
        <w:tabs>
          <w:tab w:val="left" w:pos="567"/>
        </w:tabs>
        <w:spacing w:line="480" w:lineRule="exact"/>
        <w:ind w:firstLine="420" w:firstLineChars="200"/>
        <w:textAlignment w:val="bottom"/>
        <w:rPr>
          <w:rFonts w:ascii="宋体" w:hAnsi="宋体"/>
        </w:rPr>
      </w:pPr>
      <w:r>
        <w:rPr>
          <w:rFonts w:ascii="宋体" w:hAnsi="宋体"/>
        </w:rPr>
        <w:tab/>
      </w:r>
      <w:r>
        <w:rPr>
          <w:rFonts w:ascii="宋体" w:hAnsi="宋体"/>
        </w:rPr>
        <w:t>因熟料冷却机的废气中含有对锅炉换热面磨蚀性较强的</w:t>
      </w:r>
      <w:r>
        <w:rPr>
          <w:rFonts w:hint="eastAsia" w:ascii="宋体" w:hAnsi="宋体"/>
        </w:rPr>
        <w:t>粉尘</w:t>
      </w:r>
      <w:r>
        <w:rPr>
          <w:rFonts w:ascii="宋体" w:hAnsi="宋体"/>
        </w:rPr>
        <w:t>，为保证AQC锅炉的使用寿命，提高余热利用率，在进AQC炉之前的管路上设置重力沉降室。</w:t>
      </w:r>
    </w:p>
    <w:p>
      <w:pPr>
        <w:widowControl/>
        <w:tabs>
          <w:tab w:val="left" w:pos="567"/>
        </w:tabs>
        <w:spacing w:line="480" w:lineRule="exact"/>
        <w:ind w:firstLine="420" w:firstLineChars="200"/>
        <w:textAlignment w:val="bottom"/>
        <w:rPr>
          <w:rFonts w:ascii="宋体" w:hAnsi="宋体"/>
        </w:rPr>
      </w:pPr>
      <w:r>
        <w:rPr>
          <w:rFonts w:ascii="宋体" w:hAnsi="宋体"/>
        </w:rPr>
        <w:t xml:space="preserve"> (2) SP炉</w:t>
      </w:r>
    </w:p>
    <w:p>
      <w:pPr>
        <w:widowControl/>
        <w:tabs>
          <w:tab w:val="left" w:pos="567"/>
        </w:tabs>
        <w:spacing w:line="480" w:lineRule="exact"/>
        <w:ind w:firstLine="420" w:firstLineChars="200"/>
        <w:textAlignment w:val="bottom"/>
        <w:rPr>
          <w:rFonts w:ascii="宋体" w:hAnsi="宋体"/>
        </w:rPr>
      </w:pPr>
      <w:r>
        <w:rPr>
          <w:rFonts w:ascii="宋体" w:hAnsi="宋体"/>
        </w:rPr>
        <w:t>1) SP炉形式</w:t>
      </w:r>
    </w:p>
    <w:p>
      <w:pPr>
        <w:widowControl/>
        <w:tabs>
          <w:tab w:val="left" w:pos="567"/>
        </w:tabs>
        <w:spacing w:line="480" w:lineRule="exact"/>
        <w:ind w:firstLine="420" w:firstLineChars="200"/>
        <w:textAlignment w:val="bottom"/>
        <w:rPr>
          <w:rFonts w:ascii="宋体" w:hAnsi="宋体"/>
        </w:rPr>
      </w:pPr>
      <w:r>
        <w:rPr>
          <w:rFonts w:ascii="宋体" w:hAnsi="宋体"/>
        </w:rPr>
        <w:t>SP炉采用立式布置，锅炉回灰经灰斗后由输送铰刀（带锁风阀）直接输送，因此漏风点少、热效率较高、比较容易布置（可顺着窑尾风管布置）、占地面积较小。</w:t>
      </w:r>
    </w:p>
    <w:p>
      <w:pPr>
        <w:widowControl/>
        <w:tabs>
          <w:tab w:val="left" w:pos="567"/>
        </w:tabs>
        <w:spacing w:line="480" w:lineRule="exact"/>
        <w:ind w:firstLine="420" w:firstLineChars="200"/>
        <w:textAlignment w:val="bottom"/>
        <w:rPr>
          <w:rFonts w:ascii="宋体" w:hAnsi="宋体"/>
        </w:rPr>
      </w:pPr>
      <w:r>
        <w:rPr>
          <w:rFonts w:ascii="宋体" w:hAnsi="宋体"/>
        </w:rPr>
        <w:t>出一级筒预热器的烟气温度为330℃，此时的粉尘通过高能脉冲的冲击震动，可以达到清除积灰的目的。另外在余热锅炉设计时，换热管束间距可以布置的相对大一些，换热管束采用翅片管，从而减少锅炉内部的积灰。</w:t>
      </w:r>
    </w:p>
    <w:p>
      <w:pPr>
        <w:widowControl/>
        <w:tabs>
          <w:tab w:val="left" w:pos="567"/>
        </w:tabs>
        <w:spacing w:line="480" w:lineRule="exact"/>
        <w:ind w:firstLine="420" w:firstLineChars="200"/>
        <w:textAlignment w:val="bottom"/>
        <w:rPr>
          <w:rFonts w:ascii="宋体" w:hAnsi="宋体"/>
        </w:rPr>
      </w:pPr>
      <w:r>
        <w:rPr>
          <w:rFonts w:ascii="宋体" w:hAnsi="宋体"/>
        </w:rPr>
        <w:t>2) SP炉的布置</w:t>
      </w:r>
    </w:p>
    <w:p>
      <w:pPr>
        <w:widowControl/>
        <w:tabs>
          <w:tab w:val="left" w:pos="567"/>
        </w:tabs>
        <w:spacing w:line="480" w:lineRule="exact"/>
        <w:ind w:firstLine="420" w:firstLineChars="200"/>
        <w:textAlignment w:val="bottom"/>
        <w:rPr>
          <w:rFonts w:ascii="宋体" w:hAnsi="宋体"/>
        </w:rPr>
      </w:pPr>
      <w:r>
        <w:rPr>
          <w:rFonts w:ascii="宋体" w:hAnsi="宋体"/>
        </w:rPr>
        <w:tab/>
      </w:r>
      <w:r>
        <w:rPr>
          <w:rFonts w:ascii="宋体" w:hAnsi="宋体"/>
        </w:rPr>
        <w:t>SP炉设置在窑尾预热器与窑尾高温风机之间，用烟气管道与余热锅炉连接，SP炉的烟气进出口顺着预热器出口管道上进下出。为保证余热锅炉的启停不影响水泥生产及电站的稳定运行，在SP炉烟气连接管道上设有旁通烟道，可使锅炉在出现故障时或水泥生产不正常时解列，既满足了水泥生产的稳定运行又保证了SP炉的安全。通过旁通烟道的调节作用还可使水泥生产及余热锅炉的运行均达到理想的运行工况。</w:t>
      </w:r>
    </w:p>
    <w:p>
      <w:pPr>
        <w:widowControl/>
        <w:tabs>
          <w:tab w:val="left" w:pos="567"/>
        </w:tabs>
        <w:spacing w:line="480" w:lineRule="exact"/>
        <w:ind w:firstLine="420" w:firstLineChars="200"/>
        <w:textAlignment w:val="bottom"/>
        <w:rPr>
          <w:rFonts w:ascii="宋体" w:hAnsi="宋体"/>
        </w:rPr>
      </w:pPr>
      <w:r>
        <w:rPr>
          <w:rFonts w:ascii="宋体" w:hAnsi="宋体"/>
        </w:rPr>
        <w:t>(3) 余热锅炉受热面型式及清灰装置的确定</w:t>
      </w:r>
    </w:p>
    <w:p>
      <w:pPr>
        <w:widowControl/>
        <w:tabs>
          <w:tab w:val="left" w:pos="567"/>
        </w:tabs>
        <w:spacing w:line="480" w:lineRule="exact"/>
        <w:ind w:firstLine="420" w:firstLineChars="200"/>
        <w:textAlignment w:val="bottom"/>
        <w:rPr>
          <w:rFonts w:ascii="宋体" w:hAnsi="宋体"/>
        </w:rPr>
      </w:pPr>
      <w:r>
        <w:rPr>
          <w:rFonts w:ascii="宋体" w:hAnsi="宋体"/>
        </w:rPr>
        <w:tab/>
      </w:r>
      <w:r>
        <w:rPr>
          <w:rFonts w:ascii="宋体" w:hAnsi="宋体"/>
        </w:rPr>
        <w:t>窑尾余热锅炉的换热面将根据通过的烟气含尘浓度较高的特点，采用翅片管，以减少烟尘附着在换热面上；窑头余热锅炉主要考虑减少</w:t>
      </w:r>
      <w:r>
        <w:rPr>
          <w:rFonts w:hint="eastAsia" w:ascii="宋体" w:hAnsi="宋体"/>
        </w:rPr>
        <w:t>粉尘</w:t>
      </w:r>
      <w:r>
        <w:rPr>
          <w:rFonts w:ascii="宋体" w:hAnsi="宋体"/>
        </w:rPr>
        <w:t>对换热管束的磨损和增加换热面积，因此采用螺旋鳍片管束，同时，炉内烟气要求采用低流速，以减轻废气粉尘对锅炉管束的磨损。</w:t>
      </w:r>
    </w:p>
    <w:p>
      <w:pPr>
        <w:widowControl/>
        <w:tabs>
          <w:tab w:val="left" w:pos="567"/>
        </w:tabs>
        <w:spacing w:line="480" w:lineRule="exact"/>
        <w:ind w:firstLine="420" w:firstLineChars="200"/>
        <w:textAlignment w:val="bottom"/>
        <w:rPr>
          <w:rFonts w:ascii="宋体" w:hAnsi="宋体"/>
        </w:rPr>
      </w:pPr>
      <w:r>
        <w:rPr>
          <w:rFonts w:ascii="宋体" w:hAnsi="宋体"/>
        </w:rPr>
        <w:t>附着在换热面上的粉尘对锅炉的传热效率影响很大，因此余热锅炉的清灰在余热利用系统中相当重要。</w:t>
      </w:r>
      <w:r>
        <w:rPr>
          <w:rFonts w:hint="eastAsia" w:ascii="宋体" w:hAnsi="宋体"/>
        </w:rPr>
        <w:t>技改项目</w:t>
      </w:r>
      <w:r>
        <w:rPr>
          <w:rFonts w:ascii="宋体" w:hAnsi="宋体"/>
        </w:rPr>
        <w:t>SP炉清灰采用声波喇叭装置；窑头余热锅炉因采取了预收除尘措施，进锅炉的粉尘浓度小于8g/Nm</w:t>
      </w:r>
      <w:r>
        <w:rPr>
          <w:rFonts w:ascii="宋体" w:hAnsi="宋体"/>
          <w:vertAlign w:val="superscript"/>
        </w:rPr>
        <w:t>3</w:t>
      </w:r>
      <w:r>
        <w:rPr>
          <w:rFonts w:ascii="宋体" w:hAnsi="宋体"/>
        </w:rPr>
        <w:t>，且粉尘不易附着在换热面上，能随气流带走，可不设清灰装置。</w:t>
      </w:r>
    </w:p>
    <w:p>
      <w:pPr>
        <w:widowControl/>
        <w:tabs>
          <w:tab w:val="left" w:pos="567"/>
        </w:tabs>
        <w:spacing w:line="480" w:lineRule="exact"/>
        <w:ind w:firstLine="420" w:firstLineChars="200"/>
        <w:textAlignment w:val="bottom"/>
        <w:rPr>
          <w:rFonts w:ascii="宋体" w:hAnsi="宋体"/>
        </w:rPr>
      </w:pPr>
      <w:r>
        <w:rPr>
          <w:rFonts w:ascii="宋体" w:hAnsi="宋体"/>
        </w:rPr>
        <w:tab/>
      </w:r>
      <w:r>
        <w:rPr>
          <w:rFonts w:ascii="宋体" w:hAnsi="宋体"/>
        </w:rPr>
        <w:t>汽轮发电机设二层厂房，余热发电的主控制室和汽轮机、励磁机、发电机主要部分在二楼，汽轮发电机房的一层为凝汽器和相关的油泵、水泵间。</w:t>
      </w:r>
    </w:p>
    <w:p>
      <w:pPr>
        <w:spacing w:line="360" w:lineRule="auto"/>
        <w:outlineLvl w:val="2"/>
        <w:rPr>
          <w:b/>
          <w:bCs/>
          <w:szCs w:val="20"/>
        </w:rPr>
      </w:pPr>
      <w:r>
        <w:rPr>
          <w:rFonts w:hint="eastAsia"/>
          <w:b/>
          <w:bCs/>
          <w:szCs w:val="20"/>
        </w:rPr>
        <w:t>3.2.3.3</w:t>
      </w:r>
      <w:r>
        <w:rPr>
          <w:b/>
          <w:bCs/>
          <w:szCs w:val="20"/>
        </w:rPr>
        <w:t xml:space="preserve"> 热力系统配置</w:t>
      </w:r>
    </w:p>
    <w:p>
      <w:pPr>
        <w:widowControl/>
        <w:tabs>
          <w:tab w:val="left" w:pos="567"/>
        </w:tabs>
        <w:spacing w:line="480" w:lineRule="exact"/>
        <w:ind w:firstLine="420" w:firstLineChars="200"/>
        <w:textAlignment w:val="bottom"/>
        <w:rPr>
          <w:rFonts w:hint="eastAsia" w:ascii="宋体" w:hAnsi="宋体"/>
        </w:rPr>
      </w:pPr>
      <w:r>
        <w:rPr>
          <w:rFonts w:ascii="宋体" w:hAnsi="宋体"/>
        </w:rPr>
        <w:t>设置1套SP炉、AQC炉；1台单机容量为4500kW混压式汽轮机，配套1台10.5kV空冷式4500kW发电机组（汽钻机和发电机两线合用）及相应的锅炉给水制水（软水）、冷却水系统等辅助车间，总发电量4680kW，供电量2479kW。</w:t>
      </w:r>
    </w:p>
    <w:p>
      <w:pPr>
        <w:widowControl/>
        <w:tabs>
          <w:tab w:val="left" w:pos="567"/>
        </w:tabs>
        <w:spacing w:line="480" w:lineRule="exact"/>
        <w:ind w:firstLine="420" w:firstLineChars="200"/>
        <w:textAlignment w:val="bottom"/>
        <w:rPr>
          <w:rFonts w:hint="eastAsia" w:ascii="宋体" w:hAnsi="宋体"/>
        </w:rPr>
      </w:pPr>
      <w:r>
        <w:rPr>
          <w:rFonts w:hint="eastAsia" w:ascii="宋体" w:hAnsi="宋体"/>
        </w:rPr>
        <w:t>余热发电工艺流程见图3.5。</w:t>
      </w:r>
    </w:p>
    <w:p>
      <w:pPr>
        <w:widowControl/>
        <w:tabs>
          <w:tab w:val="left" w:pos="567"/>
        </w:tabs>
        <w:spacing w:line="480" w:lineRule="exact"/>
        <w:ind w:firstLine="420" w:firstLineChars="200"/>
        <w:textAlignment w:val="bottom"/>
        <w:rPr>
          <w:rFonts w:hint="eastAsia" w:ascii="宋体" w:hAnsi="宋体"/>
        </w:rPr>
      </w:pPr>
    </w:p>
    <w:p>
      <w:pPr>
        <w:widowControl/>
        <w:tabs>
          <w:tab w:val="left" w:pos="567"/>
        </w:tabs>
        <w:spacing w:line="480" w:lineRule="exact"/>
        <w:ind w:firstLine="420" w:firstLineChars="200"/>
        <w:textAlignment w:val="bottom"/>
        <w:rPr>
          <w:rFonts w:hint="eastAsia" w:ascii="宋体" w:hAnsi="宋体"/>
        </w:rPr>
      </w:pPr>
    </w:p>
    <w:p>
      <w:pPr>
        <w:widowControl/>
        <w:tabs>
          <w:tab w:val="left" w:pos="567"/>
        </w:tabs>
        <w:spacing w:line="480" w:lineRule="exact"/>
        <w:ind w:firstLine="420" w:firstLineChars="200"/>
        <w:textAlignment w:val="bottom"/>
        <w:rPr>
          <w:rFonts w:hint="eastAsia" w:ascii="宋体" w:hAnsi="宋体"/>
        </w:rPr>
      </w:pPr>
    </w:p>
    <w:p>
      <w:pPr>
        <w:widowControl/>
        <w:tabs>
          <w:tab w:val="left" w:pos="567"/>
        </w:tabs>
        <w:spacing w:line="480" w:lineRule="exact"/>
        <w:ind w:firstLine="420" w:firstLineChars="200"/>
        <w:textAlignment w:val="bottom"/>
        <w:rPr>
          <w:rFonts w:hint="eastAsia" w:ascii="宋体" w:hAnsi="宋体"/>
        </w:rPr>
      </w:pPr>
    </w:p>
    <w:p>
      <w:pPr>
        <w:spacing w:line="480" w:lineRule="exact"/>
        <w:jc w:val="center"/>
        <w:rPr>
          <w:rFonts w:hint="eastAsia" w:ascii="宋体" w:hAnsi="宋体"/>
          <w:b/>
        </w:rPr>
      </w:pPr>
    </w:p>
    <w:p>
      <w:pPr>
        <w:spacing w:line="480" w:lineRule="exact"/>
        <w:ind w:firstLine="1446" w:firstLineChars="686"/>
        <w:rPr>
          <w:rFonts w:hint="eastAsia" w:ascii="宋体" w:hAnsi="宋体"/>
          <w:bCs/>
        </w:rPr>
      </w:pPr>
      <w:r>
        <w:rPr>
          <w:rFonts w:hint="eastAsia" w:ascii="宋体" w:hAnsi="宋体"/>
          <w:b/>
        </w:rPr>
        <mc:AlternateContent>
          <mc:Choice Requires="wps">
            <w:drawing>
              <wp:anchor distT="0" distB="0" distL="114300" distR="114300" simplePos="0" relativeHeight="251856896" behindDoc="0" locked="0" layoutInCell="1" allowOverlap="1">
                <wp:simplePos x="0" y="0"/>
                <wp:positionH relativeFrom="column">
                  <wp:posOffset>2023745</wp:posOffset>
                </wp:positionH>
                <wp:positionV relativeFrom="paragraph">
                  <wp:posOffset>204470</wp:posOffset>
                </wp:positionV>
                <wp:extent cx="800100" cy="0"/>
                <wp:effectExtent l="0" t="0" r="0" b="0"/>
                <wp:wrapNone/>
                <wp:docPr id="316" name="直接连接符 316"/>
                <wp:cNvGraphicFramePr/>
                <a:graphic xmlns:a="http://schemas.openxmlformats.org/drawingml/2006/main">
                  <a:graphicData uri="http://schemas.microsoft.com/office/word/2010/wordprocessingShape">
                    <wps:wsp>
                      <wps:cNvCnPr/>
                      <wps:spPr>
                        <a:xfrm flipH="1">
                          <a:off x="0" y="0"/>
                          <a:ext cx="8001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59.35pt;margin-top:16.1pt;height:0pt;width:63pt;z-index:251856896;mso-width-relative:page;mso-height-relative:page;" filled="f" stroked="t" coordsize="21600,21600" o:gfxdata="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knX3SdUAAAAJAQAA&#10;DwAAAAAAAAABACAAAAAiAAAAZHJzL2Rvd25yZXYueG1sUEsBAhQAFAAAAAgAh07iQHURKnrjAQAA&#10;owMAAA4AAAAAAAAAAQAgAAAAJAEAAGRycy9lMm9Eb2MueG1sUEsFBgAAAAAGAAYAWQEAAHkFAAAA&#10;AA==&#10;">
                <v:fill on="f" focussize="0,0"/>
                <v:stroke color="#000000" joinstyle="round"/>
                <v:imagedata o:title=""/>
                <o:lock v:ext="edit" aspectratio="f"/>
              </v:line>
            </w:pict>
          </mc:Fallback>
        </mc:AlternateContent>
      </w:r>
      <w:r>
        <w:rPr>
          <w:rFonts w:hint="eastAsia" w:ascii="宋体" w:hAnsi="宋体"/>
          <w:b/>
        </w:rPr>
        <mc:AlternateContent>
          <mc:Choice Requires="wps">
            <w:drawing>
              <wp:anchor distT="0" distB="0" distL="114300" distR="114300" simplePos="0" relativeHeight="251842560" behindDoc="0" locked="0" layoutInCell="1" allowOverlap="1">
                <wp:simplePos x="0" y="0"/>
                <wp:positionH relativeFrom="column">
                  <wp:posOffset>3314700</wp:posOffset>
                </wp:positionH>
                <wp:positionV relativeFrom="paragraph">
                  <wp:posOffset>198120</wp:posOffset>
                </wp:positionV>
                <wp:extent cx="0" cy="693420"/>
                <wp:effectExtent l="38100" t="0" r="38100" b="11430"/>
                <wp:wrapNone/>
                <wp:docPr id="303" name="直接连接符 303"/>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1pt;margin-top:15.6pt;height:54.6pt;width:0pt;z-index:251842560;mso-width-relative:page;mso-height-relative:page;" filled="f" stroked="t" coordsize="21600,21600" o:gfxdata="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NlnGjZAAAA&#10;CgEAAA8AAAAAAAAAAQAgAAAAIgAAAGRycy9kb3ducmV2LnhtbFBLAQIUABQAAAAIAIdO4kAxzDLw&#10;4wEAAJ0DAAAOAAAAAAAAAAEAIAAAACgBAABkcnMvZTJvRG9jLnhtbFBLBQYAAAAABgAGAFkBAAB9&#10;BQAAAAA=&#10;">
                <v:fill on="f" focussize="0,0"/>
                <v:stroke color="#000000" joinstyle="round" endarrow="block"/>
                <v:imagedata o:title=""/>
                <o:lock v:ext="edit" aspectratio="f"/>
              </v:line>
            </w:pict>
          </mc:Fallback>
        </mc:AlternateContent>
      </w:r>
      <w:r>
        <w:rPr>
          <w:rFonts w:hint="eastAsia" w:ascii="宋体" w:hAnsi="宋体"/>
          <w:b/>
        </w:rPr>
        <mc:AlternateContent>
          <mc:Choice Requires="wps">
            <w:drawing>
              <wp:anchor distT="0" distB="0" distL="114300" distR="114300" simplePos="0" relativeHeight="251840512" behindDoc="0" locked="0" layoutInCell="1" allowOverlap="1">
                <wp:simplePos x="0" y="0"/>
                <wp:positionH relativeFrom="column">
                  <wp:posOffset>2857500</wp:posOffset>
                </wp:positionH>
                <wp:positionV relativeFrom="paragraph">
                  <wp:posOffset>198120</wp:posOffset>
                </wp:positionV>
                <wp:extent cx="0" cy="693420"/>
                <wp:effectExtent l="38100" t="0" r="38100" b="11430"/>
                <wp:wrapNone/>
                <wp:docPr id="310" name="直接连接符 310"/>
                <wp:cNvGraphicFramePr/>
                <a:graphic xmlns:a="http://schemas.openxmlformats.org/drawingml/2006/main">
                  <a:graphicData uri="http://schemas.microsoft.com/office/word/2010/wordprocessingShape">
                    <wps:wsp>
                      <wps:cNvCnPr/>
                      <wps:spPr>
                        <a:xfrm flipH="1">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5pt;margin-top:15.6pt;height:54.6pt;width:0pt;z-index:251840512;mso-width-relative:page;mso-height-relative:page;" filled="f" stroked="t" coordsize="21600,21600" o:gfxdata="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HPTX9gAAAAKAQAADwAAAAAAAAABACAAAAAiAAAAZHJzL2Rvd25yZXYueG1sUEsBAhQAFAAAAAgA&#10;h07iQLQEMUvsAQAApwMAAA4AAAAAAAAAAQAgAAAAJwEAAGRycy9lMm9Eb2MueG1sUEsFBgAAAAAG&#10;AAYAWQEAAIUFAAAAAA==&#10;">
                <v:fill on="f" focussize="0,0"/>
                <v:stroke color="#000000" joinstyle="round" endarrow="block"/>
                <v:imagedata o:title=""/>
                <o:lock v:ext="edit" aspectratio="f"/>
              </v:line>
            </w:pict>
          </mc:Fallback>
        </mc:AlternateContent>
      </w:r>
      <w:r>
        <w:rPr>
          <w:rFonts w:hint="eastAsia" w:ascii="宋体" w:hAnsi="宋体"/>
          <w:bCs/>
        </w:rPr>
        <mc:AlternateContent>
          <mc:Choice Requires="wps">
            <w:drawing>
              <wp:anchor distT="0" distB="0" distL="114300" distR="114300" simplePos="0" relativeHeight="251841536" behindDoc="0" locked="0" layoutInCell="1" allowOverlap="1">
                <wp:simplePos x="0" y="0"/>
                <wp:positionH relativeFrom="column">
                  <wp:posOffset>3314700</wp:posOffset>
                </wp:positionH>
                <wp:positionV relativeFrom="paragraph">
                  <wp:posOffset>198120</wp:posOffset>
                </wp:positionV>
                <wp:extent cx="685800" cy="0"/>
                <wp:effectExtent l="0" t="0" r="0" b="0"/>
                <wp:wrapNone/>
                <wp:docPr id="317" name="直接连接符 317"/>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61pt;margin-top:15.6pt;height:0pt;width:54pt;z-index:251841536;mso-width-relative:page;mso-height-relative:page;" filled="f" stroked="t" coordsize="21600,21600" o:gfxdata="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8QJE1QAAAAkBAAAPAAAAAAAA&#10;AAEAIAAAACIAAABkcnMvZG93bnJldi54bWxQSwECFAAUAAAACACHTuJApF/yYNwBAACZAwAADgAA&#10;AAAAAAABACAAAAAkAQAAZHJzL2Uyb0RvYy54bWxQSwUGAAAAAAYABgBZAQAAcgUAAAAA&#10;">
                <v:fill on="f" focussize="0,0"/>
                <v:stroke color="#000000" joinstyle="round"/>
                <v:imagedata o:title=""/>
                <o:lock v:ext="edit" aspectratio="f"/>
              </v:line>
            </w:pict>
          </mc:Fallback>
        </mc:AlternateContent>
      </w:r>
      <w:r>
        <w:rPr>
          <w:rFonts w:hint="eastAsia" w:ascii="宋体" w:hAnsi="宋体"/>
          <w:bCs/>
        </w:rPr>
        <w:t>窑尾高温废气                           窑头高温废气</w:t>
      </w:r>
    </w:p>
    <w:p>
      <w:pPr>
        <w:pStyle w:val="4"/>
        <w:numPr>
          <w:ilvl w:val="0"/>
          <w:numId w:val="0"/>
        </w:numPr>
        <w:spacing w:before="120" w:after="120" w:line="480" w:lineRule="exact"/>
        <w:rPr>
          <w:rFonts w:hint="eastAsia" w:ascii="宋体" w:hAnsi="宋体"/>
          <w:b w:val="0"/>
          <w:sz w:val="24"/>
          <w:szCs w:val="22"/>
        </w:rPr>
      </w:pPr>
    </w:p>
    <w:p>
      <w:pPr>
        <w:pStyle w:val="4"/>
        <w:numPr>
          <w:ilvl w:val="0"/>
          <w:numId w:val="0"/>
        </w:numPr>
        <w:spacing w:before="120" w:after="120" w:line="480" w:lineRule="exact"/>
        <w:rPr>
          <w:rFonts w:hint="eastAsia" w:ascii="宋体" w:hAnsi="宋体"/>
          <w:b w:val="0"/>
          <w:sz w:val="24"/>
          <w:szCs w:val="22"/>
        </w:rPr>
      </w:pPr>
      <w:bookmarkStart w:id="153" w:name="_Toc155859742"/>
      <w:bookmarkStart w:id="154" w:name="_Toc150760707"/>
      <w:bookmarkStart w:id="155" w:name="_Toc150759640"/>
      <w:r>
        <w:rPr>
          <w:rFonts w:hint="eastAsia" w:ascii="宋体" w:hAnsi="宋体"/>
          <w:b/>
          <w:sz w:val="24"/>
          <w:szCs w:val="22"/>
        </w:rPr>
        <mc:AlternateContent>
          <mc:Choice Requires="wps">
            <w:drawing>
              <wp:anchor distT="0" distB="0" distL="114300" distR="114300" simplePos="0" relativeHeight="251847680" behindDoc="0" locked="0" layoutInCell="1" allowOverlap="1">
                <wp:simplePos x="0" y="0"/>
                <wp:positionH relativeFrom="column">
                  <wp:posOffset>4109720</wp:posOffset>
                </wp:positionH>
                <wp:positionV relativeFrom="paragraph">
                  <wp:posOffset>271145</wp:posOffset>
                </wp:positionV>
                <wp:extent cx="1262380" cy="3175"/>
                <wp:effectExtent l="0" t="34925" r="13970" b="38100"/>
                <wp:wrapNone/>
                <wp:docPr id="318" name="直接连接符 318"/>
                <wp:cNvGraphicFramePr/>
                <a:graphic xmlns:a="http://schemas.openxmlformats.org/drawingml/2006/main">
                  <a:graphicData uri="http://schemas.microsoft.com/office/word/2010/wordprocessingShape">
                    <wps:wsp>
                      <wps:cNvCnPr/>
                      <wps:spPr>
                        <a:xfrm>
                          <a:off x="0" y="0"/>
                          <a:ext cx="126238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3.6pt;margin-top:21.35pt;height:0.25pt;width:99.4pt;z-index:251847680;mso-width-relative:page;mso-height-relative:page;" filled="f" stroked="t" coordsize="21600,21600" o:gfxdata="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G0YE3a&#10;AAAACQEAAA8AAAAAAAAAAQAgAAAAIgAAAGRycy9kb3ducmV2LnhtbFBLAQIUABQAAAAIAIdO4kDw&#10;EDWZ5QEAAKEDAAAOAAAAAAAAAAEAIAAAACkBAABkcnMvZTJvRG9jLnhtbFBLBQYAAAAABgAGAFkB&#10;AACABQAAAAA=&#10;">
                <v:fill on="f" focussize="0,0"/>
                <v:stroke color="#000000" joinstyle="round" endarrow="block"/>
                <v:imagedata o:title=""/>
                <o:lock v:ext="edit" aspectratio="f"/>
              </v:line>
            </w:pict>
          </mc:Fallback>
        </mc:AlternateContent>
      </w:r>
      <w:r>
        <w:rPr>
          <w:rFonts w:hint="eastAsia" w:ascii="宋体" w:hAnsi="宋体"/>
          <w:b/>
          <w:sz w:val="24"/>
          <w:szCs w:val="22"/>
        </w:rPr>
        <mc:AlternateContent>
          <mc:Choice Requires="wps">
            <w:drawing>
              <wp:anchor distT="0" distB="0" distL="114300" distR="114300" simplePos="0" relativeHeight="251849728" behindDoc="0" locked="0" layoutInCell="1" allowOverlap="1">
                <wp:simplePos x="0" y="0"/>
                <wp:positionH relativeFrom="column">
                  <wp:posOffset>914400</wp:posOffset>
                </wp:positionH>
                <wp:positionV relativeFrom="paragraph">
                  <wp:posOffset>274320</wp:posOffset>
                </wp:positionV>
                <wp:extent cx="1257300" cy="0"/>
                <wp:effectExtent l="0" t="38100" r="0" b="38100"/>
                <wp:wrapNone/>
                <wp:docPr id="305" name="直接连接符 305"/>
                <wp:cNvGraphicFramePr/>
                <a:graphic xmlns:a="http://schemas.openxmlformats.org/drawingml/2006/main">
                  <a:graphicData uri="http://schemas.microsoft.com/office/word/2010/wordprocessingShape">
                    <wps:wsp>
                      <wps:cNvCnPr/>
                      <wps:spPr>
                        <a:xfrm flipH="1">
                          <a:off x="0" y="0"/>
                          <a:ext cx="12573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2pt;margin-top:21.6pt;height:0pt;width:99pt;z-index:251849728;mso-width-relative:page;mso-height-relative:page;" filled="f" stroked="t" coordsize="21600,21600" o:gfxdata="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vpcv9cAAAAJAQAADwAAAAAAAAABACAAAAAiAAAAZHJzL2Rvd25yZXYueG1sUEsBAhQAFAAAAAgA&#10;h07iQOSktSvtAQAAqAMAAA4AAAAAAAAAAQAgAAAAJgEAAGRycy9lMm9Eb2MueG1sUEsFBgAAAAAG&#10;AAYAWQEAAIUFAAAAAA==&#10;">
                <v:fill on="f" focussize="0,0"/>
                <v:stroke color="#000000" joinstyle="round" endarrow="block"/>
                <v:imagedata o:title=""/>
                <o:lock v:ext="edit" aspectratio="f"/>
              </v:line>
            </w:pict>
          </mc:Fallback>
        </mc:AlternateContent>
      </w:r>
      <w:r>
        <w:rPr>
          <w:rFonts w:hint="eastAsia" w:ascii="宋体" w:hAnsi="宋体"/>
          <w:b/>
          <w:sz w:val="24"/>
          <w:szCs w:val="22"/>
        </w:rPr>
        <mc:AlternateContent>
          <mc:Choice Requires="wps">
            <w:drawing>
              <wp:anchor distT="0" distB="0" distL="114300" distR="114300" simplePos="0" relativeHeight="251848704" behindDoc="0" locked="0" layoutInCell="1" allowOverlap="1">
                <wp:simplePos x="0" y="0"/>
                <wp:positionH relativeFrom="column">
                  <wp:posOffset>3109595</wp:posOffset>
                </wp:positionH>
                <wp:positionV relativeFrom="paragraph">
                  <wp:posOffset>128270</wp:posOffset>
                </wp:positionV>
                <wp:extent cx="1005205" cy="297180"/>
                <wp:effectExtent l="4445" t="5080" r="19050" b="21590"/>
                <wp:wrapNone/>
                <wp:docPr id="312" name="矩形 312"/>
                <wp:cNvGraphicFramePr/>
                <a:graphic xmlns:a="http://schemas.openxmlformats.org/drawingml/2006/main">
                  <a:graphicData uri="http://schemas.microsoft.com/office/word/2010/wordprocessingShape">
                    <wps:wsp>
                      <wps:cNvSpPr/>
                      <wps:spPr>
                        <a:xfrm>
                          <a:off x="0" y="0"/>
                          <a:ext cx="100520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AQC余热锅炉</w:t>
                            </w:r>
                          </w:p>
                        </w:txbxContent>
                      </wps:txbx>
                      <wps:bodyPr upright="1"/>
                    </wps:wsp>
                  </a:graphicData>
                </a:graphic>
              </wp:anchor>
            </w:drawing>
          </mc:Choice>
          <mc:Fallback>
            <w:pict>
              <v:rect id="_x0000_s1026" o:spid="_x0000_s1026" o:spt="1" style="position:absolute;left:0pt;margin-left:244.85pt;margin-top:10.1pt;height:23.4pt;width:79.15pt;z-index:251848704;mso-width-relative:page;mso-height-relative:page;" fillcolor="#FFFFFF" filled="t" stroked="t" coordsize="21600,21600" o:gfxdata="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pj&#10;vdTYAAAACQEAAA8AAAAAAAAAAQAgAAAAIgAAAGRycy9kb3ducmV2LnhtbFBLAQIUABQAAAAIAIdO&#10;4kC4YM+M6gEAAN8DAAAOAAAAAAAAAAEAIAAAACcBAABkcnMvZTJvRG9jLnhtbFBLBQYAAAAABgAG&#10;AFkBAACDBQAAAAA=&#10;">
                <v:fill on="t" focussize="0,0"/>
                <v:stroke color="#000000" joinstyle="miter"/>
                <v:imagedata o:title=""/>
                <o:lock v:ext="edit" aspectratio="f"/>
                <v:textbox>
                  <w:txbxContent>
                    <w:p>
                      <w:r>
                        <w:rPr>
                          <w:rFonts w:hint="eastAsia"/>
                        </w:rPr>
                        <w:t>AQC余热锅炉</w:t>
                      </w:r>
                    </w:p>
                  </w:txbxContent>
                </v:textbox>
              </v:rect>
            </w:pict>
          </mc:Fallback>
        </mc:AlternateContent>
      </w:r>
      <w:r>
        <w:rPr>
          <w:rFonts w:hint="eastAsia" w:ascii="宋体" w:hAnsi="宋体"/>
          <w:b/>
          <w:sz w:val="24"/>
          <w:szCs w:val="22"/>
        </w:rPr>
        <mc:AlternateContent>
          <mc:Choice Requires="wps">
            <w:drawing>
              <wp:anchor distT="0" distB="0" distL="114300" distR="114300" simplePos="0" relativeHeight="251839488" behindDoc="0" locked="0" layoutInCell="1" allowOverlap="1">
                <wp:simplePos x="0" y="0"/>
                <wp:positionH relativeFrom="column">
                  <wp:posOffset>2166620</wp:posOffset>
                </wp:positionH>
                <wp:positionV relativeFrom="paragraph">
                  <wp:posOffset>109220</wp:posOffset>
                </wp:positionV>
                <wp:extent cx="800100" cy="297180"/>
                <wp:effectExtent l="4445" t="4445" r="14605" b="22225"/>
                <wp:wrapNone/>
                <wp:docPr id="315" name="矩形 315"/>
                <wp:cNvGraphicFramePr/>
                <a:graphic xmlns:a="http://schemas.openxmlformats.org/drawingml/2006/main">
                  <a:graphicData uri="http://schemas.microsoft.com/office/word/2010/wordprocessingShape">
                    <wps:wsp>
                      <wps:cNvSpPr/>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SP余热锅炉</w:t>
                            </w:r>
                          </w:p>
                        </w:txbxContent>
                      </wps:txbx>
                      <wps:bodyPr upright="1"/>
                    </wps:wsp>
                  </a:graphicData>
                </a:graphic>
              </wp:anchor>
            </w:drawing>
          </mc:Choice>
          <mc:Fallback>
            <w:pict>
              <v:rect id="_x0000_s1026" o:spid="_x0000_s1026" o:spt="1" style="position:absolute;left:0pt;margin-left:170.6pt;margin-top:8.6pt;height:23.4pt;width:63pt;z-index:251839488;mso-width-relative:page;mso-height-relative:page;" fillcolor="#FFFFFF" filled="t" stroked="t" coordsize="21600,21600" o:gfxdata="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Rg3&#10;X9cAAAAJAQAADwAAAAAAAAABACAAAAAiAAAAZHJzL2Rvd25yZXYueG1sUEsBAhQAFAAAAAgAh07i&#10;QJXykpbqAQAA3gMAAA4AAAAAAAAAAQAgAAAAJgEAAGRycy9lMm9Eb2MueG1sUEsFBgAAAAAGAAYA&#10;WQEAAIIFAAAAAA==&#10;">
                <v:fill on="t" focussize="0,0"/>
                <v:stroke color="#000000" joinstyle="miter"/>
                <v:imagedata o:title=""/>
                <o:lock v:ext="edit" aspectratio="f"/>
                <v:textbox>
                  <w:txbxContent>
                    <w:p>
                      <w:r>
                        <w:rPr>
                          <w:rFonts w:hint="eastAsia"/>
                        </w:rPr>
                        <w:t>SP余热锅炉</w:t>
                      </w:r>
                    </w:p>
                  </w:txbxContent>
                </v:textbox>
              </v:rect>
            </w:pict>
          </mc:Fallback>
        </mc:AlternateContent>
      </w:r>
      <w:r>
        <w:rPr>
          <w:rFonts w:hint="eastAsia" w:ascii="宋体" w:hAnsi="宋体"/>
          <w:b w:val="0"/>
          <w:sz w:val="24"/>
          <w:szCs w:val="22"/>
        </w:rPr>
        <w:t xml:space="preserve">            粉尘、废水、噪声                           粉尘、废水、噪声      </w:t>
      </w:r>
      <w:bookmarkEnd w:id="153"/>
      <w:bookmarkEnd w:id="154"/>
      <w:bookmarkEnd w:id="155"/>
    </w:p>
    <w:p>
      <w:pPr>
        <w:pStyle w:val="4"/>
        <w:numPr>
          <w:ilvl w:val="0"/>
          <w:numId w:val="0"/>
        </w:numPr>
        <w:spacing w:before="120" w:after="120" w:line="480" w:lineRule="exact"/>
        <w:rPr>
          <w:rFonts w:hint="eastAsia" w:ascii="宋体" w:hAnsi="宋体"/>
          <w:b w:val="0"/>
          <w:sz w:val="24"/>
          <w:szCs w:val="22"/>
        </w:rPr>
      </w:pPr>
      <w:bookmarkStart w:id="156" w:name="_Toc155859413"/>
      <w:bookmarkStart w:id="157" w:name="_Toc150760708"/>
      <w:bookmarkStart w:id="158" w:name="_Toc155859743"/>
      <w:bookmarkStart w:id="159" w:name="_Toc150759641"/>
      <w:r>
        <w:rPr>
          <w:rFonts w:hint="eastAsia" w:ascii="宋体" w:hAnsi="宋体"/>
          <w:b/>
          <w:sz w:val="24"/>
          <w:szCs w:val="22"/>
        </w:rPr>
        <mc:AlternateContent>
          <mc:Choice Requires="wps">
            <w:drawing>
              <wp:anchor distT="0" distB="0" distL="114300" distR="114300" simplePos="0" relativeHeight="251854848" behindDoc="0" locked="0" layoutInCell="1" allowOverlap="1">
                <wp:simplePos x="0" y="0"/>
                <wp:positionH relativeFrom="column">
                  <wp:posOffset>3547745</wp:posOffset>
                </wp:positionH>
                <wp:positionV relativeFrom="paragraph">
                  <wp:posOffset>50165</wp:posOffset>
                </wp:positionV>
                <wp:extent cx="0" cy="594360"/>
                <wp:effectExtent l="4445" t="0" r="14605" b="15240"/>
                <wp:wrapNone/>
                <wp:docPr id="319" name="直接连接符 319"/>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79.35pt;margin-top:3.95pt;height:46.8pt;width:0pt;z-index:251854848;mso-width-relative:page;mso-height-relative:page;" filled="f" stroked="t" coordsize="21600,21600" o:gfxdata="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RdlUnWAAAACQEAAA8AAAAA&#10;AAAAAQAgAAAAIgAAAGRycy9kb3ducmV2LnhtbFBLAQIUABQAAAAIAIdO4kCG5K2w3QEAAJkDAAAO&#10;AAAAAAAAAAEAIAAAACUBAABkcnMvZTJvRG9jLnhtbFBLBQYAAAAABgAGAFkBAAB0BQAAAAA=&#10;">
                <v:fill on="f" focussize="0,0"/>
                <v:stroke color="#000000" joinstyle="round"/>
                <v:imagedata o:title=""/>
                <o:lock v:ext="edit" aspectratio="f"/>
              </v:line>
            </w:pict>
          </mc:Fallback>
        </mc:AlternateContent>
      </w:r>
      <w:r>
        <w:rPr>
          <w:rFonts w:hint="eastAsia" w:ascii="宋体" w:hAnsi="宋体"/>
          <w:b/>
          <w:sz w:val="24"/>
          <w:szCs w:val="22"/>
        </w:rPr>
        <mc:AlternateContent>
          <mc:Choice Requires="wps">
            <w:drawing>
              <wp:anchor distT="0" distB="0" distL="114300" distR="114300" simplePos="0" relativeHeight="251851776" behindDoc="0" locked="0" layoutInCell="1" allowOverlap="1">
                <wp:simplePos x="0" y="0"/>
                <wp:positionH relativeFrom="column">
                  <wp:posOffset>2743200</wp:posOffset>
                </wp:positionH>
                <wp:positionV relativeFrom="paragraph">
                  <wp:posOffset>91440</wp:posOffset>
                </wp:positionV>
                <wp:extent cx="0" cy="693420"/>
                <wp:effectExtent l="38100" t="0" r="38100" b="11430"/>
                <wp:wrapNone/>
                <wp:docPr id="311" name="直接连接符 311"/>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7.2pt;height:54.6pt;width:0pt;z-index:251851776;mso-width-relative:page;mso-height-relative:page;" filled="f" stroked="t" coordsize="21600,21600" o:gfxdata="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WuG9zZAAAA&#10;CgEAAA8AAAAAAAAAAQAgAAAAIgAAAGRycy9kb3ducmV2LnhtbFBLAQIUABQAAAAIAIdO4kC/mTCX&#10;4wEAAJ0DAAAOAAAAAAAAAAEAIAAAACgBAABkcnMvZTJvRG9jLnhtbFBLBQYAAAAABgAGAFkBAAB9&#10;BQAAAAA=&#10;">
                <v:fill on="f" focussize="0,0"/>
                <v:stroke color="#000000" joinstyle="round" endarrow="block"/>
                <v:imagedata o:title=""/>
                <o:lock v:ext="edit" aspectratio="f"/>
              </v:line>
            </w:pict>
          </mc:Fallback>
        </mc:AlternateContent>
      </w:r>
      <w:r>
        <w:rPr>
          <w:rFonts w:hint="eastAsia" w:ascii="宋体" w:hAnsi="宋体"/>
          <w:b/>
          <w:sz w:val="24"/>
          <w:szCs w:val="22"/>
        </w:rPr>
        <mc:AlternateContent>
          <mc:Choice Requires="wps">
            <w:drawing>
              <wp:anchor distT="0" distB="0" distL="114300" distR="114300" simplePos="0" relativeHeight="251852800" behindDoc="0" locked="0" layoutInCell="1" allowOverlap="1">
                <wp:simplePos x="0" y="0"/>
                <wp:positionH relativeFrom="column">
                  <wp:posOffset>3314700</wp:posOffset>
                </wp:positionH>
                <wp:positionV relativeFrom="paragraph">
                  <wp:posOffset>91440</wp:posOffset>
                </wp:positionV>
                <wp:extent cx="0" cy="693420"/>
                <wp:effectExtent l="38100" t="0" r="38100" b="11430"/>
                <wp:wrapNone/>
                <wp:docPr id="302" name="直接连接符 302"/>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1pt;margin-top:7.2pt;height:54.6pt;width:0pt;z-index:251852800;mso-width-relative:page;mso-height-relative:page;" filled="f" stroked="t" coordsize="21600,21600" o:gfxdata="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VCVLrZAAAA&#10;CgEAAA8AAAAAAAAAAQAgAAAAIgAAAGRycy9kb3ducmV2LnhtbFBLAQIUABQAAAAIAIdO4kDpFIyH&#10;4wEAAJ0DAAAOAAAAAAAAAAEAIAAAACgBAABkcnMvZTJvRG9jLnhtbFBLBQYAAAAABgAGAFkBAAB9&#10;BQAAAAA=&#10;">
                <v:fill on="f" focussize="0,0"/>
                <v:stroke color="#000000" joinstyle="round" endarrow="block"/>
                <v:imagedata o:title=""/>
                <o:lock v:ext="edit" aspectratio="f"/>
              </v:line>
            </w:pict>
          </mc:Fallback>
        </mc:AlternateContent>
      </w:r>
      <w:r>
        <w:rPr>
          <w:rFonts w:hint="eastAsia" w:ascii="宋体" w:hAnsi="宋体"/>
          <w:b/>
          <w:sz w:val="24"/>
          <w:szCs w:val="22"/>
        </w:rPr>
        <mc:AlternateContent>
          <mc:Choice Requires="wps">
            <w:drawing>
              <wp:anchor distT="0" distB="0" distL="114300" distR="114300" simplePos="0" relativeHeight="251843584" behindDoc="0" locked="0" layoutInCell="1" allowOverlap="1">
                <wp:simplePos x="0" y="0"/>
                <wp:positionH relativeFrom="column">
                  <wp:posOffset>2318385</wp:posOffset>
                </wp:positionH>
                <wp:positionV relativeFrom="paragraph">
                  <wp:posOffset>19050</wp:posOffset>
                </wp:positionV>
                <wp:extent cx="0" cy="594360"/>
                <wp:effectExtent l="4445" t="0" r="14605" b="15240"/>
                <wp:wrapNone/>
                <wp:docPr id="304" name="直接连接符 304"/>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82.55pt;margin-top:1.5pt;height:46.8pt;width:0pt;z-index:251843584;mso-width-relative:page;mso-height-relative:page;" filled="f" stroked="t" coordsize="21600,21600" o:gfxdata="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oUmv1AAAAAgBAAAPAAAAAAAA&#10;AAEAIAAAACIAAABkcnMvZG93bnJldi54bWxQSwECFAAUAAAACACHTuJAPmxVpN0BAACZAwAADgAA&#10;AAAAAAABACAAAAAjAQAAZHJzL2Uyb0RvYy54bWxQSwUGAAAAAAYABgBZAQAAcgUAAAAA&#10;">
                <v:fill on="f" focussize="0,0"/>
                <v:stroke color="#000000" joinstyle="round"/>
                <v:imagedata o:title=""/>
                <o:lock v:ext="edit" aspectratio="f"/>
              </v:line>
            </w:pict>
          </mc:Fallback>
        </mc:AlternateContent>
      </w:r>
      <w:bookmarkEnd w:id="156"/>
      <w:bookmarkEnd w:id="157"/>
      <w:bookmarkEnd w:id="158"/>
      <w:bookmarkEnd w:id="159"/>
    </w:p>
    <w:p>
      <w:pPr>
        <w:pStyle w:val="4"/>
        <w:numPr>
          <w:ilvl w:val="0"/>
          <w:numId w:val="0"/>
        </w:numPr>
        <w:spacing w:before="120" w:after="120" w:line="480" w:lineRule="exact"/>
        <w:rPr>
          <w:rFonts w:hint="eastAsia" w:ascii="宋体" w:hAnsi="宋体"/>
          <w:b w:val="0"/>
          <w:sz w:val="24"/>
          <w:szCs w:val="22"/>
        </w:rPr>
      </w:pPr>
      <w:bookmarkStart w:id="160" w:name="_Toc150760709"/>
      <w:bookmarkStart w:id="161" w:name="_Toc155859744"/>
      <w:bookmarkStart w:id="162" w:name="_Toc150759642"/>
      <w:r>
        <w:rPr>
          <w:rFonts w:hint="eastAsia" w:ascii="宋体" w:hAnsi="宋体"/>
          <w:b/>
          <w:sz w:val="24"/>
          <w:szCs w:val="22"/>
        </w:rPr>
        <mc:AlternateContent>
          <mc:Choice Requires="wps">
            <w:drawing>
              <wp:anchor distT="0" distB="0" distL="114300" distR="114300" simplePos="0" relativeHeight="251855872" behindDoc="0" locked="0" layoutInCell="1" allowOverlap="1">
                <wp:simplePos x="0" y="0"/>
                <wp:positionH relativeFrom="column">
                  <wp:posOffset>3557270</wp:posOffset>
                </wp:positionH>
                <wp:positionV relativeFrom="paragraph">
                  <wp:posOffset>252095</wp:posOffset>
                </wp:positionV>
                <wp:extent cx="685800" cy="0"/>
                <wp:effectExtent l="0" t="38100" r="0" b="38100"/>
                <wp:wrapNone/>
                <wp:docPr id="306" name="直接连接符 306"/>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0.1pt;margin-top:19.85pt;height:0pt;width:54pt;z-index:251855872;mso-width-relative:page;mso-height-relative:page;" filled="f" stroked="t" coordsize="21600,21600" o:gfxdata="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bbmv59gAAAAJ&#10;AQAADwAAAAAAAAABACAAAAAiAAAAZHJzL2Rvd25yZXYueG1sUEsBAhQAFAAAAAgAh07iQBtbQULj&#10;AQAAnQMAAA4AAAAAAAAAAQAgAAAAJwEAAGRycy9lMm9Eb2MueG1sUEsFBgAAAAAGAAYAWQEAAHwF&#10;AAAAAA==&#10;">
                <v:fill on="f" focussize="0,0"/>
                <v:stroke color="#000000" joinstyle="round" endarrow="block"/>
                <v:imagedata o:title=""/>
                <o:lock v:ext="edit" aspectratio="f"/>
              </v:line>
            </w:pict>
          </mc:Fallback>
        </mc:AlternateContent>
      </w:r>
      <w:r>
        <w:rPr>
          <w:rFonts w:hint="eastAsia" w:ascii="宋体" w:hAnsi="宋体"/>
          <w:b/>
          <w:sz w:val="24"/>
          <w:szCs w:val="22"/>
        </w:rPr>
        <mc:AlternateContent>
          <mc:Choice Requires="wps">
            <w:drawing>
              <wp:anchor distT="0" distB="0" distL="114300" distR="114300" simplePos="0" relativeHeight="251845632" behindDoc="0" locked="0" layoutInCell="1" allowOverlap="1">
                <wp:simplePos x="0" y="0"/>
                <wp:positionH relativeFrom="column">
                  <wp:posOffset>4557395</wp:posOffset>
                </wp:positionH>
                <wp:positionV relativeFrom="paragraph">
                  <wp:posOffset>377825</wp:posOffset>
                </wp:positionV>
                <wp:extent cx="685800" cy="297180"/>
                <wp:effectExtent l="4445" t="4445" r="14605" b="22225"/>
                <wp:wrapNone/>
                <wp:docPr id="309" name="矩形 309"/>
                <wp:cNvGraphicFramePr/>
                <a:graphic xmlns:a="http://schemas.openxmlformats.org/drawingml/2006/main">
                  <a:graphicData uri="http://schemas.microsoft.com/office/word/2010/wordprocessingShape">
                    <wps:wsp>
                      <wps:cNvSpPr/>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发电机</w:t>
                            </w:r>
                          </w:p>
                        </w:txbxContent>
                      </wps:txbx>
                      <wps:bodyPr upright="1"/>
                    </wps:wsp>
                  </a:graphicData>
                </a:graphic>
              </wp:anchor>
            </w:drawing>
          </mc:Choice>
          <mc:Fallback>
            <w:pict>
              <v:rect id="_x0000_s1026" o:spid="_x0000_s1026" o:spt="1" style="position:absolute;left:0pt;margin-left:358.85pt;margin-top:29.75pt;height:23.4pt;width:54pt;z-index:251845632;mso-width-relative:page;mso-height-relative:page;" fillcolor="#FFFFFF" filled="t" stroked="t" coordsize="21600,21600" o:gfxdata="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8rjHVdgAAAAKAQAADwAAAAAAAAABACAAAAAiAAAAZHJzL2Rvd25yZXYueG1sUEsBAhQAFAAAAAgA&#10;h07iQJ93CbPsAQAA3gMAAA4AAAAAAAAAAQAgAAAAJwEAAGRycy9lMm9Eb2MueG1sUEsFBgAAAAAG&#10;AAYAWQEAAIUFAAAAAA==&#10;">
                <v:fill on="t" focussize="0,0"/>
                <v:stroke color="#000000" joinstyle="miter"/>
                <v:imagedata o:title=""/>
                <o:lock v:ext="edit" aspectratio="f"/>
                <v:textbox>
                  <w:txbxContent>
                    <w:p>
                      <w:r>
                        <w:rPr>
                          <w:rFonts w:hint="eastAsia"/>
                        </w:rPr>
                        <w:t>发电机</w:t>
                      </w:r>
                    </w:p>
                  </w:txbxContent>
                </v:textbox>
              </v:rect>
            </w:pict>
          </mc:Fallback>
        </mc:AlternateContent>
      </w:r>
      <w:r>
        <w:rPr>
          <w:rFonts w:hint="eastAsia" w:ascii="宋体" w:hAnsi="宋体"/>
          <w:b/>
          <w:sz w:val="24"/>
          <w:szCs w:val="22"/>
        </w:rPr>
        <mc:AlternateContent>
          <mc:Choice Requires="wps">
            <w:drawing>
              <wp:anchor distT="0" distB="0" distL="114300" distR="114300" simplePos="0" relativeHeight="251850752" behindDoc="0" locked="0" layoutInCell="1" allowOverlap="1">
                <wp:simplePos x="0" y="0"/>
                <wp:positionH relativeFrom="column">
                  <wp:posOffset>1718945</wp:posOffset>
                </wp:positionH>
                <wp:positionV relativeFrom="paragraph">
                  <wp:posOffset>233045</wp:posOffset>
                </wp:positionV>
                <wp:extent cx="571500" cy="0"/>
                <wp:effectExtent l="0" t="38100" r="0" b="38100"/>
                <wp:wrapNone/>
                <wp:docPr id="313" name="直接连接符 313"/>
                <wp:cNvGraphicFramePr/>
                <a:graphic xmlns:a="http://schemas.openxmlformats.org/drawingml/2006/main">
                  <a:graphicData uri="http://schemas.microsoft.com/office/word/2010/wordprocessingShape">
                    <wps:wsp>
                      <wps:cNvCnPr/>
                      <wps:spPr>
                        <a:xfrm flipH="1">
                          <a:off x="0" y="0"/>
                          <a:ext cx="5715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35pt;margin-top:18.35pt;height:0pt;width:45pt;z-index:251850752;mso-width-relative:page;mso-height-relative:page;" filled="f" stroked="t" coordsize="21600,21600" o:gfxdata="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K&#10;rBOP2AAAAAkBAAAPAAAAAAAAAAEAIAAAACIAAABkcnMvZG93bnJldi54bWxQSwECFAAUAAAACACH&#10;TuJA+vIXjusBAACnAwAADgAAAAAAAAABACAAAAAnAQAAZHJzL2Uyb0RvYy54bWxQSwUGAAAAAAYA&#10;BgBZAQAAhAUAAAAA&#10;">
                <v:fill on="f" focussize="0,0"/>
                <v:stroke color="#000000" joinstyle="round" endarrow="block"/>
                <v:imagedata o:title=""/>
                <o:lock v:ext="edit" aspectratio="f"/>
              </v:line>
            </w:pict>
          </mc:Fallback>
        </mc:AlternateContent>
      </w:r>
      <w:r>
        <w:rPr>
          <w:rFonts w:hint="eastAsia" w:ascii="宋体" w:hAnsi="宋体"/>
          <w:b w:val="0"/>
          <w:sz w:val="24"/>
          <w:szCs w:val="22"/>
        </w:rPr>
        <w:t xml:space="preserve">          废气进除尘器                                   废气进除尘器  </w:t>
      </w:r>
      <w:bookmarkEnd w:id="160"/>
      <w:bookmarkEnd w:id="161"/>
      <w:bookmarkEnd w:id="162"/>
    </w:p>
    <w:p>
      <w:pPr>
        <w:pStyle w:val="4"/>
        <w:numPr>
          <w:ilvl w:val="0"/>
          <w:numId w:val="0"/>
        </w:numPr>
        <w:spacing w:before="120" w:after="120" w:line="480" w:lineRule="exact"/>
        <w:rPr>
          <w:rFonts w:hint="eastAsia" w:ascii="宋体" w:hAnsi="宋体"/>
          <w:b w:val="0"/>
          <w:sz w:val="24"/>
          <w:szCs w:val="22"/>
        </w:rPr>
      </w:pPr>
      <w:r>
        <w:rPr>
          <w:rFonts w:hint="eastAsia" w:ascii="宋体" w:hAnsi="宋体"/>
          <w:b/>
          <w:sz w:val="24"/>
          <w:szCs w:val="22"/>
        </w:rPr>
        <mc:AlternateContent>
          <mc:Choice Requires="wps">
            <w:drawing>
              <wp:anchor distT="0" distB="0" distL="114300" distR="114300" simplePos="0" relativeHeight="251846656" behindDoc="0" locked="0" layoutInCell="1" allowOverlap="1">
                <wp:simplePos x="0" y="0"/>
                <wp:positionH relativeFrom="column">
                  <wp:posOffset>4871720</wp:posOffset>
                </wp:positionH>
                <wp:positionV relativeFrom="paragraph">
                  <wp:posOffset>301625</wp:posOffset>
                </wp:positionV>
                <wp:extent cx="0" cy="495300"/>
                <wp:effectExtent l="38100" t="0" r="38100" b="0"/>
                <wp:wrapNone/>
                <wp:docPr id="314" name="直接连接符 314"/>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ysDot"/>
                          <a:headEnd type="none" w="med" len="med"/>
                          <a:tailEnd type="triangle" w="med" len="med"/>
                        </a:ln>
                      </wps:spPr>
                      <wps:bodyPr upright="1"/>
                    </wps:wsp>
                  </a:graphicData>
                </a:graphic>
              </wp:anchor>
            </w:drawing>
          </mc:Choice>
          <mc:Fallback>
            <w:pict>
              <v:line id="_x0000_s1026" o:spid="_x0000_s1026" o:spt="20" style="position:absolute;left:0pt;margin-left:383.6pt;margin-top:23.75pt;height:39pt;width:0pt;z-index:251846656;mso-width-relative:page;mso-height-relative:page;" filled="f" stroked="t" coordsize="21600,21600" o:gfxdata="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vYILv1wAA&#10;AAoBAAAPAAAAAAAAAAEAIAAAACIAAABkcnMvZG93bnJldi54bWxQSwECFAAUAAAACACHTuJAVu/M&#10;d+YBAACeAwAADgAAAAAAAAABACAAAAAmAQAAZHJzL2Uyb0RvYy54bWxQSwUGAAAAAAYABgBZAQAA&#10;fgUAAAAA&#10;">
                <v:fill on="f" focussize="0,0"/>
                <v:stroke color="#000000" joinstyle="round" dashstyle="1 1" endarrow="block"/>
                <v:imagedata o:title=""/>
                <o:lock v:ext="edit" aspectratio="f"/>
              </v:line>
            </w:pict>
          </mc:Fallback>
        </mc:AlternateContent>
      </w:r>
      <w:r>
        <w:rPr>
          <w:rFonts w:hint="eastAsia" w:ascii="宋体" w:hAnsi="宋体"/>
          <w:b/>
          <w:sz w:val="24"/>
          <w:szCs w:val="22"/>
        </w:rPr>
        <mc:AlternateContent>
          <mc:Choice Requires="wps">
            <w:drawing>
              <wp:anchor distT="0" distB="0" distL="114300" distR="114300" simplePos="0" relativeHeight="251853824" behindDoc="0" locked="0" layoutInCell="1" allowOverlap="1">
                <wp:simplePos x="0" y="0"/>
                <wp:positionH relativeFrom="column">
                  <wp:posOffset>3528695</wp:posOffset>
                </wp:positionH>
                <wp:positionV relativeFrom="paragraph">
                  <wp:posOffset>166370</wp:posOffset>
                </wp:positionV>
                <wp:extent cx="1028700" cy="0"/>
                <wp:effectExtent l="0" t="38100" r="0" b="38100"/>
                <wp:wrapNone/>
                <wp:docPr id="307" name="直接连接符 307"/>
                <wp:cNvGraphicFramePr/>
                <a:graphic xmlns:a="http://schemas.openxmlformats.org/drawingml/2006/main">
                  <a:graphicData uri="http://schemas.microsoft.com/office/word/2010/wordprocessingShape">
                    <wps:wsp>
                      <wps:cNvCnPr/>
                      <wps:spPr>
                        <a:xfrm>
                          <a:off x="0" y="0"/>
                          <a:ext cx="10287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7.85pt;margin-top:13.1pt;height:0pt;width:81pt;z-index:251853824;mso-width-relative:page;mso-height-relative:page;" filled="f" stroked="t" coordsize="21600,21600" o:gfxdata="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MFvnjYAAAA&#10;CQEAAA8AAAAAAAAAAQAgAAAAIgAAAGRycy9kb3ducmV2LnhtbFBLAQIUABQAAAAIAIdO4kBIsVJw&#10;5AEAAJ4DAAAOAAAAAAAAAAEAIAAAACcBAABkcnMvZTJvRG9jLnhtbFBLBQYAAAAABgAGAFkBAAB9&#10;BQAAAAA=&#10;">
                <v:fill on="f" focussize="0,0"/>
                <v:stroke color="#000000" joinstyle="round" endarrow="block"/>
                <v:imagedata o:title=""/>
                <o:lock v:ext="edit" aspectratio="f"/>
              </v:line>
            </w:pict>
          </mc:Fallback>
        </mc:AlternateContent>
      </w:r>
      <w:r>
        <w:rPr>
          <w:rFonts w:hint="eastAsia" w:ascii="宋体" w:hAnsi="宋体"/>
          <w:b/>
          <w:sz w:val="24"/>
          <w:szCs w:val="22"/>
        </w:rPr>
        <mc:AlternateContent>
          <mc:Choice Requires="wps">
            <w:drawing>
              <wp:anchor distT="0" distB="0" distL="114300" distR="114300" simplePos="0" relativeHeight="251844608" behindDoc="0" locked="0" layoutInCell="1" allowOverlap="1">
                <wp:simplePos x="0" y="0"/>
                <wp:positionH relativeFrom="column">
                  <wp:posOffset>2541905</wp:posOffset>
                </wp:positionH>
                <wp:positionV relativeFrom="paragraph">
                  <wp:posOffset>12065</wp:posOffset>
                </wp:positionV>
                <wp:extent cx="981710" cy="297180"/>
                <wp:effectExtent l="4445" t="4445" r="23495" b="22225"/>
                <wp:wrapNone/>
                <wp:docPr id="308" name="矩形 308"/>
                <wp:cNvGraphicFramePr/>
                <a:graphic xmlns:a="http://schemas.openxmlformats.org/drawingml/2006/main">
                  <a:graphicData uri="http://schemas.microsoft.com/office/word/2010/wordprocessingShape">
                    <wps:wsp>
                      <wps:cNvSpPr/>
                      <wps:spPr>
                        <a:xfrm>
                          <a:off x="0" y="0"/>
                          <a:ext cx="98171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蒸汽轮机</w:t>
                            </w:r>
                          </w:p>
                        </w:txbxContent>
                      </wps:txbx>
                      <wps:bodyPr upright="1"/>
                    </wps:wsp>
                  </a:graphicData>
                </a:graphic>
              </wp:anchor>
            </w:drawing>
          </mc:Choice>
          <mc:Fallback>
            <w:pict>
              <v:rect id="_x0000_s1026" o:spid="_x0000_s1026" o:spt="1" style="position:absolute;left:0pt;margin-left:200.15pt;margin-top:0.95pt;height:23.4pt;width:77.3pt;z-index:251844608;mso-width-relative:page;mso-height-relative:page;" fillcolor="#FFFFFF" filled="t" stroked="t" coordsize="21600,21600" o:gfxdata="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6Y7yr&#10;1QAAAAgBAAAPAAAAAAAAAAEAIAAAACIAAABkcnMvZG93bnJldi54bWxQSwECFAAUAAAACACHTuJA&#10;5lNh2+sBAADeAwAADgAAAAAAAAABACAAAAAkAQAAZHJzL2Uyb0RvYy54bWxQSwUGAAAAAAYABgBZ&#10;AQAAgQUAAAAA&#10;">
                <v:fill on="t" focussize="0,0"/>
                <v:stroke color="#000000" joinstyle="miter"/>
                <v:imagedata o:title=""/>
                <o:lock v:ext="edit" aspectratio="f"/>
                <v:textbox>
                  <w:txbxContent>
                    <w:p>
                      <w:r>
                        <w:rPr>
                          <w:rFonts w:hint="eastAsia"/>
                        </w:rPr>
                        <w:t>蒸汽轮机</w:t>
                      </w:r>
                    </w:p>
                  </w:txbxContent>
                </v:textbox>
              </v:rect>
            </w:pict>
          </mc:Fallback>
        </mc:AlternateContent>
      </w:r>
      <w:r>
        <w:rPr>
          <w:rFonts w:hint="eastAsia" w:ascii="宋体" w:hAnsi="宋体"/>
          <w:b w:val="0"/>
          <w:sz w:val="24"/>
          <w:szCs w:val="22"/>
        </w:rPr>
        <w:t xml:space="preserve"> </w:t>
      </w:r>
      <w:bookmarkStart w:id="163" w:name="_Toc150759643"/>
      <w:bookmarkStart w:id="164" w:name="_Toc155859745"/>
      <w:bookmarkStart w:id="165" w:name="_Toc150760710"/>
      <w:r>
        <w:rPr>
          <w:rFonts w:hint="eastAsia" w:ascii="宋体" w:hAnsi="宋体"/>
          <w:b w:val="0"/>
          <w:sz w:val="24"/>
          <w:szCs w:val="22"/>
        </w:rPr>
        <w:t xml:space="preserve">                      </w:t>
      </w:r>
      <w:bookmarkEnd w:id="163"/>
      <w:bookmarkEnd w:id="164"/>
      <w:bookmarkEnd w:id="165"/>
      <w:r>
        <w:rPr>
          <w:rFonts w:hint="eastAsia" w:ascii="宋体" w:hAnsi="宋体"/>
          <w:b w:val="0"/>
          <w:sz w:val="24"/>
          <w:szCs w:val="22"/>
        </w:rPr>
        <w:t xml:space="preserve">                                                                     </w:t>
      </w:r>
    </w:p>
    <w:p>
      <w:pPr>
        <w:spacing w:line="480" w:lineRule="exact"/>
        <w:jc w:val="center"/>
        <w:rPr>
          <w:rFonts w:hint="eastAsia" w:ascii="宋体" w:hAnsi="宋体"/>
          <w:b/>
          <w:bCs/>
        </w:rPr>
      </w:pPr>
      <w:r>
        <w:rPr>
          <w:rFonts w:hint="eastAsia" w:ascii="宋体" w:hAnsi="宋体"/>
          <w:b/>
          <w:bCs/>
        </w:rPr>
        <w:t xml:space="preserve">                     </w:t>
      </w:r>
    </w:p>
    <w:p>
      <w:pPr>
        <w:spacing w:line="480" w:lineRule="exact"/>
        <w:jc w:val="center"/>
        <w:rPr>
          <w:rFonts w:hint="eastAsia" w:ascii="宋体" w:hAnsi="宋体"/>
          <w:bCs/>
        </w:rPr>
      </w:pPr>
      <w:bookmarkStart w:id="166" w:name="_Toc150760711"/>
      <w:bookmarkStart w:id="167" w:name="_Toc155859746"/>
      <w:bookmarkStart w:id="168" w:name="_Toc150759644"/>
      <w:r>
        <w:rPr>
          <w:rFonts w:hint="eastAsia" w:ascii="宋体" w:hAnsi="宋体"/>
          <w:b/>
        </w:rPr>
        <w:t xml:space="preserve">                                                  </w:t>
      </w:r>
      <w:r>
        <w:rPr>
          <w:rFonts w:hint="eastAsia" w:ascii="宋体" w:hAnsi="宋体"/>
        </w:rPr>
        <w:t>噪声</w:t>
      </w:r>
      <w:bookmarkEnd w:id="166"/>
      <w:bookmarkEnd w:id="167"/>
      <w:bookmarkEnd w:id="168"/>
    </w:p>
    <w:p>
      <w:pPr>
        <w:spacing w:line="480" w:lineRule="exact"/>
        <w:jc w:val="center"/>
        <w:rPr>
          <w:rFonts w:hint="eastAsia" w:ascii="宋体" w:hAnsi="宋体"/>
          <w:b/>
        </w:rPr>
      </w:pPr>
      <w:r>
        <w:rPr>
          <w:rFonts w:hint="eastAsia" w:ascii="宋体" w:hAnsi="宋体"/>
          <w:b/>
        </w:rPr>
        <w:t>图3.5  余热利用产污环节图</w:t>
      </w:r>
    </w:p>
    <w:bookmarkEnd w:id="152"/>
    <w:p>
      <w:pPr>
        <w:spacing w:line="360" w:lineRule="auto"/>
        <w:outlineLvl w:val="2"/>
        <w:rPr>
          <w:rFonts w:hint="eastAsia"/>
          <w:b/>
          <w:bCs/>
          <w:szCs w:val="20"/>
        </w:rPr>
      </w:pPr>
      <w:bookmarkStart w:id="169" w:name="_Toc473281503"/>
      <w:bookmarkStart w:id="170" w:name="_Toc189814145"/>
    </w:p>
    <w:p>
      <w:pPr>
        <w:spacing w:line="360" w:lineRule="auto"/>
        <w:outlineLvl w:val="2"/>
        <w:rPr>
          <w:rFonts w:hint="eastAsia"/>
          <w:b/>
          <w:bCs/>
          <w:szCs w:val="20"/>
        </w:rPr>
      </w:pPr>
      <w:r>
        <w:rPr>
          <w:rFonts w:hint="eastAsia"/>
          <w:b/>
          <w:bCs/>
          <w:szCs w:val="20"/>
        </w:rPr>
        <w:t>3.2.4污染物产生、治理及排放分析</w:t>
      </w:r>
      <w:bookmarkEnd w:id="151"/>
      <w:bookmarkEnd w:id="169"/>
      <w:bookmarkEnd w:id="170"/>
    </w:p>
    <w:p>
      <w:pPr>
        <w:spacing w:line="360" w:lineRule="auto"/>
        <w:outlineLvl w:val="2"/>
        <w:rPr>
          <w:rFonts w:hint="eastAsia"/>
          <w:b/>
          <w:bCs/>
          <w:szCs w:val="20"/>
        </w:rPr>
      </w:pPr>
      <w:r>
        <w:rPr>
          <w:rFonts w:hint="eastAsia"/>
          <w:b/>
          <w:bCs/>
          <w:szCs w:val="20"/>
        </w:rPr>
        <w:t>3.2.4.1废气</w:t>
      </w:r>
    </w:p>
    <w:p>
      <w:pPr>
        <w:spacing w:line="360" w:lineRule="auto"/>
        <w:ind w:firstLine="420" w:firstLineChars="200"/>
        <w:rPr>
          <w:rFonts w:hint="eastAsia" w:ascii="宋体" w:hAnsi="宋体"/>
        </w:rPr>
      </w:pPr>
      <w:r>
        <w:rPr>
          <w:rFonts w:hint="eastAsia" w:ascii="宋体" w:hAnsi="宋体"/>
        </w:rPr>
        <w:t>由图3.3和图3.5可知，技改项目余热电站没有废气产生，污染物全部来自水泥生产线产生的粉尘、烟尘，主要来源于物料预均化、磨粉、输送、煅烧、储存、装卸等生产过程；最大的烟尘排放源来自窑尾。此外，煅烧时也产生一定量的</w:t>
      </w:r>
      <w:r>
        <w:rPr>
          <w:rFonts w:ascii="宋体" w:hAnsi="宋体"/>
        </w:rPr>
        <w:t>SO</w:t>
      </w:r>
      <w:r>
        <w:rPr>
          <w:rFonts w:ascii="宋体" w:hAnsi="宋体"/>
          <w:vertAlign w:val="subscript"/>
        </w:rPr>
        <w:t>2</w:t>
      </w:r>
      <w:r>
        <w:rPr>
          <w:rFonts w:hint="eastAsia" w:ascii="宋体" w:hAnsi="宋体"/>
        </w:rPr>
        <w:t>、</w:t>
      </w:r>
      <w:r>
        <w:rPr>
          <w:rFonts w:ascii="宋体" w:hAnsi="宋体"/>
        </w:rPr>
        <w:t>NO</w:t>
      </w:r>
      <w:r>
        <w:rPr>
          <w:rFonts w:ascii="宋体" w:hAnsi="宋体"/>
          <w:vertAlign w:val="subscript"/>
        </w:rPr>
        <w:t>2</w:t>
      </w:r>
      <w:r>
        <w:rPr>
          <w:rFonts w:hint="eastAsia" w:ascii="宋体" w:hAnsi="宋体"/>
        </w:rPr>
        <w:t>。</w:t>
      </w:r>
    </w:p>
    <w:p>
      <w:pPr>
        <w:spacing w:line="360" w:lineRule="auto"/>
        <w:ind w:firstLine="420" w:firstLineChars="200"/>
        <w:rPr>
          <w:rFonts w:hint="eastAsia" w:ascii="宋体" w:hAnsi="宋体"/>
        </w:rPr>
      </w:pPr>
      <w:r>
        <w:rPr>
          <w:rFonts w:hint="eastAsia" w:ascii="宋体" w:hAnsi="宋体"/>
        </w:rPr>
        <w:t>（1）粉尘</w:t>
      </w:r>
    </w:p>
    <w:p>
      <w:pPr>
        <w:spacing w:line="360" w:lineRule="auto"/>
        <w:ind w:firstLine="420" w:firstLineChars="200"/>
        <w:rPr>
          <w:rFonts w:hint="eastAsia" w:ascii="宋体" w:hAnsi="宋体"/>
          <w:snapToGrid w:val="0"/>
          <w:kern w:val="0"/>
        </w:rPr>
      </w:pPr>
      <w:r>
        <w:rPr>
          <w:rFonts w:hint="eastAsia" w:ascii="宋体" w:hAnsi="宋体"/>
        </w:rPr>
        <w:t>a、有组织排放：技改项目共有组织排尘点58个，均安装了高效的袋收尘器，废气排放总量为1312780</w:t>
      </w:r>
      <w:r>
        <w:rPr>
          <w:rFonts w:ascii="宋体" w:hAnsi="宋体"/>
        </w:rPr>
        <w:t>Nm</w:t>
      </w:r>
      <w:r>
        <w:rPr>
          <w:rFonts w:ascii="宋体" w:hAnsi="宋体"/>
          <w:vertAlign w:val="superscript"/>
        </w:rPr>
        <w:t>3</w:t>
      </w:r>
      <w:r>
        <w:rPr>
          <w:rFonts w:ascii="宋体" w:hAnsi="宋体"/>
        </w:rPr>
        <w:t>/h</w:t>
      </w:r>
      <w:r>
        <w:rPr>
          <w:rFonts w:hint="eastAsia" w:ascii="宋体" w:hAnsi="宋体"/>
        </w:rPr>
        <w:t>，烟</w:t>
      </w:r>
      <w:r>
        <w:rPr>
          <w:rFonts w:hint="eastAsia" w:ascii="宋体" w:hAnsi="宋体"/>
          <w:snapToGrid w:val="0"/>
          <w:kern w:val="0"/>
        </w:rPr>
        <w:t>粉尘排放量</w:t>
      </w:r>
      <w:r>
        <w:rPr>
          <w:rFonts w:hint="eastAsia" w:ascii="宋体" w:hAnsi="宋体"/>
        </w:rPr>
        <w:t>261.37</w:t>
      </w:r>
      <w:r>
        <w:rPr>
          <w:rFonts w:ascii="宋体" w:hAnsi="宋体"/>
        </w:rPr>
        <w:t>t</w:t>
      </w:r>
      <w:r>
        <w:rPr>
          <w:rFonts w:ascii="宋体" w:hAnsi="宋体"/>
          <w:snapToGrid w:val="0"/>
          <w:kern w:val="0"/>
        </w:rPr>
        <w:t>/a</w:t>
      </w:r>
      <w:r>
        <w:rPr>
          <w:rFonts w:hint="eastAsia" w:ascii="宋体" w:hAnsi="宋体"/>
          <w:snapToGrid w:val="0"/>
          <w:kern w:val="0"/>
        </w:rPr>
        <w:t>。</w:t>
      </w:r>
    </w:p>
    <w:p>
      <w:pPr>
        <w:spacing w:line="360" w:lineRule="auto"/>
        <w:ind w:firstLine="420" w:firstLineChars="200"/>
        <w:rPr>
          <w:rFonts w:hint="eastAsia" w:ascii="宋体" w:hAnsi="宋体"/>
        </w:rPr>
      </w:pPr>
      <w:r>
        <w:rPr>
          <w:rFonts w:hint="eastAsia" w:ascii="宋体" w:hAnsi="宋体"/>
        </w:rPr>
        <w:t>b、原料无组织排放：无组织粉尘排放源主要考虑原料堆场和物料装卸产生的扬尘。由于技改工程所有物料的堆场均采取了全密闭或半密闭措施，产生的粉尘量较少，同时石灰石粒径大，工程所在地平均风速较小，因此本评价仅考虑石灰石卸车时产生的粉尘。借鉴北京市环境保护科学研究原编写出版（2002.4）的环境影响评价实例《北京太行邦正水泥有限公司水泥生产线建设工程（2000t/d）环境影响评价》中有关无组织排放的计算方法，按照沙坪坝区的气象统计资料，计算技改工程无组织排放的粉尘量。</w:t>
      </w:r>
    </w:p>
    <w:p>
      <w:pPr>
        <w:spacing w:line="360" w:lineRule="auto"/>
        <w:ind w:firstLine="420" w:firstLineChars="200"/>
        <w:rPr>
          <w:rFonts w:hint="eastAsia" w:ascii="宋体" w:hAnsi="宋体"/>
        </w:rPr>
      </w:pPr>
      <w:r>
        <w:rPr>
          <w:rFonts w:hint="eastAsia" w:ascii="宋体" w:hAnsi="宋体"/>
        </w:rPr>
        <w:t>物料装卸的起尘量：</w:t>
      </w:r>
    </w:p>
    <w:p>
      <w:pPr>
        <w:spacing w:line="360" w:lineRule="auto"/>
        <w:ind w:firstLine="420" w:firstLineChars="200"/>
        <w:rPr>
          <w:rFonts w:hint="eastAsia" w:ascii="宋体" w:hAnsi="宋体"/>
        </w:rPr>
      </w:pPr>
    </w:p>
    <w:p>
      <w:pPr>
        <w:spacing w:line="360" w:lineRule="auto"/>
        <w:ind w:firstLine="420" w:firstLineChars="200"/>
        <w:rPr>
          <w:rFonts w:hint="eastAsia" w:ascii="宋体" w:hAnsi="宋体"/>
          <w:sz w:val="30"/>
          <w:szCs w:val="30"/>
        </w:rPr>
      </w:pPr>
      <w:r>
        <w:rPr>
          <w:rFonts w:ascii="宋体" w:hAnsi="宋体"/>
          <w:position w:val="-10"/>
          <w:vertAlign w:val="superscript"/>
        </w:rPr>
        <w:object>
          <v:shape id="_x0000_i1026" o:spt="75" type="#_x0000_t75" style="height:28.45pt;width:203.45pt;" o:ole="t" filled="f" o:preferrelative="t" stroked="f" coordsize="21600,21600">
            <v:path/>
            <v:fill on="f" alignshape="1" focussize="0,0"/>
            <v:stroke on="f"/>
            <v:imagedata r:id="rId34" grayscale="f" bilevel="f" o:title=""/>
            <o:lock v:ext="edit" aspectratio="t"/>
            <w10:wrap type="none"/>
            <w10:anchorlock/>
          </v:shape>
          <o:OLEObject Type="Embed" ProgID="Equation.3" ShapeID="_x0000_i1026" DrawAspect="Content" ObjectID="_1468075726" r:id="rId33">
            <o:LockedField>false</o:LockedField>
          </o:OLEObject>
        </w:object>
      </w:r>
    </w:p>
    <w:p>
      <w:pPr>
        <w:spacing w:line="360" w:lineRule="auto"/>
        <w:ind w:firstLine="420" w:firstLineChars="200"/>
        <w:rPr>
          <w:rFonts w:hint="eastAsia" w:ascii="宋体" w:hAnsi="宋体"/>
        </w:rPr>
      </w:pPr>
      <w:r>
        <w:rPr>
          <w:rFonts w:hint="eastAsia" w:ascii="宋体" w:hAnsi="宋体"/>
        </w:rPr>
        <w:t>式中Q为装卸起尘量（mg/s ），U为风速(m/s),W为物料含水率（5），H为落差(m)。本工程中U取0.94 m/s，W取2%，H取2.5m，每车平均卸车时间取1.5min，石灰石年运输车辆按10t/车、次计，则石灰石运输车次为101866车次/a。根据以上参数计算出技改工程石灰石装卸起尘量为28.73t/a。</w:t>
      </w:r>
    </w:p>
    <w:p>
      <w:pPr>
        <w:spacing w:line="480" w:lineRule="exact"/>
        <w:ind w:firstLine="420" w:firstLineChars="200"/>
        <w:rPr>
          <w:rFonts w:hint="eastAsia" w:ascii="宋体" w:hAnsi="宋体"/>
        </w:rPr>
      </w:pPr>
      <w:r>
        <w:rPr>
          <w:rFonts w:hint="eastAsia" w:ascii="宋体" w:hAnsi="宋体"/>
        </w:rPr>
        <w:t>（2）</w:t>
      </w:r>
      <w:r>
        <w:rPr>
          <w:rFonts w:ascii="宋体" w:hAnsi="宋体"/>
        </w:rPr>
        <w:t>SO</w:t>
      </w:r>
      <w:r>
        <w:rPr>
          <w:rFonts w:ascii="宋体" w:hAnsi="宋体"/>
          <w:vertAlign w:val="subscript"/>
        </w:rPr>
        <w:t>2</w:t>
      </w:r>
    </w:p>
    <w:p>
      <w:pPr>
        <w:spacing w:line="480" w:lineRule="exact"/>
        <w:ind w:firstLine="420" w:firstLineChars="200"/>
        <w:rPr>
          <w:rFonts w:hint="eastAsia" w:ascii="宋体" w:hAnsi="宋体"/>
        </w:rPr>
      </w:pPr>
      <w:r>
        <w:rPr>
          <w:rFonts w:hint="eastAsia" w:ascii="宋体" w:hAnsi="宋体"/>
        </w:rPr>
        <w:t>烧成系统窑尾排放的SO</w:t>
      </w:r>
      <w:r>
        <w:rPr>
          <w:rFonts w:hint="eastAsia" w:ascii="宋体" w:hAnsi="宋体"/>
          <w:vertAlign w:val="subscript"/>
        </w:rPr>
        <w:t>2</w:t>
      </w:r>
      <w:r>
        <w:rPr>
          <w:rFonts w:hint="eastAsia" w:ascii="宋体" w:hAnsi="宋体"/>
        </w:rPr>
        <w:t>主要是由水泥原料和燃料中的硫化物和单质硫氧化或分解产生的。在窑中大部分SO</w:t>
      </w:r>
      <w:r>
        <w:rPr>
          <w:rFonts w:hint="eastAsia" w:ascii="宋体" w:hAnsi="宋体"/>
          <w:vertAlign w:val="subscript"/>
        </w:rPr>
        <w:t>2</w:t>
      </w:r>
      <w:r>
        <w:rPr>
          <w:rFonts w:hint="eastAsia" w:ascii="宋体" w:hAnsi="宋体"/>
        </w:rPr>
        <w:t>被物料中氧化钙和其它碱性氧化物所吸收形成硫酸钙等进入熟料，其反应机理为：</w:t>
      </w:r>
    </w:p>
    <w:p>
      <w:pPr>
        <w:spacing w:line="360" w:lineRule="auto"/>
        <w:ind w:firstLine="480"/>
        <w:jc w:val="center"/>
        <w:rPr>
          <w:rFonts w:hint="eastAsia"/>
        </w:rPr>
      </w:pPr>
      <w:r>
        <w:rPr>
          <w:rFonts w:hint="eastAsia"/>
        </w:rPr>
        <w:t>C</w:t>
      </w:r>
      <w:r>
        <w:t>aCO</w:t>
      </w:r>
      <w:r>
        <w:rPr>
          <w:vertAlign w:val="subscript"/>
        </w:rPr>
        <w:t>3</w:t>
      </w:r>
      <w:r>
        <w:rPr>
          <w:rFonts w:hint="eastAsia"/>
        </w:rPr>
        <w:t>→</w:t>
      </w:r>
      <w:r>
        <w:t>CaO</w:t>
      </w:r>
      <w:r>
        <w:rPr>
          <w:rFonts w:hint="eastAsia"/>
        </w:rPr>
        <w:t>＋</w:t>
      </w:r>
      <w:r>
        <w:t>CO</w:t>
      </w:r>
      <w:r>
        <w:rPr>
          <w:vertAlign w:val="subscript"/>
        </w:rPr>
        <w:t>2</w:t>
      </w:r>
      <w:r>
        <w:rPr>
          <w:rFonts w:hint="eastAsia"/>
        </w:rPr>
        <w:t>↑</w:t>
      </w:r>
    </w:p>
    <w:p>
      <w:pPr>
        <w:spacing w:line="360" w:lineRule="auto"/>
        <w:ind w:firstLine="480"/>
        <w:jc w:val="center"/>
      </w:pPr>
      <w:r>
        <w:t>CaO</w:t>
      </w:r>
      <w:r>
        <w:rPr>
          <w:rFonts w:hint="eastAsia"/>
        </w:rPr>
        <w:t>＋SO</w:t>
      </w:r>
      <w:r>
        <w:rPr>
          <w:rFonts w:hint="eastAsia"/>
          <w:vertAlign w:val="subscript"/>
        </w:rPr>
        <w:t>2</w:t>
      </w:r>
      <w:r>
        <w:rPr>
          <w:rFonts w:hint="eastAsia"/>
        </w:rPr>
        <w:t>＋</w:t>
      </w:r>
      <w:r>
        <w:t>1/2O</w:t>
      </w:r>
      <w:r>
        <w:rPr>
          <w:vertAlign w:val="subscript"/>
        </w:rPr>
        <w:t>2</w:t>
      </w:r>
      <w:r>
        <w:rPr>
          <w:rFonts w:hint="eastAsia"/>
        </w:rPr>
        <w:t>→</w:t>
      </w:r>
      <w:r>
        <w:t>CaSO</w:t>
      </w:r>
      <w:r>
        <w:rPr>
          <w:vertAlign w:val="subscript"/>
        </w:rPr>
        <w:t>4</w:t>
      </w:r>
    </w:p>
    <w:p>
      <w:pPr>
        <w:spacing w:line="360" w:lineRule="auto"/>
        <w:ind w:firstLine="448"/>
        <w:rPr>
          <w:rFonts w:hint="eastAsia"/>
        </w:rPr>
      </w:pPr>
      <w:r>
        <w:rPr>
          <w:rFonts w:hint="eastAsia"/>
        </w:rPr>
        <w:t>带窑外分解炉的水泥回转窑在物料煅烧过程中对</w:t>
      </w:r>
      <w:r>
        <w:t>SO</w:t>
      </w:r>
      <w:r>
        <w:rPr>
          <w:vertAlign w:val="subscript"/>
        </w:rPr>
        <w:t>2</w:t>
      </w:r>
      <w:r>
        <w:rPr>
          <w:rFonts w:hint="eastAsia"/>
        </w:rPr>
        <w:t>的吸收率很高，吸硫率可达在95%</w:t>
      </w:r>
      <w:r>
        <w:t>~</w:t>
      </w:r>
      <w:r>
        <w:rPr>
          <w:rFonts w:hint="eastAsia"/>
        </w:rPr>
        <w:t>98%。</w:t>
      </w:r>
      <w:r>
        <w:t>SO</w:t>
      </w:r>
      <w:r>
        <w:rPr>
          <w:vertAlign w:val="subscript"/>
        </w:rPr>
        <w:t>2</w:t>
      </w:r>
      <w:r>
        <w:rPr>
          <w:rFonts w:hint="eastAsia"/>
        </w:rPr>
        <w:t>实际排放量甚微。根据项目设计资料，吸硫率按95％计，根据生料及燃料的含硫率、消耗量，预计窑尾排放的SO</w:t>
      </w:r>
      <w:r>
        <w:rPr>
          <w:rFonts w:hint="eastAsia"/>
          <w:vertAlign w:val="subscript"/>
        </w:rPr>
        <w:t>2</w:t>
      </w:r>
      <w:r>
        <w:rPr>
          <w:rFonts w:hint="eastAsia"/>
        </w:rPr>
        <w:t>浓度为84.17</w:t>
      </w:r>
      <w:r>
        <w:t>mg/Nm</w:t>
      </w:r>
      <w:r>
        <w:rPr>
          <w:vertAlign w:val="superscript"/>
        </w:rPr>
        <w:t>3</w:t>
      </w:r>
      <w:r>
        <w:rPr>
          <w:rFonts w:hint="eastAsia"/>
        </w:rPr>
        <w:t>，排放量216.44t/a。</w:t>
      </w:r>
    </w:p>
    <w:p>
      <w:pPr>
        <w:spacing w:line="360" w:lineRule="auto"/>
        <w:ind w:firstLine="448"/>
        <w:rPr>
          <w:rFonts w:hint="eastAsia"/>
        </w:rPr>
      </w:pPr>
      <w:r>
        <w:rPr>
          <w:rFonts w:hint="eastAsia"/>
        </w:rPr>
        <w:t>③NO</w:t>
      </w:r>
      <w:r>
        <w:rPr>
          <w:rFonts w:hint="eastAsia"/>
          <w:vertAlign w:val="subscript"/>
        </w:rPr>
        <w:t>2</w:t>
      </w:r>
    </w:p>
    <w:p>
      <w:pPr>
        <w:spacing w:line="360" w:lineRule="auto"/>
        <w:ind w:firstLine="448"/>
        <w:rPr>
          <w:rFonts w:hint="eastAsia"/>
        </w:rPr>
      </w:pPr>
      <w:r>
        <w:rPr>
          <w:rFonts w:hint="eastAsia"/>
        </w:rPr>
        <w:t>主要产生于窑内的高温燃烧过程，生成量与燃料量、燃烧温度、含氧量及反应时间有关。由于窑外预热分解窑</w:t>
      </w:r>
      <w:r>
        <w:t>50~60</w:t>
      </w:r>
      <w:r>
        <w:rPr>
          <w:rFonts w:hint="eastAsia"/>
        </w:rPr>
        <w:t>%的煤在温度较低（控制在800～1000℃之间）的分解炉内燃烧，并且采用三通道喷煤燃烧器，降低了一次供风量，烧成过程中NO</w:t>
      </w:r>
      <w:r>
        <w:rPr>
          <w:rFonts w:hint="eastAsia"/>
          <w:vertAlign w:val="subscript"/>
        </w:rPr>
        <w:t>2</w:t>
      </w:r>
      <w:r>
        <w:rPr>
          <w:rFonts w:hint="eastAsia"/>
        </w:rPr>
        <w:t>的生成量较小。预计窑尾排放的NO</w:t>
      </w:r>
      <w:r>
        <w:rPr>
          <w:rFonts w:hint="eastAsia"/>
          <w:vertAlign w:val="subscript"/>
        </w:rPr>
        <w:t>2</w:t>
      </w:r>
      <w:r>
        <w:rPr>
          <w:rFonts w:hint="eastAsia"/>
        </w:rPr>
        <w:t>排放浓度为700</w:t>
      </w:r>
      <w:r>
        <w:t>mg/Nm</w:t>
      </w:r>
      <w:r>
        <w:rPr>
          <w:vertAlign w:val="superscript"/>
        </w:rPr>
        <w:t>3</w:t>
      </w:r>
      <w:r>
        <w:rPr>
          <w:rFonts w:hint="eastAsia"/>
        </w:rPr>
        <w:t>，排放量1799.88</w:t>
      </w:r>
      <w:r>
        <w:t>t</w:t>
      </w:r>
      <w:r>
        <w:rPr>
          <w:rFonts w:hint="eastAsia"/>
        </w:rPr>
        <w:t>/a。</w:t>
      </w:r>
    </w:p>
    <w:p>
      <w:pPr>
        <w:widowControl/>
        <w:spacing w:line="360" w:lineRule="auto"/>
        <w:ind w:firstLine="420" w:firstLineChars="200"/>
        <w:rPr>
          <w:rFonts w:hint="eastAsia"/>
          <w:b/>
        </w:rPr>
      </w:pPr>
      <w:r>
        <w:rPr>
          <w:rFonts w:hint="eastAsia"/>
        </w:rPr>
        <w:t>技改项目废气污染物产生、治理、排放情况见表3-12。</w:t>
      </w:r>
    </w:p>
    <w:p>
      <w:pPr>
        <w:widowControl/>
        <w:spacing w:line="360" w:lineRule="auto"/>
        <w:ind w:firstLine="420" w:firstLineChars="200"/>
        <w:sectPr>
          <w:footerReference r:id="rId9" w:type="default"/>
          <w:footerReference r:id="rId10" w:type="even"/>
          <w:pgSz w:w="11906" w:h="16838"/>
          <w:pgMar w:top="1440" w:right="1418" w:bottom="1440" w:left="1418" w:header="851" w:footer="992" w:gutter="0"/>
          <w:paperSrc w:first="20070" w:other="20070"/>
          <w:cols w:space="425" w:num="1"/>
          <w:titlePg/>
          <w:docGrid w:linePitch="312" w:charSpace="0"/>
        </w:sectPr>
      </w:pPr>
    </w:p>
    <w:p>
      <w:pPr>
        <w:tabs>
          <w:tab w:val="left" w:pos="6298"/>
        </w:tabs>
        <w:spacing w:line="480" w:lineRule="exact"/>
        <w:jc w:val="center"/>
        <w:rPr>
          <w:rFonts w:hint="eastAsia" w:ascii="宋体" w:hAnsi="宋体"/>
          <w:b/>
        </w:rPr>
      </w:pPr>
      <w:r>
        <w:rPr>
          <w:rFonts w:hint="eastAsia" w:ascii="宋体" w:hAnsi="宋体"/>
          <w:b/>
        </w:rPr>
        <w:t>表3-12     技改项目废气污染物产生、治理、排放情况一览表</w:t>
      </w:r>
    </w:p>
    <w:tbl>
      <w:tblPr>
        <w:tblStyle w:val="21"/>
        <w:tblW w:w="144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556"/>
        <w:gridCol w:w="974"/>
        <w:gridCol w:w="607"/>
        <w:gridCol w:w="769"/>
        <w:gridCol w:w="789"/>
        <w:gridCol w:w="789"/>
        <w:gridCol w:w="783"/>
        <w:gridCol w:w="708"/>
        <w:gridCol w:w="1020"/>
        <w:gridCol w:w="1122"/>
        <w:gridCol w:w="1483"/>
        <w:gridCol w:w="786"/>
        <w:gridCol w:w="731"/>
        <w:gridCol w:w="928"/>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tblHeader/>
          <w:jc w:val="center"/>
        </w:trPr>
        <w:tc>
          <w:tcPr>
            <w:tcW w:w="588" w:type="dxa"/>
            <w:vMerge w:val="restart"/>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序号</w:t>
            </w:r>
          </w:p>
        </w:tc>
        <w:tc>
          <w:tcPr>
            <w:tcW w:w="1556" w:type="dxa"/>
            <w:vMerge w:val="restart"/>
            <w:vAlign w:val="center"/>
          </w:tcPr>
          <w:p>
            <w:pPr>
              <w:pStyle w:val="12"/>
              <w:tabs>
                <w:tab w:val="clear" w:pos="4153"/>
                <w:tab w:val="clear" w:pos="8306"/>
              </w:tabs>
              <w:spacing w:line="360" w:lineRule="exact"/>
              <w:rPr>
                <w:rFonts w:hint="eastAsia"/>
                <w:snapToGrid w:val="0"/>
                <w:kern w:val="0"/>
              </w:rPr>
            </w:pPr>
            <w:r>
              <w:rPr>
                <w:rFonts w:hint="eastAsia"/>
                <w:snapToGrid w:val="0"/>
                <w:kern w:val="0"/>
              </w:rPr>
              <w:t>系统名称</w:t>
            </w:r>
          </w:p>
        </w:tc>
        <w:tc>
          <w:tcPr>
            <w:tcW w:w="974" w:type="dxa"/>
            <w:vMerge w:val="restart"/>
            <w:vAlign w:val="center"/>
          </w:tcPr>
          <w:p>
            <w:pPr>
              <w:pStyle w:val="13"/>
              <w:pBdr>
                <w:bottom w:val="none" w:color="auto" w:sz="0" w:space="0"/>
              </w:pBdr>
              <w:tabs>
                <w:tab w:val="clear" w:pos="4153"/>
                <w:tab w:val="clear" w:pos="8306"/>
              </w:tabs>
              <w:spacing w:line="360" w:lineRule="exact"/>
              <w:rPr>
                <w:snapToGrid w:val="0"/>
                <w:kern w:val="0"/>
              </w:rPr>
            </w:pPr>
            <w:r>
              <w:rPr>
                <w:rFonts w:hint="eastAsia"/>
                <w:snapToGrid w:val="0"/>
                <w:kern w:val="0"/>
              </w:rPr>
              <w:t>风量</w:t>
            </w:r>
          </w:p>
          <w:p>
            <w:pPr>
              <w:snapToGrid w:val="0"/>
              <w:spacing w:line="360" w:lineRule="exact"/>
              <w:jc w:val="center"/>
              <w:rPr>
                <w:rFonts w:hint="eastAsia"/>
                <w:snapToGrid w:val="0"/>
                <w:kern w:val="0"/>
                <w:sz w:val="18"/>
                <w:szCs w:val="18"/>
              </w:rPr>
            </w:pPr>
            <w:r>
              <w:rPr>
                <w:snapToGrid w:val="0"/>
                <w:kern w:val="0"/>
                <w:sz w:val="18"/>
                <w:szCs w:val="18"/>
              </w:rPr>
              <w:t>m</w:t>
            </w:r>
            <w:r>
              <w:rPr>
                <w:snapToGrid w:val="0"/>
                <w:kern w:val="0"/>
                <w:sz w:val="18"/>
                <w:szCs w:val="18"/>
                <w:vertAlign w:val="superscript"/>
              </w:rPr>
              <w:t>3</w:t>
            </w:r>
            <w:r>
              <w:rPr>
                <w:snapToGrid w:val="0"/>
                <w:kern w:val="0"/>
                <w:sz w:val="18"/>
                <w:szCs w:val="18"/>
              </w:rPr>
              <w:t>/h</w:t>
            </w:r>
          </w:p>
        </w:tc>
        <w:tc>
          <w:tcPr>
            <w:tcW w:w="607" w:type="dxa"/>
            <w:vMerge w:val="restart"/>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污</w:t>
            </w:r>
          </w:p>
          <w:p>
            <w:pPr>
              <w:snapToGrid w:val="0"/>
              <w:spacing w:line="360" w:lineRule="exact"/>
              <w:jc w:val="center"/>
              <w:rPr>
                <w:rFonts w:hint="eastAsia"/>
                <w:snapToGrid w:val="0"/>
                <w:kern w:val="0"/>
                <w:sz w:val="18"/>
                <w:szCs w:val="18"/>
              </w:rPr>
            </w:pPr>
            <w:r>
              <w:rPr>
                <w:rFonts w:hint="eastAsia"/>
                <w:snapToGrid w:val="0"/>
                <w:kern w:val="0"/>
                <w:sz w:val="18"/>
                <w:szCs w:val="18"/>
              </w:rPr>
              <w:t>染</w:t>
            </w:r>
          </w:p>
          <w:p>
            <w:pPr>
              <w:snapToGrid w:val="0"/>
              <w:spacing w:line="360" w:lineRule="exact"/>
              <w:jc w:val="center"/>
              <w:rPr>
                <w:rFonts w:hint="eastAsia"/>
                <w:snapToGrid w:val="0"/>
                <w:kern w:val="0"/>
                <w:sz w:val="18"/>
                <w:szCs w:val="18"/>
              </w:rPr>
            </w:pPr>
            <w:r>
              <w:rPr>
                <w:rFonts w:hint="eastAsia"/>
                <w:snapToGrid w:val="0"/>
                <w:kern w:val="0"/>
                <w:sz w:val="18"/>
                <w:szCs w:val="18"/>
              </w:rPr>
              <w:t>物</w:t>
            </w:r>
          </w:p>
        </w:tc>
        <w:tc>
          <w:tcPr>
            <w:tcW w:w="769" w:type="dxa"/>
            <w:vMerge w:val="restart"/>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年工作</w:t>
            </w:r>
          </w:p>
          <w:p>
            <w:pPr>
              <w:snapToGrid w:val="0"/>
              <w:spacing w:line="360" w:lineRule="exact"/>
              <w:jc w:val="center"/>
              <w:rPr>
                <w:snapToGrid w:val="0"/>
                <w:kern w:val="0"/>
                <w:sz w:val="18"/>
                <w:szCs w:val="18"/>
              </w:rPr>
            </w:pPr>
            <w:r>
              <w:rPr>
                <w:rFonts w:hint="eastAsia"/>
                <w:snapToGrid w:val="0"/>
                <w:kern w:val="0"/>
                <w:sz w:val="18"/>
                <w:szCs w:val="18"/>
              </w:rPr>
              <w:t>小时</w:t>
            </w:r>
          </w:p>
        </w:tc>
        <w:tc>
          <w:tcPr>
            <w:tcW w:w="789" w:type="dxa"/>
            <w:vMerge w:val="restart"/>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排气筒</w:t>
            </w:r>
          </w:p>
          <w:p>
            <w:pPr>
              <w:snapToGrid w:val="0"/>
              <w:spacing w:line="360" w:lineRule="exact"/>
              <w:jc w:val="center"/>
              <w:rPr>
                <w:rFonts w:hint="eastAsia"/>
                <w:snapToGrid w:val="0"/>
                <w:kern w:val="0"/>
                <w:sz w:val="18"/>
                <w:szCs w:val="18"/>
              </w:rPr>
            </w:pPr>
            <w:r>
              <w:rPr>
                <w:rFonts w:hint="eastAsia"/>
                <w:snapToGrid w:val="0"/>
                <w:kern w:val="0"/>
                <w:sz w:val="18"/>
                <w:szCs w:val="18"/>
              </w:rPr>
              <w:t>高度</w:t>
            </w:r>
            <w:r>
              <w:rPr>
                <w:snapToGrid w:val="0"/>
                <w:kern w:val="0"/>
                <w:sz w:val="18"/>
                <w:szCs w:val="18"/>
              </w:rPr>
              <w:t>m</w:t>
            </w:r>
          </w:p>
        </w:tc>
        <w:tc>
          <w:tcPr>
            <w:tcW w:w="789" w:type="dxa"/>
            <w:vMerge w:val="restart"/>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排气筒</w:t>
            </w:r>
          </w:p>
          <w:p>
            <w:pPr>
              <w:snapToGrid w:val="0"/>
              <w:spacing w:line="360" w:lineRule="exact"/>
              <w:jc w:val="center"/>
              <w:rPr>
                <w:rFonts w:hint="eastAsia"/>
                <w:snapToGrid w:val="0"/>
                <w:kern w:val="0"/>
                <w:sz w:val="18"/>
                <w:szCs w:val="18"/>
              </w:rPr>
            </w:pPr>
            <w:r>
              <w:rPr>
                <w:rFonts w:hint="eastAsia"/>
                <w:snapToGrid w:val="0"/>
                <w:kern w:val="0"/>
                <w:sz w:val="18"/>
                <w:szCs w:val="18"/>
              </w:rPr>
              <w:t>直径</w:t>
            </w:r>
            <w:r>
              <w:rPr>
                <w:snapToGrid w:val="0"/>
                <w:kern w:val="0"/>
                <w:sz w:val="18"/>
                <w:szCs w:val="18"/>
              </w:rPr>
              <w:t>m</w:t>
            </w:r>
          </w:p>
        </w:tc>
        <w:tc>
          <w:tcPr>
            <w:tcW w:w="783" w:type="dxa"/>
            <w:vMerge w:val="restart"/>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排气</w:t>
            </w:r>
          </w:p>
          <w:p>
            <w:pPr>
              <w:snapToGrid w:val="0"/>
              <w:spacing w:line="360" w:lineRule="exact"/>
              <w:jc w:val="center"/>
              <w:rPr>
                <w:rFonts w:hint="eastAsia"/>
                <w:snapToGrid w:val="0"/>
                <w:kern w:val="0"/>
                <w:sz w:val="18"/>
                <w:szCs w:val="18"/>
              </w:rPr>
            </w:pPr>
            <w:r>
              <w:rPr>
                <w:rFonts w:hint="eastAsia"/>
                <w:snapToGrid w:val="0"/>
                <w:kern w:val="0"/>
                <w:sz w:val="18"/>
                <w:szCs w:val="18"/>
              </w:rPr>
              <w:t>温度℃</w:t>
            </w:r>
          </w:p>
        </w:tc>
        <w:tc>
          <w:tcPr>
            <w:tcW w:w="2850" w:type="dxa"/>
            <w:gridSpan w:val="3"/>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产 生 情 况</w:t>
            </w:r>
          </w:p>
        </w:tc>
        <w:tc>
          <w:tcPr>
            <w:tcW w:w="4749" w:type="dxa"/>
            <w:gridSpan w:val="5"/>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排 放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blHeader/>
          <w:jc w:val="center"/>
        </w:trPr>
        <w:tc>
          <w:tcPr>
            <w:tcW w:w="588" w:type="dxa"/>
            <w:vMerge w:val="continue"/>
            <w:vAlign w:val="center"/>
          </w:tcPr>
          <w:p>
            <w:pPr>
              <w:snapToGrid w:val="0"/>
              <w:spacing w:line="360" w:lineRule="exact"/>
              <w:jc w:val="left"/>
              <w:rPr>
                <w:rFonts w:hint="eastAsia"/>
                <w:snapToGrid w:val="0"/>
                <w:kern w:val="0"/>
                <w:sz w:val="18"/>
                <w:szCs w:val="18"/>
              </w:rPr>
            </w:pPr>
          </w:p>
        </w:tc>
        <w:tc>
          <w:tcPr>
            <w:tcW w:w="1556" w:type="dxa"/>
            <w:vMerge w:val="continue"/>
            <w:vAlign w:val="center"/>
          </w:tcPr>
          <w:p>
            <w:pPr>
              <w:snapToGrid w:val="0"/>
              <w:spacing w:line="360" w:lineRule="exact"/>
              <w:jc w:val="left"/>
              <w:rPr>
                <w:rFonts w:hint="eastAsia"/>
                <w:snapToGrid w:val="0"/>
                <w:kern w:val="0"/>
                <w:sz w:val="18"/>
                <w:szCs w:val="18"/>
              </w:rPr>
            </w:pPr>
          </w:p>
        </w:tc>
        <w:tc>
          <w:tcPr>
            <w:tcW w:w="974" w:type="dxa"/>
            <w:vMerge w:val="continue"/>
            <w:vAlign w:val="center"/>
          </w:tcPr>
          <w:p>
            <w:pPr>
              <w:snapToGrid w:val="0"/>
              <w:spacing w:line="360" w:lineRule="exact"/>
              <w:jc w:val="center"/>
              <w:rPr>
                <w:rFonts w:hint="eastAsia"/>
                <w:snapToGrid w:val="0"/>
                <w:kern w:val="0"/>
                <w:sz w:val="18"/>
                <w:szCs w:val="18"/>
              </w:rPr>
            </w:pPr>
          </w:p>
        </w:tc>
        <w:tc>
          <w:tcPr>
            <w:tcW w:w="607" w:type="dxa"/>
            <w:vMerge w:val="continue"/>
            <w:vAlign w:val="center"/>
          </w:tcPr>
          <w:p>
            <w:pPr>
              <w:snapToGrid w:val="0"/>
              <w:spacing w:line="360" w:lineRule="exact"/>
              <w:jc w:val="center"/>
              <w:rPr>
                <w:rFonts w:hint="eastAsia"/>
                <w:snapToGrid w:val="0"/>
                <w:kern w:val="0"/>
                <w:sz w:val="18"/>
                <w:szCs w:val="18"/>
              </w:rPr>
            </w:pPr>
          </w:p>
        </w:tc>
        <w:tc>
          <w:tcPr>
            <w:tcW w:w="769" w:type="dxa"/>
            <w:vMerge w:val="continue"/>
            <w:vAlign w:val="center"/>
          </w:tcPr>
          <w:p>
            <w:pPr>
              <w:snapToGrid w:val="0"/>
              <w:spacing w:line="360" w:lineRule="exact"/>
              <w:jc w:val="center"/>
              <w:rPr>
                <w:rFonts w:hint="eastAsia"/>
                <w:snapToGrid w:val="0"/>
                <w:kern w:val="0"/>
                <w:sz w:val="18"/>
                <w:szCs w:val="18"/>
              </w:rPr>
            </w:pPr>
          </w:p>
        </w:tc>
        <w:tc>
          <w:tcPr>
            <w:tcW w:w="789" w:type="dxa"/>
            <w:vMerge w:val="continue"/>
            <w:vAlign w:val="center"/>
          </w:tcPr>
          <w:p>
            <w:pPr>
              <w:snapToGrid w:val="0"/>
              <w:spacing w:line="360" w:lineRule="exact"/>
              <w:jc w:val="center"/>
              <w:rPr>
                <w:rFonts w:hint="eastAsia"/>
                <w:snapToGrid w:val="0"/>
                <w:kern w:val="0"/>
                <w:sz w:val="18"/>
                <w:szCs w:val="18"/>
              </w:rPr>
            </w:pPr>
          </w:p>
        </w:tc>
        <w:tc>
          <w:tcPr>
            <w:tcW w:w="789" w:type="dxa"/>
            <w:vMerge w:val="continue"/>
            <w:vAlign w:val="center"/>
          </w:tcPr>
          <w:p>
            <w:pPr>
              <w:snapToGrid w:val="0"/>
              <w:spacing w:line="360" w:lineRule="exact"/>
              <w:jc w:val="center"/>
              <w:rPr>
                <w:rFonts w:hint="eastAsia"/>
                <w:snapToGrid w:val="0"/>
                <w:kern w:val="0"/>
                <w:sz w:val="18"/>
                <w:szCs w:val="18"/>
              </w:rPr>
            </w:pPr>
          </w:p>
        </w:tc>
        <w:tc>
          <w:tcPr>
            <w:tcW w:w="783" w:type="dxa"/>
            <w:vMerge w:val="continue"/>
            <w:vAlign w:val="center"/>
          </w:tcPr>
          <w:p>
            <w:pPr>
              <w:snapToGrid w:val="0"/>
              <w:spacing w:line="360" w:lineRule="exact"/>
              <w:jc w:val="center"/>
              <w:rPr>
                <w:rFonts w:hint="eastAsia"/>
                <w:snapToGrid w:val="0"/>
                <w:kern w:val="0"/>
                <w:sz w:val="18"/>
                <w:szCs w:val="18"/>
              </w:rPr>
            </w:pPr>
          </w:p>
        </w:tc>
        <w:tc>
          <w:tcPr>
            <w:tcW w:w="708" w:type="dxa"/>
            <w:vMerge w:val="restart"/>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浓度</w:t>
            </w:r>
          </w:p>
          <w:p>
            <w:pPr>
              <w:snapToGrid w:val="0"/>
              <w:spacing w:line="360" w:lineRule="exact"/>
              <w:jc w:val="center"/>
              <w:rPr>
                <w:snapToGrid w:val="0"/>
                <w:kern w:val="0"/>
                <w:sz w:val="18"/>
                <w:szCs w:val="18"/>
              </w:rPr>
            </w:pPr>
            <w:r>
              <w:rPr>
                <w:snapToGrid w:val="0"/>
                <w:kern w:val="0"/>
                <w:sz w:val="18"/>
                <w:szCs w:val="18"/>
              </w:rPr>
              <w:t>g/Nm</w:t>
            </w:r>
            <w:r>
              <w:rPr>
                <w:snapToGrid w:val="0"/>
                <w:kern w:val="0"/>
                <w:sz w:val="18"/>
                <w:szCs w:val="18"/>
                <w:vertAlign w:val="superscript"/>
              </w:rPr>
              <w:t>3</w:t>
            </w:r>
          </w:p>
        </w:tc>
        <w:tc>
          <w:tcPr>
            <w:tcW w:w="2142" w:type="dxa"/>
            <w:gridSpan w:val="2"/>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产生量</w:t>
            </w:r>
          </w:p>
        </w:tc>
        <w:tc>
          <w:tcPr>
            <w:tcW w:w="1483" w:type="dxa"/>
            <w:vMerge w:val="restart"/>
            <w:vAlign w:val="center"/>
          </w:tcPr>
          <w:p>
            <w:pPr>
              <w:snapToGrid w:val="0"/>
              <w:spacing w:line="360" w:lineRule="exact"/>
              <w:jc w:val="center"/>
              <w:rPr>
                <w:snapToGrid w:val="0"/>
                <w:kern w:val="0"/>
                <w:sz w:val="18"/>
                <w:szCs w:val="18"/>
              </w:rPr>
            </w:pPr>
            <w:r>
              <w:rPr>
                <w:rFonts w:hint="eastAsia"/>
                <w:snapToGrid w:val="0"/>
                <w:kern w:val="0"/>
                <w:sz w:val="18"/>
                <w:szCs w:val="18"/>
              </w:rPr>
              <w:t>名称及规格</w:t>
            </w:r>
          </w:p>
        </w:tc>
        <w:tc>
          <w:tcPr>
            <w:tcW w:w="786" w:type="dxa"/>
            <w:vMerge w:val="restart"/>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除尘效率</w:t>
            </w:r>
          </w:p>
        </w:tc>
        <w:tc>
          <w:tcPr>
            <w:tcW w:w="731" w:type="dxa"/>
            <w:vMerge w:val="restart"/>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浓度</w:t>
            </w:r>
          </w:p>
          <w:p>
            <w:pPr>
              <w:snapToGrid w:val="0"/>
              <w:spacing w:line="360" w:lineRule="exact"/>
              <w:jc w:val="center"/>
              <w:rPr>
                <w:snapToGrid w:val="0"/>
                <w:spacing w:val="-20"/>
                <w:kern w:val="0"/>
                <w:sz w:val="18"/>
                <w:szCs w:val="18"/>
              </w:rPr>
            </w:pPr>
            <w:r>
              <w:rPr>
                <w:snapToGrid w:val="0"/>
                <w:spacing w:val="-20"/>
                <w:kern w:val="0"/>
                <w:sz w:val="18"/>
                <w:szCs w:val="18"/>
              </w:rPr>
              <w:t>mg/Nm</w:t>
            </w:r>
            <w:r>
              <w:rPr>
                <w:snapToGrid w:val="0"/>
                <w:spacing w:val="-20"/>
                <w:kern w:val="0"/>
                <w:sz w:val="18"/>
                <w:szCs w:val="18"/>
                <w:vertAlign w:val="superscript"/>
              </w:rPr>
              <w:t>3</w:t>
            </w:r>
          </w:p>
        </w:tc>
        <w:tc>
          <w:tcPr>
            <w:tcW w:w="1749" w:type="dxa"/>
            <w:gridSpan w:val="2"/>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5" w:hRule="atLeast"/>
          <w:tblHeader/>
          <w:jc w:val="center"/>
        </w:trPr>
        <w:tc>
          <w:tcPr>
            <w:tcW w:w="588" w:type="dxa"/>
            <w:vMerge w:val="continue"/>
            <w:vAlign w:val="center"/>
          </w:tcPr>
          <w:p>
            <w:pPr>
              <w:snapToGrid w:val="0"/>
              <w:spacing w:line="360" w:lineRule="exact"/>
              <w:jc w:val="left"/>
              <w:rPr>
                <w:rFonts w:hint="eastAsia"/>
                <w:snapToGrid w:val="0"/>
                <w:kern w:val="0"/>
                <w:sz w:val="18"/>
                <w:szCs w:val="18"/>
              </w:rPr>
            </w:pPr>
          </w:p>
        </w:tc>
        <w:tc>
          <w:tcPr>
            <w:tcW w:w="1556" w:type="dxa"/>
            <w:vMerge w:val="continue"/>
            <w:vAlign w:val="center"/>
          </w:tcPr>
          <w:p>
            <w:pPr>
              <w:snapToGrid w:val="0"/>
              <w:spacing w:line="360" w:lineRule="exact"/>
              <w:jc w:val="left"/>
              <w:rPr>
                <w:rFonts w:hint="eastAsia"/>
                <w:snapToGrid w:val="0"/>
                <w:kern w:val="0"/>
                <w:sz w:val="18"/>
                <w:szCs w:val="18"/>
              </w:rPr>
            </w:pPr>
          </w:p>
        </w:tc>
        <w:tc>
          <w:tcPr>
            <w:tcW w:w="974" w:type="dxa"/>
            <w:vMerge w:val="continue"/>
            <w:vAlign w:val="center"/>
          </w:tcPr>
          <w:p>
            <w:pPr>
              <w:snapToGrid w:val="0"/>
              <w:spacing w:line="360" w:lineRule="exact"/>
              <w:jc w:val="center"/>
              <w:rPr>
                <w:snapToGrid w:val="0"/>
                <w:kern w:val="0"/>
                <w:sz w:val="18"/>
                <w:szCs w:val="18"/>
              </w:rPr>
            </w:pPr>
          </w:p>
        </w:tc>
        <w:tc>
          <w:tcPr>
            <w:tcW w:w="607" w:type="dxa"/>
            <w:vMerge w:val="continue"/>
            <w:vAlign w:val="center"/>
          </w:tcPr>
          <w:p>
            <w:pPr>
              <w:snapToGrid w:val="0"/>
              <w:spacing w:line="360" w:lineRule="exact"/>
              <w:jc w:val="center"/>
              <w:rPr>
                <w:rFonts w:hint="eastAsia"/>
                <w:snapToGrid w:val="0"/>
                <w:kern w:val="0"/>
                <w:sz w:val="18"/>
                <w:szCs w:val="18"/>
              </w:rPr>
            </w:pPr>
          </w:p>
        </w:tc>
        <w:tc>
          <w:tcPr>
            <w:tcW w:w="769" w:type="dxa"/>
            <w:vMerge w:val="continue"/>
            <w:vAlign w:val="center"/>
          </w:tcPr>
          <w:p>
            <w:pPr>
              <w:snapToGrid w:val="0"/>
              <w:spacing w:line="360" w:lineRule="exact"/>
              <w:jc w:val="center"/>
              <w:rPr>
                <w:rFonts w:hint="eastAsia"/>
                <w:snapToGrid w:val="0"/>
                <w:kern w:val="0"/>
                <w:sz w:val="18"/>
                <w:szCs w:val="18"/>
              </w:rPr>
            </w:pPr>
          </w:p>
        </w:tc>
        <w:tc>
          <w:tcPr>
            <w:tcW w:w="789" w:type="dxa"/>
            <w:vMerge w:val="continue"/>
            <w:vAlign w:val="center"/>
          </w:tcPr>
          <w:p>
            <w:pPr>
              <w:snapToGrid w:val="0"/>
              <w:spacing w:line="360" w:lineRule="exact"/>
              <w:jc w:val="center"/>
              <w:rPr>
                <w:rFonts w:hint="eastAsia"/>
                <w:snapToGrid w:val="0"/>
                <w:kern w:val="0"/>
                <w:sz w:val="18"/>
                <w:szCs w:val="18"/>
              </w:rPr>
            </w:pPr>
          </w:p>
        </w:tc>
        <w:tc>
          <w:tcPr>
            <w:tcW w:w="789" w:type="dxa"/>
            <w:vMerge w:val="continue"/>
            <w:vAlign w:val="center"/>
          </w:tcPr>
          <w:p>
            <w:pPr>
              <w:snapToGrid w:val="0"/>
              <w:spacing w:line="360" w:lineRule="exact"/>
              <w:jc w:val="center"/>
              <w:rPr>
                <w:rFonts w:hint="eastAsia"/>
                <w:snapToGrid w:val="0"/>
                <w:kern w:val="0"/>
                <w:sz w:val="18"/>
                <w:szCs w:val="18"/>
              </w:rPr>
            </w:pPr>
          </w:p>
        </w:tc>
        <w:tc>
          <w:tcPr>
            <w:tcW w:w="783" w:type="dxa"/>
            <w:vMerge w:val="continue"/>
            <w:vAlign w:val="center"/>
          </w:tcPr>
          <w:p>
            <w:pPr>
              <w:snapToGrid w:val="0"/>
              <w:spacing w:line="360" w:lineRule="exact"/>
              <w:jc w:val="center"/>
              <w:rPr>
                <w:rFonts w:hint="eastAsia"/>
                <w:snapToGrid w:val="0"/>
                <w:kern w:val="0"/>
                <w:sz w:val="18"/>
                <w:szCs w:val="18"/>
              </w:rPr>
            </w:pPr>
          </w:p>
        </w:tc>
        <w:tc>
          <w:tcPr>
            <w:tcW w:w="708" w:type="dxa"/>
            <w:vMerge w:val="continue"/>
            <w:vAlign w:val="center"/>
          </w:tcPr>
          <w:p>
            <w:pPr>
              <w:snapToGrid w:val="0"/>
              <w:spacing w:line="360" w:lineRule="exact"/>
              <w:jc w:val="center"/>
              <w:rPr>
                <w:rFonts w:hint="eastAsia"/>
                <w:snapToGrid w:val="0"/>
                <w:kern w:val="0"/>
                <w:sz w:val="18"/>
                <w:szCs w:val="18"/>
              </w:rPr>
            </w:pPr>
          </w:p>
        </w:tc>
        <w:tc>
          <w:tcPr>
            <w:tcW w:w="1020"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Kg/h</w:t>
            </w:r>
          </w:p>
        </w:tc>
        <w:tc>
          <w:tcPr>
            <w:tcW w:w="1122" w:type="dxa"/>
            <w:vAlign w:val="center"/>
          </w:tcPr>
          <w:p>
            <w:pPr>
              <w:snapToGrid w:val="0"/>
              <w:spacing w:line="360" w:lineRule="exact"/>
              <w:jc w:val="center"/>
              <w:rPr>
                <w:rFonts w:hint="eastAsia"/>
                <w:snapToGrid w:val="0"/>
                <w:kern w:val="0"/>
                <w:sz w:val="18"/>
                <w:szCs w:val="18"/>
              </w:rPr>
            </w:pPr>
            <w:r>
              <w:rPr>
                <w:snapToGrid w:val="0"/>
                <w:kern w:val="0"/>
                <w:sz w:val="18"/>
                <w:szCs w:val="18"/>
              </w:rPr>
              <w:t>t/a</w:t>
            </w:r>
          </w:p>
        </w:tc>
        <w:tc>
          <w:tcPr>
            <w:tcW w:w="1483" w:type="dxa"/>
            <w:vMerge w:val="continue"/>
            <w:vAlign w:val="center"/>
          </w:tcPr>
          <w:p>
            <w:pPr>
              <w:snapToGrid w:val="0"/>
              <w:spacing w:line="360" w:lineRule="exact"/>
              <w:jc w:val="center"/>
              <w:rPr>
                <w:rFonts w:hint="eastAsia"/>
                <w:snapToGrid w:val="0"/>
                <w:kern w:val="0"/>
                <w:sz w:val="18"/>
                <w:szCs w:val="18"/>
              </w:rPr>
            </w:pPr>
          </w:p>
        </w:tc>
        <w:tc>
          <w:tcPr>
            <w:tcW w:w="786" w:type="dxa"/>
            <w:vMerge w:val="continue"/>
            <w:vAlign w:val="center"/>
          </w:tcPr>
          <w:p>
            <w:pPr>
              <w:snapToGrid w:val="0"/>
              <w:spacing w:line="360" w:lineRule="exact"/>
              <w:jc w:val="center"/>
              <w:rPr>
                <w:rFonts w:hint="eastAsia"/>
                <w:snapToGrid w:val="0"/>
                <w:kern w:val="0"/>
                <w:sz w:val="18"/>
                <w:szCs w:val="18"/>
              </w:rPr>
            </w:pPr>
          </w:p>
        </w:tc>
        <w:tc>
          <w:tcPr>
            <w:tcW w:w="731" w:type="dxa"/>
            <w:vMerge w:val="continue"/>
            <w:vAlign w:val="center"/>
          </w:tcPr>
          <w:p>
            <w:pPr>
              <w:snapToGrid w:val="0"/>
              <w:spacing w:line="360" w:lineRule="exact"/>
              <w:jc w:val="center"/>
              <w:rPr>
                <w:rFonts w:hint="eastAsia"/>
                <w:snapToGrid w:val="0"/>
                <w:kern w:val="0"/>
                <w:sz w:val="18"/>
                <w:szCs w:val="18"/>
              </w:rPr>
            </w:pPr>
          </w:p>
        </w:tc>
        <w:tc>
          <w:tcPr>
            <w:tcW w:w="928"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Kg/h</w:t>
            </w:r>
          </w:p>
        </w:tc>
        <w:tc>
          <w:tcPr>
            <w:tcW w:w="821" w:type="dxa"/>
            <w:vAlign w:val="center"/>
          </w:tcPr>
          <w:p>
            <w:pPr>
              <w:snapToGrid w:val="0"/>
              <w:spacing w:line="360" w:lineRule="exact"/>
              <w:jc w:val="center"/>
              <w:rPr>
                <w:rFonts w:hint="eastAsia"/>
                <w:snapToGrid w:val="0"/>
                <w:kern w:val="0"/>
                <w:sz w:val="18"/>
                <w:szCs w:val="18"/>
              </w:rPr>
            </w:pPr>
            <w:r>
              <w:rPr>
                <w:snapToGrid w:val="0"/>
                <w:kern w:val="0"/>
                <w:sz w:val="18"/>
                <w:szCs w:val="18"/>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88" w:type="dxa"/>
            <w:vAlign w:val="center"/>
          </w:tcPr>
          <w:p>
            <w:pPr>
              <w:jc w:val="center"/>
              <w:rPr>
                <w:rFonts w:hint="eastAsia"/>
                <w:sz w:val="18"/>
                <w:szCs w:val="18"/>
              </w:rPr>
            </w:pPr>
            <w:bookmarkStart w:id="171" w:name="_Hlk272916241"/>
            <w:bookmarkStart w:id="172" w:name="OLE_LINK6" w:colFirst="2" w:colLast="2"/>
            <w:bookmarkStart w:id="173" w:name="OLE_LINK5" w:colFirst="2" w:colLast="2"/>
            <w:r>
              <w:rPr>
                <w:rFonts w:hint="eastAsia"/>
                <w:sz w:val="18"/>
                <w:szCs w:val="18"/>
              </w:rPr>
              <w:t>1</w:t>
            </w:r>
          </w:p>
        </w:tc>
        <w:tc>
          <w:tcPr>
            <w:tcW w:w="1556" w:type="dxa"/>
            <w:vAlign w:val="center"/>
          </w:tcPr>
          <w:p>
            <w:pPr>
              <w:jc w:val="center"/>
              <w:rPr>
                <w:rFonts w:ascii="宋体" w:hAnsi="宋体" w:cs="宋体"/>
                <w:sz w:val="18"/>
                <w:szCs w:val="18"/>
              </w:rPr>
            </w:pPr>
            <w:r>
              <w:rPr>
                <w:rFonts w:hint="eastAsia"/>
                <w:sz w:val="18"/>
                <w:szCs w:val="18"/>
              </w:rPr>
              <w:t>石灰石破碎</w:t>
            </w:r>
          </w:p>
        </w:tc>
        <w:tc>
          <w:tcPr>
            <w:tcW w:w="974" w:type="dxa"/>
            <w:vAlign w:val="center"/>
          </w:tcPr>
          <w:p>
            <w:pPr>
              <w:snapToGrid w:val="0"/>
              <w:spacing w:line="360" w:lineRule="exact"/>
              <w:jc w:val="center"/>
              <w:rPr>
                <w:snapToGrid w:val="0"/>
                <w:kern w:val="0"/>
                <w:sz w:val="18"/>
                <w:szCs w:val="18"/>
              </w:rPr>
            </w:pPr>
            <w:r>
              <w:rPr>
                <w:rFonts w:hint="eastAsia"/>
                <w:snapToGrid w:val="0"/>
                <w:kern w:val="0"/>
                <w:sz w:val="18"/>
                <w:szCs w:val="18"/>
              </w:rPr>
              <w:t>21000</w:t>
            </w:r>
          </w:p>
        </w:tc>
        <w:tc>
          <w:tcPr>
            <w:tcW w:w="607"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粉尘</w:t>
            </w:r>
          </w:p>
        </w:tc>
        <w:tc>
          <w:tcPr>
            <w:tcW w:w="769"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2188</w:t>
            </w:r>
          </w:p>
        </w:tc>
        <w:tc>
          <w:tcPr>
            <w:tcW w:w="789" w:type="dxa"/>
            <w:vAlign w:val="center"/>
          </w:tcPr>
          <w:p>
            <w:pPr>
              <w:jc w:val="center"/>
              <w:rPr>
                <w:rFonts w:ascii="宋体" w:hAnsi="宋体" w:cs="宋体"/>
                <w:sz w:val="18"/>
                <w:szCs w:val="18"/>
              </w:rPr>
            </w:pPr>
            <w:r>
              <w:rPr>
                <w:rFonts w:hint="eastAsia"/>
                <w:sz w:val="18"/>
                <w:szCs w:val="18"/>
              </w:rPr>
              <w:t>35</w:t>
            </w:r>
          </w:p>
        </w:tc>
        <w:tc>
          <w:tcPr>
            <w:tcW w:w="789"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0.85</w:t>
            </w:r>
          </w:p>
        </w:tc>
        <w:tc>
          <w:tcPr>
            <w:tcW w:w="783"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20</w:t>
            </w:r>
          </w:p>
        </w:tc>
        <w:tc>
          <w:tcPr>
            <w:tcW w:w="708"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20</w:t>
            </w:r>
          </w:p>
        </w:tc>
        <w:tc>
          <w:tcPr>
            <w:tcW w:w="1020"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420</w:t>
            </w:r>
          </w:p>
        </w:tc>
        <w:tc>
          <w:tcPr>
            <w:tcW w:w="1122"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918.96</w:t>
            </w:r>
          </w:p>
        </w:tc>
        <w:tc>
          <w:tcPr>
            <w:tcW w:w="1483" w:type="dxa"/>
            <w:vAlign w:val="center"/>
          </w:tcPr>
          <w:p>
            <w:pPr>
              <w:jc w:val="center"/>
              <w:rPr>
                <w:rFonts w:ascii="宋体" w:hAnsi="宋体" w:cs="宋体"/>
                <w:sz w:val="18"/>
                <w:szCs w:val="18"/>
              </w:rPr>
            </w:pPr>
            <w:r>
              <w:rPr>
                <w:rFonts w:hint="eastAsia"/>
                <w:sz w:val="18"/>
                <w:szCs w:val="18"/>
              </w:rPr>
              <w:t>脉冲袋式除尘器</w:t>
            </w:r>
          </w:p>
        </w:tc>
        <w:tc>
          <w:tcPr>
            <w:tcW w:w="786" w:type="dxa"/>
            <w:vAlign w:val="center"/>
          </w:tcPr>
          <w:p>
            <w:pPr>
              <w:jc w:val="center"/>
              <w:rPr>
                <w:rFonts w:hint="eastAsia" w:ascii="宋体" w:hAnsi="宋体" w:cs="宋体"/>
                <w:sz w:val="18"/>
                <w:szCs w:val="18"/>
              </w:rPr>
            </w:pPr>
            <w:r>
              <w:rPr>
                <w:rFonts w:hint="eastAsia" w:ascii="宋体" w:hAnsi="宋体" w:cs="宋体"/>
                <w:sz w:val="18"/>
                <w:szCs w:val="18"/>
              </w:rPr>
              <w:t>99.85</w:t>
            </w:r>
          </w:p>
        </w:tc>
        <w:tc>
          <w:tcPr>
            <w:tcW w:w="731" w:type="dxa"/>
            <w:vAlign w:val="center"/>
          </w:tcPr>
          <w:p>
            <w:pPr>
              <w:spacing w:line="360" w:lineRule="exact"/>
              <w:jc w:val="center"/>
              <w:rPr>
                <w:rFonts w:hint="eastAsia"/>
                <w:sz w:val="18"/>
                <w:szCs w:val="18"/>
              </w:rPr>
            </w:pPr>
            <w:r>
              <w:rPr>
                <w:rFonts w:hint="eastAsia"/>
                <w:sz w:val="18"/>
                <w:szCs w:val="18"/>
              </w:rPr>
              <w:t>30</w:t>
            </w:r>
          </w:p>
        </w:tc>
        <w:tc>
          <w:tcPr>
            <w:tcW w:w="928"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0.63</w:t>
            </w:r>
          </w:p>
        </w:tc>
        <w:tc>
          <w:tcPr>
            <w:tcW w:w="821"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0.86</w:t>
            </w:r>
          </w:p>
        </w:tc>
      </w:tr>
      <w:bookmarkEnd w:id="171"/>
      <w:bookmarkEnd w:id="172"/>
      <w:bookmarkEnd w:id="17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88" w:type="dxa"/>
            <w:vAlign w:val="center"/>
          </w:tcPr>
          <w:p>
            <w:pPr>
              <w:jc w:val="center"/>
              <w:rPr>
                <w:rFonts w:hint="eastAsia"/>
                <w:sz w:val="18"/>
                <w:szCs w:val="18"/>
              </w:rPr>
            </w:pPr>
            <w:r>
              <w:rPr>
                <w:rFonts w:hint="eastAsia"/>
                <w:sz w:val="18"/>
                <w:szCs w:val="18"/>
              </w:rPr>
              <w:t>2</w:t>
            </w:r>
          </w:p>
        </w:tc>
        <w:tc>
          <w:tcPr>
            <w:tcW w:w="1556" w:type="dxa"/>
            <w:vAlign w:val="center"/>
          </w:tcPr>
          <w:p>
            <w:pPr>
              <w:jc w:val="center"/>
              <w:rPr>
                <w:rFonts w:ascii="宋体" w:hAnsi="宋体" w:cs="宋体"/>
                <w:sz w:val="18"/>
                <w:szCs w:val="18"/>
              </w:rPr>
            </w:pPr>
            <w:r>
              <w:rPr>
                <w:rFonts w:hint="eastAsia"/>
                <w:sz w:val="18"/>
                <w:szCs w:val="18"/>
              </w:rPr>
              <w:t>石灰石均化</w:t>
            </w:r>
          </w:p>
        </w:tc>
        <w:tc>
          <w:tcPr>
            <w:tcW w:w="974"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8580</w:t>
            </w:r>
            <w:r>
              <w:rPr>
                <w:rFonts w:hint="eastAsia" w:ascii="宋体" w:hAnsi="宋体"/>
                <w:snapToGrid w:val="0"/>
                <w:kern w:val="0"/>
                <w:sz w:val="18"/>
                <w:szCs w:val="18"/>
              </w:rPr>
              <w:t>×</w:t>
            </w:r>
            <w:r>
              <w:rPr>
                <w:rFonts w:hint="eastAsia"/>
                <w:snapToGrid w:val="0"/>
                <w:kern w:val="0"/>
                <w:sz w:val="18"/>
                <w:szCs w:val="18"/>
              </w:rPr>
              <w:t>3</w:t>
            </w:r>
          </w:p>
        </w:tc>
        <w:tc>
          <w:tcPr>
            <w:tcW w:w="607"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粉尘</w:t>
            </w:r>
          </w:p>
        </w:tc>
        <w:tc>
          <w:tcPr>
            <w:tcW w:w="769"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3047</w:t>
            </w:r>
          </w:p>
        </w:tc>
        <w:tc>
          <w:tcPr>
            <w:tcW w:w="789" w:type="dxa"/>
            <w:vAlign w:val="center"/>
          </w:tcPr>
          <w:p>
            <w:pPr>
              <w:jc w:val="center"/>
              <w:rPr>
                <w:rFonts w:ascii="宋体" w:hAnsi="宋体" w:cs="宋体"/>
                <w:sz w:val="18"/>
                <w:szCs w:val="18"/>
              </w:rPr>
            </w:pPr>
            <w:r>
              <w:rPr>
                <w:rFonts w:hint="eastAsia"/>
                <w:sz w:val="18"/>
                <w:szCs w:val="18"/>
              </w:rPr>
              <w:t>15</w:t>
            </w:r>
          </w:p>
        </w:tc>
        <w:tc>
          <w:tcPr>
            <w:tcW w:w="789"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0.5</w:t>
            </w:r>
          </w:p>
        </w:tc>
        <w:tc>
          <w:tcPr>
            <w:tcW w:w="783"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20</w:t>
            </w:r>
          </w:p>
        </w:tc>
        <w:tc>
          <w:tcPr>
            <w:tcW w:w="708"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20</w:t>
            </w:r>
          </w:p>
        </w:tc>
        <w:tc>
          <w:tcPr>
            <w:tcW w:w="1020"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171.6</w:t>
            </w:r>
            <w:r>
              <w:rPr>
                <w:rFonts w:hint="eastAsia" w:ascii="宋体" w:hAnsi="宋体"/>
                <w:snapToGrid w:val="0"/>
                <w:kern w:val="0"/>
                <w:sz w:val="18"/>
                <w:szCs w:val="18"/>
              </w:rPr>
              <w:t>×</w:t>
            </w:r>
            <w:r>
              <w:rPr>
                <w:rFonts w:hint="eastAsia"/>
                <w:snapToGrid w:val="0"/>
                <w:kern w:val="0"/>
                <w:sz w:val="18"/>
                <w:szCs w:val="18"/>
              </w:rPr>
              <w:t>3</w:t>
            </w:r>
          </w:p>
        </w:tc>
        <w:tc>
          <w:tcPr>
            <w:tcW w:w="1122"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522.86</w:t>
            </w:r>
            <w:r>
              <w:rPr>
                <w:rFonts w:hint="eastAsia" w:ascii="宋体" w:hAnsi="宋体"/>
                <w:snapToGrid w:val="0"/>
                <w:kern w:val="0"/>
                <w:sz w:val="18"/>
                <w:szCs w:val="18"/>
              </w:rPr>
              <w:t>×</w:t>
            </w:r>
            <w:r>
              <w:rPr>
                <w:rFonts w:hint="eastAsia"/>
                <w:snapToGrid w:val="0"/>
                <w:kern w:val="0"/>
                <w:sz w:val="18"/>
                <w:szCs w:val="18"/>
              </w:rPr>
              <w:t>3</w:t>
            </w:r>
          </w:p>
        </w:tc>
        <w:tc>
          <w:tcPr>
            <w:tcW w:w="1483" w:type="dxa"/>
            <w:vAlign w:val="center"/>
          </w:tcPr>
          <w:p>
            <w:pPr>
              <w:jc w:val="center"/>
              <w:rPr>
                <w:rFonts w:ascii="宋体" w:hAnsi="宋体" w:cs="宋体"/>
                <w:sz w:val="18"/>
                <w:szCs w:val="18"/>
              </w:rPr>
            </w:pPr>
            <w:r>
              <w:rPr>
                <w:rFonts w:hint="eastAsia"/>
                <w:sz w:val="18"/>
                <w:szCs w:val="18"/>
              </w:rPr>
              <w:t>脉冲袋式除尘器</w:t>
            </w:r>
          </w:p>
        </w:tc>
        <w:tc>
          <w:tcPr>
            <w:tcW w:w="786" w:type="dxa"/>
            <w:vAlign w:val="center"/>
          </w:tcPr>
          <w:p>
            <w:pPr>
              <w:jc w:val="center"/>
              <w:rPr>
                <w:rFonts w:hint="eastAsia" w:ascii="宋体" w:hAnsi="宋体" w:cs="宋体"/>
                <w:sz w:val="18"/>
                <w:szCs w:val="18"/>
              </w:rPr>
            </w:pPr>
            <w:r>
              <w:rPr>
                <w:rFonts w:hint="eastAsia" w:ascii="宋体" w:hAnsi="宋体" w:cs="宋体"/>
                <w:sz w:val="18"/>
                <w:szCs w:val="18"/>
              </w:rPr>
              <w:t>99.85</w:t>
            </w:r>
          </w:p>
        </w:tc>
        <w:tc>
          <w:tcPr>
            <w:tcW w:w="731" w:type="dxa"/>
            <w:vAlign w:val="center"/>
          </w:tcPr>
          <w:p>
            <w:pPr>
              <w:spacing w:line="360" w:lineRule="exact"/>
              <w:jc w:val="center"/>
              <w:rPr>
                <w:rFonts w:hint="eastAsia"/>
                <w:sz w:val="18"/>
                <w:szCs w:val="18"/>
              </w:rPr>
            </w:pPr>
            <w:r>
              <w:rPr>
                <w:rFonts w:hint="eastAsia"/>
                <w:sz w:val="18"/>
                <w:szCs w:val="18"/>
              </w:rPr>
              <w:t>30</w:t>
            </w:r>
          </w:p>
        </w:tc>
        <w:tc>
          <w:tcPr>
            <w:tcW w:w="928"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0.26</w:t>
            </w:r>
            <w:r>
              <w:rPr>
                <w:rFonts w:hint="eastAsia" w:ascii="宋体" w:hAnsi="宋体"/>
                <w:snapToGrid w:val="0"/>
                <w:kern w:val="0"/>
                <w:sz w:val="18"/>
                <w:szCs w:val="18"/>
              </w:rPr>
              <w:t>×</w:t>
            </w:r>
            <w:r>
              <w:rPr>
                <w:rFonts w:hint="eastAsia"/>
                <w:snapToGrid w:val="0"/>
                <w:kern w:val="0"/>
                <w:sz w:val="18"/>
                <w:szCs w:val="18"/>
              </w:rPr>
              <w:t>3</w:t>
            </w:r>
          </w:p>
        </w:tc>
        <w:tc>
          <w:tcPr>
            <w:tcW w:w="821"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0.79</w:t>
            </w:r>
            <w:r>
              <w:rPr>
                <w:rFonts w:hint="eastAsia" w:ascii="宋体" w:hAnsi="宋体"/>
                <w:snapToGrid w:val="0"/>
                <w:kern w:val="0"/>
                <w:sz w:val="18"/>
                <w:szCs w:val="18"/>
              </w:rPr>
              <w:t>×</w:t>
            </w:r>
            <w:r>
              <w:rPr>
                <w:rFonts w:hint="eastAsia"/>
                <w:snapToGrid w:val="0"/>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88" w:type="dxa"/>
            <w:shd w:val="clear" w:color="auto" w:fill="auto"/>
            <w:vAlign w:val="center"/>
          </w:tcPr>
          <w:p>
            <w:pPr>
              <w:jc w:val="center"/>
              <w:rPr>
                <w:rFonts w:hint="eastAsia"/>
                <w:sz w:val="18"/>
                <w:szCs w:val="18"/>
              </w:rPr>
            </w:pPr>
            <w:r>
              <w:rPr>
                <w:rFonts w:hint="eastAsia"/>
                <w:sz w:val="18"/>
                <w:szCs w:val="18"/>
              </w:rPr>
              <w:t>3</w:t>
            </w:r>
          </w:p>
        </w:tc>
        <w:tc>
          <w:tcPr>
            <w:tcW w:w="1556" w:type="dxa"/>
            <w:shd w:val="clear" w:color="auto" w:fill="auto"/>
            <w:vAlign w:val="center"/>
          </w:tcPr>
          <w:p>
            <w:pPr>
              <w:jc w:val="center"/>
              <w:rPr>
                <w:rFonts w:ascii="宋体" w:hAnsi="宋体" w:cs="宋体"/>
                <w:sz w:val="18"/>
                <w:szCs w:val="18"/>
              </w:rPr>
            </w:pPr>
            <w:r>
              <w:rPr>
                <w:rFonts w:hint="eastAsia"/>
                <w:sz w:val="18"/>
                <w:szCs w:val="18"/>
              </w:rPr>
              <w:t>原煤均化及输送</w:t>
            </w:r>
          </w:p>
        </w:tc>
        <w:tc>
          <w:tcPr>
            <w:tcW w:w="974"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8580</w:t>
            </w:r>
            <w:r>
              <w:rPr>
                <w:rFonts w:hint="eastAsia" w:ascii="宋体" w:hAnsi="宋体"/>
                <w:snapToGrid w:val="0"/>
                <w:kern w:val="0"/>
                <w:sz w:val="18"/>
                <w:szCs w:val="18"/>
              </w:rPr>
              <w:t>×</w:t>
            </w:r>
            <w:r>
              <w:rPr>
                <w:rFonts w:hint="eastAsia"/>
                <w:snapToGrid w:val="0"/>
                <w:kern w:val="0"/>
                <w:sz w:val="18"/>
                <w:szCs w:val="18"/>
              </w:rPr>
              <w:t>3</w:t>
            </w:r>
          </w:p>
        </w:tc>
        <w:tc>
          <w:tcPr>
            <w:tcW w:w="607"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粉尘</w:t>
            </w:r>
          </w:p>
        </w:tc>
        <w:tc>
          <w:tcPr>
            <w:tcW w:w="769"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1623</w:t>
            </w:r>
          </w:p>
        </w:tc>
        <w:tc>
          <w:tcPr>
            <w:tcW w:w="789" w:type="dxa"/>
            <w:vAlign w:val="center"/>
          </w:tcPr>
          <w:p>
            <w:pPr>
              <w:jc w:val="center"/>
              <w:rPr>
                <w:rFonts w:ascii="宋体" w:hAnsi="宋体" w:cs="宋体"/>
                <w:sz w:val="18"/>
                <w:szCs w:val="18"/>
              </w:rPr>
            </w:pPr>
            <w:r>
              <w:rPr>
                <w:rFonts w:hint="eastAsia"/>
                <w:sz w:val="18"/>
                <w:szCs w:val="18"/>
              </w:rPr>
              <w:t>15</w:t>
            </w:r>
          </w:p>
        </w:tc>
        <w:tc>
          <w:tcPr>
            <w:tcW w:w="789"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0.5</w:t>
            </w:r>
          </w:p>
        </w:tc>
        <w:tc>
          <w:tcPr>
            <w:tcW w:w="783"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20</w:t>
            </w:r>
          </w:p>
        </w:tc>
        <w:tc>
          <w:tcPr>
            <w:tcW w:w="708"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20</w:t>
            </w:r>
          </w:p>
        </w:tc>
        <w:tc>
          <w:tcPr>
            <w:tcW w:w="1020"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171.6</w:t>
            </w:r>
            <w:r>
              <w:rPr>
                <w:rFonts w:hint="eastAsia" w:ascii="宋体" w:hAnsi="宋体"/>
                <w:snapToGrid w:val="0"/>
                <w:kern w:val="0"/>
                <w:sz w:val="18"/>
                <w:szCs w:val="18"/>
              </w:rPr>
              <w:t>×</w:t>
            </w:r>
            <w:r>
              <w:rPr>
                <w:rFonts w:hint="eastAsia"/>
                <w:snapToGrid w:val="0"/>
                <w:kern w:val="0"/>
                <w:sz w:val="18"/>
                <w:szCs w:val="18"/>
              </w:rPr>
              <w:t>3</w:t>
            </w:r>
          </w:p>
        </w:tc>
        <w:tc>
          <w:tcPr>
            <w:tcW w:w="1122"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278.51</w:t>
            </w:r>
            <w:r>
              <w:rPr>
                <w:rFonts w:hint="eastAsia" w:ascii="宋体" w:hAnsi="宋体"/>
                <w:snapToGrid w:val="0"/>
                <w:kern w:val="0"/>
                <w:sz w:val="18"/>
                <w:szCs w:val="18"/>
              </w:rPr>
              <w:t>×</w:t>
            </w:r>
            <w:r>
              <w:rPr>
                <w:rFonts w:hint="eastAsia"/>
                <w:snapToGrid w:val="0"/>
                <w:kern w:val="0"/>
                <w:sz w:val="18"/>
                <w:szCs w:val="18"/>
              </w:rPr>
              <w:t>3</w:t>
            </w:r>
          </w:p>
        </w:tc>
        <w:tc>
          <w:tcPr>
            <w:tcW w:w="1483" w:type="dxa"/>
            <w:vAlign w:val="center"/>
          </w:tcPr>
          <w:p>
            <w:pPr>
              <w:jc w:val="center"/>
              <w:rPr>
                <w:rFonts w:ascii="宋体" w:hAnsi="宋体" w:cs="宋体"/>
                <w:sz w:val="18"/>
                <w:szCs w:val="18"/>
              </w:rPr>
            </w:pPr>
            <w:r>
              <w:rPr>
                <w:rFonts w:hint="eastAsia"/>
                <w:sz w:val="18"/>
                <w:szCs w:val="18"/>
              </w:rPr>
              <w:t>单机布袋除尘器</w:t>
            </w:r>
          </w:p>
        </w:tc>
        <w:tc>
          <w:tcPr>
            <w:tcW w:w="786" w:type="dxa"/>
            <w:vAlign w:val="center"/>
          </w:tcPr>
          <w:p>
            <w:pPr>
              <w:jc w:val="center"/>
              <w:rPr>
                <w:rFonts w:ascii="宋体" w:hAnsi="宋体" w:cs="宋体"/>
                <w:sz w:val="18"/>
                <w:szCs w:val="18"/>
              </w:rPr>
            </w:pPr>
            <w:r>
              <w:rPr>
                <w:rFonts w:hint="eastAsia" w:ascii="宋体" w:hAnsi="宋体" w:cs="宋体"/>
                <w:sz w:val="18"/>
                <w:szCs w:val="18"/>
              </w:rPr>
              <w:t>99.85</w:t>
            </w:r>
          </w:p>
        </w:tc>
        <w:tc>
          <w:tcPr>
            <w:tcW w:w="731" w:type="dxa"/>
            <w:vAlign w:val="center"/>
          </w:tcPr>
          <w:p>
            <w:pPr>
              <w:spacing w:line="360" w:lineRule="exact"/>
              <w:jc w:val="center"/>
              <w:rPr>
                <w:rFonts w:hint="eastAsia"/>
                <w:sz w:val="18"/>
                <w:szCs w:val="18"/>
              </w:rPr>
            </w:pPr>
            <w:r>
              <w:rPr>
                <w:rFonts w:hint="eastAsia"/>
                <w:sz w:val="18"/>
                <w:szCs w:val="18"/>
              </w:rPr>
              <w:t>30</w:t>
            </w:r>
          </w:p>
        </w:tc>
        <w:tc>
          <w:tcPr>
            <w:tcW w:w="928"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0.26</w:t>
            </w:r>
            <w:r>
              <w:rPr>
                <w:rFonts w:hint="eastAsia" w:ascii="宋体" w:hAnsi="宋体"/>
                <w:snapToGrid w:val="0"/>
                <w:kern w:val="0"/>
                <w:sz w:val="18"/>
                <w:szCs w:val="18"/>
              </w:rPr>
              <w:t>×</w:t>
            </w:r>
            <w:r>
              <w:rPr>
                <w:rFonts w:hint="eastAsia"/>
                <w:snapToGrid w:val="0"/>
                <w:kern w:val="0"/>
                <w:sz w:val="18"/>
                <w:szCs w:val="18"/>
              </w:rPr>
              <w:t>3</w:t>
            </w:r>
          </w:p>
        </w:tc>
        <w:tc>
          <w:tcPr>
            <w:tcW w:w="821"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0.42</w:t>
            </w:r>
            <w:r>
              <w:rPr>
                <w:rFonts w:hint="eastAsia" w:ascii="宋体" w:hAnsi="宋体"/>
                <w:snapToGrid w:val="0"/>
                <w:kern w:val="0"/>
                <w:sz w:val="18"/>
                <w:szCs w:val="18"/>
              </w:rPr>
              <w:t>×</w:t>
            </w:r>
            <w:r>
              <w:rPr>
                <w:rFonts w:hint="eastAsia"/>
                <w:snapToGrid w:val="0"/>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88" w:type="dxa"/>
            <w:shd w:val="clear" w:color="auto" w:fill="auto"/>
            <w:vAlign w:val="center"/>
          </w:tcPr>
          <w:p>
            <w:pPr>
              <w:jc w:val="center"/>
              <w:rPr>
                <w:rFonts w:hint="eastAsia"/>
                <w:sz w:val="18"/>
                <w:szCs w:val="18"/>
              </w:rPr>
            </w:pPr>
            <w:r>
              <w:rPr>
                <w:rFonts w:hint="eastAsia"/>
                <w:sz w:val="18"/>
                <w:szCs w:val="18"/>
              </w:rPr>
              <w:t>4</w:t>
            </w:r>
          </w:p>
        </w:tc>
        <w:tc>
          <w:tcPr>
            <w:tcW w:w="1556" w:type="dxa"/>
            <w:shd w:val="clear" w:color="auto" w:fill="auto"/>
            <w:vAlign w:val="center"/>
          </w:tcPr>
          <w:p>
            <w:pPr>
              <w:jc w:val="center"/>
              <w:rPr>
                <w:sz w:val="18"/>
                <w:szCs w:val="18"/>
              </w:rPr>
            </w:pPr>
            <w:r>
              <w:rPr>
                <w:rFonts w:hint="eastAsia"/>
                <w:sz w:val="18"/>
                <w:szCs w:val="18"/>
              </w:rPr>
              <w:t>辅料均化及输送</w:t>
            </w:r>
          </w:p>
        </w:tc>
        <w:tc>
          <w:tcPr>
            <w:tcW w:w="974" w:type="dxa"/>
            <w:vAlign w:val="center"/>
          </w:tcPr>
          <w:p>
            <w:pPr>
              <w:snapToGrid w:val="0"/>
              <w:spacing w:line="360" w:lineRule="exact"/>
              <w:jc w:val="center"/>
              <w:rPr>
                <w:rFonts w:hint="eastAsia"/>
                <w:sz w:val="18"/>
                <w:szCs w:val="18"/>
              </w:rPr>
            </w:pPr>
            <w:r>
              <w:rPr>
                <w:rFonts w:hint="eastAsia"/>
                <w:sz w:val="18"/>
                <w:szCs w:val="18"/>
              </w:rPr>
              <w:t>8580×3</w:t>
            </w:r>
          </w:p>
        </w:tc>
        <w:tc>
          <w:tcPr>
            <w:tcW w:w="607" w:type="dxa"/>
            <w:vAlign w:val="center"/>
          </w:tcPr>
          <w:p>
            <w:pPr>
              <w:snapToGrid w:val="0"/>
              <w:spacing w:line="360" w:lineRule="exact"/>
              <w:jc w:val="center"/>
              <w:rPr>
                <w:rFonts w:hint="eastAsia"/>
                <w:sz w:val="18"/>
                <w:szCs w:val="18"/>
              </w:rPr>
            </w:pPr>
            <w:r>
              <w:rPr>
                <w:rFonts w:hint="eastAsia"/>
                <w:sz w:val="18"/>
                <w:szCs w:val="18"/>
              </w:rPr>
              <w:t>粉尘</w:t>
            </w:r>
          </w:p>
        </w:tc>
        <w:tc>
          <w:tcPr>
            <w:tcW w:w="769" w:type="dxa"/>
            <w:vAlign w:val="center"/>
          </w:tcPr>
          <w:p>
            <w:pPr>
              <w:snapToGrid w:val="0"/>
              <w:spacing w:line="360" w:lineRule="exact"/>
              <w:jc w:val="center"/>
              <w:rPr>
                <w:rFonts w:hint="eastAsia"/>
                <w:sz w:val="18"/>
                <w:szCs w:val="18"/>
              </w:rPr>
            </w:pPr>
            <w:r>
              <w:rPr>
                <w:rFonts w:hint="eastAsia"/>
                <w:sz w:val="18"/>
                <w:szCs w:val="18"/>
              </w:rPr>
              <w:t>1649</w:t>
            </w:r>
          </w:p>
        </w:tc>
        <w:tc>
          <w:tcPr>
            <w:tcW w:w="789" w:type="dxa"/>
            <w:vAlign w:val="center"/>
          </w:tcPr>
          <w:p>
            <w:pPr>
              <w:jc w:val="center"/>
              <w:rPr>
                <w:sz w:val="18"/>
                <w:szCs w:val="18"/>
              </w:rPr>
            </w:pPr>
            <w:r>
              <w:rPr>
                <w:rFonts w:hint="eastAsia"/>
                <w:sz w:val="18"/>
                <w:szCs w:val="18"/>
              </w:rPr>
              <w:t>15</w:t>
            </w:r>
          </w:p>
        </w:tc>
        <w:tc>
          <w:tcPr>
            <w:tcW w:w="789" w:type="dxa"/>
            <w:vAlign w:val="center"/>
          </w:tcPr>
          <w:p>
            <w:pPr>
              <w:snapToGrid w:val="0"/>
              <w:spacing w:line="360" w:lineRule="exact"/>
              <w:jc w:val="center"/>
              <w:rPr>
                <w:rFonts w:hint="eastAsia"/>
                <w:sz w:val="18"/>
                <w:szCs w:val="18"/>
              </w:rPr>
            </w:pPr>
            <w:r>
              <w:rPr>
                <w:rFonts w:hint="eastAsia"/>
                <w:sz w:val="18"/>
                <w:szCs w:val="18"/>
              </w:rPr>
              <w:t>0.5</w:t>
            </w:r>
          </w:p>
        </w:tc>
        <w:tc>
          <w:tcPr>
            <w:tcW w:w="783" w:type="dxa"/>
            <w:vAlign w:val="center"/>
          </w:tcPr>
          <w:p>
            <w:pPr>
              <w:snapToGrid w:val="0"/>
              <w:spacing w:line="360" w:lineRule="exact"/>
              <w:jc w:val="center"/>
              <w:rPr>
                <w:rFonts w:hint="eastAsia"/>
                <w:sz w:val="18"/>
                <w:szCs w:val="18"/>
              </w:rPr>
            </w:pPr>
            <w:r>
              <w:rPr>
                <w:rFonts w:hint="eastAsia"/>
                <w:sz w:val="18"/>
                <w:szCs w:val="18"/>
              </w:rPr>
              <w:t>20</w:t>
            </w:r>
          </w:p>
        </w:tc>
        <w:tc>
          <w:tcPr>
            <w:tcW w:w="708" w:type="dxa"/>
            <w:vAlign w:val="center"/>
          </w:tcPr>
          <w:p>
            <w:pPr>
              <w:snapToGrid w:val="0"/>
              <w:spacing w:line="360" w:lineRule="exact"/>
              <w:jc w:val="center"/>
              <w:rPr>
                <w:rFonts w:hint="eastAsia"/>
                <w:sz w:val="18"/>
                <w:szCs w:val="18"/>
              </w:rPr>
            </w:pPr>
            <w:r>
              <w:rPr>
                <w:rFonts w:hint="eastAsia"/>
                <w:sz w:val="18"/>
                <w:szCs w:val="18"/>
              </w:rPr>
              <w:t>20</w:t>
            </w:r>
          </w:p>
        </w:tc>
        <w:tc>
          <w:tcPr>
            <w:tcW w:w="1020" w:type="dxa"/>
            <w:vAlign w:val="center"/>
          </w:tcPr>
          <w:p>
            <w:pPr>
              <w:snapToGrid w:val="0"/>
              <w:spacing w:line="360" w:lineRule="exact"/>
              <w:jc w:val="center"/>
              <w:rPr>
                <w:rFonts w:hint="eastAsia"/>
                <w:sz w:val="18"/>
                <w:szCs w:val="18"/>
              </w:rPr>
            </w:pPr>
            <w:r>
              <w:rPr>
                <w:rFonts w:hint="eastAsia"/>
                <w:snapToGrid w:val="0"/>
                <w:kern w:val="0"/>
                <w:sz w:val="18"/>
                <w:szCs w:val="18"/>
              </w:rPr>
              <w:t>171.6</w:t>
            </w:r>
            <w:r>
              <w:rPr>
                <w:rFonts w:hint="eastAsia" w:ascii="宋体" w:hAnsi="宋体"/>
                <w:snapToGrid w:val="0"/>
                <w:kern w:val="0"/>
                <w:sz w:val="18"/>
                <w:szCs w:val="18"/>
              </w:rPr>
              <w:t>×</w:t>
            </w:r>
            <w:r>
              <w:rPr>
                <w:rFonts w:hint="eastAsia"/>
                <w:snapToGrid w:val="0"/>
                <w:kern w:val="0"/>
                <w:sz w:val="18"/>
                <w:szCs w:val="18"/>
              </w:rPr>
              <w:t>3</w:t>
            </w:r>
          </w:p>
        </w:tc>
        <w:tc>
          <w:tcPr>
            <w:tcW w:w="1122" w:type="dxa"/>
            <w:vAlign w:val="center"/>
          </w:tcPr>
          <w:p>
            <w:pPr>
              <w:snapToGrid w:val="0"/>
              <w:spacing w:line="360" w:lineRule="exact"/>
              <w:jc w:val="center"/>
              <w:rPr>
                <w:rFonts w:hint="eastAsia"/>
                <w:sz w:val="18"/>
                <w:szCs w:val="18"/>
              </w:rPr>
            </w:pPr>
            <w:r>
              <w:rPr>
                <w:rFonts w:hint="eastAsia"/>
                <w:sz w:val="18"/>
                <w:szCs w:val="18"/>
              </w:rPr>
              <w:t>282.97</w:t>
            </w:r>
            <w:r>
              <w:rPr>
                <w:rFonts w:hint="eastAsia" w:ascii="宋体" w:hAnsi="宋体"/>
                <w:snapToGrid w:val="0"/>
                <w:kern w:val="0"/>
                <w:sz w:val="18"/>
                <w:szCs w:val="18"/>
              </w:rPr>
              <w:t>×</w:t>
            </w:r>
            <w:r>
              <w:rPr>
                <w:rFonts w:hint="eastAsia"/>
                <w:snapToGrid w:val="0"/>
                <w:kern w:val="0"/>
                <w:sz w:val="18"/>
                <w:szCs w:val="18"/>
              </w:rPr>
              <w:t>3</w:t>
            </w:r>
          </w:p>
        </w:tc>
        <w:tc>
          <w:tcPr>
            <w:tcW w:w="1483" w:type="dxa"/>
            <w:vAlign w:val="center"/>
          </w:tcPr>
          <w:p>
            <w:pPr>
              <w:jc w:val="center"/>
              <w:rPr>
                <w:rFonts w:ascii="宋体" w:hAnsi="宋体" w:cs="宋体"/>
                <w:sz w:val="18"/>
                <w:szCs w:val="18"/>
              </w:rPr>
            </w:pPr>
            <w:r>
              <w:rPr>
                <w:rFonts w:hint="eastAsia"/>
                <w:sz w:val="18"/>
                <w:szCs w:val="18"/>
              </w:rPr>
              <w:t>单机布袋除尘器</w:t>
            </w:r>
          </w:p>
        </w:tc>
        <w:tc>
          <w:tcPr>
            <w:tcW w:w="786" w:type="dxa"/>
            <w:vAlign w:val="center"/>
          </w:tcPr>
          <w:p>
            <w:pPr>
              <w:jc w:val="center"/>
              <w:rPr>
                <w:rFonts w:ascii="宋体" w:hAnsi="宋体" w:cs="宋体"/>
                <w:sz w:val="18"/>
                <w:szCs w:val="18"/>
              </w:rPr>
            </w:pPr>
            <w:r>
              <w:rPr>
                <w:rFonts w:hint="eastAsia" w:ascii="宋体" w:hAnsi="宋体" w:cs="宋体"/>
                <w:sz w:val="18"/>
                <w:szCs w:val="18"/>
              </w:rPr>
              <w:t>99.85</w:t>
            </w:r>
          </w:p>
        </w:tc>
        <w:tc>
          <w:tcPr>
            <w:tcW w:w="731" w:type="dxa"/>
            <w:vAlign w:val="center"/>
          </w:tcPr>
          <w:p>
            <w:pPr>
              <w:spacing w:line="360" w:lineRule="exact"/>
              <w:jc w:val="center"/>
              <w:rPr>
                <w:rFonts w:hint="eastAsia"/>
                <w:sz w:val="18"/>
                <w:szCs w:val="18"/>
              </w:rPr>
            </w:pPr>
            <w:r>
              <w:rPr>
                <w:rFonts w:hint="eastAsia"/>
                <w:sz w:val="18"/>
                <w:szCs w:val="18"/>
              </w:rPr>
              <w:t>30</w:t>
            </w:r>
          </w:p>
        </w:tc>
        <w:tc>
          <w:tcPr>
            <w:tcW w:w="928" w:type="dxa"/>
            <w:vAlign w:val="center"/>
          </w:tcPr>
          <w:p>
            <w:pPr>
              <w:snapToGrid w:val="0"/>
              <w:spacing w:line="360" w:lineRule="exact"/>
              <w:jc w:val="center"/>
              <w:rPr>
                <w:rFonts w:hint="eastAsia"/>
                <w:sz w:val="18"/>
                <w:szCs w:val="18"/>
              </w:rPr>
            </w:pPr>
            <w:r>
              <w:rPr>
                <w:rFonts w:hint="eastAsia"/>
                <w:sz w:val="18"/>
                <w:szCs w:val="18"/>
              </w:rPr>
              <w:t>0.26×3</w:t>
            </w:r>
          </w:p>
        </w:tc>
        <w:tc>
          <w:tcPr>
            <w:tcW w:w="821"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0.43</w:t>
            </w:r>
            <w:r>
              <w:rPr>
                <w:rFonts w:hint="eastAsia" w:ascii="宋体" w:hAnsi="宋体"/>
                <w:snapToGrid w:val="0"/>
                <w:kern w:val="0"/>
                <w:sz w:val="18"/>
                <w:szCs w:val="18"/>
              </w:rPr>
              <w:t>×</w:t>
            </w:r>
            <w:r>
              <w:rPr>
                <w:rFonts w:hint="eastAsia"/>
                <w:snapToGrid w:val="0"/>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88" w:type="dxa"/>
            <w:shd w:val="clear" w:color="auto" w:fill="auto"/>
            <w:vAlign w:val="center"/>
          </w:tcPr>
          <w:p>
            <w:pPr>
              <w:jc w:val="center"/>
              <w:rPr>
                <w:rFonts w:hint="eastAsia"/>
                <w:sz w:val="18"/>
                <w:szCs w:val="18"/>
              </w:rPr>
            </w:pPr>
            <w:r>
              <w:rPr>
                <w:rFonts w:hint="eastAsia"/>
                <w:sz w:val="18"/>
                <w:szCs w:val="18"/>
              </w:rPr>
              <w:t>5</w:t>
            </w:r>
          </w:p>
        </w:tc>
        <w:tc>
          <w:tcPr>
            <w:tcW w:w="1556" w:type="dxa"/>
            <w:shd w:val="clear" w:color="auto" w:fill="auto"/>
            <w:vAlign w:val="center"/>
          </w:tcPr>
          <w:p>
            <w:pPr>
              <w:jc w:val="center"/>
              <w:rPr>
                <w:sz w:val="18"/>
                <w:szCs w:val="18"/>
              </w:rPr>
            </w:pPr>
            <w:r>
              <w:rPr>
                <w:rFonts w:hint="eastAsia"/>
                <w:sz w:val="18"/>
                <w:szCs w:val="18"/>
              </w:rPr>
              <w:t>原料配料库顶</w:t>
            </w:r>
          </w:p>
        </w:tc>
        <w:tc>
          <w:tcPr>
            <w:tcW w:w="974" w:type="dxa"/>
            <w:vAlign w:val="center"/>
          </w:tcPr>
          <w:p>
            <w:pPr>
              <w:snapToGrid w:val="0"/>
              <w:spacing w:line="360" w:lineRule="exact"/>
              <w:jc w:val="center"/>
              <w:rPr>
                <w:sz w:val="18"/>
                <w:szCs w:val="18"/>
              </w:rPr>
            </w:pPr>
            <w:r>
              <w:rPr>
                <w:rFonts w:hint="eastAsia"/>
                <w:sz w:val="18"/>
                <w:szCs w:val="18"/>
              </w:rPr>
              <w:t>6700×4</w:t>
            </w:r>
          </w:p>
        </w:tc>
        <w:tc>
          <w:tcPr>
            <w:tcW w:w="607" w:type="dxa"/>
            <w:vAlign w:val="center"/>
          </w:tcPr>
          <w:p>
            <w:pPr>
              <w:snapToGrid w:val="0"/>
              <w:spacing w:line="360" w:lineRule="exact"/>
              <w:jc w:val="center"/>
              <w:rPr>
                <w:rFonts w:hint="eastAsia"/>
                <w:sz w:val="18"/>
                <w:szCs w:val="18"/>
              </w:rPr>
            </w:pPr>
            <w:r>
              <w:rPr>
                <w:rFonts w:hint="eastAsia"/>
                <w:sz w:val="18"/>
                <w:szCs w:val="18"/>
              </w:rPr>
              <w:t>粉尘</w:t>
            </w:r>
          </w:p>
        </w:tc>
        <w:tc>
          <w:tcPr>
            <w:tcW w:w="769" w:type="dxa"/>
            <w:vAlign w:val="center"/>
          </w:tcPr>
          <w:p>
            <w:pPr>
              <w:snapToGrid w:val="0"/>
              <w:spacing w:line="360" w:lineRule="exact"/>
              <w:jc w:val="center"/>
              <w:rPr>
                <w:rFonts w:hint="eastAsia"/>
                <w:sz w:val="18"/>
                <w:szCs w:val="18"/>
              </w:rPr>
            </w:pPr>
            <w:r>
              <w:rPr>
                <w:rFonts w:hint="eastAsia"/>
                <w:sz w:val="18"/>
                <w:szCs w:val="18"/>
              </w:rPr>
              <w:t>5583</w:t>
            </w:r>
          </w:p>
        </w:tc>
        <w:tc>
          <w:tcPr>
            <w:tcW w:w="789" w:type="dxa"/>
            <w:vAlign w:val="center"/>
          </w:tcPr>
          <w:p>
            <w:pPr>
              <w:jc w:val="center"/>
              <w:rPr>
                <w:sz w:val="18"/>
                <w:szCs w:val="18"/>
              </w:rPr>
            </w:pPr>
            <w:r>
              <w:rPr>
                <w:rFonts w:hint="eastAsia"/>
                <w:sz w:val="18"/>
                <w:szCs w:val="18"/>
              </w:rPr>
              <w:t>30</w:t>
            </w:r>
          </w:p>
        </w:tc>
        <w:tc>
          <w:tcPr>
            <w:tcW w:w="789" w:type="dxa"/>
            <w:vAlign w:val="center"/>
          </w:tcPr>
          <w:p>
            <w:pPr>
              <w:snapToGrid w:val="0"/>
              <w:spacing w:line="360" w:lineRule="exact"/>
              <w:jc w:val="center"/>
              <w:rPr>
                <w:rFonts w:hint="eastAsia"/>
                <w:sz w:val="18"/>
                <w:szCs w:val="18"/>
              </w:rPr>
            </w:pPr>
            <w:r>
              <w:rPr>
                <w:rFonts w:hint="eastAsia"/>
                <w:sz w:val="18"/>
                <w:szCs w:val="18"/>
              </w:rPr>
              <w:t>0.45</w:t>
            </w:r>
          </w:p>
        </w:tc>
        <w:tc>
          <w:tcPr>
            <w:tcW w:w="783" w:type="dxa"/>
            <w:vAlign w:val="center"/>
          </w:tcPr>
          <w:p>
            <w:pPr>
              <w:snapToGrid w:val="0"/>
              <w:spacing w:line="360" w:lineRule="exact"/>
              <w:jc w:val="center"/>
              <w:rPr>
                <w:rFonts w:hint="eastAsia"/>
                <w:sz w:val="18"/>
                <w:szCs w:val="18"/>
              </w:rPr>
            </w:pPr>
            <w:r>
              <w:rPr>
                <w:rFonts w:hint="eastAsia"/>
                <w:sz w:val="18"/>
                <w:szCs w:val="18"/>
              </w:rPr>
              <w:t>20</w:t>
            </w:r>
          </w:p>
        </w:tc>
        <w:tc>
          <w:tcPr>
            <w:tcW w:w="708" w:type="dxa"/>
            <w:vAlign w:val="center"/>
          </w:tcPr>
          <w:p>
            <w:pPr>
              <w:snapToGrid w:val="0"/>
              <w:spacing w:line="360" w:lineRule="exact"/>
              <w:jc w:val="center"/>
              <w:rPr>
                <w:rFonts w:hint="eastAsia"/>
                <w:sz w:val="18"/>
                <w:szCs w:val="18"/>
              </w:rPr>
            </w:pPr>
            <w:r>
              <w:rPr>
                <w:rFonts w:hint="eastAsia"/>
                <w:sz w:val="18"/>
                <w:szCs w:val="18"/>
              </w:rPr>
              <w:t>8</w:t>
            </w:r>
          </w:p>
        </w:tc>
        <w:tc>
          <w:tcPr>
            <w:tcW w:w="1020" w:type="dxa"/>
            <w:vAlign w:val="center"/>
          </w:tcPr>
          <w:p>
            <w:pPr>
              <w:snapToGrid w:val="0"/>
              <w:spacing w:line="360" w:lineRule="exact"/>
              <w:jc w:val="center"/>
              <w:rPr>
                <w:rFonts w:hint="eastAsia"/>
                <w:sz w:val="18"/>
                <w:szCs w:val="18"/>
              </w:rPr>
            </w:pPr>
            <w:r>
              <w:rPr>
                <w:rFonts w:hint="eastAsia"/>
                <w:snapToGrid w:val="0"/>
                <w:kern w:val="0"/>
                <w:sz w:val="18"/>
                <w:szCs w:val="18"/>
              </w:rPr>
              <w:t>53.6</w:t>
            </w:r>
            <w:r>
              <w:rPr>
                <w:rFonts w:hint="eastAsia" w:ascii="宋体" w:hAnsi="宋体"/>
                <w:snapToGrid w:val="0"/>
                <w:kern w:val="0"/>
                <w:sz w:val="18"/>
                <w:szCs w:val="18"/>
              </w:rPr>
              <w:t>×</w:t>
            </w:r>
            <w:r>
              <w:rPr>
                <w:rFonts w:hint="eastAsia"/>
                <w:snapToGrid w:val="0"/>
                <w:kern w:val="0"/>
                <w:sz w:val="18"/>
                <w:szCs w:val="18"/>
              </w:rPr>
              <w:t>4</w:t>
            </w:r>
          </w:p>
        </w:tc>
        <w:tc>
          <w:tcPr>
            <w:tcW w:w="1122" w:type="dxa"/>
            <w:vAlign w:val="center"/>
          </w:tcPr>
          <w:p>
            <w:pPr>
              <w:snapToGrid w:val="0"/>
              <w:spacing w:line="360" w:lineRule="exact"/>
              <w:jc w:val="center"/>
              <w:rPr>
                <w:rFonts w:hint="eastAsia"/>
                <w:sz w:val="18"/>
                <w:szCs w:val="18"/>
              </w:rPr>
            </w:pPr>
            <w:r>
              <w:rPr>
                <w:rFonts w:hint="eastAsia"/>
                <w:sz w:val="18"/>
                <w:szCs w:val="18"/>
              </w:rPr>
              <w:t>299.25</w:t>
            </w:r>
            <w:r>
              <w:rPr>
                <w:rFonts w:hint="eastAsia" w:ascii="宋体" w:hAnsi="宋体"/>
                <w:snapToGrid w:val="0"/>
                <w:kern w:val="0"/>
                <w:sz w:val="18"/>
                <w:szCs w:val="18"/>
              </w:rPr>
              <w:t>×</w:t>
            </w:r>
            <w:r>
              <w:rPr>
                <w:rFonts w:hint="eastAsia"/>
                <w:snapToGrid w:val="0"/>
                <w:kern w:val="0"/>
                <w:sz w:val="18"/>
                <w:szCs w:val="18"/>
              </w:rPr>
              <w:t>4</w:t>
            </w:r>
          </w:p>
        </w:tc>
        <w:tc>
          <w:tcPr>
            <w:tcW w:w="1483" w:type="dxa"/>
            <w:vAlign w:val="center"/>
          </w:tcPr>
          <w:p>
            <w:pPr>
              <w:jc w:val="center"/>
              <w:rPr>
                <w:sz w:val="18"/>
                <w:szCs w:val="18"/>
              </w:rPr>
            </w:pPr>
            <w:r>
              <w:rPr>
                <w:rFonts w:hint="eastAsia"/>
                <w:sz w:val="18"/>
                <w:szCs w:val="18"/>
              </w:rPr>
              <w:t>脉冲袋式除尘器</w:t>
            </w:r>
          </w:p>
        </w:tc>
        <w:tc>
          <w:tcPr>
            <w:tcW w:w="786" w:type="dxa"/>
            <w:vAlign w:val="center"/>
          </w:tcPr>
          <w:p>
            <w:pPr>
              <w:jc w:val="center"/>
              <w:rPr>
                <w:rFonts w:hint="eastAsia"/>
                <w:sz w:val="18"/>
                <w:szCs w:val="18"/>
              </w:rPr>
            </w:pPr>
            <w:r>
              <w:rPr>
                <w:rFonts w:hint="eastAsia"/>
                <w:sz w:val="18"/>
                <w:szCs w:val="18"/>
              </w:rPr>
              <w:t>99.62</w:t>
            </w:r>
          </w:p>
        </w:tc>
        <w:tc>
          <w:tcPr>
            <w:tcW w:w="731" w:type="dxa"/>
            <w:vAlign w:val="center"/>
          </w:tcPr>
          <w:p>
            <w:pPr>
              <w:spacing w:line="360" w:lineRule="exact"/>
              <w:jc w:val="center"/>
              <w:rPr>
                <w:rFonts w:hint="eastAsia"/>
                <w:sz w:val="18"/>
                <w:szCs w:val="18"/>
              </w:rPr>
            </w:pPr>
            <w:r>
              <w:rPr>
                <w:rFonts w:hint="eastAsia"/>
                <w:sz w:val="18"/>
                <w:szCs w:val="18"/>
              </w:rPr>
              <w:t>30</w:t>
            </w:r>
          </w:p>
        </w:tc>
        <w:tc>
          <w:tcPr>
            <w:tcW w:w="928" w:type="dxa"/>
            <w:vAlign w:val="center"/>
          </w:tcPr>
          <w:p>
            <w:pPr>
              <w:snapToGrid w:val="0"/>
              <w:spacing w:line="360" w:lineRule="exact"/>
              <w:jc w:val="center"/>
              <w:rPr>
                <w:rFonts w:hint="eastAsia"/>
                <w:sz w:val="18"/>
                <w:szCs w:val="18"/>
              </w:rPr>
            </w:pPr>
            <w:r>
              <w:rPr>
                <w:rFonts w:hint="eastAsia"/>
                <w:sz w:val="18"/>
                <w:szCs w:val="18"/>
              </w:rPr>
              <w:t>0.2×4</w:t>
            </w:r>
          </w:p>
        </w:tc>
        <w:tc>
          <w:tcPr>
            <w:tcW w:w="821" w:type="dxa"/>
            <w:vAlign w:val="center"/>
          </w:tcPr>
          <w:p>
            <w:pPr>
              <w:snapToGrid w:val="0"/>
              <w:spacing w:line="360" w:lineRule="exact"/>
              <w:jc w:val="center"/>
              <w:rPr>
                <w:rFonts w:hint="eastAsia"/>
                <w:sz w:val="18"/>
                <w:szCs w:val="18"/>
              </w:rPr>
            </w:pPr>
            <w:r>
              <w:rPr>
                <w:rFonts w:hint="eastAsia"/>
                <w:sz w:val="18"/>
                <w:szCs w:val="18"/>
              </w:rPr>
              <w:t>1.12×4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88" w:type="dxa"/>
            <w:shd w:val="clear" w:color="auto" w:fill="auto"/>
            <w:vAlign w:val="center"/>
          </w:tcPr>
          <w:p>
            <w:pPr>
              <w:jc w:val="center"/>
              <w:rPr>
                <w:rFonts w:hint="eastAsia"/>
                <w:sz w:val="18"/>
                <w:szCs w:val="18"/>
              </w:rPr>
            </w:pPr>
            <w:r>
              <w:rPr>
                <w:rFonts w:hint="eastAsia"/>
                <w:sz w:val="18"/>
                <w:szCs w:val="18"/>
              </w:rPr>
              <w:t>6</w:t>
            </w:r>
          </w:p>
        </w:tc>
        <w:tc>
          <w:tcPr>
            <w:tcW w:w="1556" w:type="dxa"/>
            <w:shd w:val="clear" w:color="auto" w:fill="auto"/>
            <w:vAlign w:val="center"/>
          </w:tcPr>
          <w:p>
            <w:pPr>
              <w:jc w:val="center"/>
              <w:rPr>
                <w:sz w:val="18"/>
                <w:szCs w:val="18"/>
              </w:rPr>
            </w:pPr>
            <w:r>
              <w:rPr>
                <w:rFonts w:hint="eastAsia"/>
                <w:sz w:val="18"/>
                <w:szCs w:val="18"/>
              </w:rPr>
              <w:t>原料配料库底</w:t>
            </w:r>
          </w:p>
        </w:tc>
        <w:tc>
          <w:tcPr>
            <w:tcW w:w="974" w:type="dxa"/>
            <w:vAlign w:val="center"/>
          </w:tcPr>
          <w:p>
            <w:pPr>
              <w:snapToGrid w:val="0"/>
              <w:spacing w:line="360" w:lineRule="exact"/>
              <w:jc w:val="center"/>
              <w:rPr>
                <w:sz w:val="18"/>
                <w:szCs w:val="18"/>
              </w:rPr>
            </w:pPr>
            <w:r>
              <w:rPr>
                <w:rFonts w:hint="eastAsia"/>
                <w:sz w:val="18"/>
                <w:szCs w:val="18"/>
              </w:rPr>
              <w:t>6700×4</w:t>
            </w:r>
          </w:p>
        </w:tc>
        <w:tc>
          <w:tcPr>
            <w:tcW w:w="607" w:type="dxa"/>
            <w:vAlign w:val="center"/>
          </w:tcPr>
          <w:p>
            <w:pPr>
              <w:snapToGrid w:val="0"/>
              <w:spacing w:line="360" w:lineRule="exact"/>
              <w:jc w:val="center"/>
              <w:rPr>
                <w:rFonts w:hint="eastAsia"/>
                <w:sz w:val="18"/>
                <w:szCs w:val="18"/>
              </w:rPr>
            </w:pPr>
            <w:r>
              <w:rPr>
                <w:rFonts w:hint="eastAsia"/>
                <w:sz w:val="18"/>
                <w:szCs w:val="18"/>
              </w:rPr>
              <w:t>粉尘</w:t>
            </w:r>
          </w:p>
        </w:tc>
        <w:tc>
          <w:tcPr>
            <w:tcW w:w="769" w:type="dxa"/>
            <w:vAlign w:val="center"/>
          </w:tcPr>
          <w:p>
            <w:pPr>
              <w:snapToGrid w:val="0"/>
              <w:spacing w:line="360" w:lineRule="exact"/>
              <w:jc w:val="center"/>
              <w:rPr>
                <w:rFonts w:hint="eastAsia"/>
                <w:sz w:val="18"/>
                <w:szCs w:val="18"/>
              </w:rPr>
            </w:pPr>
            <w:r>
              <w:rPr>
                <w:rFonts w:hint="eastAsia"/>
                <w:sz w:val="18"/>
                <w:szCs w:val="18"/>
              </w:rPr>
              <w:t>5583</w:t>
            </w:r>
          </w:p>
        </w:tc>
        <w:tc>
          <w:tcPr>
            <w:tcW w:w="789" w:type="dxa"/>
            <w:vAlign w:val="center"/>
          </w:tcPr>
          <w:p>
            <w:pPr>
              <w:jc w:val="center"/>
              <w:rPr>
                <w:rFonts w:hint="eastAsia"/>
                <w:sz w:val="18"/>
                <w:szCs w:val="18"/>
              </w:rPr>
            </w:pPr>
            <w:r>
              <w:rPr>
                <w:rFonts w:hint="eastAsia"/>
                <w:sz w:val="18"/>
                <w:szCs w:val="18"/>
              </w:rPr>
              <w:t>15</w:t>
            </w:r>
          </w:p>
        </w:tc>
        <w:tc>
          <w:tcPr>
            <w:tcW w:w="789" w:type="dxa"/>
            <w:vAlign w:val="center"/>
          </w:tcPr>
          <w:p>
            <w:pPr>
              <w:snapToGrid w:val="0"/>
              <w:spacing w:line="360" w:lineRule="exact"/>
              <w:jc w:val="center"/>
              <w:rPr>
                <w:rFonts w:hint="eastAsia"/>
                <w:sz w:val="18"/>
                <w:szCs w:val="18"/>
              </w:rPr>
            </w:pPr>
            <w:r>
              <w:rPr>
                <w:rFonts w:hint="eastAsia"/>
                <w:sz w:val="18"/>
                <w:szCs w:val="18"/>
              </w:rPr>
              <w:t>0.45</w:t>
            </w:r>
          </w:p>
        </w:tc>
        <w:tc>
          <w:tcPr>
            <w:tcW w:w="783" w:type="dxa"/>
            <w:vAlign w:val="center"/>
          </w:tcPr>
          <w:p>
            <w:pPr>
              <w:snapToGrid w:val="0"/>
              <w:spacing w:line="360" w:lineRule="exact"/>
              <w:jc w:val="center"/>
              <w:rPr>
                <w:rFonts w:hint="eastAsia"/>
                <w:sz w:val="18"/>
                <w:szCs w:val="18"/>
              </w:rPr>
            </w:pPr>
            <w:r>
              <w:rPr>
                <w:rFonts w:hint="eastAsia"/>
                <w:sz w:val="18"/>
                <w:szCs w:val="18"/>
              </w:rPr>
              <w:t>20</w:t>
            </w:r>
          </w:p>
        </w:tc>
        <w:tc>
          <w:tcPr>
            <w:tcW w:w="708" w:type="dxa"/>
            <w:vAlign w:val="center"/>
          </w:tcPr>
          <w:p>
            <w:pPr>
              <w:snapToGrid w:val="0"/>
              <w:spacing w:line="360" w:lineRule="exact"/>
              <w:jc w:val="center"/>
              <w:rPr>
                <w:rFonts w:hint="eastAsia"/>
                <w:sz w:val="18"/>
                <w:szCs w:val="18"/>
              </w:rPr>
            </w:pPr>
            <w:r>
              <w:rPr>
                <w:rFonts w:hint="eastAsia"/>
                <w:sz w:val="18"/>
                <w:szCs w:val="18"/>
              </w:rPr>
              <w:t>8</w:t>
            </w:r>
          </w:p>
        </w:tc>
        <w:tc>
          <w:tcPr>
            <w:tcW w:w="1020" w:type="dxa"/>
            <w:vAlign w:val="center"/>
          </w:tcPr>
          <w:p>
            <w:pPr>
              <w:snapToGrid w:val="0"/>
              <w:spacing w:line="360" w:lineRule="exact"/>
              <w:jc w:val="center"/>
              <w:rPr>
                <w:rFonts w:hint="eastAsia"/>
                <w:sz w:val="18"/>
                <w:szCs w:val="18"/>
              </w:rPr>
            </w:pPr>
            <w:r>
              <w:rPr>
                <w:rFonts w:hint="eastAsia"/>
                <w:snapToGrid w:val="0"/>
                <w:kern w:val="0"/>
                <w:sz w:val="18"/>
                <w:szCs w:val="18"/>
              </w:rPr>
              <w:t>53.6</w:t>
            </w:r>
            <w:r>
              <w:rPr>
                <w:rFonts w:hint="eastAsia" w:ascii="宋体" w:hAnsi="宋体"/>
                <w:snapToGrid w:val="0"/>
                <w:kern w:val="0"/>
                <w:sz w:val="18"/>
                <w:szCs w:val="18"/>
              </w:rPr>
              <w:t>×</w:t>
            </w:r>
            <w:r>
              <w:rPr>
                <w:rFonts w:hint="eastAsia"/>
                <w:snapToGrid w:val="0"/>
                <w:kern w:val="0"/>
                <w:sz w:val="18"/>
                <w:szCs w:val="18"/>
              </w:rPr>
              <w:t>4</w:t>
            </w:r>
          </w:p>
        </w:tc>
        <w:tc>
          <w:tcPr>
            <w:tcW w:w="1122" w:type="dxa"/>
            <w:vAlign w:val="center"/>
          </w:tcPr>
          <w:p>
            <w:pPr>
              <w:snapToGrid w:val="0"/>
              <w:spacing w:line="360" w:lineRule="exact"/>
              <w:jc w:val="center"/>
              <w:rPr>
                <w:rFonts w:hint="eastAsia"/>
                <w:sz w:val="18"/>
                <w:szCs w:val="18"/>
              </w:rPr>
            </w:pPr>
            <w:r>
              <w:rPr>
                <w:rFonts w:hint="eastAsia"/>
                <w:sz w:val="18"/>
                <w:szCs w:val="18"/>
              </w:rPr>
              <w:t>299.25</w:t>
            </w:r>
            <w:r>
              <w:rPr>
                <w:rFonts w:hint="eastAsia" w:ascii="宋体" w:hAnsi="宋体"/>
                <w:snapToGrid w:val="0"/>
                <w:kern w:val="0"/>
                <w:sz w:val="18"/>
                <w:szCs w:val="18"/>
              </w:rPr>
              <w:t>×</w:t>
            </w:r>
            <w:r>
              <w:rPr>
                <w:rFonts w:hint="eastAsia"/>
                <w:snapToGrid w:val="0"/>
                <w:kern w:val="0"/>
                <w:sz w:val="18"/>
                <w:szCs w:val="18"/>
              </w:rPr>
              <w:t>4</w:t>
            </w:r>
          </w:p>
        </w:tc>
        <w:tc>
          <w:tcPr>
            <w:tcW w:w="1483" w:type="dxa"/>
            <w:vAlign w:val="center"/>
          </w:tcPr>
          <w:p>
            <w:pPr>
              <w:jc w:val="center"/>
              <w:rPr>
                <w:sz w:val="18"/>
                <w:szCs w:val="18"/>
              </w:rPr>
            </w:pPr>
            <w:r>
              <w:rPr>
                <w:rFonts w:hint="eastAsia"/>
                <w:sz w:val="18"/>
                <w:szCs w:val="18"/>
              </w:rPr>
              <w:t>脉冲袋式除尘器</w:t>
            </w:r>
          </w:p>
        </w:tc>
        <w:tc>
          <w:tcPr>
            <w:tcW w:w="786" w:type="dxa"/>
            <w:vAlign w:val="center"/>
          </w:tcPr>
          <w:p>
            <w:pPr>
              <w:jc w:val="center"/>
              <w:rPr>
                <w:rFonts w:hint="eastAsia"/>
                <w:sz w:val="18"/>
                <w:szCs w:val="18"/>
              </w:rPr>
            </w:pPr>
            <w:r>
              <w:rPr>
                <w:rFonts w:hint="eastAsia"/>
                <w:sz w:val="18"/>
                <w:szCs w:val="18"/>
              </w:rPr>
              <w:t>99.62</w:t>
            </w:r>
          </w:p>
        </w:tc>
        <w:tc>
          <w:tcPr>
            <w:tcW w:w="731" w:type="dxa"/>
            <w:vAlign w:val="center"/>
          </w:tcPr>
          <w:p>
            <w:pPr>
              <w:spacing w:line="360" w:lineRule="exact"/>
              <w:jc w:val="center"/>
              <w:rPr>
                <w:rFonts w:hint="eastAsia"/>
                <w:sz w:val="18"/>
                <w:szCs w:val="18"/>
              </w:rPr>
            </w:pPr>
            <w:r>
              <w:rPr>
                <w:rFonts w:hint="eastAsia"/>
                <w:sz w:val="18"/>
                <w:szCs w:val="18"/>
              </w:rPr>
              <w:t>30</w:t>
            </w:r>
          </w:p>
        </w:tc>
        <w:tc>
          <w:tcPr>
            <w:tcW w:w="928" w:type="dxa"/>
            <w:vAlign w:val="center"/>
          </w:tcPr>
          <w:p>
            <w:pPr>
              <w:snapToGrid w:val="0"/>
              <w:spacing w:line="360" w:lineRule="exact"/>
              <w:jc w:val="center"/>
              <w:rPr>
                <w:rFonts w:hint="eastAsia"/>
                <w:sz w:val="18"/>
                <w:szCs w:val="18"/>
              </w:rPr>
            </w:pPr>
            <w:r>
              <w:rPr>
                <w:rFonts w:hint="eastAsia"/>
                <w:sz w:val="18"/>
                <w:szCs w:val="18"/>
              </w:rPr>
              <w:t>0.2×4</w:t>
            </w:r>
          </w:p>
        </w:tc>
        <w:tc>
          <w:tcPr>
            <w:tcW w:w="821" w:type="dxa"/>
            <w:vAlign w:val="center"/>
          </w:tcPr>
          <w:p>
            <w:pPr>
              <w:snapToGrid w:val="0"/>
              <w:spacing w:line="360" w:lineRule="exact"/>
              <w:jc w:val="center"/>
              <w:rPr>
                <w:rFonts w:hint="eastAsia"/>
                <w:sz w:val="18"/>
                <w:szCs w:val="18"/>
              </w:rPr>
            </w:pPr>
            <w:r>
              <w:rPr>
                <w:rFonts w:hint="eastAsia"/>
                <w:sz w:val="18"/>
                <w:szCs w:val="18"/>
              </w:rPr>
              <w:t>1.12×4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jc w:val="center"/>
        </w:trPr>
        <w:tc>
          <w:tcPr>
            <w:tcW w:w="588" w:type="dxa"/>
            <w:vMerge w:val="restart"/>
            <w:vAlign w:val="center"/>
          </w:tcPr>
          <w:p>
            <w:pPr>
              <w:jc w:val="center"/>
              <w:rPr>
                <w:rFonts w:hint="eastAsia"/>
                <w:sz w:val="18"/>
                <w:szCs w:val="18"/>
              </w:rPr>
            </w:pPr>
            <w:r>
              <w:rPr>
                <w:rFonts w:hint="eastAsia"/>
                <w:sz w:val="18"/>
                <w:szCs w:val="18"/>
              </w:rPr>
              <w:t>7</w:t>
            </w:r>
          </w:p>
        </w:tc>
        <w:tc>
          <w:tcPr>
            <w:tcW w:w="1556" w:type="dxa"/>
            <w:vMerge w:val="restart"/>
            <w:vAlign w:val="center"/>
          </w:tcPr>
          <w:p>
            <w:pPr>
              <w:jc w:val="center"/>
              <w:rPr>
                <w:sz w:val="18"/>
                <w:szCs w:val="18"/>
              </w:rPr>
            </w:pPr>
            <w:r>
              <w:rPr>
                <w:rFonts w:hint="eastAsia"/>
                <w:sz w:val="18"/>
                <w:szCs w:val="18"/>
              </w:rPr>
              <w:t>窑尾</w:t>
            </w:r>
          </w:p>
        </w:tc>
        <w:tc>
          <w:tcPr>
            <w:tcW w:w="974" w:type="dxa"/>
            <w:vMerge w:val="restart"/>
            <w:vAlign w:val="center"/>
          </w:tcPr>
          <w:p>
            <w:pPr>
              <w:snapToGrid w:val="0"/>
              <w:spacing w:line="360" w:lineRule="exact"/>
              <w:jc w:val="center"/>
              <w:rPr>
                <w:rFonts w:hint="eastAsia"/>
                <w:sz w:val="18"/>
                <w:szCs w:val="18"/>
              </w:rPr>
            </w:pPr>
            <w:r>
              <w:rPr>
                <w:rFonts w:hint="eastAsia"/>
                <w:sz w:val="18"/>
                <w:szCs w:val="18"/>
              </w:rPr>
              <w:t>345600</w:t>
            </w:r>
          </w:p>
        </w:tc>
        <w:tc>
          <w:tcPr>
            <w:tcW w:w="607" w:type="dxa"/>
            <w:vAlign w:val="center"/>
          </w:tcPr>
          <w:p>
            <w:pPr>
              <w:snapToGrid w:val="0"/>
              <w:spacing w:line="360" w:lineRule="exact"/>
              <w:jc w:val="center"/>
              <w:rPr>
                <w:rFonts w:hint="eastAsia"/>
                <w:sz w:val="18"/>
                <w:szCs w:val="18"/>
              </w:rPr>
            </w:pPr>
            <w:r>
              <w:rPr>
                <w:rFonts w:hint="eastAsia"/>
                <w:sz w:val="18"/>
                <w:szCs w:val="18"/>
              </w:rPr>
              <w:t>烟尘</w:t>
            </w:r>
          </w:p>
        </w:tc>
        <w:tc>
          <w:tcPr>
            <w:tcW w:w="769" w:type="dxa"/>
            <w:vMerge w:val="restart"/>
            <w:vAlign w:val="center"/>
          </w:tcPr>
          <w:p>
            <w:pPr>
              <w:snapToGrid w:val="0"/>
              <w:spacing w:line="360" w:lineRule="exact"/>
              <w:jc w:val="center"/>
              <w:rPr>
                <w:rFonts w:hint="eastAsia"/>
                <w:sz w:val="18"/>
                <w:szCs w:val="18"/>
              </w:rPr>
            </w:pPr>
            <w:r>
              <w:rPr>
                <w:rFonts w:hint="eastAsia"/>
                <w:sz w:val="18"/>
                <w:szCs w:val="18"/>
              </w:rPr>
              <w:t>7440</w:t>
            </w:r>
          </w:p>
        </w:tc>
        <w:tc>
          <w:tcPr>
            <w:tcW w:w="789" w:type="dxa"/>
            <w:vMerge w:val="restart"/>
            <w:vAlign w:val="center"/>
          </w:tcPr>
          <w:p>
            <w:pPr>
              <w:jc w:val="center"/>
              <w:rPr>
                <w:sz w:val="18"/>
                <w:szCs w:val="18"/>
              </w:rPr>
            </w:pPr>
            <w:r>
              <w:rPr>
                <w:rFonts w:hint="eastAsia"/>
                <w:sz w:val="18"/>
                <w:szCs w:val="18"/>
              </w:rPr>
              <w:t>110</w:t>
            </w:r>
          </w:p>
        </w:tc>
        <w:tc>
          <w:tcPr>
            <w:tcW w:w="789" w:type="dxa"/>
            <w:vMerge w:val="restart"/>
            <w:vAlign w:val="center"/>
          </w:tcPr>
          <w:p>
            <w:pPr>
              <w:snapToGrid w:val="0"/>
              <w:spacing w:line="360" w:lineRule="exact"/>
              <w:jc w:val="center"/>
              <w:rPr>
                <w:rFonts w:hint="eastAsia"/>
                <w:sz w:val="18"/>
                <w:szCs w:val="18"/>
              </w:rPr>
            </w:pPr>
            <w:r>
              <w:rPr>
                <w:rFonts w:hint="eastAsia"/>
                <w:sz w:val="18"/>
                <w:szCs w:val="18"/>
              </w:rPr>
              <w:t>3.0</w:t>
            </w:r>
          </w:p>
        </w:tc>
        <w:tc>
          <w:tcPr>
            <w:tcW w:w="783" w:type="dxa"/>
            <w:vMerge w:val="restart"/>
            <w:vAlign w:val="center"/>
          </w:tcPr>
          <w:p>
            <w:pPr>
              <w:snapToGrid w:val="0"/>
              <w:spacing w:line="360" w:lineRule="exact"/>
              <w:jc w:val="center"/>
              <w:rPr>
                <w:rFonts w:hint="eastAsia"/>
                <w:sz w:val="18"/>
                <w:szCs w:val="18"/>
              </w:rPr>
            </w:pPr>
            <w:r>
              <w:rPr>
                <w:rFonts w:hint="eastAsia"/>
                <w:sz w:val="18"/>
                <w:szCs w:val="18"/>
              </w:rPr>
              <w:t>120</w:t>
            </w:r>
          </w:p>
        </w:tc>
        <w:tc>
          <w:tcPr>
            <w:tcW w:w="708" w:type="dxa"/>
            <w:vAlign w:val="center"/>
          </w:tcPr>
          <w:p>
            <w:pPr>
              <w:snapToGrid w:val="0"/>
              <w:spacing w:line="360" w:lineRule="exact"/>
              <w:jc w:val="center"/>
              <w:rPr>
                <w:rFonts w:hint="eastAsia"/>
                <w:sz w:val="18"/>
                <w:szCs w:val="18"/>
              </w:rPr>
            </w:pPr>
            <w:r>
              <w:rPr>
                <w:rFonts w:hint="eastAsia"/>
                <w:sz w:val="18"/>
                <w:szCs w:val="18"/>
              </w:rPr>
              <w:t>30</w:t>
            </w:r>
          </w:p>
        </w:tc>
        <w:tc>
          <w:tcPr>
            <w:tcW w:w="1020" w:type="dxa"/>
            <w:vAlign w:val="center"/>
          </w:tcPr>
          <w:p>
            <w:pPr>
              <w:snapToGrid w:val="0"/>
              <w:spacing w:line="360" w:lineRule="exact"/>
              <w:jc w:val="center"/>
              <w:rPr>
                <w:rFonts w:hint="eastAsia"/>
                <w:sz w:val="18"/>
                <w:szCs w:val="18"/>
              </w:rPr>
            </w:pPr>
            <w:r>
              <w:rPr>
                <w:rFonts w:hint="eastAsia"/>
                <w:sz w:val="18"/>
                <w:szCs w:val="18"/>
              </w:rPr>
              <w:t>10368</w:t>
            </w:r>
          </w:p>
        </w:tc>
        <w:tc>
          <w:tcPr>
            <w:tcW w:w="1122" w:type="dxa"/>
            <w:vAlign w:val="center"/>
          </w:tcPr>
          <w:p>
            <w:pPr>
              <w:snapToGrid w:val="0"/>
              <w:spacing w:line="360" w:lineRule="exact"/>
              <w:jc w:val="center"/>
              <w:rPr>
                <w:rFonts w:hint="eastAsia"/>
                <w:sz w:val="18"/>
                <w:szCs w:val="18"/>
              </w:rPr>
            </w:pPr>
            <w:r>
              <w:rPr>
                <w:rFonts w:hint="eastAsia"/>
                <w:sz w:val="18"/>
                <w:szCs w:val="18"/>
              </w:rPr>
              <w:t>77137.92</w:t>
            </w:r>
          </w:p>
        </w:tc>
        <w:tc>
          <w:tcPr>
            <w:tcW w:w="1483" w:type="dxa"/>
            <w:vMerge w:val="restart"/>
            <w:vAlign w:val="center"/>
          </w:tcPr>
          <w:p>
            <w:pPr>
              <w:jc w:val="center"/>
              <w:rPr>
                <w:sz w:val="18"/>
                <w:szCs w:val="18"/>
              </w:rPr>
            </w:pPr>
            <w:r>
              <w:rPr>
                <w:rFonts w:hint="eastAsia"/>
                <w:sz w:val="18"/>
                <w:szCs w:val="18"/>
              </w:rPr>
              <w:t>脉冲袋式除尘器</w:t>
            </w:r>
          </w:p>
        </w:tc>
        <w:tc>
          <w:tcPr>
            <w:tcW w:w="786" w:type="dxa"/>
            <w:vMerge w:val="restart"/>
            <w:vAlign w:val="center"/>
          </w:tcPr>
          <w:p>
            <w:pPr>
              <w:jc w:val="center"/>
              <w:rPr>
                <w:rFonts w:hint="eastAsia"/>
                <w:sz w:val="18"/>
                <w:szCs w:val="18"/>
              </w:rPr>
            </w:pPr>
            <w:r>
              <w:rPr>
                <w:rFonts w:hint="eastAsia"/>
                <w:sz w:val="18"/>
                <w:szCs w:val="18"/>
              </w:rPr>
              <w:t>99.90</w:t>
            </w:r>
          </w:p>
          <w:p>
            <w:pPr>
              <w:jc w:val="center"/>
              <w:rPr>
                <w:rFonts w:hint="eastAsia"/>
                <w:sz w:val="18"/>
                <w:szCs w:val="18"/>
              </w:rPr>
            </w:pPr>
            <w:r>
              <w:rPr>
                <w:rFonts w:hint="eastAsia"/>
                <w:sz w:val="18"/>
                <w:szCs w:val="18"/>
              </w:rPr>
              <w:t>/</w:t>
            </w:r>
          </w:p>
          <w:p>
            <w:pPr>
              <w:jc w:val="center"/>
              <w:rPr>
                <w:rFonts w:hint="eastAsia"/>
                <w:sz w:val="18"/>
                <w:szCs w:val="18"/>
              </w:rPr>
            </w:pPr>
            <w:r>
              <w:rPr>
                <w:rFonts w:hint="eastAsia"/>
                <w:sz w:val="18"/>
                <w:szCs w:val="18"/>
              </w:rPr>
              <w:t>/</w:t>
            </w:r>
          </w:p>
        </w:tc>
        <w:tc>
          <w:tcPr>
            <w:tcW w:w="731" w:type="dxa"/>
            <w:vAlign w:val="center"/>
          </w:tcPr>
          <w:p>
            <w:pPr>
              <w:spacing w:line="360" w:lineRule="exact"/>
              <w:jc w:val="center"/>
              <w:rPr>
                <w:rFonts w:hint="eastAsia"/>
                <w:sz w:val="18"/>
                <w:szCs w:val="18"/>
              </w:rPr>
            </w:pPr>
            <w:r>
              <w:rPr>
                <w:rFonts w:hint="eastAsia"/>
                <w:sz w:val="18"/>
                <w:szCs w:val="18"/>
              </w:rPr>
              <w:t>30</w:t>
            </w:r>
          </w:p>
        </w:tc>
        <w:tc>
          <w:tcPr>
            <w:tcW w:w="928" w:type="dxa"/>
            <w:vAlign w:val="center"/>
          </w:tcPr>
          <w:p>
            <w:pPr>
              <w:snapToGrid w:val="0"/>
              <w:spacing w:line="360" w:lineRule="exact"/>
              <w:jc w:val="center"/>
              <w:rPr>
                <w:rFonts w:hint="eastAsia"/>
                <w:sz w:val="18"/>
                <w:szCs w:val="18"/>
              </w:rPr>
            </w:pPr>
            <w:r>
              <w:rPr>
                <w:rFonts w:hint="eastAsia"/>
                <w:sz w:val="18"/>
                <w:szCs w:val="18"/>
              </w:rPr>
              <w:t>10.37</w:t>
            </w:r>
          </w:p>
        </w:tc>
        <w:tc>
          <w:tcPr>
            <w:tcW w:w="821" w:type="dxa"/>
            <w:vAlign w:val="center"/>
          </w:tcPr>
          <w:p>
            <w:pPr>
              <w:snapToGrid w:val="0"/>
              <w:spacing w:line="360" w:lineRule="exact"/>
              <w:jc w:val="center"/>
              <w:rPr>
                <w:rFonts w:hint="eastAsia"/>
                <w:sz w:val="18"/>
                <w:szCs w:val="18"/>
              </w:rPr>
            </w:pPr>
            <w:r>
              <w:rPr>
                <w:rFonts w:hint="eastAsia"/>
                <w:sz w:val="18"/>
                <w:szCs w:val="18"/>
              </w:rPr>
              <w:t>77.15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88" w:type="dxa"/>
            <w:vMerge w:val="continue"/>
            <w:vAlign w:val="center"/>
          </w:tcPr>
          <w:p>
            <w:pPr>
              <w:snapToGrid w:val="0"/>
              <w:spacing w:line="360" w:lineRule="exact"/>
              <w:jc w:val="left"/>
              <w:rPr>
                <w:rFonts w:hint="eastAsia"/>
                <w:snapToGrid w:val="0"/>
                <w:kern w:val="0"/>
                <w:sz w:val="18"/>
                <w:szCs w:val="18"/>
              </w:rPr>
            </w:pPr>
          </w:p>
        </w:tc>
        <w:tc>
          <w:tcPr>
            <w:tcW w:w="1556" w:type="dxa"/>
            <w:vMerge w:val="continue"/>
            <w:vAlign w:val="center"/>
          </w:tcPr>
          <w:p>
            <w:pPr>
              <w:jc w:val="center"/>
              <w:rPr>
                <w:rFonts w:hint="eastAsia"/>
                <w:sz w:val="18"/>
                <w:szCs w:val="18"/>
              </w:rPr>
            </w:pPr>
          </w:p>
        </w:tc>
        <w:tc>
          <w:tcPr>
            <w:tcW w:w="974" w:type="dxa"/>
            <w:vMerge w:val="continue"/>
            <w:vAlign w:val="center"/>
          </w:tcPr>
          <w:p>
            <w:pPr>
              <w:jc w:val="center"/>
              <w:rPr>
                <w:rFonts w:hint="eastAsia"/>
                <w:sz w:val="18"/>
                <w:szCs w:val="18"/>
              </w:rPr>
            </w:pPr>
          </w:p>
        </w:tc>
        <w:tc>
          <w:tcPr>
            <w:tcW w:w="607" w:type="dxa"/>
            <w:vAlign w:val="center"/>
          </w:tcPr>
          <w:p>
            <w:pPr>
              <w:jc w:val="center"/>
              <w:rPr>
                <w:rFonts w:hint="eastAsia"/>
                <w:sz w:val="18"/>
                <w:szCs w:val="18"/>
              </w:rPr>
            </w:pPr>
            <w:r>
              <w:rPr>
                <w:rFonts w:hint="eastAsia"/>
                <w:sz w:val="18"/>
                <w:szCs w:val="18"/>
              </w:rPr>
              <w:t>SO</w:t>
            </w:r>
            <w:r>
              <w:rPr>
                <w:rFonts w:hint="eastAsia"/>
                <w:sz w:val="18"/>
                <w:szCs w:val="18"/>
                <w:vertAlign w:val="subscript"/>
              </w:rPr>
              <w:t>2</w:t>
            </w:r>
          </w:p>
        </w:tc>
        <w:tc>
          <w:tcPr>
            <w:tcW w:w="769" w:type="dxa"/>
            <w:vMerge w:val="continue"/>
            <w:vAlign w:val="center"/>
          </w:tcPr>
          <w:p>
            <w:pPr>
              <w:jc w:val="center"/>
              <w:rPr>
                <w:rFonts w:hint="eastAsia"/>
                <w:sz w:val="18"/>
                <w:szCs w:val="18"/>
              </w:rPr>
            </w:pPr>
          </w:p>
        </w:tc>
        <w:tc>
          <w:tcPr>
            <w:tcW w:w="789" w:type="dxa"/>
            <w:vMerge w:val="continue"/>
            <w:vAlign w:val="center"/>
          </w:tcPr>
          <w:p>
            <w:pPr>
              <w:jc w:val="center"/>
              <w:rPr>
                <w:rFonts w:hint="eastAsia"/>
                <w:sz w:val="18"/>
                <w:szCs w:val="18"/>
              </w:rPr>
            </w:pPr>
          </w:p>
        </w:tc>
        <w:tc>
          <w:tcPr>
            <w:tcW w:w="789" w:type="dxa"/>
            <w:vMerge w:val="continue"/>
            <w:vAlign w:val="center"/>
          </w:tcPr>
          <w:p>
            <w:pPr>
              <w:jc w:val="center"/>
              <w:rPr>
                <w:rFonts w:hint="eastAsia"/>
                <w:sz w:val="18"/>
                <w:szCs w:val="18"/>
              </w:rPr>
            </w:pPr>
          </w:p>
        </w:tc>
        <w:tc>
          <w:tcPr>
            <w:tcW w:w="783" w:type="dxa"/>
            <w:vMerge w:val="continue"/>
            <w:vAlign w:val="center"/>
          </w:tcPr>
          <w:p>
            <w:pPr>
              <w:jc w:val="center"/>
              <w:rPr>
                <w:rFonts w:hint="eastAsia"/>
                <w:sz w:val="18"/>
                <w:szCs w:val="18"/>
              </w:rPr>
            </w:pPr>
          </w:p>
        </w:tc>
        <w:tc>
          <w:tcPr>
            <w:tcW w:w="708" w:type="dxa"/>
            <w:vAlign w:val="center"/>
          </w:tcPr>
          <w:p>
            <w:pPr>
              <w:jc w:val="center"/>
              <w:rPr>
                <w:rFonts w:hint="eastAsia"/>
                <w:sz w:val="18"/>
                <w:szCs w:val="18"/>
              </w:rPr>
            </w:pPr>
            <w:r>
              <w:rPr>
                <w:rFonts w:hint="eastAsia"/>
                <w:sz w:val="18"/>
                <w:szCs w:val="18"/>
              </w:rPr>
              <w:t>84.17</w:t>
            </w:r>
          </w:p>
        </w:tc>
        <w:tc>
          <w:tcPr>
            <w:tcW w:w="1020" w:type="dxa"/>
            <w:vAlign w:val="center"/>
          </w:tcPr>
          <w:p>
            <w:pPr>
              <w:jc w:val="center"/>
              <w:rPr>
                <w:rFonts w:hint="eastAsia"/>
                <w:sz w:val="18"/>
                <w:szCs w:val="18"/>
              </w:rPr>
            </w:pPr>
            <w:r>
              <w:rPr>
                <w:rFonts w:hint="eastAsia"/>
                <w:sz w:val="18"/>
                <w:szCs w:val="18"/>
              </w:rPr>
              <w:t>29.09</w:t>
            </w:r>
          </w:p>
        </w:tc>
        <w:tc>
          <w:tcPr>
            <w:tcW w:w="1122" w:type="dxa"/>
            <w:vAlign w:val="center"/>
          </w:tcPr>
          <w:p>
            <w:pPr>
              <w:jc w:val="center"/>
              <w:rPr>
                <w:rFonts w:hint="eastAsia"/>
                <w:sz w:val="18"/>
                <w:szCs w:val="18"/>
              </w:rPr>
            </w:pPr>
            <w:r>
              <w:rPr>
                <w:rFonts w:hint="eastAsia"/>
                <w:sz w:val="18"/>
                <w:szCs w:val="18"/>
              </w:rPr>
              <w:t>216.44</w:t>
            </w:r>
          </w:p>
        </w:tc>
        <w:tc>
          <w:tcPr>
            <w:tcW w:w="1483" w:type="dxa"/>
            <w:vMerge w:val="continue"/>
            <w:vAlign w:val="center"/>
          </w:tcPr>
          <w:p>
            <w:pPr>
              <w:jc w:val="center"/>
              <w:rPr>
                <w:sz w:val="18"/>
                <w:szCs w:val="18"/>
              </w:rPr>
            </w:pPr>
          </w:p>
        </w:tc>
        <w:tc>
          <w:tcPr>
            <w:tcW w:w="786" w:type="dxa"/>
            <w:vMerge w:val="continue"/>
            <w:vAlign w:val="center"/>
          </w:tcPr>
          <w:p>
            <w:pPr>
              <w:jc w:val="center"/>
              <w:rPr>
                <w:sz w:val="18"/>
                <w:szCs w:val="18"/>
              </w:rPr>
            </w:pPr>
          </w:p>
        </w:tc>
        <w:tc>
          <w:tcPr>
            <w:tcW w:w="731" w:type="dxa"/>
            <w:vAlign w:val="center"/>
          </w:tcPr>
          <w:p>
            <w:pPr>
              <w:jc w:val="center"/>
              <w:rPr>
                <w:rFonts w:hint="eastAsia"/>
                <w:sz w:val="18"/>
                <w:szCs w:val="18"/>
              </w:rPr>
            </w:pPr>
            <w:r>
              <w:rPr>
                <w:rFonts w:hint="eastAsia"/>
                <w:sz w:val="18"/>
                <w:szCs w:val="18"/>
              </w:rPr>
              <w:t>84.17</w:t>
            </w:r>
          </w:p>
        </w:tc>
        <w:tc>
          <w:tcPr>
            <w:tcW w:w="928" w:type="dxa"/>
            <w:vAlign w:val="center"/>
          </w:tcPr>
          <w:p>
            <w:pPr>
              <w:jc w:val="center"/>
              <w:rPr>
                <w:rFonts w:hint="eastAsia"/>
                <w:sz w:val="18"/>
                <w:szCs w:val="18"/>
              </w:rPr>
            </w:pPr>
            <w:r>
              <w:rPr>
                <w:rFonts w:hint="eastAsia"/>
                <w:sz w:val="18"/>
                <w:szCs w:val="18"/>
              </w:rPr>
              <w:t>29.09</w:t>
            </w:r>
          </w:p>
        </w:tc>
        <w:tc>
          <w:tcPr>
            <w:tcW w:w="821" w:type="dxa"/>
            <w:vAlign w:val="center"/>
          </w:tcPr>
          <w:p>
            <w:pPr>
              <w:jc w:val="center"/>
              <w:rPr>
                <w:rFonts w:hint="eastAsia"/>
                <w:sz w:val="18"/>
                <w:szCs w:val="18"/>
              </w:rPr>
            </w:pPr>
            <w:r>
              <w:rPr>
                <w:rFonts w:hint="eastAsia"/>
                <w:sz w:val="18"/>
                <w:szCs w:val="18"/>
              </w:rPr>
              <w:t>216.44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88" w:type="dxa"/>
            <w:vMerge w:val="continue"/>
            <w:vAlign w:val="center"/>
          </w:tcPr>
          <w:p>
            <w:pPr>
              <w:snapToGrid w:val="0"/>
              <w:spacing w:line="360" w:lineRule="exact"/>
              <w:jc w:val="left"/>
              <w:rPr>
                <w:rFonts w:hint="eastAsia"/>
                <w:snapToGrid w:val="0"/>
                <w:kern w:val="0"/>
                <w:sz w:val="18"/>
                <w:szCs w:val="18"/>
              </w:rPr>
            </w:pPr>
          </w:p>
        </w:tc>
        <w:tc>
          <w:tcPr>
            <w:tcW w:w="1556" w:type="dxa"/>
            <w:vMerge w:val="continue"/>
            <w:vAlign w:val="center"/>
          </w:tcPr>
          <w:p>
            <w:pPr>
              <w:jc w:val="center"/>
              <w:rPr>
                <w:rFonts w:hint="eastAsia"/>
                <w:sz w:val="18"/>
                <w:szCs w:val="18"/>
              </w:rPr>
            </w:pPr>
          </w:p>
        </w:tc>
        <w:tc>
          <w:tcPr>
            <w:tcW w:w="974" w:type="dxa"/>
            <w:vMerge w:val="continue"/>
            <w:vAlign w:val="center"/>
          </w:tcPr>
          <w:p>
            <w:pPr>
              <w:jc w:val="center"/>
              <w:rPr>
                <w:rFonts w:hint="eastAsia"/>
                <w:sz w:val="18"/>
                <w:szCs w:val="18"/>
              </w:rPr>
            </w:pPr>
          </w:p>
        </w:tc>
        <w:tc>
          <w:tcPr>
            <w:tcW w:w="607" w:type="dxa"/>
            <w:vAlign w:val="center"/>
          </w:tcPr>
          <w:p>
            <w:pPr>
              <w:jc w:val="center"/>
              <w:rPr>
                <w:rFonts w:hint="eastAsia"/>
                <w:sz w:val="18"/>
                <w:szCs w:val="18"/>
              </w:rPr>
            </w:pPr>
            <w:r>
              <w:rPr>
                <w:rFonts w:hint="eastAsia"/>
                <w:sz w:val="18"/>
                <w:szCs w:val="18"/>
              </w:rPr>
              <w:t>NOx</w:t>
            </w:r>
          </w:p>
        </w:tc>
        <w:tc>
          <w:tcPr>
            <w:tcW w:w="769" w:type="dxa"/>
            <w:vMerge w:val="continue"/>
            <w:vAlign w:val="center"/>
          </w:tcPr>
          <w:p>
            <w:pPr>
              <w:jc w:val="center"/>
              <w:rPr>
                <w:rFonts w:hint="eastAsia"/>
                <w:sz w:val="18"/>
                <w:szCs w:val="18"/>
              </w:rPr>
            </w:pPr>
          </w:p>
        </w:tc>
        <w:tc>
          <w:tcPr>
            <w:tcW w:w="789" w:type="dxa"/>
            <w:vMerge w:val="continue"/>
            <w:vAlign w:val="center"/>
          </w:tcPr>
          <w:p>
            <w:pPr>
              <w:jc w:val="center"/>
              <w:rPr>
                <w:rFonts w:hint="eastAsia"/>
                <w:sz w:val="18"/>
                <w:szCs w:val="18"/>
              </w:rPr>
            </w:pPr>
          </w:p>
        </w:tc>
        <w:tc>
          <w:tcPr>
            <w:tcW w:w="789" w:type="dxa"/>
            <w:vMerge w:val="continue"/>
            <w:vAlign w:val="center"/>
          </w:tcPr>
          <w:p>
            <w:pPr>
              <w:jc w:val="center"/>
              <w:rPr>
                <w:rFonts w:hint="eastAsia"/>
                <w:sz w:val="18"/>
                <w:szCs w:val="18"/>
              </w:rPr>
            </w:pPr>
          </w:p>
        </w:tc>
        <w:tc>
          <w:tcPr>
            <w:tcW w:w="783" w:type="dxa"/>
            <w:vMerge w:val="continue"/>
            <w:vAlign w:val="center"/>
          </w:tcPr>
          <w:p>
            <w:pPr>
              <w:jc w:val="center"/>
              <w:rPr>
                <w:rFonts w:hint="eastAsia"/>
                <w:sz w:val="18"/>
                <w:szCs w:val="18"/>
              </w:rPr>
            </w:pPr>
          </w:p>
        </w:tc>
        <w:tc>
          <w:tcPr>
            <w:tcW w:w="708" w:type="dxa"/>
            <w:vAlign w:val="center"/>
          </w:tcPr>
          <w:p>
            <w:pPr>
              <w:jc w:val="center"/>
              <w:rPr>
                <w:rFonts w:hint="eastAsia"/>
                <w:sz w:val="18"/>
                <w:szCs w:val="18"/>
              </w:rPr>
            </w:pPr>
            <w:r>
              <w:rPr>
                <w:rFonts w:hint="eastAsia"/>
                <w:sz w:val="18"/>
                <w:szCs w:val="18"/>
              </w:rPr>
              <w:t>0.7</w:t>
            </w:r>
          </w:p>
        </w:tc>
        <w:tc>
          <w:tcPr>
            <w:tcW w:w="1020" w:type="dxa"/>
            <w:vAlign w:val="center"/>
          </w:tcPr>
          <w:p>
            <w:pPr>
              <w:jc w:val="center"/>
              <w:rPr>
                <w:rFonts w:hint="eastAsia"/>
                <w:sz w:val="18"/>
                <w:szCs w:val="18"/>
              </w:rPr>
            </w:pPr>
            <w:r>
              <w:rPr>
                <w:rFonts w:hint="eastAsia"/>
                <w:sz w:val="18"/>
                <w:szCs w:val="18"/>
              </w:rPr>
              <w:t>241.92</w:t>
            </w:r>
          </w:p>
        </w:tc>
        <w:tc>
          <w:tcPr>
            <w:tcW w:w="1122" w:type="dxa"/>
            <w:vAlign w:val="center"/>
          </w:tcPr>
          <w:p>
            <w:pPr>
              <w:jc w:val="center"/>
              <w:rPr>
                <w:rFonts w:hint="eastAsia"/>
                <w:sz w:val="18"/>
                <w:szCs w:val="18"/>
              </w:rPr>
            </w:pPr>
            <w:r>
              <w:rPr>
                <w:rFonts w:hint="eastAsia"/>
                <w:sz w:val="18"/>
                <w:szCs w:val="18"/>
              </w:rPr>
              <w:t>1799.88</w:t>
            </w:r>
          </w:p>
        </w:tc>
        <w:tc>
          <w:tcPr>
            <w:tcW w:w="1483" w:type="dxa"/>
            <w:vMerge w:val="continue"/>
            <w:vAlign w:val="center"/>
          </w:tcPr>
          <w:p>
            <w:pPr>
              <w:jc w:val="center"/>
              <w:rPr>
                <w:sz w:val="18"/>
                <w:szCs w:val="18"/>
              </w:rPr>
            </w:pPr>
          </w:p>
        </w:tc>
        <w:tc>
          <w:tcPr>
            <w:tcW w:w="786" w:type="dxa"/>
            <w:vMerge w:val="continue"/>
            <w:vAlign w:val="center"/>
          </w:tcPr>
          <w:p>
            <w:pPr>
              <w:jc w:val="center"/>
              <w:rPr>
                <w:sz w:val="18"/>
                <w:szCs w:val="18"/>
              </w:rPr>
            </w:pPr>
          </w:p>
        </w:tc>
        <w:tc>
          <w:tcPr>
            <w:tcW w:w="731" w:type="dxa"/>
            <w:vAlign w:val="center"/>
          </w:tcPr>
          <w:p>
            <w:pPr>
              <w:jc w:val="center"/>
              <w:rPr>
                <w:rFonts w:hint="eastAsia"/>
                <w:sz w:val="18"/>
                <w:szCs w:val="18"/>
              </w:rPr>
            </w:pPr>
            <w:r>
              <w:rPr>
                <w:rFonts w:hint="eastAsia"/>
                <w:sz w:val="18"/>
                <w:szCs w:val="18"/>
              </w:rPr>
              <w:t>700</w:t>
            </w:r>
          </w:p>
        </w:tc>
        <w:tc>
          <w:tcPr>
            <w:tcW w:w="928" w:type="dxa"/>
            <w:vAlign w:val="center"/>
          </w:tcPr>
          <w:p>
            <w:pPr>
              <w:jc w:val="center"/>
              <w:rPr>
                <w:rFonts w:hint="eastAsia"/>
                <w:sz w:val="18"/>
                <w:szCs w:val="18"/>
              </w:rPr>
            </w:pPr>
            <w:r>
              <w:rPr>
                <w:rFonts w:hint="eastAsia"/>
                <w:sz w:val="18"/>
                <w:szCs w:val="18"/>
              </w:rPr>
              <w:t>241.92</w:t>
            </w:r>
          </w:p>
        </w:tc>
        <w:tc>
          <w:tcPr>
            <w:tcW w:w="821" w:type="dxa"/>
            <w:vAlign w:val="center"/>
          </w:tcPr>
          <w:p>
            <w:pPr>
              <w:jc w:val="center"/>
              <w:rPr>
                <w:rFonts w:hint="eastAsia"/>
                <w:sz w:val="18"/>
                <w:szCs w:val="18"/>
              </w:rPr>
            </w:pPr>
            <w:r>
              <w:rPr>
                <w:rFonts w:hint="eastAsia"/>
                <w:sz w:val="18"/>
                <w:szCs w:val="18"/>
              </w:rPr>
              <w:t>1799.88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88" w:type="dxa"/>
            <w:vAlign w:val="center"/>
          </w:tcPr>
          <w:p>
            <w:pPr>
              <w:jc w:val="center"/>
              <w:rPr>
                <w:rFonts w:hint="eastAsia"/>
                <w:sz w:val="18"/>
                <w:szCs w:val="18"/>
              </w:rPr>
            </w:pPr>
            <w:r>
              <w:rPr>
                <w:rFonts w:hint="eastAsia"/>
                <w:sz w:val="18"/>
                <w:szCs w:val="18"/>
              </w:rPr>
              <w:t>8</w:t>
            </w:r>
          </w:p>
        </w:tc>
        <w:tc>
          <w:tcPr>
            <w:tcW w:w="1556" w:type="dxa"/>
            <w:vAlign w:val="center"/>
          </w:tcPr>
          <w:p>
            <w:pPr>
              <w:jc w:val="center"/>
              <w:rPr>
                <w:rFonts w:hint="eastAsia"/>
                <w:sz w:val="18"/>
                <w:szCs w:val="18"/>
              </w:rPr>
            </w:pPr>
            <w:r>
              <w:rPr>
                <w:rFonts w:hint="eastAsia"/>
                <w:sz w:val="18"/>
                <w:szCs w:val="18"/>
              </w:rPr>
              <w:t>生料均化库顶</w:t>
            </w:r>
          </w:p>
        </w:tc>
        <w:tc>
          <w:tcPr>
            <w:tcW w:w="974" w:type="dxa"/>
            <w:vAlign w:val="center"/>
          </w:tcPr>
          <w:p>
            <w:pPr>
              <w:jc w:val="center"/>
              <w:rPr>
                <w:rFonts w:hint="eastAsia"/>
                <w:sz w:val="18"/>
                <w:szCs w:val="18"/>
              </w:rPr>
            </w:pPr>
            <w:r>
              <w:rPr>
                <w:rFonts w:hint="eastAsia"/>
                <w:sz w:val="18"/>
                <w:szCs w:val="18"/>
              </w:rPr>
              <w:t>11000×2</w:t>
            </w:r>
          </w:p>
        </w:tc>
        <w:tc>
          <w:tcPr>
            <w:tcW w:w="607" w:type="dxa"/>
            <w:vAlign w:val="center"/>
          </w:tcPr>
          <w:p>
            <w:pPr>
              <w:snapToGrid w:val="0"/>
              <w:spacing w:line="360" w:lineRule="exact"/>
              <w:jc w:val="center"/>
              <w:rPr>
                <w:rFonts w:hint="eastAsia"/>
                <w:sz w:val="18"/>
                <w:szCs w:val="18"/>
              </w:rPr>
            </w:pPr>
            <w:r>
              <w:rPr>
                <w:rFonts w:hint="eastAsia"/>
                <w:sz w:val="18"/>
                <w:szCs w:val="18"/>
              </w:rPr>
              <w:t>粉尘</w:t>
            </w:r>
          </w:p>
        </w:tc>
        <w:tc>
          <w:tcPr>
            <w:tcW w:w="769" w:type="dxa"/>
            <w:vAlign w:val="center"/>
          </w:tcPr>
          <w:p>
            <w:pPr>
              <w:jc w:val="center"/>
              <w:rPr>
                <w:rFonts w:hint="eastAsia"/>
                <w:sz w:val="18"/>
                <w:szCs w:val="18"/>
              </w:rPr>
            </w:pPr>
            <w:r>
              <w:rPr>
                <w:rFonts w:hint="eastAsia"/>
                <w:sz w:val="18"/>
                <w:szCs w:val="18"/>
              </w:rPr>
              <w:t>7440</w:t>
            </w:r>
          </w:p>
        </w:tc>
        <w:tc>
          <w:tcPr>
            <w:tcW w:w="789" w:type="dxa"/>
            <w:vAlign w:val="center"/>
          </w:tcPr>
          <w:p>
            <w:pPr>
              <w:jc w:val="center"/>
              <w:rPr>
                <w:rFonts w:hint="eastAsia"/>
                <w:sz w:val="18"/>
                <w:szCs w:val="18"/>
              </w:rPr>
            </w:pPr>
            <w:r>
              <w:rPr>
                <w:rFonts w:hint="eastAsia"/>
                <w:sz w:val="18"/>
                <w:szCs w:val="18"/>
              </w:rPr>
              <w:t>65</w:t>
            </w:r>
          </w:p>
        </w:tc>
        <w:tc>
          <w:tcPr>
            <w:tcW w:w="789" w:type="dxa"/>
            <w:vAlign w:val="center"/>
          </w:tcPr>
          <w:p>
            <w:pPr>
              <w:jc w:val="center"/>
              <w:rPr>
                <w:rFonts w:hint="eastAsia"/>
                <w:sz w:val="18"/>
                <w:szCs w:val="18"/>
              </w:rPr>
            </w:pPr>
            <w:r>
              <w:rPr>
                <w:rFonts w:hint="eastAsia"/>
                <w:sz w:val="18"/>
                <w:szCs w:val="18"/>
              </w:rPr>
              <w:t>0.7</w:t>
            </w:r>
          </w:p>
        </w:tc>
        <w:tc>
          <w:tcPr>
            <w:tcW w:w="783" w:type="dxa"/>
            <w:vAlign w:val="center"/>
          </w:tcPr>
          <w:p>
            <w:pPr>
              <w:jc w:val="center"/>
              <w:rPr>
                <w:rFonts w:hint="eastAsia"/>
                <w:sz w:val="18"/>
                <w:szCs w:val="18"/>
              </w:rPr>
            </w:pPr>
            <w:r>
              <w:rPr>
                <w:rFonts w:hint="eastAsia"/>
                <w:sz w:val="18"/>
                <w:szCs w:val="18"/>
              </w:rPr>
              <w:t>40</w:t>
            </w:r>
          </w:p>
        </w:tc>
        <w:tc>
          <w:tcPr>
            <w:tcW w:w="708" w:type="dxa"/>
            <w:vAlign w:val="center"/>
          </w:tcPr>
          <w:p>
            <w:pPr>
              <w:jc w:val="center"/>
              <w:rPr>
                <w:rFonts w:hint="eastAsia"/>
                <w:sz w:val="18"/>
                <w:szCs w:val="18"/>
              </w:rPr>
            </w:pPr>
            <w:r>
              <w:rPr>
                <w:rFonts w:hint="eastAsia"/>
                <w:sz w:val="18"/>
                <w:szCs w:val="18"/>
              </w:rPr>
              <w:t>28</w:t>
            </w:r>
          </w:p>
        </w:tc>
        <w:tc>
          <w:tcPr>
            <w:tcW w:w="1020" w:type="dxa"/>
            <w:vAlign w:val="center"/>
          </w:tcPr>
          <w:p>
            <w:pPr>
              <w:jc w:val="center"/>
              <w:rPr>
                <w:rFonts w:hint="eastAsia"/>
                <w:sz w:val="18"/>
                <w:szCs w:val="18"/>
              </w:rPr>
            </w:pPr>
            <w:r>
              <w:rPr>
                <w:rFonts w:hint="eastAsia"/>
                <w:snapToGrid w:val="0"/>
                <w:kern w:val="0"/>
                <w:sz w:val="18"/>
                <w:szCs w:val="18"/>
              </w:rPr>
              <w:t>308</w:t>
            </w:r>
            <w:r>
              <w:rPr>
                <w:rFonts w:hint="eastAsia" w:ascii="宋体" w:hAnsi="宋体"/>
                <w:snapToGrid w:val="0"/>
                <w:kern w:val="0"/>
                <w:sz w:val="18"/>
                <w:szCs w:val="18"/>
              </w:rPr>
              <w:t>×</w:t>
            </w:r>
            <w:r>
              <w:rPr>
                <w:rFonts w:hint="eastAsia"/>
                <w:snapToGrid w:val="0"/>
                <w:kern w:val="0"/>
                <w:sz w:val="18"/>
                <w:szCs w:val="18"/>
              </w:rPr>
              <w:t>2</w:t>
            </w:r>
          </w:p>
        </w:tc>
        <w:tc>
          <w:tcPr>
            <w:tcW w:w="1122" w:type="dxa"/>
            <w:vAlign w:val="center"/>
          </w:tcPr>
          <w:p>
            <w:pPr>
              <w:jc w:val="center"/>
              <w:rPr>
                <w:rFonts w:hint="eastAsia"/>
                <w:sz w:val="18"/>
                <w:szCs w:val="18"/>
              </w:rPr>
            </w:pPr>
            <w:r>
              <w:rPr>
                <w:rFonts w:hint="eastAsia"/>
                <w:sz w:val="18"/>
                <w:szCs w:val="18"/>
              </w:rPr>
              <w:t>2291.52</w:t>
            </w:r>
            <w:r>
              <w:rPr>
                <w:rFonts w:hint="eastAsia" w:ascii="宋体" w:hAnsi="宋体"/>
                <w:snapToGrid w:val="0"/>
                <w:kern w:val="0"/>
                <w:sz w:val="18"/>
                <w:szCs w:val="18"/>
              </w:rPr>
              <w:t>×</w:t>
            </w:r>
            <w:r>
              <w:rPr>
                <w:rFonts w:hint="eastAsia"/>
                <w:snapToGrid w:val="0"/>
                <w:kern w:val="0"/>
                <w:sz w:val="18"/>
                <w:szCs w:val="18"/>
              </w:rPr>
              <w:t>2</w:t>
            </w:r>
          </w:p>
        </w:tc>
        <w:tc>
          <w:tcPr>
            <w:tcW w:w="1483" w:type="dxa"/>
            <w:vAlign w:val="center"/>
          </w:tcPr>
          <w:p>
            <w:pPr>
              <w:jc w:val="center"/>
              <w:rPr>
                <w:sz w:val="18"/>
                <w:szCs w:val="18"/>
              </w:rPr>
            </w:pPr>
            <w:r>
              <w:rPr>
                <w:rFonts w:hint="eastAsia"/>
                <w:sz w:val="18"/>
                <w:szCs w:val="18"/>
              </w:rPr>
              <w:t>脉冲袋式除尘器</w:t>
            </w:r>
          </w:p>
        </w:tc>
        <w:tc>
          <w:tcPr>
            <w:tcW w:w="786" w:type="dxa"/>
            <w:vAlign w:val="center"/>
          </w:tcPr>
          <w:p>
            <w:pPr>
              <w:jc w:val="center"/>
              <w:rPr>
                <w:rFonts w:hint="eastAsia"/>
                <w:sz w:val="18"/>
                <w:szCs w:val="18"/>
              </w:rPr>
            </w:pPr>
            <w:r>
              <w:rPr>
                <w:rFonts w:hint="eastAsia"/>
                <w:sz w:val="18"/>
                <w:szCs w:val="18"/>
              </w:rPr>
              <w:t>99.89</w:t>
            </w:r>
          </w:p>
        </w:tc>
        <w:tc>
          <w:tcPr>
            <w:tcW w:w="731" w:type="dxa"/>
            <w:vAlign w:val="center"/>
          </w:tcPr>
          <w:p>
            <w:pPr>
              <w:jc w:val="center"/>
              <w:rPr>
                <w:rFonts w:hint="eastAsia"/>
                <w:sz w:val="18"/>
                <w:szCs w:val="18"/>
              </w:rPr>
            </w:pPr>
            <w:r>
              <w:rPr>
                <w:rFonts w:hint="eastAsia"/>
                <w:sz w:val="18"/>
                <w:szCs w:val="18"/>
              </w:rPr>
              <w:t>30</w:t>
            </w:r>
          </w:p>
        </w:tc>
        <w:tc>
          <w:tcPr>
            <w:tcW w:w="928" w:type="dxa"/>
            <w:vAlign w:val="center"/>
          </w:tcPr>
          <w:p>
            <w:pPr>
              <w:jc w:val="center"/>
              <w:rPr>
                <w:rFonts w:hint="eastAsia"/>
                <w:sz w:val="18"/>
                <w:szCs w:val="18"/>
              </w:rPr>
            </w:pPr>
            <w:r>
              <w:rPr>
                <w:rFonts w:hint="eastAsia"/>
                <w:sz w:val="18"/>
                <w:szCs w:val="18"/>
              </w:rPr>
              <w:t>0.33</w:t>
            </w:r>
            <w:r>
              <w:rPr>
                <w:rFonts w:hint="eastAsia" w:ascii="宋体" w:hAnsi="宋体"/>
                <w:snapToGrid w:val="0"/>
                <w:kern w:val="0"/>
                <w:sz w:val="18"/>
                <w:szCs w:val="18"/>
              </w:rPr>
              <w:t>×</w:t>
            </w:r>
            <w:r>
              <w:rPr>
                <w:rFonts w:hint="eastAsia"/>
                <w:snapToGrid w:val="0"/>
                <w:kern w:val="0"/>
                <w:sz w:val="18"/>
                <w:szCs w:val="18"/>
              </w:rPr>
              <w:t>2</w:t>
            </w:r>
          </w:p>
        </w:tc>
        <w:tc>
          <w:tcPr>
            <w:tcW w:w="821" w:type="dxa"/>
            <w:vAlign w:val="center"/>
          </w:tcPr>
          <w:p>
            <w:pPr>
              <w:jc w:val="center"/>
              <w:rPr>
                <w:rFonts w:hint="eastAsia"/>
                <w:sz w:val="18"/>
                <w:szCs w:val="18"/>
              </w:rPr>
            </w:pPr>
            <w:r>
              <w:rPr>
                <w:rFonts w:hint="eastAsia"/>
                <w:sz w:val="18"/>
                <w:szCs w:val="18"/>
              </w:rPr>
              <w:t>2.46</w:t>
            </w:r>
            <w:r>
              <w:rPr>
                <w:rFonts w:hint="eastAsia" w:ascii="宋体" w:hAnsi="宋体"/>
                <w:snapToGrid w:val="0"/>
                <w:kern w:val="0"/>
                <w:sz w:val="18"/>
                <w:szCs w:val="18"/>
              </w:rPr>
              <w:t>×</w:t>
            </w:r>
            <w:r>
              <w:rPr>
                <w:rFonts w:hint="eastAsia"/>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88" w:type="dxa"/>
            <w:vAlign w:val="center"/>
          </w:tcPr>
          <w:p>
            <w:pPr>
              <w:jc w:val="center"/>
              <w:rPr>
                <w:rFonts w:hint="eastAsia"/>
                <w:sz w:val="18"/>
                <w:szCs w:val="18"/>
              </w:rPr>
            </w:pPr>
            <w:r>
              <w:rPr>
                <w:rFonts w:hint="eastAsia"/>
                <w:sz w:val="18"/>
                <w:szCs w:val="18"/>
              </w:rPr>
              <w:t>9</w:t>
            </w:r>
          </w:p>
        </w:tc>
        <w:tc>
          <w:tcPr>
            <w:tcW w:w="1556" w:type="dxa"/>
            <w:vAlign w:val="center"/>
          </w:tcPr>
          <w:p>
            <w:pPr>
              <w:jc w:val="center"/>
              <w:rPr>
                <w:rFonts w:hint="eastAsia"/>
                <w:sz w:val="18"/>
                <w:szCs w:val="18"/>
              </w:rPr>
            </w:pPr>
            <w:r>
              <w:rPr>
                <w:rFonts w:hint="eastAsia"/>
                <w:sz w:val="18"/>
                <w:szCs w:val="18"/>
              </w:rPr>
              <w:t>生料均化库底</w:t>
            </w:r>
          </w:p>
        </w:tc>
        <w:tc>
          <w:tcPr>
            <w:tcW w:w="974" w:type="dxa"/>
            <w:vAlign w:val="center"/>
          </w:tcPr>
          <w:p>
            <w:pPr>
              <w:jc w:val="center"/>
              <w:rPr>
                <w:rFonts w:hint="eastAsia"/>
                <w:sz w:val="18"/>
                <w:szCs w:val="18"/>
              </w:rPr>
            </w:pPr>
            <w:r>
              <w:rPr>
                <w:rFonts w:hint="eastAsia"/>
                <w:sz w:val="18"/>
                <w:szCs w:val="18"/>
              </w:rPr>
              <w:t>6700×2</w:t>
            </w:r>
          </w:p>
        </w:tc>
        <w:tc>
          <w:tcPr>
            <w:tcW w:w="607" w:type="dxa"/>
            <w:vAlign w:val="center"/>
          </w:tcPr>
          <w:p>
            <w:pPr>
              <w:snapToGrid w:val="0"/>
              <w:spacing w:line="360" w:lineRule="exact"/>
              <w:jc w:val="center"/>
              <w:rPr>
                <w:rFonts w:hint="eastAsia"/>
                <w:sz w:val="18"/>
                <w:szCs w:val="18"/>
              </w:rPr>
            </w:pPr>
            <w:r>
              <w:rPr>
                <w:rFonts w:hint="eastAsia"/>
                <w:sz w:val="18"/>
                <w:szCs w:val="18"/>
              </w:rPr>
              <w:t>粉尘</w:t>
            </w:r>
          </w:p>
        </w:tc>
        <w:tc>
          <w:tcPr>
            <w:tcW w:w="769" w:type="dxa"/>
            <w:vAlign w:val="center"/>
          </w:tcPr>
          <w:p>
            <w:pPr>
              <w:jc w:val="center"/>
              <w:rPr>
                <w:rFonts w:hint="eastAsia"/>
                <w:sz w:val="18"/>
                <w:szCs w:val="18"/>
              </w:rPr>
            </w:pPr>
            <w:r>
              <w:rPr>
                <w:rFonts w:hint="eastAsia"/>
                <w:sz w:val="18"/>
                <w:szCs w:val="18"/>
              </w:rPr>
              <w:t>7440</w:t>
            </w:r>
          </w:p>
        </w:tc>
        <w:tc>
          <w:tcPr>
            <w:tcW w:w="789" w:type="dxa"/>
            <w:vAlign w:val="center"/>
          </w:tcPr>
          <w:p>
            <w:pPr>
              <w:jc w:val="center"/>
              <w:rPr>
                <w:rFonts w:hint="eastAsia"/>
                <w:sz w:val="18"/>
                <w:szCs w:val="18"/>
              </w:rPr>
            </w:pPr>
            <w:r>
              <w:rPr>
                <w:rFonts w:hint="eastAsia"/>
                <w:sz w:val="18"/>
                <w:szCs w:val="18"/>
              </w:rPr>
              <w:t>15</w:t>
            </w:r>
          </w:p>
        </w:tc>
        <w:tc>
          <w:tcPr>
            <w:tcW w:w="789" w:type="dxa"/>
            <w:vAlign w:val="center"/>
          </w:tcPr>
          <w:p>
            <w:pPr>
              <w:jc w:val="center"/>
              <w:rPr>
                <w:rFonts w:hint="eastAsia"/>
                <w:sz w:val="18"/>
                <w:szCs w:val="18"/>
              </w:rPr>
            </w:pPr>
            <w:r>
              <w:rPr>
                <w:rFonts w:hint="eastAsia"/>
                <w:sz w:val="18"/>
                <w:szCs w:val="18"/>
              </w:rPr>
              <w:t>0.45</w:t>
            </w:r>
          </w:p>
        </w:tc>
        <w:tc>
          <w:tcPr>
            <w:tcW w:w="783" w:type="dxa"/>
            <w:vAlign w:val="center"/>
          </w:tcPr>
          <w:p>
            <w:pPr>
              <w:jc w:val="center"/>
              <w:rPr>
                <w:rFonts w:hint="eastAsia"/>
                <w:sz w:val="18"/>
                <w:szCs w:val="18"/>
              </w:rPr>
            </w:pPr>
            <w:r>
              <w:rPr>
                <w:rFonts w:hint="eastAsia"/>
                <w:sz w:val="18"/>
                <w:szCs w:val="18"/>
              </w:rPr>
              <w:t>40</w:t>
            </w:r>
          </w:p>
        </w:tc>
        <w:tc>
          <w:tcPr>
            <w:tcW w:w="708" w:type="dxa"/>
            <w:vAlign w:val="center"/>
          </w:tcPr>
          <w:p>
            <w:pPr>
              <w:jc w:val="center"/>
              <w:rPr>
                <w:rFonts w:hint="eastAsia"/>
                <w:sz w:val="18"/>
                <w:szCs w:val="18"/>
              </w:rPr>
            </w:pPr>
            <w:r>
              <w:rPr>
                <w:rFonts w:hint="eastAsia"/>
                <w:sz w:val="18"/>
                <w:szCs w:val="18"/>
              </w:rPr>
              <w:t>28</w:t>
            </w:r>
          </w:p>
        </w:tc>
        <w:tc>
          <w:tcPr>
            <w:tcW w:w="1020" w:type="dxa"/>
            <w:vAlign w:val="center"/>
          </w:tcPr>
          <w:p>
            <w:pPr>
              <w:jc w:val="center"/>
              <w:rPr>
                <w:rFonts w:hint="eastAsia"/>
                <w:sz w:val="18"/>
                <w:szCs w:val="18"/>
              </w:rPr>
            </w:pPr>
            <w:r>
              <w:rPr>
                <w:rFonts w:hint="eastAsia"/>
                <w:sz w:val="18"/>
                <w:szCs w:val="18"/>
              </w:rPr>
              <w:t>187.6</w:t>
            </w:r>
            <w:r>
              <w:rPr>
                <w:rFonts w:hint="eastAsia" w:ascii="宋体" w:hAnsi="宋体"/>
                <w:snapToGrid w:val="0"/>
                <w:kern w:val="0"/>
                <w:sz w:val="18"/>
                <w:szCs w:val="18"/>
              </w:rPr>
              <w:t>×</w:t>
            </w:r>
            <w:r>
              <w:rPr>
                <w:rFonts w:hint="eastAsia"/>
                <w:snapToGrid w:val="0"/>
                <w:kern w:val="0"/>
                <w:sz w:val="18"/>
                <w:szCs w:val="18"/>
              </w:rPr>
              <w:t>2</w:t>
            </w:r>
          </w:p>
        </w:tc>
        <w:tc>
          <w:tcPr>
            <w:tcW w:w="1122" w:type="dxa"/>
            <w:vAlign w:val="center"/>
          </w:tcPr>
          <w:p>
            <w:pPr>
              <w:jc w:val="center"/>
              <w:rPr>
                <w:rFonts w:hint="eastAsia"/>
                <w:sz w:val="18"/>
                <w:szCs w:val="18"/>
              </w:rPr>
            </w:pPr>
            <w:r>
              <w:rPr>
                <w:rFonts w:hint="eastAsia"/>
                <w:sz w:val="18"/>
                <w:szCs w:val="18"/>
              </w:rPr>
              <w:t>1395.74</w:t>
            </w:r>
            <w:r>
              <w:rPr>
                <w:rFonts w:hint="eastAsia" w:ascii="宋体" w:hAnsi="宋体"/>
                <w:snapToGrid w:val="0"/>
                <w:kern w:val="0"/>
                <w:sz w:val="18"/>
                <w:szCs w:val="18"/>
              </w:rPr>
              <w:t>×</w:t>
            </w:r>
            <w:r>
              <w:rPr>
                <w:rFonts w:hint="eastAsia"/>
                <w:snapToGrid w:val="0"/>
                <w:kern w:val="0"/>
                <w:sz w:val="18"/>
                <w:szCs w:val="18"/>
              </w:rPr>
              <w:t>2</w:t>
            </w:r>
          </w:p>
        </w:tc>
        <w:tc>
          <w:tcPr>
            <w:tcW w:w="1483" w:type="dxa"/>
            <w:vAlign w:val="center"/>
          </w:tcPr>
          <w:p>
            <w:pPr>
              <w:jc w:val="center"/>
              <w:rPr>
                <w:sz w:val="18"/>
                <w:szCs w:val="18"/>
              </w:rPr>
            </w:pPr>
            <w:r>
              <w:rPr>
                <w:rFonts w:hint="eastAsia"/>
                <w:sz w:val="18"/>
                <w:szCs w:val="18"/>
              </w:rPr>
              <w:t>脉冲袋式除尘器</w:t>
            </w:r>
          </w:p>
        </w:tc>
        <w:tc>
          <w:tcPr>
            <w:tcW w:w="786" w:type="dxa"/>
            <w:vAlign w:val="center"/>
          </w:tcPr>
          <w:p>
            <w:pPr>
              <w:jc w:val="center"/>
              <w:rPr>
                <w:rFonts w:hint="eastAsia"/>
                <w:sz w:val="18"/>
                <w:szCs w:val="18"/>
              </w:rPr>
            </w:pPr>
            <w:r>
              <w:rPr>
                <w:rFonts w:hint="eastAsia"/>
                <w:sz w:val="18"/>
                <w:szCs w:val="18"/>
              </w:rPr>
              <w:t>99.89</w:t>
            </w:r>
          </w:p>
        </w:tc>
        <w:tc>
          <w:tcPr>
            <w:tcW w:w="731" w:type="dxa"/>
            <w:vAlign w:val="center"/>
          </w:tcPr>
          <w:p>
            <w:pPr>
              <w:jc w:val="center"/>
              <w:rPr>
                <w:rFonts w:hint="eastAsia"/>
                <w:sz w:val="18"/>
                <w:szCs w:val="18"/>
              </w:rPr>
            </w:pPr>
            <w:r>
              <w:rPr>
                <w:rFonts w:hint="eastAsia"/>
                <w:sz w:val="18"/>
                <w:szCs w:val="18"/>
              </w:rPr>
              <w:t>30</w:t>
            </w:r>
          </w:p>
        </w:tc>
        <w:tc>
          <w:tcPr>
            <w:tcW w:w="928" w:type="dxa"/>
            <w:vAlign w:val="center"/>
          </w:tcPr>
          <w:p>
            <w:pPr>
              <w:jc w:val="center"/>
              <w:rPr>
                <w:rFonts w:hint="eastAsia"/>
                <w:sz w:val="18"/>
                <w:szCs w:val="18"/>
              </w:rPr>
            </w:pPr>
            <w:r>
              <w:rPr>
                <w:rFonts w:hint="eastAsia"/>
                <w:sz w:val="18"/>
                <w:szCs w:val="18"/>
              </w:rPr>
              <w:t>0.2</w:t>
            </w:r>
            <w:r>
              <w:rPr>
                <w:rFonts w:hint="eastAsia" w:ascii="宋体" w:hAnsi="宋体"/>
                <w:snapToGrid w:val="0"/>
                <w:kern w:val="0"/>
                <w:sz w:val="18"/>
                <w:szCs w:val="18"/>
              </w:rPr>
              <w:t>×</w:t>
            </w:r>
            <w:r>
              <w:rPr>
                <w:rFonts w:hint="eastAsia"/>
                <w:snapToGrid w:val="0"/>
                <w:kern w:val="0"/>
                <w:sz w:val="18"/>
                <w:szCs w:val="18"/>
              </w:rPr>
              <w:t>2</w:t>
            </w:r>
          </w:p>
        </w:tc>
        <w:tc>
          <w:tcPr>
            <w:tcW w:w="821" w:type="dxa"/>
            <w:vAlign w:val="center"/>
          </w:tcPr>
          <w:p>
            <w:pPr>
              <w:jc w:val="center"/>
              <w:rPr>
                <w:rFonts w:hint="eastAsia"/>
                <w:sz w:val="18"/>
                <w:szCs w:val="18"/>
              </w:rPr>
            </w:pPr>
            <w:r>
              <w:rPr>
                <w:rFonts w:hint="eastAsia"/>
                <w:sz w:val="18"/>
                <w:szCs w:val="18"/>
              </w:rPr>
              <w:t>1.49</w:t>
            </w:r>
            <w:r>
              <w:rPr>
                <w:rFonts w:hint="eastAsia" w:ascii="宋体" w:hAnsi="宋体"/>
                <w:snapToGrid w:val="0"/>
                <w:kern w:val="0"/>
                <w:sz w:val="18"/>
                <w:szCs w:val="18"/>
              </w:rPr>
              <w:t>×</w:t>
            </w:r>
            <w:r>
              <w:rPr>
                <w:rFonts w:hint="eastAsia"/>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88" w:type="dxa"/>
            <w:vAlign w:val="center"/>
          </w:tcPr>
          <w:p>
            <w:pPr>
              <w:jc w:val="center"/>
              <w:rPr>
                <w:rFonts w:hint="eastAsia"/>
                <w:sz w:val="18"/>
                <w:szCs w:val="18"/>
              </w:rPr>
            </w:pPr>
            <w:r>
              <w:rPr>
                <w:rFonts w:hint="eastAsia"/>
                <w:sz w:val="18"/>
                <w:szCs w:val="18"/>
              </w:rPr>
              <w:t>10</w:t>
            </w:r>
          </w:p>
        </w:tc>
        <w:tc>
          <w:tcPr>
            <w:tcW w:w="1556" w:type="dxa"/>
            <w:vAlign w:val="center"/>
          </w:tcPr>
          <w:p>
            <w:pPr>
              <w:jc w:val="center"/>
              <w:rPr>
                <w:sz w:val="18"/>
                <w:szCs w:val="18"/>
              </w:rPr>
            </w:pPr>
            <w:r>
              <w:rPr>
                <w:rFonts w:hint="eastAsia"/>
                <w:sz w:val="18"/>
                <w:szCs w:val="18"/>
              </w:rPr>
              <w:t>窑头</w:t>
            </w:r>
          </w:p>
        </w:tc>
        <w:tc>
          <w:tcPr>
            <w:tcW w:w="974" w:type="dxa"/>
            <w:vAlign w:val="center"/>
          </w:tcPr>
          <w:p>
            <w:pPr>
              <w:snapToGrid w:val="0"/>
              <w:spacing w:line="360" w:lineRule="exact"/>
              <w:jc w:val="center"/>
              <w:rPr>
                <w:rFonts w:hint="eastAsia"/>
                <w:sz w:val="18"/>
                <w:szCs w:val="18"/>
              </w:rPr>
            </w:pPr>
            <w:r>
              <w:rPr>
                <w:rFonts w:hint="eastAsia"/>
                <w:sz w:val="18"/>
                <w:szCs w:val="18"/>
              </w:rPr>
              <w:t>280000</w:t>
            </w:r>
          </w:p>
        </w:tc>
        <w:tc>
          <w:tcPr>
            <w:tcW w:w="607" w:type="dxa"/>
            <w:vAlign w:val="center"/>
          </w:tcPr>
          <w:p>
            <w:pPr>
              <w:snapToGrid w:val="0"/>
              <w:spacing w:line="360" w:lineRule="exact"/>
              <w:jc w:val="center"/>
              <w:rPr>
                <w:rFonts w:hint="eastAsia"/>
                <w:sz w:val="18"/>
                <w:szCs w:val="18"/>
              </w:rPr>
            </w:pPr>
            <w:r>
              <w:rPr>
                <w:rFonts w:hint="eastAsia"/>
                <w:sz w:val="18"/>
                <w:szCs w:val="18"/>
              </w:rPr>
              <w:t>粉尘</w:t>
            </w:r>
          </w:p>
        </w:tc>
        <w:tc>
          <w:tcPr>
            <w:tcW w:w="769" w:type="dxa"/>
            <w:vAlign w:val="center"/>
          </w:tcPr>
          <w:p>
            <w:pPr>
              <w:snapToGrid w:val="0"/>
              <w:spacing w:line="360" w:lineRule="exact"/>
              <w:jc w:val="center"/>
              <w:rPr>
                <w:rFonts w:hint="eastAsia"/>
                <w:sz w:val="18"/>
                <w:szCs w:val="18"/>
              </w:rPr>
            </w:pPr>
            <w:r>
              <w:rPr>
                <w:rFonts w:hint="eastAsia"/>
                <w:sz w:val="18"/>
                <w:szCs w:val="18"/>
              </w:rPr>
              <w:t>7440</w:t>
            </w:r>
          </w:p>
        </w:tc>
        <w:tc>
          <w:tcPr>
            <w:tcW w:w="789" w:type="dxa"/>
            <w:vAlign w:val="center"/>
          </w:tcPr>
          <w:p>
            <w:pPr>
              <w:jc w:val="center"/>
              <w:rPr>
                <w:sz w:val="18"/>
                <w:szCs w:val="18"/>
              </w:rPr>
            </w:pPr>
            <w:r>
              <w:rPr>
                <w:rFonts w:hint="eastAsia"/>
                <w:sz w:val="18"/>
                <w:szCs w:val="18"/>
              </w:rPr>
              <w:t>40</w:t>
            </w:r>
          </w:p>
        </w:tc>
        <w:tc>
          <w:tcPr>
            <w:tcW w:w="789" w:type="dxa"/>
            <w:vAlign w:val="center"/>
          </w:tcPr>
          <w:p>
            <w:pPr>
              <w:snapToGrid w:val="0"/>
              <w:spacing w:line="360" w:lineRule="exact"/>
              <w:jc w:val="center"/>
              <w:rPr>
                <w:rFonts w:hint="eastAsia"/>
                <w:sz w:val="18"/>
                <w:szCs w:val="18"/>
              </w:rPr>
            </w:pPr>
            <w:r>
              <w:rPr>
                <w:rFonts w:hint="eastAsia"/>
                <w:sz w:val="18"/>
                <w:szCs w:val="18"/>
              </w:rPr>
              <w:t>2.5</w:t>
            </w:r>
          </w:p>
        </w:tc>
        <w:tc>
          <w:tcPr>
            <w:tcW w:w="783" w:type="dxa"/>
            <w:vAlign w:val="center"/>
          </w:tcPr>
          <w:p>
            <w:pPr>
              <w:snapToGrid w:val="0"/>
              <w:spacing w:line="360" w:lineRule="exact"/>
              <w:jc w:val="center"/>
              <w:rPr>
                <w:rFonts w:hint="eastAsia"/>
                <w:sz w:val="18"/>
                <w:szCs w:val="18"/>
              </w:rPr>
            </w:pPr>
            <w:r>
              <w:rPr>
                <w:rFonts w:hint="eastAsia"/>
                <w:sz w:val="18"/>
                <w:szCs w:val="18"/>
              </w:rPr>
              <w:t>150</w:t>
            </w:r>
          </w:p>
        </w:tc>
        <w:tc>
          <w:tcPr>
            <w:tcW w:w="708" w:type="dxa"/>
            <w:vAlign w:val="center"/>
          </w:tcPr>
          <w:p>
            <w:pPr>
              <w:snapToGrid w:val="0"/>
              <w:spacing w:line="360" w:lineRule="exact"/>
              <w:jc w:val="center"/>
              <w:rPr>
                <w:rFonts w:hint="eastAsia"/>
                <w:sz w:val="18"/>
                <w:szCs w:val="18"/>
              </w:rPr>
            </w:pPr>
            <w:r>
              <w:rPr>
                <w:rFonts w:hint="eastAsia"/>
                <w:sz w:val="18"/>
                <w:szCs w:val="18"/>
              </w:rPr>
              <w:t>48</w:t>
            </w:r>
          </w:p>
        </w:tc>
        <w:tc>
          <w:tcPr>
            <w:tcW w:w="1020" w:type="dxa"/>
            <w:vAlign w:val="center"/>
          </w:tcPr>
          <w:p>
            <w:pPr>
              <w:snapToGrid w:val="0"/>
              <w:spacing w:line="360" w:lineRule="exact"/>
              <w:jc w:val="center"/>
              <w:rPr>
                <w:rFonts w:hint="eastAsia"/>
                <w:sz w:val="18"/>
                <w:szCs w:val="18"/>
              </w:rPr>
            </w:pPr>
            <w:r>
              <w:rPr>
                <w:rFonts w:hint="eastAsia"/>
                <w:sz w:val="18"/>
                <w:szCs w:val="18"/>
              </w:rPr>
              <w:t>13440</w:t>
            </w:r>
          </w:p>
        </w:tc>
        <w:tc>
          <w:tcPr>
            <w:tcW w:w="1122" w:type="dxa"/>
            <w:vAlign w:val="center"/>
          </w:tcPr>
          <w:p>
            <w:pPr>
              <w:snapToGrid w:val="0"/>
              <w:spacing w:line="360" w:lineRule="exact"/>
              <w:jc w:val="center"/>
              <w:rPr>
                <w:rFonts w:hint="eastAsia"/>
                <w:sz w:val="18"/>
                <w:szCs w:val="18"/>
              </w:rPr>
            </w:pPr>
            <w:r>
              <w:rPr>
                <w:rFonts w:hint="eastAsia"/>
                <w:sz w:val="18"/>
                <w:szCs w:val="18"/>
              </w:rPr>
              <w:t>9993.6</w:t>
            </w:r>
          </w:p>
        </w:tc>
        <w:tc>
          <w:tcPr>
            <w:tcW w:w="1483" w:type="dxa"/>
            <w:vAlign w:val="center"/>
          </w:tcPr>
          <w:p>
            <w:pPr>
              <w:jc w:val="center"/>
              <w:rPr>
                <w:sz w:val="18"/>
                <w:szCs w:val="18"/>
              </w:rPr>
            </w:pPr>
            <w:r>
              <w:rPr>
                <w:rFonts w:hint="eastAsia"/>
                <w:sz w:val="18"/>
                <w:szCs w:val="18"/>
              </w:rPr>
              <w:t>脉冲袋式除尘器</w:t>
            </w:r>
          </w:p>
        </w:tc>
        <w:tc>
          <w:tcPr>
            <w:tcW w:w="786" w:type="dxa"/>
            <w:vAlign w:val="center"/>
          </w:tcPr>
          <w:p>
            <w:pPr>
              <w:jc w:val="center"/>
              <w:rPr>
                <w:rFonts w:hint="eastAsia"/>
                <w:sz w:val="18"/>
                <w:szCs w:val="18"/>
              </w:rPr>
            </w:pPr>
            <w:r>
              <w:rPr>
                <w:rFonts w:hint="eastAsia"/>
                <w:sz w:val="18"/>
                <w:szCs w:val="18"/>
              </w:rPr>
              <w:t>99.94</w:t>
            </w:r>
          </w:p>
        </w:tc>
        <w:tc>
          <w:tcPr>
            <w:tcW w:w="731" w:type="dxa"/>
            <w:vAlign w:val="center"/>
          </w:tcPr>
          <w:p>
            <w:pPr>
              <w:spacing w:line="360" w:lineRule="exact"/>
              <w:jc w:val="center"/>
              <w:rPr>
                <w:rFonts w:hint="eastAsia"/>
                <w:sz w:val="18"/>
                <w:szCs w:val="18"/>
              </w:rPr>
            </w:pPr>
            <w:r>
              <w:rPr>
                <w:rFonts w:hint="eastAsia"/>
                <w:sz w:val="18"/>
                <w:szCs w:val="18"/>
              </w:rPr>
              <w:t>30</w:t>
            </w:r>
          </w:p>
        </w:tc>
        <w:tc>
          <w:tcPr>
            <w:tcW w:w="928" w:type="dxa"/>
            <w:vAlign w:val="center"/>
          </w:tcPr>
          <w:p>
            <w:pPr>
              <w:snapToGrid w:val="0"/>
              <w:spacing w:line="360" w:lineRule="exact"/>
              <w:jc w:val="center"/>
              <w:rPr>
                <w:rFonts w:hint="eastAsia"/>
                <w:sz w:val="18"/>
                <w:szCs w:val="18"/>
              </w:rPr>
            </w:pPr>
            <w:r>
              <w:rPr>
                <w:rFonts w:hint="eastAsia"/>
                <w:sz w:val="18"/>
                <w:szCs w:val="18"/>
              </w:rPr>
              <w:t>8.4</w:t>
            </w:r>
          </w:p>
        </w:tc>
        <w:tc>
          <w:tcPr>
            <w:tcW w:w="821" w:type="dxa"/>
            <w:vAlign w:val="center"/>
          </w:tcPr>
          <w:p>
            <w:pPr>
              <w:snapToGrid w:val="0"/>
              <w:spacing w:line="360" w:lineRule="exact"/>
              <w:jc w:val="center"/>
              <w:rPr>
                <w:rFonts w:hint="eastAsia"/>
                <w:sz w:val="18"/>
                <w:szCs w:val="18"/>
              </w:rPr>
            </w:pPr>
            <w:r>
              <w:rPr>
                <w:rFonts w:hint="eastAsia"/>
                <w:sz w:val="18"/>
                <w:szCs w:val="18"/>
              </w:rPr>
              <w:t>62.50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88" w:type="dxa"/>
            <w:shd w:val="clear" w:color="auto" w:fill="auto"/>
            <w:vAlign w:val="center"/>
          </w:tcPr>
          <w:p>
            <w:pPr>
              <w:jc w:val="center"/>
              <w:rPr>
                <w:rFonts w:hint="eastAsia"/>
                <w:sz w:val="18"/>
                <w:szCs w:val="18"/>
              </w:rPr>
            </w:pPr>
            <w:r>
              <w:rPr>
                <w:rFonts w:hint="eastAsia"/>
                <w:sz w:val="18"/>
                <w:szCs w:val="18"/>
              </w:rPr>
              <w:t>11</w:t>
            </w:r>
          </w:p>
        </w:tc>
        <w:tc>
          <w:tcPr>
            <w:tcW w:w="1556" w:type="dxa"/>
            <w:shd w:val="clear" w:color="auto" w:fill="auto"/>
            <w:vAlign w:val="center"/>
          </w:tcPr>
          <w:p>
            <w:pPr>
              <w:jc w:val="center"/>
              <w:rPr>
                <w:sz w:val="18"/>
                <w:szCs w:val="18"/>
              </w:rPr>
            </w:pPr>
            <w:r>
              <w:rPr>
                <w:rFonts w:hint="eastAsia"/>
                <w:sz w:val="18"/>
                <w:szCs w:val="18"/>
              </w:rPr>
              <w:t>熟料库底</w:t>
            </w:r>
          </w:p>
        </w:tc>
        <w:tc>
          <w:tcPr>
            <w:tcW w:w="974" w:type="dxa"/>
            <w:shd w:val="clear" w:color="auto" w:fill="auto"/>
            <w:vAlign w:val="center"/>
          </w:tcPr>
          <w:p>
            <w:pPr>
              <w:snapToGrid w:val="0"/>
              <w:spacing w:line="360" w:lineRule="exact"/>
              <w:jc w:val="center"/>
              <w:rPr>
                <w:rFonts w:hint="eastAsia"/>
                <w:sz w:val="18"/>
                <w:szCs w:val="18"/>
              </w:rPr>
            </w:pPr>
            <w:r>
              <w:rPr>
                <w:rFonts w:hint="eastAsia"/>
                <w:sz w:val="18"/>
                <w:szCs w:val="18"/>
              </w:rPr>
              <w:t>12000×2</w:t>
            </w:r>
          </w:p>
        </w:tc>
        <w:tc>
          <w:tcPr>
            <w:tcW w:w="607" w:type="dxa"/>
            <w:shd w:val="clear" w:color="auto" w:fill="auto"/>
            <w:vAlign w:val="center"/>
          </w:tcPr>
          <w:p>
            <w:pPr>
              <w:snapToGrid w:val="0"/>
              <w:spacing w:line="360" w:lineRule="exact"/>
              <w:jc w:val="center"/>
              <w:rPr>
                <w:rFonts w:hint="eastAsia"/>
                <w:sz w:val="18"/>
                <w:szCs w:val="18"/>
              </w:rPr>
            </w:pPr>
            <w:r>
              <w:rPr>
                <w:rFonts w:hint="eastAsia"/>
                <w:sz w:val="18"/>
                <w:szCs w:val="18"/>
              </w:rPr>
              <w:t>粉尘</w:t>
            </w:r>
          </w:p>
        </w:tc>
        <w:tc>
          <w:tcPr>
            <w:tcW w:w="769" w:type="dxa"/>
            <w:shd w:val="clear" w:color="auto" w:fill="auto"/>
            <w:vAlign w:val="center"/>
          </w:tcPr>
          <w:p>
            <w:pPr>
              <w:snapToGrid w:val="0"/>
              <w:spacing w:line="360" w:lineRule="exact"/>
              <w:jc w:val="center"/>
              <w:rPr>
                <w:rFonts w:hint="eastAsia"/>
                <w:sz w:val="18"/>
                <w:szCs w:val="18"/>
              </w:rPr>
            </w:pPr>
            <w:r>
              <w:rPr>
                <w:rFonts w:hint="eastAsia"/>
                <w:sz w:val="18"/>
                <w:szCs w:val="18"/>
              </w:rPr>
              <w:t>7440</w:t>
            </w:r>
          </w:p>
        </w:tc>
        <w:tc>
          <w:tcPr>
            <w:tcW w:w="789" w:type="dxa"/>
            <w:vAlign w:val="center"/>
          </w:tcPr>
          <w:p>
            <w:pPr>
              <w:jc w:val="center"/>
              <w:rPr>
                <w:sz w:val="18"/>
                <w:szCs w:val="18"/>
              </w:rPr>
            </w:pPr>
            <w:r>
              <w:rPr>
                <w:rFonts w:hint="eastAsia"/>
                <w:sz w:val="18"/>
                <w:szCs w:val="18"/>
              </w:rPr>
              <w:t>15</w:t>
            </w:r>
          </w:p>
        </w:tc>
        <w:tc>
          <w:tcPr>
            <w:tcW w:w="789" w:type="dxa"/>
            <w:vAlign w:val="center"/>
          </w:tcPr>
          <w:p>
            <w:pPr>
              <w:snapToGrid w:val="0"/>
              <w:spacing w:line="360" w:lineRule="exact"/>
              <w:jc w:val="center"/>
              <w:rPr>
                <w:rFonts w:hint="eastAsia"/>
                <w:sz w:val="18"/>
                <w:szCs w:val="18"/>
              </w:rPr>
            </w:pPr>
            <w:r>
              <w:rPr>
                <w:rFonts w:hint="eastAsia"/>
                <w:sz w:val="18"/>
                <w:szCs w:val="18"/>
              </w:rPr>
              <w:t>0.6</w:t>
            </w:r>
          </w:p>
        </w:tc>
        <w:tc>
          <w:tcPr>
            <w:tcW w:w="783" w:type="dxa"/>
            <w:vAlign w:val="center"/>
          </w:tcPr>
          <w:p>
            <w:pPr>
              <w:snapToGrid w:val="0"/>
              <w:spacing w:line="360" w:lineRule="exact"/>
              <w:jc w:val="center"/>
              <w:rPr>
                <w:rFonts w:hint="eastAsia"/>
                <w:sz w:val="18"/>
                <w:szCs w:val="18"/>
              </w:rPr>
            </w:pPr>
            <w:r>
              <w:rPr>
                <w:rFonts w:hint="eastAsia"/>
                <w:sz w:val="18"/>
                <w:szCs w:val="18"/>
              </w:rPr>
              <w:t>40</w:t>
            </w:r>
          </w:p>
        </w:tc>
        <w:tc>
          <w:tcPr>
            <w:tcW w:w="708" w:type="dxa"/>
            <w:vAlign w:val="center"/>
          </w:tcPr>
          <w:p>
            <w:pPr>
              <w:snapToGrid w:val="0"/>
              <w:spacing w:line="360" w:lineRule="exact"/>
              <w:jc w:val="center"/>
              <w:rPr>
                <w:rFonts w:hint="eastAsia"/>
                <w:sz w:val="18"/>
                <w:szCs w:val="18"/>
              </w:rPr>
            </w:pPr>
            <w:r>
              <w:rPr>
                <w:rFonts w:hint="eastAsia"/>
                <w:sz w:val="18"/>
                <w:szCs w:val="18"/>
              </w:rPr>
              <w:t>28</w:t>
            </w:r>
          </w:p>
        </w:tc>
        <w:tc>
          <w:tcPr>
            <w:tcW w:w="1020" w:type="dxa"/>
            <w:vAlign w:val="center"/>
          </w:tcPr>
          <w:p>
            <w:pPr>
              <w:snapToGrid w:val="0"/>
              <w:spacing w:line="360" w:lineRule="exact"/>
              <w:jc w:val="center"/>
              <w:rPr>
                <w:rFonts w:hint="eastAsia"/>
                <w:sz w:val="18"/>
                <w:szCs w:val="18"/>
              </w:rPr>
            </w:pPr>
            <w:r>
              <w:rPr>
                <w:rFonts w:hint="eastAsia"/>
                <w:sz w:val="18"/>
                <w:szCs w:val="18"/>
              </w:rPr>
              <w:t>336×2</w:t>
            </w:r>
          </w:p>
        </w:tc>
        <w:tc>
          <w:tcPr>
            <w:tcW w:w="1122" w:type="dxa"/>
            <w:vAlign w:val="center"/>
          </w:tcPr>
          <w:p>
            <w:pPr>
              <w:snapToGrid w:val="0"/>
              <w:spacing w:line="360" w:lineRule="exact"/>
              <w:jc w:val="center"/>
              <w:rPr>
                <w:rFonts w:hint="eastAsia"/>
                <w:sz w:val="18"/>
                <w:szCs w:val="18"/>
              </w:rPr>
            </w:pPr>
            <w:r>
              <w:rPr>
                <w:rFonts w:hint="eastAsia"/>
                <w:sz w:val="18"/>
                <w:szCs w:val="18"/>
              </w:rPr>
              <w:t>2499.84×2</w:t>
            </w:r>
          </w:p>
        </w:tc>
        <w:tc>
          <w:tcPr>
            <w:tcW w:w="1483" w:type="dxa"/>
            <w:vAlign w:val="center"/>
          </w:tcPr>
          <w:p>
            <w:pPr>
              <w:jc w:val="center"/>
              <w:rPr>
                <w:sz w:val="18"/>
                <w:szCs w:val="18"/>
              </w:rPr>
            </w:pPr>
            <w:r>
              <w:rPr>
                <w:rFonts w:hint="eastAsia"/>
                <w:sz w:val="18"/>
                <w:szCs w:val="18"/>
              </w:rPr>
              <w:t>脉冲袋式除尘器</w:t>
            </w:r>
          </w:p>
        </w:tc>
        <w:tc>
          <w:tcPr>
            <w:tcW w:w="786" w:type="dxa"/>
            <w:vAlign w:val="center"/>
          </w:tcPr>
          <w:p>
            <w:pPr>
              <w:jc w:val="center"/>
              <w:rPr>
                <w:rFonts w:hint="eastAsia"/>
                <w:sz w:val="18"/>
                <w:szCs w:val="18"/>
              </w:rPr>
            </w:pPr>
            <w:r>
              <w:rPr>
                <w:rFonts w:hint="eastAsia"/>
                <w:sz w:val="18"/>
                <w:szCs w:val="18"/>
              </w:rPr>
              <w:t>99.89</w:t>
            </w:r>
          </w:p>
        </w:tc>
        <w:tc>
          <w:tcPr>
            <w:tcW w:w="731" w:type="dxa"/>
            <w:vAlign w:val="center"/>
          </w:tcPr>
          <w:p>
            <w:pPr>
              <w:spacing w:line="360" w:lineRule="exact"/>
              <w:jc w:val="center"/>
              <w:rPr>
                <w:rFonts w:hint="eastAsia"/>
                <w:sz w:val="18"/>
                <w:szCs w:val="18"/>
              </w:rPr>
            </w:pPr>
            <w:r>
              <w:rPr>
                <w:rFonts w:hint="eastAsia"/>
                <w:sz w:val="18"/>
                <w:szCs w:val="18"/>
              </w:rPr>
              <w:t>30</w:t>
            </w:r>
          </w:p>
        </w:tc>
        <w:tc>
          <w:tcPr>
            <w:tcW w:w="928" w:type="dxa"/>
            <w:vAlign w:val="center"/>
          </w:tcPr>
          <w:p>
            <w:pPr>
              <w:spacing w:line="360" w:lineRule="exact"/>
              <w:jc w:val="center"/>
              <w:rPr>
                <w:rFonts w:hint="eastAsia"/>
                <w:sz w:val="18"/>
                <w:szCs w:val="18"/>
              </w:rPr>
            </w:pPr>
            <w:r>
              <w:rPr>
                <w:rFonts w:hint="eastAsia"/>
                <w:sz w:val="18"/>
                <w:szCs w:val="18"/>
              </w:rPr>
              <w:t>0.36</w:t>
            </w:r>
            <w:r>
              <w:rPr>
                <w:rFonts w:hint="eastAsia" w:ascii="宋体" w:hAnsi="宋体"/>
                <w:snapToGrid w:val="0"/>
                <w:kern w:val="0"/>
                <w:sz w:val="18"/>
                <w:szCs w:val="18"/>
              </w:rPr>
              <w:t>×</w:t>
            </w:r>
            <w:r>
              <w:rPr>
                <w:rFonts w:hint="eastAsia"/>
                <w:snapToGrid w:val="0"/>
                <w:kern w:val="0"/>
                <w:sz w:val="18"/>
                <w:szCs w:val="18"/>
              </w:rPr>
              <w:t>2</w:t>
            </w:r>
          </w:p>
        </w:tc>
        <w:tc>
          <w:tcPr>
            <w:tcW w:w="821" w:type="dxa"/>
            <w:vAlign w:val="center"/>
          </w:tcPr>
          <w:p>
            <w:pPr>
              <w:jc w:val="center"/>
              <w:rPr>
                <w:rFonts w:hint="eastAsia"/>
                <w:sz w:val="18"/>
                <w:szCs w:val="18"/>
              </w:rPr>
            </w:pPr>
            <w:r>
              <w:rPr>
                <w:rFonts w:hint="eastAsia"/>
                <w:sz w:val="18"/>
                <w:szCs w:val="18"/>
              </w:rPr>
              <w:t>2.68</w:t>
            </w:r>
            <w:r>
              <w:rPr>
                <w:rFonts w:hint="eastAsia" w:ascii="宋体" w:hAnsi="宋体"/>
                <w:snapToGrid w:val="0"/>
                <w:kern w:val="0"/>
                <w:sz w:val="18"/>
                <w:szCs w:val="18"/>
              </w:rPr>
              <w:t>×</w:t>
            </w:r>
            <w:r>
              <w:rPr>
                <w:rFonts w:hint="eastAsia"/>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88" w:type="dxa"/>
            <w:shd w:val="clear" w:color="auto" w:fill="auto"/>
            <w:vAlign w:val="center"/>
          </w:tcPr>
          <w:p>
            <w:pPr>
              <w:jc w:val="center"/>
              <w:rPr>
                <w:rFonts w:hint="eastAsia"/>
                <w:sz w:val="18"/>
                <w:szCs w:val="18"/>
              </w:rPr>
            </w:pPr>
            <w:r>
              <w:rPr>
                <w:rFonts w:hint="eastAsia"/>
                <w:sz w:val="18"/>
                <w:szCs w:val="18"/>
              </w:rPr>
              <w:t>12</w:t>
            </w:r>
          </w:p>
        </w:tc>
        <w:tc>
          <w:tcPr>
            <w:tcW w:w="1556" w:type="dxa"/>
            <w:shd w:val="clear" w:color="auto" w:fill="auto"/>
            <w:vAlign w:val="center"/>
          </w:tcPr>
          <w:p>
            <w:pPr>
              <w:jc w:val="center"/>
              <w:rPr>
                <w:sz w:val="18"/>
                <w:szCs w:val="18"/>
              </w:rPr>
            </w:pPr>
            <w:r>
              <w:rPr>
                <w:rFonts w:hint="eastAsia"/>
                <w:sz w:val="18"/>
                <w:szCs w:val="18"/>
              </w:rPr>
              <w:t>熟料库顶</w:t>
            </w:r>
          </w:p>
        </w:tc>
        <w:tc>
          <w:tcPr>
            <w:tcW w:w="974" w:type="dxa"/>
            <w:shd w:val="clear" w:color="auto" w:fill="auto"/>
            <w:vAlign w:val="center"/>
          </w:tcPr>
          <w:p>
            <w:pPr>
              <w:snapToGrid w:val="0"/>
              <w:spacing w:line="360" w:lineRule="exact"/>
              <w:jc w:val="center"/>
              <w:rPr>
                <w:rFonts w:hint="eastAsia"/>
                <w:sz w:val="18"/>
                <w:szCs w:val="18"/>
              </w:rPr>
            </w:pPr>
            <w:r>
              <w:rPr>
                <w:rFonts w:hint="eastAsia"/>
                <w:sz w:val="18"/>
                <w:szCs w:val="18"/>
              </w:rPr>
              <w:t>12000×2</w:t>
            </w:r>
          </w:p>
        </w:tc>
        <w:tc>
          <w:tcPr>
            <w:tcW w:w="607" w:type="dxa"/>
            <w:shd w:val="clear" w:color="auto" w:fill="auto"/>
            <w:vAlign w:val="center"/>
          </w:tcPr>
          <w:p>
            <w:pPr>
              <w:snapToGrid w:val="0"/>
              <w:spacing w:line="360" w:lineRule="exact"/>
              <w:jc w:val="center"/>
              <w:rPr>
                <w:rFonts w:hint="eastAsia"/>
                <w:sz w:val="18"/>
                <w:szCs w:val="18"/>
              </w:rPr>
            </w:pPr>
            <w:r>
              <w:rPr>
                <w:rFonts w:hint="eastAsia"/>
                <w:sz w:val="18"/>
                <w:szCs w:val="18"/>
              </w:rPr>
              <w:t>粉尘</w:t>
            </w:r>
          </w:p>
        </w:tc>
        <w:tc>
          <w:tcPr>
            <w:tcW w:w="769" w:type="dxa"/>
            <w:shd w:val="clear" w:color="auto" w:fill="auto"/>
            <w:vAlign w:val="center"/>
          </w:tcPr>
          <w:p>
            <w:pPr>
              <w:snapToGrid w:val="0"/>
              <w:spacing w:line="360" w:lineRule="exact"/>
              <w:jc w:val="center"/>
              <w:rPr>
                <w:rFonts w:hint="eastAsia"/>
                <w:sz w:val="18"/>
                <w:szCs w:val="18"/>
              </w:rPr>
            </w:pPr>
            <w:r>
              <w:rPr>
                <w:rFonts w:hint="eastAsia"/>
                <w:sz w:val="18"/>
                <w:szCs w:val="18"/>
              </w:rPr>
              <w:t>7440</w:t>
            </w:r>
          </w:p>
        </w:tc>
        <w:tc>
          <w:tcPr>
            <w:tcW w:w="789" w:type="dxa"/>
            <w:vAlign w:val="center"/>
          </w:tcPr>
          <w:p>
            <w:pPr>
              <w:jc w:val="center"/>
              <w:rPr>
                <w:sz w:val="18"/>
                <w:szCs w:val="18"/>
              </w:rPr>
            </w:pPr>
            <w:r>
              <w:rPr>
                <w:rFonts w:hint="eastAsia"/>
                <w:sz w:val="18"/>
                <w:szCs w:val="18"/>
              </w:rPr>
              <w:t>50</w:t>
            </w:r>
          </w:p>
        </w:tc>
        <w:tc>
          <w:tcPr>
            <w:tcW w:w="789" w:type="dxa"/>
            <w:vAlign w:val="center"/>
          </w:tcPr>
          <w:p>
            <w:pPr>
              <w:snapToGrid w:val="0"/>
              <w:spacing w:line="360" w:lineRule="exact"/>
              <w:jc w:val="center"/>
              <w:rPr>
                <w:rFonts w:hint="eastAsia"/>
                <w:sz w:val="18"/>
                <w:szCs w:val="18"/>
              </w:rPr>
            </w:pPr>
            <w:r>
              <w:rPr>
                <w:rFonts w:hint="eastAsia"/>
                <w:sz w:val="18"/>
                <w:szCs w:val="18"/>
              </w:rPr>
              <w:t>0.6</w:t>
            </w:r>
          </w:p>
        </w:tc>
        <w:tc>
          <w:tcPr>
            <w:tcW w:w="783" w:type="dxa"/>
            <w:vAlign w:val="center"/>
          </w:tcPr>
          <w:p>
            <w:pPr>
              <w:snapToGrid w:val="0"/>
              <w:spacing w:line="360" w:lineRule="exact"/>
              <w:jc w:val="center"/>
              <w:rPr>
                <w:rFonts w:hint="eastAsia"/>
                <w:sz w:val="18"/>
                <w:szCs w:val="18"/>
              </w:rPr>
            </w:pPr>
            <w:r>
              <w:rPr>
                <w:rFonts w:hint="eastAsia"/>
                <w:sz w:val="18"/>
                <w:szCs w:val="18"/>
              </w:rPr>
              <w:t>40</w:t>
            </w:r>
          </w:p>
        </w:tc>
        <w:tc>
          <w:tcPr>
            <w:tcW w:w="708" w:type="dxa"/>
            <w:vAlign w:val="center"/>
          </w:tcPr>
          <w:p>
            <w:pPr>
              <w:snapToGrid w:val="0"/>
              <w:spacing w:line="360" w:lineRule="exact"/>
              <w:jc w:val="center"/>
              <w:rPr>
                <w:rFonts w:hint="eastAsia"/>
                <w:sz w:val="18"/>
                <w:szCs w:val="18"/>
              </w:rPr>
            </w:pPr>
            <w:r>
              <w:rPr>
                <w:rFonts w:hint="eastAsia"/>
                <w:sz w:val="18"/>
                <w:szCs w:val="18"/>
              </w:rPr>
              <w:t>28</w:t>
            </w:r>
          </w:p>
        </w:tc>
        <w:tc>
          <w:tcPr>
            <w:tcW w:w="1020" w:type="dxa"/>
            <w:vAlign w:val="center"/>
          </w:tcPr>
          <w:p>
            <w:pPr>
              <w:snapToGrid w:val="0"/>
              <w:spacing w:line="360" w:lineRule="exact"/>
              <w:jc w:val="center"/>
              <w:rPr>
                <w:rFonts w:hint="eastAsia"/>
                <w:sz w:val="18"/>
                <w:szCs w:val="18"/>
              </w:rPr>
            </w:pPr>
            <w:r>
              <w:rPr>
                <w:rFonts w:hint="eastAsia"/>
                <w:sz w:val="18"/>
                <w:szCs w:val="18"/>
              </w:rPr>
              <w:t>336×2</w:t>
            </w:r>
          </w:p>
        </w:tc>
        <w:tc>
          <w:tcPr>
            <w:tcW w:w="1122" w:type="dxa"/>
            <w:vAlign w:val="center"/>
          </w:tcPr>
          <w:p>
            <w:pPr>
              <w:snapToGrid w:val="0"/>
              <w:spacing w:line="360" w:lineRule="exact"/>
              <w:jc w:val="center"/>
              <w:rPr>
                <w:rFonts w:hint="eastAsia"/>
                <w:sz w:val="18"/>
                <w:szCs w:val="18"/>
              </w:rPr>
            </w:pPr>
            <w:r>
              <w:rPr>
                <w:rFonts w:hint="eastAsia"/>
                <w:sz w:val="18"/>
                <w:szCs w:val="18"/>
              </w:rPr>
              <w:t>2499.84×2</w:t>
            </w:r>
          </w:p>
        </w:tc>
        <w:tc>
          <w:tcPr>
            <w:tcW w:w="1483" w:type="dxa"/>
            <w:vAlign w:val="center"/>
          </w:tcPr>
          <w:p>
            <w:pPr>
              <w:jc w:val="center"/>
              <w:rPr>
                <w:sz w:val="18"/>
                <w:szCs w:val="18"/>
              </w:rPr>
            </w:pPr>
            <w:r>
              <w:rPr>
                <w:rFonts w:hint="eastAsia"/>
                <w:sz w:val="18"/>
                <w:szCs w:val="18"/>
              </w:rPr>
              <w:t>脉冲袋式除尘器</w:t>
            </w:r>
          </w:p>
        </w:tc>
        <w:tc>
          <w:tcPr>
            <w:tcW w:w="786" w:type="dxa"/>
            <w:vAlign w:val="center"/>
          </w:tcPr>
          <w:p>
            <w:pPr>
              <w:jc w:val="center"/>
              <w:rPr>
                <w:sz w:val="18"/>
                <w:szCs w:val="18"/>
              </w:rPr>
            </w:pPr>
            <w:r>
              <w:rPr>
                <w:rFonts w:hint="eastAsia"/>
                <w:sz w:val="18"/>
                <w:szCs w:val="18"/>
              </w:rPr>
              <w:t>99.89</w:t>
            </w:r>
          </w:p>
        </w:tc>
        <w:tc>
          <w:tcPr>
            <w:tcW w:w="731" w:type="dxa"/>
            <w:vAlign w:val="center"/>
          </w:tcPr>
          <w:p>
            <w:pPr>
              <w:spacing w:line="360" w:lineRule="exact"/>
              <w:jc w:val="center"/>
              <w:rPr>
                <w:rFonts w:hint="eastAsia"/>
                <w:sz w:val="18"/>
                <w:szCs w:val="18"/>
              </w:rPr>
            </w:pPr>
            <w:r>
              <w:rPr>
                <w:rFonts w:hint="eastAsia"/>
                <w:sz w:val="18"/>
                <w:szCs w:val="18"/>
              </w:rPr>
              <w:t>30</w:t>
            </w:r>
          </w:p>
        </w:tc>
        <w:tc>
          <w:tcPr>
            <w:tcW w:w="928" w:type="dxa"/>
            <w:vAlign w:val="center"/>
          </w:tcPr>
          <w:p>
            <w:pPr>
              <w:spacing w:line="360" w:lineRule="exact"/>
              <w:jc w:val="center"/>
              <w:rPr>
                <w:rFonts w:hint="eastAsia"/>
                <w:sz w:val="18"/>
                <w:szCs w:val="18"/>
              </w:rPr>
            </w:pPr>
            <w:r>
              <w:rPr>
                <w:rFonts w:hint="eastAsia"/>
                <w:sz w:val="18"/>
                <w:szCs w:val="18"/>
              </w:rPr>
              <w:t>0.36</w:t>
            </w:r>
            <w:r>
              <w:rPr>
                <w:rFonts w:hint="eastAsia" w:ascii="宋体" w:hAnsi="宋体"/>
                <w:snapToGrid w:val="0"/>
                <w:kern w:val="0"/>
                <w:sz w:val="18"/>
                <w:szCs w:val="18"/>
              </w:rPr>
              <w:t>×</w:t>
            </w:r>
            <w:r>
              <w:rPr>
                <w:rFonts w:hint="eastAsia"/>
                <w:snapToGrid w:val="0"/>
                <w:kern w:val="0"/>
                <w:sz w:val="18"/>
                <w:szCs w:val="18"/>
              </w:rPr>
              <w:t>2</w:t>
            </w:r>
          </w:p>
        </w:tc>
        <w:tc>
          <w:tcPr>
            <w:tcW w:w="821" w:type="dxa"/>
            <w:vAlign w:val="center"/>
          </w:tcPr>
          <w:p>
            <w:pPr>
              <w:spacing w:line="360" w:lineRule="exact"/>
              <w:jc w:val="center"/>
              <w:rPr>
                <w:rFonts w:hint="eastAsia"/>
                <w:sz w:val="18"/>
                <w:szCs w:val="18"/>
              </w:rPr>
            </w:pPr>
            <w:r>
              <w:rPr>
                <w:rFonts w:hint="eastAsia"/>
                <w:sz w:val="18"/>
                <w:szCs w:val="18"/>
              </w:rPr>
              <w:t>2.68</w:t>
            </w:r>
            <w:r>
              <w:rPr>
                <w:rFonts w:hint="eastAsia" w:ascii="宋体" w:hAnsi="宋体"/>
                <w:snapToGrid w:val="0"/>
                <w:kern w:val="0"/>
                <w:sz w:val="18"/>
                <w:szCs w:val="18"/>
              </w:rPr>
              <w:t>×</w:t>
            </w:r>
            <w:r>
              <w:rPr>
                <w:rFonts w:hint="eastAsia"/>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88" w:type="dxa"/>
            <w:shd w:val="clear" w:color="auto" w:fill="auto"/>
            <w:vAlign w:val="center"/>
          </w:tcPr>
          <w:p>
            <w:pPr>
              <w:jc w:val="center"/>
              <w:rPr>
                <w:rFonts w:hint="eastAsia"/>
                <w:sz w:val="18"/>
                <w:szCs w:val="18"/>
              </w:rPr>
            </w:pPr>
            <w:r>
              <w:rPr>
                <w:rFonts w:hint="eastAsia"/>
                <w:sz w:val="18"/>
                <w:szCs w:val="18"/>
              </w:rPr>
              <w:t>13</w:t>
            </w:r>
          </w:p>
        </w:tc>
        <w:tc>
          <w:tcPr>
            <w:tcW w:w="1556" w:type="dxa"/>
            <w:shd w:val="clear" w:color="auto" w:fill="auto"/>
            <w:vAlign w:val="center"/>
          </w:tcPr>
          <w:p>
            <w:pPr>
              <w:jc w:val="center"/>
              <w:rPr>
                <w:sz w:val="18"/>
                <w:szCs w:val="18"/>
              </w:rPr>
            </w:pPr>
            <w:r>
              <w:rPr>
                <w:rFonts w:hint="eastAsia"/>
                <w:sz w:val="18"/>
                <w:szCs w:val="18"/>
              </w:rPr>
              <w:t>煤粉制备</w:t>
            </w:r>
          </w:p>
        </w:tc>
        <w:tc>
          <w:tcPr>
            <w:tcW w:w="974" w:type="dxa"/>
            <w:shd w:val="clear" w:color="auto" w:fill="auto"/>
            <w:vAlign w:val="center"/>
          </w:tcPr>
          <w:p>
            <w:pPr>
              <w:snapToGrid w:val="0"/>
              <w:spacing w:line="360" w:lineRule="exact"/>
              <w:jc w:val="center"/>
              <w:rPr>
                <w:rFonts w:hint="eastAsia"/>
                <w:sz w:val="18"/>
                <w:szCs w:val="18"/>
              </w:rPr>
            </w:pPr>
            <w:r>
              <w:rPr>
                <w:rFonts w:hint="eastAsia"/>
                <w:sz w:val="18"/>
                <w:szCs w:val="18"/>
              </w:rPr>
              <w:t>42000</w:t>
            </w:r>
          </w:p>
        </w:tc>
        <w:tc>
          <w:tcPr>
            <w:tcW w:w="607" w:type="dxa"/>
            <w:shd w:val="clear" w:color="auto" w:fill="auto"/>
            <w:vAlign w:val="center"/>
          </w:tcPr>
          <w:p>
            <w:pPr>
              <w:snapToGrid w:val="0"/>
              <w:spacing w:line="360" w:lineRule="exact"/>
              <w:jc w:val="center"/>
              <w:rPr>
                <w:rFonts w:hint="eastAsia"/>
                <w:sz w:val="18"/>
                <w:szCs w:val="18"/>
              </w:rPr>
            </w:pPr>
            <w:r>
              <w:rPr>
                <w:rFonts w:hint="eastAsia"/>
                <w:sz w:val="18"/>
                <w:szCs w:val="18"/>
              </w:rPr>
              <w:t>粉尘</w:t>
            </w:r>
          </w:p>
        </w:tc>
        <w:tc>
          <w:tcPr>
            <w:tcW w:w="769" w:type="dxa"/>
            <w:shd w:val="clear" w:color="auto" w:fill="auto"/>
            <w:vAlign w:val="center"/>
          </w:tcPr>
          <w:p>
            <w:pPr>
              <w:snapToGrid w:val="0"/>
              <w:spacing w:line="360" w:lineRule="exact"/>
              <w:jc w:val="center"/>
              <w:rPr>
                <w:rFonts w:hint="eastAsia"/>
                <w:sz w:val="18"/>
                <w:szCs w:val="18"/>
              </w:rPr>
            </w:pPr>
            <w:r>
              <w:rPr>
                <w:rFonts w:hint="eastAsia"/>
                <w:sz w:val="18"/>
                <w:szCs w:val="18"/>
              </w:rPr>
              <w:t>5444</w:t>
            </w:r>
          </w:p>
        </w:tc>
        <w:tc>
          <w:tcPr>
            <w:tcW w:w="789" w:type="dxa"/>
            <w:vAlign w:val="center"/>
          </w:tcPr>
          <w:p>
            <w:pPr>
              <w:jc w:val="center"/>
              <w:rPr>
                <w:sz w:val="18"/>
                <w:szCs w:val="18"/>
              </w:rPr>
            </w:pPr>
            <w:r>
              <w:rPr>
                <w:rFonts w:hint="eastAsia"/>
                <w:sz w:val="18"/>
                <w:szCs w:val="18"/>
              </w:rPr>
              <w:t>40</w:t>
            </w:r>
          </w:p>
        </w:tc>
        <w:tc>
          <w:tcPr>
            <w:tcW w:w="789" w:type="dxa"/>
            <w:vAlign w:val="center"/>
          </w:tcPr>
          <w:p>
            <w:pPr>
              <w:snapToGrid w:val="0"/>
              <w:spacing w:line="360" w:lineRule="exact"/>
              <w:jc w:val="center"/>
              <w:rPr>
                <w:rFonts w:hint="eastAsia"/>
                <w:sz w:val="18"/>
                <w:szCs w:val="18"/>
              </w:rPr>
            </w:pPr>
            <w:r>
              <w:rPr>
                <w:rFonts w:hint="eastAsia"/>
                <w:sz w:val="18"/>
                <w:szCs w:val="18"/>
              </w:rPr>
              <w:t>0.8</w:t>
            </w:r>
          </w:p>
        </w:tc>
        <w:tc>
          <w:tcPr>
            <w:tcW w:w="783" w:type="dxa"/>
            <w:vAlign w:val="center"/>
          </w:tcPr>
          <w:p>
            <w:pPr>
              <w:snapToGrid w:val="0"/>
              <w:spacing w:line="360" w:lineRule="exact"/>
              <w:jc w:val="center"/>
              <w:rPr>
                <w:rFonts w:hint="eastAsia"/>
                <w:sz w:val="18"/>
                <w:szCs w:val="18"/>
              </w:rPr>
            </w:pPr>
            <w:r>
              <w:rPr>
                <w:rFonts w:hint="eastAsia"/>
                <w:sz w:val="18"/>
                <w:szCs w:val="18"/>
              </w:rPr>
              <w:t>75</w:t>
            </w:r>
          </w:p>
        </w:tc>
        <w:tc>
          <w:tcPr>
            <w:tcW w:w="708" w:type="dxa"/>
            <w:vAlign w:val="center"/>
          </w:tcPr>
          <w:p>
            <w:pPr>
              <w:snapToGrid w:val="0"/>
              <w:spacing w:line="360" w:lineRule="exact"/>
              <w:jc w:val="center"/>
              <w:rPr>
                <w:rFonts w:hint="eastAsia"/>
                <w:sz w:val="18"/>
                <w:szCs w:val="18"/>
              </w:rPr>
            </w:pPr>
            <w:r>
              <w:rPr>
                <w:rFonts w:hint="eastAsia"/>
                <w:sz w:val="18"/>
                <w:szCs w:val="18"/>
              </w:rPr>
              <w:t>28</w:t>
            </w:r>
          </w:p>
        </w:tc>
        <w:tc>
          <w:tcPr>
            <w:tcW w:w="1020" w:type="dxa"/>
            <w:vAlign w:val="center"/>
          </w:tcPr>
          <w:p>
            <w:pPr>
              <w:snapToGrid w:val="0"/>
              <w:spacing w:line="360" w:lineRule="exact"/>
              <w:jc w:val="center"/>
              <w:rPr>
                <w:rFonts w:hint="eastAsia"/>
                <w:sz w:val="18"/>
                <w:szCs w:val="18"/>
              </w:rPr>
            </w:pPr>
            <w:r>
              <w:rPr>
                <w:rFonts w:hint="eastAsia"/>
                <w:sz w:val="18"/>
                <w:szCs w:val="18"/>
              </w:rPr>
              <w:t>1176</w:t>
            </w:r>
          </w:p>
        </w:tc>
        <w:tc>
          <w:tcPr>
            <w:tcW w:w="1122" w:type="dxa"/>
            <w:vAlign w:val="center"/>
          </w:tcPr>
          <w:p>
            <w:pPr>
              <w:snapToGrid w:val="0"/>
              <w:spacing w:line="360" w:lineRule="exact"/>
              <w:jc w:val="center"/>
              <w:rPr>
                <w:rFonts w:hint="eastAsia"/>
                <w:sz w:val="18"/>
                <w:szCs w:val="18"/>
              </w:rPr>
            </w:pPr>
            <w:r>
              <w:rPr>
                <w:rFonts w:hint="eastAsia"/>
                <w:sz w:val="18"/>
                <w:szCs w:val="18"/>
              </w:rPr>
              <w:t>6402.14</w:t>
            </w:r>
          </w:p>
        </w:tc>
        <w:tc>
          <w:tcPr>
            <w:tcW w:w="1483" w:type="dxa"/>
            <w:vAlign w:val="center"/>
          </w:tcPr>
          <w:p>
            <w:pPr>
              <w:jc w:val="center"/>
              <w:rPr>
                <w:sz w:val="18"/>
                <w:szCs w:val="18"/>
              </w:rPr>
            </w:pPr>
            <w:r>
              <w:rPr>
                <w:rFonts w:hint="eastAsia"/>
                <w:sz w:val="18"/>
                <w:szCs w:val="18"/>
              </w:rPr>
              <w:t>防爆型袋式除尘器</w:t>
            </w:r>
          </w:p>
        </w:tc>
        <w:tc>
          <w:tcPr>
            <w:tcW w:w="786" w:type="dxa"/>
            <w:vAlign w:val="center"/>
          </w:tcPr>
          <w:p>
            <w:pPr>
              <w:jc w:val="center"/>
              <w:rPr>
                <w:sz w:val="18"/>
                <w:szCs w:val="18"/>
              </w:rPr>
            </w:pPr>
            <w:r>
              <w:rPr>
                <w:rFonts w:hint="eastAsia"/>
                <w:sz w:val="18"/>
                <w:szCs w:val="18"/>
              </w:rPr>
              <w:t>99.89</w:t>
            </w:r>
          </w:p>
        </w:tc>
        <w:tc>
          <w:tcPr>
            <w:tcW w:w="731" w:type="dxa"/>
            <w:vAlign w:val="center"/>
          </w:tcPr>
          <w:p>
            <w:pPr>
              <w:spacing w:line="360" w:lineRule="exact"/>
              <w:jc w:val="center"/>
              <w:rPr>
                <w:rFonts w:hint="eastAsia"/>
                <w:sz w:val="18"/>
                <w:szCs w:val="18"/>
              </w:rPr>
            </w:pPr>
            <w:r>
              <w:rPr>
                <w:rFonts w:hint="eastAsia"/>
                <w:sz w:val="18"/>
                <w:szCs w:val="18"/>
              </w:rPr>
              <w:t>30</w:t>
            </w:r>
          </w:p>
        </w:tc>
        <w:tc>
          <w:tcPr>
            <w:tcW w:w="928" w:type="dxa"/>
            <w:vAlign w:val="center"/>
          </w:tcPr>
          <w:p>
            <w:pPr>
              <w:spacing w:line="360" w:lineRule="exact"/>
              <w:jc w:val="center"/>
              <w:rPr>
                <w:rFonts w:hint="eastAsia"/>
                <w:sz w:val="18"/>
                <w:szCs w:val="18"/>
              </w:rPr>
            </w:pPr>
            <w:r>
              <w:rPr>
                <w:rFonts w:hint="eastAsia"/>
                <w:sz w:val="18"/>
                <w:szCs w:val="18"/>
              </w:rPr>
              <w:t>1.26</w:t>
            </w:r>
          </w:p>
        </w:tc>
        <w:tc>
          <w:tcPr>
            <w:tcW w:w="821" w:type="dxa"/>
            <w:vAlign w:val="center"/>
          </w:tcPr>
          <w:p>
            <w:pPr>
              <w:spacing w:line="360" w:lineRule="exact"/>
              <w:jc w:val="center"/>
              <w:rPr>
                <w:rFonts w:hint="eastAsia"/>
                <w:sz w:val="18"/>
                <w:szCs w:val="18"/>
              </w:rPr>
            </w:pPr>
            <w:r>
              <w:rPr>
                <w:rFonts w:hint="eastAsia"/>
                <w:sz w:val="18"/>
                <w:szCs w:val="18"/>
              </w:rPr>
              <w:t>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88" w:type="dxa"/>
            <w:shd w:val="clear" w:color="auto" w:fill="auto"/>
            <w:vAlign w:val="center"/>
          </w:tcPr>
          <w:p>
            <w:pPr>
              <w:jc w:val="center"/>
              <w:rPr>
                <w:rFonts w:hint="eastAsia"/>
                <w:sz w:val="18"/>
                <w:szCs w:val="18"/>
              </w:rPr>
            </w:pPr>
            <w:r>
              <w:rPr>
                <w:rFonts w:hint="eastAsia"/>
                <w:sz w:val="18"/>
                <w:szCs w:val="18"/>
              </w:rPr>
              <w:t>14</w:t>
            </w:r>
          </w:p>
        </w:tc>
        <w:tc>
          <w:tcPr>
            <w:tcW w:w="1556" w:type="dxa"/>
            <w:shd w:val="clear" w:color="auto" w:fill="auto"/>
            <w:vAlign w:val="center"/>
          </w:tcPr>
          <w:p>
            <w:pPr>
              <w:jc w:val="center"/>
              <w:rPr>
                <w:rFonts w:hint="eastAsia"/>
                <w:sz w:val="18"/>
                <w:szCs w:val="18"/>
              </w:rPr>
            </w:pPr>
            <w:r>
              <w:rPr>
                <w:rFonts w:hint="eastAsia"/>
                <w:sz w:val="18"/>
                <w:szCs w:val="18"/>
              </w:rPr>
              <w:t>水泥配料</w:t>
            </w:r>
          </w:p>
        </w:tc>
        <w:tc>
          <w:tcPr>
            <w:tcW w:w="974" w:type="dxa"/>
            <w:shd w:val="clear" w:color="auto" w:fill="auto"/>
            <w:vAlign w:val="center"/>
          </w:tcPr>
          <w:p>
            <w:pPr>
              <w:snapToGrid w:val="0"/>
              <w:spacing w:line="360" w:lineRule="exact"/>
              <w:jc w:val="center"/>
              <w:rPr>
                <w:rFonts w:hint="eastAsia"/>
                <w:sz w:val="18"/>
                <w:szCs w:val="18"/>
              </w:rPr>
            </w:pPr>
            <w:r>
              <w:rPr>
                <w:rFonts w:hint="eastAsia"/>
                <w:sz w:val="18"/>
                <w:szCs w:val="18"/>
              </w:rPr>
              <w:t>6700×5</w:t>
            </w:r>
          </w:p>
        </w:tc>
        <w:tc>
          <w:tcPr>
            <w:tcW w:w="607" w:type="dxa"/>
            <w:shd w:val="clear" w:color="auto" w:fill="auto"/>
            <w:vAlign w:val="center"/>
          </w:tcPr>
          <w:p>
            <w:pPr>
              <w:snapToGrid w:val="0"/>
              <w:spacing w:line="360" w:lineRule="exact"/>
              <w:jc w:val="center"/>
              <w:rPr>
                <w:rFonts w:hint="eastAsia"/>
                <w:sz w:val="18"/>
                <w:szCs w:val="18"/>
              </w:rPr>
            </w:pPr>
            <w:r>
              <w:rPr>
                <w:rFonts w:hint="eastAsia"/>
                <w:sz w:val="18"/>
                <w:szCs w:val="18"/>
              </w:rPr>
              <w:t>粉尘</w:t>
            </w:r>
          </w:p>
        </w:tc>
        <w:tc>
          <w:tcPr>
            <w:tcW w:w="769" w:type="dxa"/>
            <w:shd w:val="clear" w:color="auto" w:fill="auto"/>
            <w:vAlign w:val="center"/>
          </w:tcPr>
          <w:p>
            <w:pPr>
              <w:snapToGrid w:val="0"/>
              <w:spacing w:line="360" w:lineRule="exact"/>
              <w:jc w:val="center"/>
              <w:rPr>
                <w:rFonts w:hint="eastAsia"/>
                <w:sz w:val="18"/>
                <w:szCs w:val="18"/>
              </w:rPr>
            </w:pPr>
            <w:r>
              <w:rPr>
                <w:rFonts w:hint="eastAsia"/>
                <w:sz w:val="18"/>
                <w:szCs w:val="18"/>
              </w:rPr>
              <w:t>6158</w:t>
            </w:r>
          </w:p>
        </w:tc>
        <w:tc>
          <w:tcPr>
            <w:tcW w:w="789" w:type="dxa"/>
            <w:vAlign w:val="center"/>
          </w:tcPr>
          <w:p>
            <w:pPr>
              <w:jc w:val="center"/>
              <w:rPr>
                <w:rFonts w:hint="eastAsia"/>
                <w:sz w:val="18"/>
                <w:szCs w:val="18"/>
              </w:rPr>
            </w:pPr>
            <w:r>
              <w:rPr>
                <w:rFonts w:hint="eastAsia"/>
                <w:sz w:val="18"/>
                <w:szCs w:val="18"/>
              </w:rPr>
              <w:t>30</w:t>
            </w:r>
          </w:p>
        </w:tc>
        <w:tc>
          <w:tcPr>
            <w:tcW w:w="789" w:type="dxa"/>
            <w:vAlign w:val="center"/>
          </w:tcPr>
          <w:p>
            <w:pPr>
              <w:snapToGrid w:val="0"/>
              <w:spacing w:line="360" w:lineRule="exact"/>
              <w:jc w:val="center"/>
              <w:rPr>
                <w:rFonts w:hint="eastAsia"/>
                <w:sz w:val="18"/>
                <w:szCs w:val="18"/>
              </w:rPr>
            </w:pPr>
            <w:r>
              <w:rPr>
                <w:rFonts w:hint="eastAsia"/>
                <w:sz w:val="18"/>
                <w:szCs w:val="18"/>
              </w:rPr>
              <w:t>0.45</w:t>
            </w:r>
          </w:p>
        </w:tc>
        <w:tc>
          <w:tcPr>
            <w:tcW w:w="783" w:type="dxa"/>
            <w:vAlign w:val="center"/>
          </w:tcPr>
          <w:p>
            <w:pPr>
              <w:snapToGrid w:val="0"/>
              <w:spacing w:line="360" w:lineRule="exact"/>
              <w:jc w:val="center"/>
              <w:rPr>
                <w:rFonts w:hint="eastAsia"/>
                <w:sz w:val="18"/>
                <w:szCs w:val="18"/>
              </w:rPr>
            </w:pPr>
            <w:r>
              <w:rPr>
                <w:rFonts w:hint="eastAsia"/>
                <w:sz w:val="18"/>
                <w:szCs w:val="18"/>
              </w:rPr>
              <w:t>20</w:t>
            </w:r>
          </w:p>
        </w:tc>
        <w:tc>
          <w:tcPr>
            <w:tcW w:w="708" w:type="dxa"/>
            <w:vAlign w:val="center"/>
          </w:tcPr>
          <w:p>
            <w:pPr>
              <w:snapToGrid w:val="0"/>
              <w:spacing w:line="360" w:lineRule="exact"/>
              <w:jc w:val="center"/>
              <w:rPr>
                <w:rFonts w:hint="eastAsia"/>
                <w:sz w:val="18"/>
                <w:szCs w:val="18"/>
              </w:rPr>
            </w:pPr>
            <w:r>
              <w:rPr>
                <w:rFonts w:hint="eastAsia"/>
                <w:sz w:val="18"/>
                <w:szCs w:val="18"/>
              </w:rPr>
              <w:t>10</w:t>
            </w:r>
          </w:p>
        </w:tc>
        <w:tc>
          <w:tcPr>
            <w:tcW w:w="1020" w:type="dxa"/>
            <w:vAlign w:val="center"/>
          </w:tcPr>
          <w:p>
            <w:pPr>
              <w:snapToGrid w:val="0"/>
              <w:spacing w:line="360" w:lineRule="exact"/>
              <w:jc w:val="center"/>
              <w:rPr>
                <w:rFonts w:hint="eastAsia"/>
                <w:sz w:val="18"/>
                <w:szCs w:val="18"/>
              </w:rPr>
            </w:pPr>
            <w:r>
              <w:rPr>
                <w:rFonts w:hint="eastAsia"/>
                <w:sz w:val="18"/>
                <w:szCs w:val="18"/>
              </w:rPr>
              <w:t>67×5</w:t>
            </w:r>
          </w:p>
        </w:tc>
        <w:tc>
          <w:tcPr>
            <w:tcW w:w="1122" w:type="dxa"/>
            <w:vAlign w:val="center"/>
          </w:tcPr>
          <w:p>
            <w:pPr>
              <w:snapToGrid w:val="0"/>
              <w:spacing w:line="360" w:lineRule="exact"/>
              <w:jc w:val="center"/>
              <w:rPr>
                <w:rFonts w:hint="eastAsia"/>
                <w:sz w:val="18"/>
                <w:szCs w:val="18"/>
              </w:rPr>
            </w:pPr>
            <w:r>
              <w:rPr>
                <w:rFonts w:hint="eastAsia"/>
                <w:sz w:val="18"/>
                <w:szCs w:val="18"/>
              </w:rPr>
              <w:t>412.59×5</w:t>
            </w:r>
          </w:p>
        </w:tc>
        <w:tc>
          <w:tcPr>
            <w:tcW w:w="1483" w:type="dxa"/>
            <w:vAlign w:val="center"/>
          </w:tcPr>
          <w:p>
            <w:pPr>
              <w:jc w:val="center"/>
              <w:rPr>
                <w:rFonts w:hint="eastAsia"/>
                <w:sz w:val="18"/>
                <w:szCs w:val="18"/>
              </w:rPr>
            </w:pPr>
            <w:r>
              <w:rPr>
                <w:rFonts w:hint="eastAsia"/>
                <w:sz w:val="18"/>
                <w:szCs w:val="18"/>
              </w:rPr>
              <w:t>脉冲袋式除尘器</w:t>
            </w:r>
          </w:p>
        </w:tc>
        <w:tc>
          <w:tcPr>
            <w:tcW w:w="786" w:type="dxa"/>
            <w:vAlign w:val="center"/>
          </w:tcPr>
          <w:p>
            <w:pPr>
              <w:jc w:val="center"/>
              <w:rPr>
                <w:rFonts w:hint="eastAsia"/>
                <w:sz w:val="18"/>
                <w:szCs w:val="18"/>
              </w:rPr>
            </w:pPr>
            <w:r>
              <w:rPr>
                <w:rFonts w:hint="eastAsia"/>
                <w:sz w:val="18"/>
                <w:szCs w:val="18"/>
              </w:rPr>
              <w:t>99.7</w:t>
            </w:r>
          </w:p>
        </w:tc>
        <w:tc>
          <w:tcPr>
            <w:tcW w:w="731" w:type="dxa"/>
            <w:vAlign w:val="center"/>
          </w:tcPr>
          <w:p>
            <w:pPr>
              <w:spacing w:line="360" w:lineRule="exact"/>
              <w:jc w:val="center"/>
              <w:rPr>
                <w:rFonts w:hint="eastAsia"/>
                <w:sz w:val="18"/>
                <w:szCs w:val="18"/>
              </w:rPr>
            </w:pPr>
            <w:r>
              <w:rPr>
                <w:rFonts w:hint="eastAsia"/>
                <w:sz w:val="18"/>
                <w:szCs w:val="18"/>
              </w:rPr>
              <w:t>30</w:t>
            </w:r>
          </w:p>
        </w:tc>
        <w:tc>
          <w:tcPr>
            <w:tcW w:w="928" w:type="dxa"/>
            <w:vAlign w:val="center"/>
          </w:tcPr>
          <w:p>
            <w:pPr>
              <w:spacing w:line="360" w:lineRule="exact"/>
              <w:jc w:val="center"/>
              <w:rPr>
                <w:rFonts w:hint="eastAsia"/>
                <w:sz w:val="18"/>
                <w:szCs w:val="18"/>
              </w:rPr>
            </w:pPr>
            <w:r>
              <w:rPr>
                <w:rFonts w:hint="eastAsia"/>
                <w:sz w:val="18"/>
                <w:szCs w:val="18"/>
              </w:rPr>
              <w:t>0.2×5</w:t>
            </w:r>
          </w:p>
        </w:tc>
        <w:tc>
          <w:tcPr>
            <w:tcW w:w="821" w:type="dxa"/>
            <w:vAlign w:val="center"/>
          </w:tcPr>
          <w:p>
            <w:pPr>
              <w:spacing w:line="360" w:lineRule="exact"/>
              <w:jc w:val="center"/>
              <w:rPr>
                <w:rFonts w:hint="eastAsia"/>
                <w:sz w:val="18"/>
                <w:szCs w:val="18"/>
              </w:rPr>
            </w:pPr>
            <w:r>
              <w:rPr>
                <w:rFonts w:hint="eastAsia"/>
                <w:sz w:val="18"/>
                <w:szCs w:val="18"/>
              </w:rPr>
              <w:t>1.23×5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88" w:type="dxa"/>
            <w:shd w:val="clear" w:color="auto" w:fill="auto"/>
            <w:vAlign w:val="center"/>
          </w:tcPr>
          <w:p>
            <w:pPr>
              <w:jc w:val="center"/>
              <w:rPr>
                <w:rFonts w:hint="eastAsia"/>
                <w:sz w:val="18"/>
                <w:szCs w:val="18"/>
              </w:rPr>
            </w:pPr>
            <w:r>
              <w:rPr>
                <w:rFonts w:hint="eastAsia"/>
                <w:sz w:val="18"/>
                <w:szCs w:val="18"/>
              </w:rPr>
              <w:t>15</w:t>
            </w:r>
          </w:p>
        </w:tc>
        <w:tc>
          <w:tcPr>
            <w:tcW w:w="1556" w:type="dxa"/>
            <w:shd w:val="clear" w:color="auto" w:fill="auto"/>
            <w:vAlign w:val="center"/>
          </w:tcPr>
          <w:p>
            <w:pPr>
              <w:jc w:val="center"/>
              <w:rPr>
                <w:rFonts w:hint="eastAsia"/>
                <w:sz w:val="18"/>
                <w:szCs w:val="18"/>
              </w:rPr>
            </w:pPr>
            <w:r>
              <w:rPr>
                <w:rFonts w:hint="eastAsia"/>
                <w:sz w:val="18"/>
                <w:szCs w:val="18"/>
              </w:rPr>
              <w:t>水泥配料</w:t>
            </w:r>
          </w:p>
        </w:tc>
        <w:tc>
          <w:tcPr>
            <w:tcW w:w="974" w:type="dxa"/>
            <w:shd w:val="clear" w:color="auto" w:fill="auto"/>
            <w:vAlign w:val="center"/>
          </w:tcPr>
          <w:p>
            <w:pPr>
              <w:snapToGrid w:val="0"/>
              <w:spacing w:line="360" w:lineRule="exact"/>
              <w:jc w:val="center"/>
              <w:rPr>
                <w:rFonts w:hint="eastAsia"/>
                <w:sz w:val="18"/>
                <w:szCs w:val="18"/>
              </w:rPr>
            </w:pPr>
            <w:r>
              <w:rPr>
                <w:rFonts w:hint="eastAsia"/>
                <w:sz w:val="18"/>
                <w:szCs w:val="18"/>
              </w:rPr>
              <w:t>6700×5</w:t>
            </w:r>
          </w:p>
        </w:tc>
        <w:tc>
          <w:tcPr>
            <w:tcW w:w="607" w:type="dxa"/>
            <w:shd w:val="clear" w:color="auto" w:fill="auto"/>
            <w:vAlign w:val="center"/>
          </w:tcPr>
          <w:p>
            <w:pPr>
              <w:snapToGrid w:val="0"/>
              <w:spacing w:line="360" w:lineRule="exact"/>
              <w:jc w:val="center"/>
              <w:rPr>
                <w:rFonts w:hint="eastAsia"/>
                <w:sz w:val="18"/>
                <w:szCs w:val="18"/>
              </w:rPr>
            </w:pPr>
            <w:r>
              <w:rPr>
                <w:rFonts w:hint="eastAsia"/>
                <w:sz w:val="18"/>
                <w:szCs w:val="18"/>
              </w:rPr>
              <w:t>粉尘</w:t>
            </w:r>
          </w:p>
        </w:tc>
        <w:tc>
          <w:tcPr>
            <w:tcW w:w="769" w:type="dxa"/>
            <w:shd w:val="clear" w:color="auto" w:fill="auto"/>
            <w:vAlign w:val="center"/>
          </w:tcPr>
          <w:p>
            <w:pPr>
              <w:snapToGrid w:val="0"/>
              <w:spacing w:line="360" w:lineRule="exact"/>
              <w:jc w:val="center"/>
              <w:rPr>
                <w:rFonts w:hint="eastAsia"/>
                <w:sz w:val="18"/>
                <w:szCs w:val="18"/>
              </w:rPr>
            </w:pPr>
            <w:r>
              <w:rPr>
                <w:rFonts w:hint="eastAsia"/>
                <w:sz w:val="18"/>
                <w:szCs w:val="18"/>
              </w:rPr>
              <w:t>6158</w:t>
            </w:r>
          </w:p>
        </w:tc>
        <w:tc>
          <w:tcPr>
            <w:tcW w:w="789" w:type="dxa"/>
            <w:vAlign w:val="center"/>
          </w:tcPr>
          <w:p>
            <w:pPr>
              <w:jc w:val="center"/>
              <w:rPr>
                <w:rFonts w:hint="eastAsia"/>
                <w:sz w:val="18"/>
                <w:szCs w:val="18"/>
              </w:rPr>
            </w:pPr>
            <w:r>
              <w:rPr>
                <w:rFonts w:hint="eastAsia"/>
                <w:sz w:val="18"/>
                <w:szCs w:val="18"/>
              </w:rPr>
              <w:t>15</w:t>
            </w:r>
          </w:p>
        </w:tc>
        <w:tc>
          <w:tcPr>
            <w:tcW w:w="789" w:type="dxa"/>
            <w:vAlign w:val="center"/>
          </w:tcPr>
          <w:p>
            <w:pPr>
              <w:snapToGrid w:val="0"/>
              <w:spacing w:line="360" w:lineRule="exact"/>
              <w:jc w:val="center"/>
              <w:rPr>
                <w:rFonts w:hint="eastAsia"/>
                <w:sz w:val="18"/>
                <w:szCs w:val="18"/>
              </w:rPr>
            </w:pPr>
            <w:r>
              <w:rPr>
                <w:rFonts w:hint="eastAsia"/>
                <w:sz w:val="18"/>
                <w:szCs w:val="18"/>
              </w:rPr>
              <w:t>0.45</w:t>
            </w:r>
          </w:p>
        </w:tc>
        <w:tc>
          <w:tcPr>
            <w:tcW w:w="783" w:type="dxa"/>
            <w:vAlign w:val="center"/>
          </w:tcPr>
          <w:p>
            <w:pPr>
              <w:snapToGrid w:val="0"/>
              <w:spacing w:line="360" w:lineRule="exact"/>
              <w:jc w:val="center"/>
              <w:rPr>
                <w:rFonts w:hint="eastAsia"/>
                <w:sz w:val="18"/>
                <w:szCs w:val="18"/>
              </w:rPr>
            </w:pPr>
            <w:r>
              <w:rPr>
                <w:rFonts w:hint="eastAsia"/>
                <w:sz w:val="18"/>
                <w:szCs w:val="18"/>
              </w:rPr>
              <w:t>20</w:t>
            </w:r>
          </w:p>
        </w:tc>
        <w:tc>
          <w:tcPr>
            <w:tcW w:w="708" w:type="dxa"/>
            <w:vAlign w:val="center"/>
          </w:tcPr>
          <w:p>
            <w:pPr>
              <w:snapToGrid w:val="0"/>
              <w:spacing w:line="360" w:lineRule="exact"/>
              <w:jc w:val="center"/>
              <w:rPr>
                <w:rFonts w:hint="eastAsia"/>
                <w:sz w:val="18"/>
                <w:szCs w:val="18"/>
              </w:rPr>
            </w:pPr>
            <w:r>
              <w:rPr>
                <w:rFonts w:hint="eastAsia"/>
                <w:sz w:val="18"/>
                <w:szCs w:val="18"/>
              </w:rPr>
              <w:t>10</w:t>
            </w:r>
          </w:p>
        </w:tc>
        <w:tc>
          <w:tcPr>
            <w:tcW w:w="1020" w:type="dxa"/>
            <w:vAlign w:val="center"/>
          </w:tcPr>
          <w:p>
            <w:pPr>
              <w:snapToGrid w:val="0"/>
              <w:spacing w:line="360" w:lineRule="exact"/>
              <w:jc w:val="center"/>
              <w:rPr>
                <w:rFonts w:hint="eastAsia"/>
                <w:sz w:val="18"/>
                <w:szCs w:val="18"/>
              </w:rPr>
            </w:pPr>
            <w:r>
              <w:rPr>
                <w:rFonts w:hint="eastAsia"/>
                <w:sz w:val="18"/>
                <w:szCs w:val="18"/>
              </w:rPr>
              <w:t>67×5</w:t>
            </w:r>
          </w:p>
        </w:tc>
        <w:tc>
          <w:tcPr>
            <w:tcW w:w="1122" w:type="dxa"/>
            <w:vAlign w:val="center"/>
          </w:tcPr>
          <w:p>
            <w:pPr>
              <w:snapToGrid w:val="0"/>
              <w:spacing w:line="360" w:lineRule="exact"/>
              <w:jc w:val="center"/>
              <w:rPr>
                <w:rFonts w:hint="eastAsia"/>
                <w:sz w:val="18"/>
                <w:szCs w:val="18"/>
              </w:rPr>
            </w:pPr>
            <w:r>
              <w:rPr>
                <w:rFonts w:hint="eastAsia"/>
                <w:sz w:val="18"/>
                <w:szCs w:val="18"/>
              </w:rPr>
              <w:t>412.59×5</w:t>
            </w:r>
          </w:p>
        </w:tc>
        <w:tc>
          <w:tcPr>
            <w:tcW w:w="1483" w:type="dxa"/>
            <w:vAlign w:val="center"/>
          </w:tcPr>
          <w:p>
            <w:pPr>
              <w:jc w:val="center"/>
              <w:rPr>
                <w:rFonts w:hint="eastAsia"/>
                <w:sz w:val="18"/>
                <w:szCs w:val="18"/>
              </w:rPr>
            </w:pPr>
            <w:r>
              <w:rPr>
                <w:rFonts w:hint="eastAsia"/>
                <w:sz w:val="18"/>
                <w:szCs w:val="18"/>
              </w:rPr>
              <w:t>脉冲袋式除尘器</w:t>
            </w:r>
          </w:p>
        </w:tc>
        <w:tc>
          <w:tcPr>
            <w:tcW w:w="786" w:type="dxa"/>
            <w:vAlign w:val="center"/>
          </w:tcPr>
          <w:p>
            <w:pPr>
              <w:jc w:val="center"/>
              <w:rPr>
                <w:rFonts w:hint="eastAsia"/>
                <w:sz w:val="18"/>
                <w:szCs w:val="18"/>
              </w:rPr>
            </w:pPr>
            <w:r>
              <w:rPr>
                <w:rFonts w:hint="eastAsia"/>
                <w:sz w:val="18"/>
                <w:szCs w:val="18"/>
              </w:rPr>
              <w:t>99.7</w:t>
            </w:r>
          </w:p>
        </w:tc>
        <w:tc>
          <w:tcPr>
            <w:tcW w:w="731" w:type="dxa"/>
            <w:vAlign w:val="center"/>
          </w:tcPr>
          <w:p>
            <w:pPr>
              <w:spacing w:line="360" w:lineRule="exact"/>
              <w:jc w:val="center"/>
              <w:rPr>
                <w:rFonts w:hint="eastAsia"/>
                <w:sz w:val="18"/>
                <w:szCs w:val="18"/>
              </w:rPr>
            </w:pPr>
            <w:r>
              <w:rPr>
                <w:rFonts w:hint="eastAsia"/>
                <w:sz w:val="18"/>
                <w:szCs w:val="18"/>
              </w:rPr>
              <w:t>30</w:t>
            </w:r>
          </w:p>
        </w:tc>
        <w:tc>
          <w:tcPr>
            <w:tcW w:w="928" w:type="dxa"/>
            <w:vAlign w:val="center"/>
          </w:tcPr>
          <w:p>
            <w:pPr>
              <w:spacing w:line="360" w:lineRule="exact"/>
              <w:jc w:val="center"/>
              <w:rPr>
                <w:rFonts w:hint="eastAsia"/>
                <w:sz w:val="18"/>
                <w:szCs w:val="18"/>
              </w:rPr>
            </w:pPr>
            <w:r>
              <w:rPr>
                <w:rFonts w:hint="eastAsia"/>
                <w:sz w:val="18"/>
                <w:szCs w:val="18"/>
              </w:rPr>
              <w:t>0.2×5</w:t>
            </w:r>
          </w:p>
        </w:tc>
        <w:tc>
          <w:tcPr>
            <w:tcW w:w="821" w:type="dxa"/>
            <w:vAlign w:val="center"/>
          </w:tcPr>
          <w:p>
            <w:pPr>
              <w:spacing w:line="360" w:lineRule="exact"/>
              <w:jc w:val="center"/>
              <w:rPr>
                <w:rFonts w:hint="eastAsia"/>
                <w:sz w:val="18"/>
                <w:szCs w:val="18"/>
              </w:rPr>
            </w:pPr>
            <w:r>
              <w:rPr>
                <w:rFonts w:hint="eastAsia"/>
                <w:sz w:val="18"/>
                <w:szCs w:val="18"/>
              </w:rPr>
              <w:t>1.23×5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88" w:type="dxa"/>
            <w:shd w:val="clear" w:color="auto" w:fill="auto"/>
            <w:vAlign w:val="center"/>
          </w:tcPr>
          <w:p>
            <w:pPr>
              <w:jc w:val="center"/>
              <w:rPr>
                <w:rFonts w:hint="eastAsia"/>
                <w:sz w:val="18"/>
                <w:szCs w:val="18"/>
              </w:rPr>
            </w:pPr>
            <w:r>
              <w:rPr>
                <w:rFonts w:hint="eastAsia"/>
                <w:sz w:val="18"/>
                <w:szCs w:val="18"/>
              </w:rPr>
              <w:t>16</w:t>
            </w:r>
          </w:p>
        </w:tc>
        <w:tc>
          <w:tcPr>
            <w:tcW w:w="1556" w:type="dxa"/>
            <w:shd w:val="clear" w:color="auto" w:fill="auto"/>
            <w:vAlign w:val="center"/>
          </w:tcPr>
          <w:p>
            <w:pPr>
              <w:jc w:val="center"/>
              <w:rPr>
                <w:rFonts w:hint="eastAsia"/>
                <w:sz w:val="18"/>
                <w:szCs w:val="18"/>
              </w:rPr>
            </w:pPr>
            <w:r>
              <w:rPr>
                <w:rFonts w:hint="eastAsia"/>
                <w:sz w:val="18"/>
                <w:szCs w:val="18"/>
              </w:rPr>
              <w:t>水泥粉磨</w:t>
            </w:r>
          </w:p>
        </w:tc>
        <w:tc>
          <w:tcPr>
            <w:tcW w:w="974" w:type="dxa"/>
            <w:shd w:val="clear" w:color="auto" w:fill="auto"/>
            <w:vAlign w:val="center"/>
          </w:tcPr>
          <w:p>
            <w:pPr>
              <w:snapToGrid w:val="0"/>
              <w:spacing w:line="360" w:lineRule="exact"/>
              <w:jc w:val="center"/>
              <w:rPr>
                <w:rFonts w:hint="eastAsia"/>
                <w:sz w:val="18"/>
                <w:szCs w:val="18"/>
              </w:rPr>
            </w:pPr>
            <w:r>
              <w:rPr>
                <w:rFonts w:hint="eastAsia"/>
                <w:sz w:val="18"/>
                <w:szCs w:val="18"/>
              </w:rPr>
              <w:t>210000</w:t>
            </w:r>
          </w:p>
        </w:tc>
        <w:tc>
          <w:tcPr>
            <w:tcW w:w="607" w:type="dxa"/>
            <w:shd w:val="clear" w:color="auto" w:fill="auto"/>
            <w:vAlign w:val="center"/>
          </w:tcPr>
          <w:p>
            <w:pPr>
              <w:snapToGrid w:val="0"/>
              <w:spacing w:line="360" w:lineRule="exact"/>
              <w:jc w:val="center"/>
              <w:rPr>
                <w:rFonts w:hint="eastAsia"/>
                <w:sz w:val="18"/>
                <w:szCs w:val="18"/>
              </w:rPr>
            </w:pPr>
            <w:r>
              <w:rPr>
                <w:rFonts w:hint="eastAsia"/>
                <w:sz w:val="18"/>
                <w:szCs w:val="18"/>
              </w:rPr>
              <w:t>粉尘</w:t>
            </w:r>
          </w:p>
        </w:tc>
        <w:tc>
          <w:tcPr>
            <w:tcW w:w="769" w:type="dxa"/>
            <w:shd w:val="clear" w:color="auto" w:fill="auto"/>
            <w:vAlign w:val="center"/>
          </w:tcPr>
          <w:p>
            <w:pPr>
              <w:snapToGrid w:val="0"/>
              <w:spacing w:line="360" w:lineRule="exact"/>
              <w:jc w:val="center"/>
              <w:rPr>
                <w:rFonts w:hint="eastAsia"/>
                <w:sz w:val="18"/>
                <w:szCs w:val="18"/>
              </w:rPr>
            </w:pPr>
            <w:r>
              <w:rPr>
                <w:rFonts w:hint="eastAsia"/>
                <w:sz w:val="18"/>
                <w:szCs w:val="18"/>
              </w:rPr>
              <w:t>6774</w:t>
            </w:r>
          </w:p>
        </w:tc>
        <w:tc>
          <w:tcPr>
            <w:tcW w:w="789" w:type="dxa"/>
            <w:vAlign w:val="center"/>
          </w:tcPr>
          <w:p>
            <w:pPr>
              <w:jc w:val="center"/>
              <w:rPr>
                <w:rFonts w:hint="eastAsia"/>
                <w:sz w:val="18"/>
                <w:szCs w:val="18"/>
              </w:rPr>
            </w:pPr>
            <w:r>
              <w:rPr>
                <w:rFonts w:hint="eastAsia"/>
                <w:sz w:val="18"/>
                <w:szCs w:val="18"/>
              </w:rPr>
              <w:t>40</w:t>
            </w:r>
          </w:p>
        </w:tc>
        <w:tc>
          <w:tcPr>
            <w:tcW w:w="789" w:type="dxa"/>
            <w:vAlign w:val="center"/>
          </w:tcPr>
          <w:p>
            <w:pPr>
              <w:snapToGrid w:val="0"/>
              <w:spacing w:line="360" w:lineRule="exact"/>
              <w:jc w:val="center"/>
              <w:rPr>
                <w:rFonts w:hint="eastAsia"/>
                <w:sz w:val="18"/>
                <w:szCs w:val="18"/>
              </w:rPr>
            </w:pPr>
            <w:r>
              <w:rPr>
                <w:rFonts w:hint="eastAsia"/>
                <w:sz w:val="18"/>
                <w:szCs w:val="18"/>
              </w:rPr>
              <w:t>1.2</w:t>
            </w:r>
          </w:p>
        </w:tc>
        <w:tc>
          <w:tcPr>
            <w:tcW w:w="783" w:type="dxa"/>
            <w:vAlign w:val="center"/>
          </w:tcPr>
          <w:p>
            <w:pPr>
              <w:snapToGrid w:val="0"/>
              <w:spacing w:line="360" w:lineRule="exact"/>
              <w:jc w:val="center"/>
              <w:rPr>
                <w:rFonts w:hint="eastAsia"/>
                <w:sz w:val="18"/>
                <w:szCs w:val="18"/>
              </w:rPr>
            </w:pPr>
            <w:r>
              <w:rPr>
                <w:rFonts w:hint="eastAsia"/>
                <w:sz w:val="18"/>
                <w:szCs w:val="18"/>
              </w:rPr>
              <w:t>60</w:t>
            </w:r>
          </w:p>
        </w:tc>
        <w:tc>
          <w:tcPr>
            <w:tcW w:w="708" w:type="dxa"/>
            <w:vAlign w:val="center"/>
          </w:tcPr>
          <w:p>
            <w:pPr>
              <w:snapToGrid w:val="0"/>
              <w:spacing w:line="360" w:lineRule="exact"/>
              <w:jc w:val="center"/>
              <w:rPr>
                <w:rFonts w:hint="eastAsia"/>
                <w:sz w:val="18"/>
                <w:szCs w:val="18"/>
              </w:rPr>
            </w:pPr>
            <w:r>
              <w:rPr>
                <w:rFonts w:hint="eastAsia"/>
                <w:sz w:val="18"/>
                <w:szCs w:val="18"/>
              </w:rPr>
              <w:t>28</w:t>
            </w:r>
          </w:p>
        </w:tc>
        <w:tc>
          <w:tcPr>
            <w:tcW w:w="1020" w:type="dxa"/>
            <w:vAlign w:val="center"/>
          </w:tcPr>
          <w:p>
            <w:pPr>
              <w:snapToGrid w:val="0"/>
              <w:spacing w:line="360" w:lineRule="exact"/>
              <w:jc w:val="center"/>
              <w:rPr>
                <w:rFonts w:hint="eastAsia"/>
                <w:sz w:val="18"/>
                <w:szCs w:val="18"/>
              </w:rPr>
            </w:pPr>
            <w:r>
              <w:rPr>
                <w:rFonts w:hint="eastAsia"/>
                <w:sz w:val="18"/>
                <w:szCs w:val="18"/>
              </w:rPr>
              <w:t>5880</w:t>
            </w:r>
          </w:p>
        </w:tc>
        <w:tc>
          <w:tcPr>
            <w:tcW w:w="1122" w:type="dxa"/>
            <w:vAlign w:val="center"/>
          </w:tcPr>
          <w:p>
            <w:pPr>
              <w:snapToGrid w:val="0"/>
              <w:spacing w:line="360" w:lineRule="exact"/>
              <w:jc w:val="center"/>
              <w:rPr>
                <w:rFonts w:hint="eastAsia"/>
                <w:sz w:val="18"/>
                <w:szCs w:val="18"/>
              </w:rPr>
            </w:pPr>
            <w:r>
              <w:rPr>
                <w:rFonts w:hint="eastAsia"/>
                <w:sz w:val="18"/>
                <w:szCs w:val="18"/>
              </w:rPr>
              <w:t>39831.12</w:t>
            </w:r>
          </w:p>
        </w:tc>
        <w:tc>
          <w:tcPr>
            <w:tcW w:w="1483" w:type="dxa"/>
            <w:vAlign w:val="center"/>
          </w:tcPr>
          <w:p>
            <w:pPr>
              <w:jc w:val="center"/>
              <w:rPr>
                <w:rFonts w:hint="eastAsia"/>
                <w:sz w:val="18"/>
                <w:szCs w:val="18"/>
              </w:rPr>
            </w:pPr>
            <w:r>
              <w:rPr>
                <w:rFonts w:hint="eastAsia"/>
                <w:sz w:val="18"/>
                <w:szCs w:val="18"/>
              </w:rPr>
              <w:t>脉冲袋式除尘器</w:t>
            </w:r>
          </w:p>
        </w:tc>
        <w:tc>
          <w:tcPr>
            <w:tcW w:w="786" w:type="dxa"/>
            <w:vAlign w:val="center"/>
          </w:tcPr>
          <w:p>
            <w:pPr>
              <w:jc w:val="center"/>
              <w:rPr>
                <w:sz w:val="18"/>
                <w:szCs w:val="18"/>
              </w:rPr>
            </w:pPr>
            <w:r>
              <w:rPr>
                <w:rFonts w:hint="eastAsia"/>
                <w:sz w:val="18"/>
                <w:szCs w:val="18"/>
              </w:rPr>
              <w:t>99.89</w:t>
            </w:r>
          </w:p>
        </w:tc>
        <w:tc>
          <w:tcPr>
            <w:tcW w:w="731" w:type="dxa"/>
            <w:vAlign w:val="center"/>
          </w:tcPr>
          <w:p>
            <w:pPr>
              <w:spacing w:line="360" w:lineRule="exact"/>
              <w:jc w:val="center"/>
              <w:rPr>
                <w:rFonts w:hint="eastAsia"/>
                <w:sz w:val="18"/>
                <w:szCs w:val="18"/>
              </w:rPr>
            </w:pPr>
            <w:r>
              <w:rPr>
                <w:rFonts w:hint="eastAsia"/>
                <w:sz w:val="18"/>
                <w:szCs w:val="18"/>
              </w:rPr>
              <w:t>30</w:t>
            </w:r>
          </w:p>
        </w:tc>
        <w:tc>
          <w:tcPr>
            <w:tcW w:w="928" w:type="dxa"/>
            <w:vAlign w:val="center"/>
          </w:tcPr>
          <w:p>
            <w:pPr>
              <w:spacing w:line="360" w:lineRule="exact"/>
              <w:jc w:val="center"/>
              <w:rPr>
                <w:rFonts w:hint="eastAsia"/>
                <w:sz w:val="18"/>
                <w:szCs w:val="18"/>
              </w:rPr>
            </w:pPr>
            <w:r>
              <w:rPr>
                <w:rFonts w:hint="eastAsia"/>
                <w:sz w:val="18"/>
                <w:szCs w:val="18"/>
              </w:rPr>
              <w:t>6.3</w:t>
            </w:r>
          </w:p>
        </w:tc>
        <w:tc>
          <w:tcPr>
            <w:tcW w:w="821" w:type="dxa"/>
            <w:vAlign w:val="center"/>
          </w:tcPr>
          <w:p>
            <w:pPr>
              <w:spacing w:line="360" w:lineRule="exact"/>
              <w:jc w:val="center"/>
              <w:rPr>
                <w:rFonts w:hint="eastAsia"/>
                <w:sz w:val="18"/>
                <w:szCs w:val="18"/>
              </w:rPr>
            </w:pPr>
            <w:r>
              <w:rPr>
                <w:rFonts w:hint="eastAsia"/>
                <w:sz w:val="18"/>
                <w:szCs w:val="18"/>
              </w:rPr>
              <w:t>42.68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88" w:type="dxa"/>
            <w:shd w:val="clear" w:color="auto" w:fill="auto"/>
            <w:vAlign w:val="center"/>
          </w:tcPr>
          <w:p>
            <w:pPr>
              <w:jc w:val="center"/>
              <w:rPr>
                <w:rFonts w:hint="eastAsia"/>
                <w:sz w:val="18"/>
                <w:szCs w:val="18"/>
              </w:rPr>
            </w:pPr>
            <w:r>
              <w:rPr>
                <w:rFonts w:hint="eastAsia"/>
                <w:sz w:val="18"/>
                <w:szCs w:val="18"/>
              </w:rPr>
              <w:t>17</w:t>
            </w:r>
          </w:p>
        </w:tc>
        <w:tc>
          <w:tcPr>
            <w:tcW w:w="1556" w:type="dxa"/>
            <w:shd w:val="clear" w:color="auto" w:fill="auto"/>
            <w:vAlign w:val="center"/>
          </w:tcPr>
          <w:p>
            <w:pPr>
              <w:jc w:val="center"/>
              <w:rPr>
                <w:sz w:val="18"/>
                <w:szCs w:val="18"/>
              </w:rPr>
            </w:pPr>
            <w:r>
              <w:rPr>
                <w:rFonts w:hint="eastAsia"/>
                <w:sz w:val="18"/>
                <w:szCs w:val="18"/>
              </w:rPr>
              <w:t>水泥库顶</w:t>
            </w:r>
          </w:p>
        </w:tc>
        <w:tc>
          <w:tcPr>
            <w:tcW w:w="974" w:type="dxa"/>
            <w:shd w:val="clear" w:color="auto" w:fill="auto"/>
            <w:vAlign w:val="center"/>
          </w:tcPr>
          <w:p>
            <w:pPr>
              <w:jc w:val="center"/>
              <w:rPr>
                <w:sz w:val="18"/>
                <w:szCs w:val="18"/>
              </w:rPr>
            </w:pPr>
            <w:r>
              <w:rPr>
                <w:rFonts w:hint="eastAsia"/>
                <w:sz w:val="18"/>
                <w:szCs w:val="18"/>
              </w:rPr>
              <w:t>8580×6</w:t>
            </w:r>
          </w:p>
        </w:tc>
        <w:tc>
          <w:tcPr>
            <w:tcW w:w="607" w:type="dxa"/>
            <w:shd w:val="clear" w:color="auto" w:fill="auto"/>
            <w:vAlign w:val="center"/>
          </w:tcPr>
          <w:p>
            <w:pPr>
              <w:snapToGrid w:val="0"/>
              <w:spacing w:line="360" w:lineRule="exact"/>
              <w:jc w:val="center"/>
              <w:rPr>
                <w:rFonts w:hint="eastAsia"/>
                <w:sz w:val="18"/>
                <w:szCs w:val="18"/>
              </w:rPr>
            </w:pPr>
            <w:r>
              <w:rPr>
                <w:rFonts w:hint="eastAsia"/>
                <w:sz w:val="18"/>
                <w:szCs w:val="18"/>
              </w:rPr>
              <w:t>粉尘</w:t>
            </w:r>
          </w:p>
        </w:tc>
        <w:tc>
          <w:tcPr>
            <w:tcW w:w="769" w:type="dxa"/>
            <w:shd w:val="clear" w:color="auto" w:fill="auto"/>
            <w:vAlign w:val="center"/>
          </w:tcPr>
          <w:p>
            <w:pPr>
              <w:jc w:val="center"/>
              <w:rPr>
                <w:rFonts w:hint="eastAsia"/>
                <w:sz w:val="18"/>
                <w:szCs w:val="18"/>
              </w:rPr>
            </w:pPr>
            <w:r>
              <w:rPr>
                <w:rFonts w:hint="eastAsia"/>
                <w:sz w:val="18"/>
                <w:szCs w:val="18"/>
              </w:rPr>
              <w:t>6875</w:t>
            </w:r>
          </w:p>
        </w:tc>
        <w:tc>
          <w:tcPr>
            <w:tcW w:w="789" w:type="dxa"/>
            <w:vAlign w:val="center"/>
          </w:tcPr>
          <w:p>
            <w:pPr>
              <w:jc w:val="center"/>
              <w:rPr>
                <w:rFonts w:hint="eastAsia"/>
                <w:sz w:val="18"/>
                <w:szCs w:val="18"/>
              </w:rPr>
            </w:pPr>
            <w:r>
              <w:rPr>
                <w:rFonts w:hint="eastAsia"/>
                <w:sz w:val="18"/>
                <w:szCs w:val="18"/>
              </w:rPr>
              <w:t>50</w:t>
            </w:r>
          </w:p>
        </w:tc>
        <w:tc>
          <w:tcPr>
            <w:tcW w:w="789" w:type="dxa"/>
            <w:vAlign w:val="center"/>
          </w:tcPr>
          <w:p>
            <w:pPr>
              <w:snapToGrid w:val="0"/>
              <w:spacing w:line="360" w:lineRule="exact"/>
              <w:jc w:val="center"/>
              <w:rPr>
                <w:rFonts w:hint="eastAsia"/>
                <w:sz w:val="18"/>
                <w:szCs w:val="18"/>
              </w:rPr>
            </w:pPr>
            <w:r>
              <w:rPr>
                <w:rFonts w:hint="eastAsia"/>
                <w:sz w:val="18"/>
                <w:szCs w:val="18"/>
              </w:rPr>
              <w:t>0.5</w:t>
            </w:r>
          </w:p>
        </w:tc>
        <w:tc>
          <w:tcPr>
            <w:tcW w:w="783" w:type="dxa"/>
            <w:vAlign w:val="center"/>
          </w:tcPr>
          <w:p>
            <w:pPr>
              <w:snapToGrid w:val="0"/>
              <w:spacing w:line="360" w:lineRule="exact"/>
              <w:jc w:val="center"/>
              <w:rPr>
                <w:rFonts w:hint="eastAsia"/>
                <w:sz w:val="18"/>
                <w:szCs w:val="18"/>
              </w:rPr>
            </w:pPr>
            <w:r>
              <w:rPr>
                <w:rFonts w:hint="eastAsia"/>
                <w:sz w:val="18"/>
                <w:szCs w:val="18"/>
              </w:rPr>
              <w:t>40</w:t>
            </w:r>
          </w:p>
        </w:tc>
        <w:tc>
          <w:tcPr>
            <w:tcW w:w="708" w:type="dxa"/>
            <w:vAlign w:val="center"/>
          </w:tcPr>
          <w:p>
            <w:pPr>
              <w:jc w:val="center"/>
              <w:rPr>
                <w:rFonts w:hint="eastAsia"/>
                <w:sz w:val="18"/>
                <w:szCs w:val="18"/>
              </w:rPr>
            </w:pPr>
            <w:r>
              <w:rPr>
                <w:rFonts w:hint="eastAsia"/>
                <w:sz w:val="18"/>
                <w:szCs w:val="18"/>
              </w:rPr>
              <w:t>28</w:t>
            </w:r>
          </w:p>
        </w:tc>
        <w:tc>
          <w:tcPr>
            <w:tcW w:w="1020" w:type="dxa"/>
            <w:vAlign w:val="center"/>
          </w:tcPr>
          <w:p>
            <w:pPr>
              <w:jc w:val="center"/>
              <w:rPr>
                <w:rFonts w:hint="eastAsia"/>
                <w:sz w:val="18"/>
                <w:szCs w:val="18"/>
              </w:rPr>
            </w:pPr>
            <w:r>
              <w:rPr>
                <w:rFonts w:hint="eastAsia"/>
                <w:sz w:val="18"/>
                <w:szCs w:val="18"/>
              </w:rPr>
              <w:t>240.24×6</w:t>
            </w:r>
          </w:p>
        </w:tc>
        <w:tc>
          <w:tcPr>
            <w:tcW w:w="1122" w:type="dxa"/>
            <w:vAlign w:val="center"/>
          </w:tcPr>
          <w:p>
            <w:pPr>
              <w:jc w:val="center"/>
              <w:rPr>
                <w:rFonts w:hint="eastAsia"/>
                <w:sz w:val="18"/>
                <w:szCs w:val="18"/>
              </w:rPr>
            </w:pPr>
            <w:r>
              <w:rPr>
                <w:rFonts w:hint="eastAsia"/>
                <w:sz w:val="18"/>
                <w:szCs w:val="18"/>
              </w:rPr>
              <w:t>1651.65×6</w:t>
            </w:r>
          </w:p>
        </w:tc>
        <w:tc>
          <w:tcPr>
            <w:tcW w:w="1483" w:type="dxa"/>
            <w:vAlign w:val="center"/>
          </w:tcPr>
          <w:p>
            <w:pPr>
              <w:jc w:val="center"/>
              <w:rPr>
                <w:sz w:val="18"/>
                <w:szCs w:val="18"/>
              </w:rPr>
            </w:pPr>
            <w:r>
              <w:rPr>
                <w:rFonts w:hint="eastAsia"/>
                <w:sz w:val="18"/>
                <w:szCs w:val="18"/>
              </w:rPr>
              <w:t>脉冲袋式除尘器</w:t>
            </w:r>
          </w:p>
        </w:tc>
        <w:tc>
          <w:tcPr>
            <w:tcW w:w="786" w:type="dxa"/>
            <w:vAlign w:val="center"/>
          </w:tcPr>
          <w:p>
            <w:pPr>
              <w:jc w:val="center"/>
              <w:rPr>
                <w:sz w:val="18"/>
                <w:szCs w:val="18"/>
              </w:rPr>
            </w:pPr>
            <w:r>
              <w:rPr>
                <w:rFonts w:hint="eastAsia"/>
                <w:sz w:val="18"/>
                <w:szCs w:val="18"/>
              </w:rPr>
              <w:t>99.89</w:t>
            </w:r>
          </w:p>
        </w:tc>
        <w:tc>
          <w:tcPr>
            <w:tcW w:w="731" w:type="dxa"/>
            <w:vAlign w:val="center"/>
          </w:tcPr>
          <w:p>
            <w:pPr>
              <w:jc w:val="center"/>
              <w:rPr>
                <w:sz w:val="18"/>
                <w:szCs w:val="18"/>
              </w:rPr>
            </w:pPr>
            <w:r>
              <w:rPr>
                <w:rFonts w:hint="eastAsia"/>
                <w:snapToGrid w:val="0"/>
                <w:kern w:val="0"/>
                <w:sz w:val="18"/>
                <w:szCs w:val="18"/>
              </w:rPr>
              <w:t>30</w:t>
            </w:r>
          </w:p>
        </w:tc>
        <w:tc>
          <w:tcPr>
            <w:tcW w:w="928" w:type="dxa"/>
            <w:vAlign w:val="center"/>
          </w:tcPr>
          <w:p>
            <w:pPr>
              <w:jc w:val="center"/>
              <w:rPr>
                <w:rFonts w:hint="eastAsia" w:ascii="宋体" w:hAnsi="宋体" w:cs="宋体"/>
                <w:sz w:val="18"/>
                <w:szCs w:val="18"/>
              </w:rPr>
            </w:pPr>
            <w:r>
              <w:rPr>
                <w:rFonts w:hint="eastAsia" w:ascii="宋体" w:hAnsi="宋体" w:cs="宋体"/>
                <w:sz w:val="18"/>
                <w:szCs w:val="18"/>
              </w:rPr>
              <w:t>0.26</w:t>
            </w:r>
            <w:r>
              <w:rPr>
                <w:rFonts w:hint="eastAsia"/>
                <w:sz w:val="18"/>
                <w:szCs w:val="18"/>
              </w:rPr>
              <w:t>×6</w:t>
            </w:r>
          </w:p>
        </w:tc>
        <w:tc>
          <w:tcPr>
            <w:tcW w:w="821" w:type="dxa"/>
            <w:vAlign w:val="center"/>
          </w:tcPr>
          <w:p>
            <w:pPr>
              <w:jc w:val="center"/>
              <w:rPr>
                <w:rFonts w:ascii="宋体" w:hAnsi="宋体" w:cs="宋体"/>
                <w:sz w:val="18"/>
                <w:szCs w:val="18"/>
              </w:rPr>
            </w:pPr>
            <w:r>
              <w:rPr>
                <w:rFonts w:hint="eastAsia"/>
                <w:sz w:val="18"/>
                <w:szCs w:val="18"/>
              </w:rPr>
              <w:t>1.79×6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88" w:type="dxa"/>
            <w:shd w:val="clear" w:color="auto" w:fill="auto"/>
            <w:vAlign w:val="center"/>
          </w:tcPr>
          <w:p>
            <w:pPr>
              <w:jc w:val="center"/>
              <w:rPr>
                <w:rFonts w:hint="eastAsia"/>
                <w:sz w:val="18"/>
                <w:szCs w:val="18"/>
              </w:rPr>
            </w:pPr>
            <w:r>
              <w:rPr>
                <w:rFonts w:hint="eastAsia"/>
                <w:sz w:val="18"/>
                <w:szCs w:val="18"/>
              </w:rPr>
              <w:t>18</w:t>
            </w:r>
          </w:p>
        </w:tc>
        <w:tc>
          <w:tcPr>
            <w:tcW w:w="1556" w:type="dxa"/>
            <w:shd w:val="clear" w:color="auto" w:fill="auto"/>
            <w:vAlign w:val="center"/>
          </w:tcPr>
          <w:p>
            <w:pPr>
              <w:jc w:val="center"/>
              <w:rPr>
                <w:sz w:val="18"/>
                <w:szCs w:val="18"/>
              </w:rPr>
            </w:pPr>
            <w:r>
              <w:rPr>
                <w:rFonts w:hint="eastAsia"/>
                <w:sz w:val="18"/>
                <w:szCs w:val="18"/>
              </w:rPr>
              <w:t>水泥库底</w:t>
            </w:r>
          </w:p>
        </w:tc>
        <w:tc>
          <w:tcPr>
            <w:tcW w:w="974" w:type="dxa"/>
            <w:shd w:val="clear" w:color="auto" w:fill="auto"/>
            <w:vAlign w:val="center"/>
          </w:tcPr>
          <w:p>
            <w:pPr>
              <w:jc w:val="center"/>
              <w:rPr>
                <w:sz w:val="18"/>
                <w:szCs w:val="18"/>
              </w:rPr>
            </w:pPr>
            <w:r>
              <w:rPr>
                <w:rFonts w:hint="eastAsia"/>
                <w:sz w:val="18"/>
                <w:szCs w:val="18"/>
              </w:rPr>
              <w:t>8580×6</w:t>
            </w:r>
          </w:p>
        </w:tc>
        <w:tc>
          <w:tcPr>
            <w:tcW w:w="607" w:type="dxa"/>
            <w:shd w:val="clear" w:color="auto" w:fill="auto"/>
            <w:vAlign w:val="center"/>
          </w:tcPr>
          <w:p>
            <w:pPr>
              <w:snapToGrid w:val="0"/>
              <w:spacing w:line="360" w:lineRule="exact"/>
              <w:jc w:val="center"/>
              <w:rPr>
                <w:rFonts w:hint="eastAsia"/>
                <w:sz w:val="18"/>
                <w:szCs w:val="18"/>
              </w:rPr>
            </w:pPr>
            <w:r>
              <w:rPr>
                <w:rFonts w:hint="eastAsia"/>
                <w:sz w:val="18"/>
                <w:szCs w:val="18"/>
              </w:rPr>
              <w:t>粉尘</w:t>
            </w:r>
          </w:p>
        </w:tc>
        <w:tc>
          <w:tcPr>
            <w:tcW w:w="769" w:type="dxa"/>
            <w:shd w:val="clear" w:color="auto" w:fill="auto"/>
            <w:vAlign w:val="center"/>
          </w:tcPr>
          <w:p>
            <w:pPr>
              <w:jc w:val="center"/>
              <w:rPr>
                <w:rFonts w:hint="eastAsia"/>
                <w:sz w:val="18"/>
                <w:szCs w:val="18"/>
              </w:rPr>
            </w:pPr>
            <w:r>
              <w:rPr>
                <w:rFonts w:hint="eastAsia"/>
                <w:sz w:val="18"/>
                <w:szCs w:val="18"/>
              </w:rPr>
              <w:t>6875</w:t>
            </w:r>
          </w:p>
        </w:tc>
        <w:tc>
          <w:tcPr>
            <w:tcW w:w="789" w:type="dxa"/>
            <w:vAlign w:val="center"/>
          </w:tcPr>
          <w:p>
            <w:pPr>
              <w:jc w:val="center"/>
              <w:rPr>
                <w:rFonts w:hint="eastAsia"/>
                <w:sz w:val="18"/>
                <w:szCs w:val="18"/>
              </w:rPr>
            </w:pPr>
            <w:r>
              <w:rPr>
                <w:rFonts w:hint="eastAsia"/>
                <w:sz w:val="18"/>
                <w:szCs w:val="18"/>
              </w:rPr>
              <w:t>15</w:t>
            </w:r>
          </w:p>
        </w:tc>
        <w:tc>
          <w:tcPr>
            <w:tcW w:w="789" w:type="dxa"/>
            <w:vAlign w:val="center"/>
          </w:tcPr>
          <w:p>
            <w:pPr>
              <w:snapToGrid w:val="0"/>
              <w:spacing w:line="360" w:lineRule="exact"/>
              <w:jc w:val="center"/>
              <w:rPr>
                <w:rFonts w:hint="eastAsia"/>
                <w:sz w:val="18"/>
                <w:szCs w:val="18"/>
              </w:rPr>
            </w:pPr>
            <w:r>
              <w:rPr>
                <w:rFonts w:hint="eastAsia"/>
                <w:sz w:val="18"/>
                <w:szCs w:val="18"/>
              </w:rPr>
              <w:t>0.5</w:t>
            </w:r>
          </w:p>
        </w:tc>
        <w:tc>
          <w:tcPr>
            <w:tcW w:w="783" w:type="dxa"/>
            <w:vAlign w:val="center"/>
          </w:tcPr>
          <w:p>
            <w:pPr>
              <w:snapToGrid w:val="0"/>
              <w:spacing w:line="360" w:lineRule="exact"/>
              <w:jc w:val="center"/>
              <w:rPr>
                <w:rFonts w:hint="eastAsia"/>
                <w:sz w:val="18"/>
                <w:szCs w:val="18"/>
              </w:rPr>
            </w:pPr>
            <w:r>
              <w:rPr>
                <w:rFonts w:hint="eastAsia"/>
                <w:sz w:val="18"/>
                <w:szCs w:val="18"/>
              </w:rPr>
              <w:t>40</w:t>
            </w:r>
          </w:p>
        </w:tc>
        <w:tc>
          <w:tcPr>
            <w:tcW w:w="708" w:type="dxa"/>
            <w:vAlign w:val="center"/>
          </w:tcPr>
          <w:p>
            <w:pPr>
              <w:jc w:val="center"/>
              <w:rPr>
                <w:rFonts w:hint="eastAsia"/>
                <w:sz w:val="18"/>
                <w:szCs w:val="18"/>
              </w:rPr>
            </w:pPr>
            <w:r>
              <w:rPr>
                <w:rFonts w:hint="eastAsia"/>
                <w:sz w:val="18"/>
                <w:szCs w:val="18"/>
              </w:rPr>
              <w:t>28</w:t>
            </w:r>
          </w:p>
        </w:tc>
        <w:tc>
          <w:tcPr>
            <w:tcW w:w="1020" w:type="dxa"/>
            <w:vAlign w:val="center"/>
          </w:tcPr>
          <w:p>
            <w:pPr>
              <w:jc w:val="center"/>
              <w:rPr>
                <w:rFonts w:hint="eastAsia"/>
                <w:sz w:val="18"/>
                <w:szCs w:val="18"/>
              </w:rPr>
            </w:pPr>
            <w:r>
              <w:rPr>
                <w:rFonts w:hint="eastAsia"/>
                <w:sz w:val="18"/>
                <w:szCs w:val="18"/>
              </w:rPr>
              <w:t>240.24×6</w:t>
            </w:r>
          </w:p>
        </w:tc>
        <w:tc>
          <w:tcPr>
            <w:tcW w:w="1122" w:type="dxa"/>
            <w:vAlign w:val="center"/>
          </w:tcPr>
          <w:p>
            <w:pPr>
              <w:jc w:val="center"/>
              <w:rPr>
                <w:rFonts w:hint="eastAsia"/>
                <w:sz w:val="18"/>
                <w:szCs w:val="18"/>
              </w:rPr>
            </w:pPr>
            <w:r>
              <w:rPr>
                <w:rFonts w:hint="eastAsia"/>
                <w:sz w:val="18"/>
                <w:szCs w:val="18"/>
              </w:rPr>
              <w:t>1651.65×6</w:t>
            </w:r>
          </w:p>
        </w:tc>
        <w:tc>
          <w:tcPr>
            <w:tcW w:w="1483" w:type="dxa"/>
            <w:vAlign w:val="center"/>
          </w:tcPr>
          <w:p>
            <w:pPr>
              <w:jc w:val="center"/>
              <w:rPr>
                <w:rFonts w:hint="eastAsia"/>
                <w:sz w:val="18"/>
                <w:szCs w:val="18"/>
              </w:rPr>
            </w:pPr>
            <w:r>
              <w:rPr>
                <w:rFonts w:hint="eastAsia"/>
                <w:sz w:val="18"/>
                <w:szCs w:val="18"/>
              </w:rPr>
              <w:t>脉冲袋式除尘器</w:t>
            </w:r>
          </w:p>
        </w:tc>
        <w:tc>
          <w:tcPr>
            <w:tcW w:w="786" w:type="dxa"/>
            <w:vAlign w:val="center"/>
          </w:tcPr>
          <w:p>
            <w:pPr>
              <w:jc w:val="center"/>
              <w:rPr>
                <w:sz w:val="18"/>
                <w:szCs w:val="18"/>
              </w:rPr>
            </w:pPr>
            <w:r>
              <w:rPr>
                <w:rFonts w:hint="eastAsia"/>
                <w:sz w:val="18"/>
                <w:szCs w:val="18"/>
              </w:rPr>
              <w:t>99.89</w:t>
            </w:r>
          </w:p>
        </w:tc>
        <w:tc>
          <w:tcPr>
            <w:tcW w:w="731" w:type="dxa"/>
            <w:vAlign w:val="center"/>
          </w:tcPr>
          <w:p>
            <w:pPr>
              <w:jc w:val="center"/>
              <w:rPr>
                <w:rFonts w:hint="eastAsia"/>
                <w:snapToGrid w:val="0"/>
                <w:kern w:val="0"/>
                <w:sz w:val="18"/>
                <w:szCs w:val="18"/>
              </w:rPr>
            </w:pPr>
            <w:r>
              <w:rPr>
                <w:rFonts w:hint="eastAsia"/>
                <w:snapToGrid w:val="0"/>
                <w:kern w:val="0"/>
                <w:sz w:val="18"/>
                <w:szCs w:val="18"/>
              </w:rPr>
              <w:t>30</w:t>
            </w:r>
          </w:p>
        </w:tc>
        <w:tc>
          <w:tcPr>
            <w:tcW w:w="928" w:type="dxa"/>
            <w:vAlign w:val="center"/>
          </w:tcPr>
          <w:p>
            <w:pPr>
              <w:jc w:val="center"/>
              <w:rPr>
                <w:rFonts w:hint="eastAsia" w:ascii="宋体" w:hAnsi="宋体" w:cs="宋体"/>
                <w:sz w:val="18"/>
                <w:szCs w:val="18"/>
              </w:rPr>
            </w:pPr>
            <w:r>
              <w:rPr>
                <w:rFonts w:hint="eastAsia" w:ascii="宋体" w:hAnsi="宋体" w:cs="宋体"/>
                <w:sz w:val="18"/>
                <w:szCs w:val="18"/>
              </w:rPr>
              <w:t>0.26</w:t>
            </w:r>
            <w:r>
              <w:rPr>
                <w:rFonts w:hint="eastAsia"/>
                <w:sz w:val="18"/>
                <w:szCs w:val="18"/>
              </w:rPr>
              <w:t>×6</w:t>
            </w:r>
          </w:p>
        </w:tc>
        <w:tc>
          <w:tcPr>
            <w:tcW w:w="821" w:type="dxa"/>
            <w:vAlign w:val="center"/>
          </w:tcPr>
          <w:p>
            <w:pPr>
              <w:jc w:val="center"/>
              <w:rPr>
                <w:rFonts w:hint="eastAsia"/>
                <w:sz w:val="18"/>
                <w:szCs w:val="18"/>
              </w:rPr>
            </w:pPr>
            <w:r>
              <w:rPr>
                <w:rFonts w:hint="eastAsia"/>
                <w:sz w:val="18"/>
                <w:szCs w:val="18"/>
              </w:rPr>
              <w:t>1.79×6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88" w:type="dxa"/>
            <w:shd w:val="clear" w:color="auto" w:fill="auto"/>
            <w:vAlign w:val="center"/>
          </w:tcPr>
          <w:p>
            <w:pPr>
              <w:jc w:val="center"/>
              <w:rPr>
                <w:rFonts w:hint="eastAsia"/>
                <w:sz w:val="18"/>
                <w:szCs w:val="18"/>
              </w:rPr>
            </w:pPr>
            <w:r>
              <w:rPr>
                <w:rFonts w:hint="eastAsia"/>
                <w:sz w:val="18"/>
                <w:szCs w:val="18"/>
              </w:rPr>
              <w:t>19</w:t>
            </w:r>
          </w:p>
        </w:tc>
        <w:tc>
          <w:tcPr>
            <w:tcW w:w="1556" w:type="dxa"/>
            <w:shd w:val="clear" w:color="auto" w:fill="auto"/>
            <w:vAlign w:val="center"/>
          </w:tcPr>
          <w:p>
            <w:pPr>
              <w:jc w:val="center"/>
              <w:rPr>
                <w:rFonts w:hint="eastAsia"/>
                <w:sz w:val="18"/>
                <w:szCs w:val="18"/>
              </w:rPr>
            </w:pPr>
            <w:r>
              <w:rPr>
                <w:rFonts w:hint="eastAsia"/>
                <w:sz w:val="18"/>
                <w:szCs w:val="18"/>
              </w:rPr>
              <w:t>水泥散装</w:t>
            </w:r>
          </w:p>
        </w:tc>
        <w:tc>
          <w:tcPr>
            <w:tcW w:w="974" w:type="dxa"/>
            <w:shd w:val="clear" w:color="auto" w:fill="auto"/>
            <w:vAlign w:val="center"/>
          </w:tcPr>
          <w:p>
            <w:pPr>
              <w:jc w:val="center"/>
              <w:rPr>
                <w:rFonts w:hint="eastAsia"/>
                <w:sz w:val="18"/>
                <w:szCs w:val="18"/>
              </w:rPr>
            </w:pPr>
            <w:r>
              <w:rPr>
                <w:rFonts w:hint="eastAsia"/>
                <w:sz w:val="18"/>
                <w:szCs w:val="18"/>
              </w:rPr>
              <w:t>1600×2</w:t>
            </w:r>
          </w:p>
        </w:tc>
        <w:tc>
          <w:tcPr>
            <w:tcW w:w="607" w:type="dxa"/>
            <w:shd w:val="clear" w:color="auto" w:fill="auto"/>
            <w:vAlign w:val="center"/>
          </w:tcPr>
          <w:p>
            <w:pPr>
              <w:snapToGrid w:val="0"/>
              <w:spacing w:line="360" w:lineRule="exact"/>
              <w:jc w:val="center"/>
              <w:rPr>
                <w:rFonts w:hint="eastAsia"/>
                <w:sz w:val="18"/>
                <w:szCs w:val="18"/>
              </w:rPr>
            </w:pPr>
            <w:r>
              <w:rPr>
                <w:rFonts w:hint="eastAsia"/>
                <w:sz w:val="18"/>
                <w:szCs w:val="18"/>
              </w:rPr>
              <w:t>粉尘</w:t>
            </w:r>
          </w:p>
        </w:tc>
        <w:tc>
          <w:tcPr>
            <w:tcW w:w="769" w:type="dxa"/>
            <w:shd w:val="clear" w:color="auto" w:fill="auto"/>
            <w:vAlign w:val="center"/>
          </w:tcPr>
          <w:p>
            <w:pPr>
              <w:jc w:val="center"/>
              <w:rPr>
                <w:rFonts w:hint="eastAsia"/>
                <w:sz w:val="18"/>
                <w:szCs w:val="18"/>
              </w:rPr>
            </w:pPr>
            <w:r>
              <w:rPr>
                <w:rFonts w:hint="eastAsia"/>
                <w:sz w:val="18"/>
                <w:szCs w:val="18"/>
              </w:rPr>
              <w:t>3300</w:t>
            </w:r>
          </w:p>
        </w:tc>
        <w:tc>
          <w:tcPr>
            <w:tcW w:w="789" w:type="dxa"/>
            <w:vAlign w:val="center"/>
          </w:tcPr>
          <w:p>
            <w:pPr>
              <w:jc w:val="center"/>
              <w:rPr>
                <w:rFonts w:hint="eastAsia"/>
                <w:sz w:val="18"/>
                <w:szCs w:val="18"/>
              </w:rPr>
            </w:pPr>
            <w:r>
              <w:rPr>
                <w:rFonts w:hint="eastAsia"/>
                <w:sz w:val="18"/>
                <w:szCs w:val="18"/>
              </w:rPr>
              <w:t>15</w:t>
            </w:r>
          </w:p>
        </w:tc>
        <w:tc>
          <w:tcPr>
            <w:tcW w:w="789" w:type="dxa"/>
            <w:vAlign w:val="center"/>
          </w:tcPr>
          <w:p>
            <w:pPr>
              <w:snapToGrid w:val="0"/>
              <w:spacing w:line="360" w:lineRule="exact"/>
              <w:jc w:val="center"/>
              <w:rPr>
                <w:rFonts w:hint="eastAsia"/>
                <w:sz w:val="18"/>
                <w:szCs w:val="18"/>
              </w:rPr>
            </w:pPr>
            <w:r>
              <w:rPr>
                <w:rFonts w:hint="eastAsia"/>
                <w:sz w:val="18"/>
                <w:szCs w:val="18"/>
              </w:rPr>
              <w:t>0.4</w:t>
            </w:r>
          </w:p>
        </w:tc>
        <w:tc>
          <w:tcPr>
            <w:tcW w:w="783" w:type="dxa"/>
            <w:vAlign w:val="center"/>
          </w:tcPr>
          <w:p>
            <w:pPr>
              <w:snapToGrid w:val="0"/>
              <w:spacing w:line="360" w:lineRule="exact"/>
              <w:jc w:val="center"/>
              <w:rPr>
                <w:rFonts w:hint="eastAsia"/>
                <w:sz w:val="18"/>
                <w:szCs w:val="18"/>
              </w:rPr>
            </w:pPr>
            <w:r>
              <w:rPr>
                <w:rFonts w:hint="eastAsia"/>
                <w:sz w:val="18"/>
                <w:szCs w:val="18"/>
              </w:rPr>
              <w:t>20</w:t>
            </w:r>
          </w:p>
        </w:tc>
        <w:tc>
          <w:tcPr>
            <w:tcW w:w="708" w:type="dxa"/>
            <w:vAlign w:val="center"/>
          </w:tcPr>
          <w:p>
            <w:pPr>
              <w:jc w:val="center"/>
              <w:rPr>
                <w:rFonts w:hint="eastAsia"/>
                <w:sz w:val="18"/>
                <w:szCs w:val="18"/>
              </w:rPr>
            </w:pPr>
            <w:r>
              <w:rPr>
                <w:rFonts w:hint="eastAsia"/>
                <w:sz w:val="18"/>
                <w:szCs w:val="18"/>
              </w:rPr>
              <w:t>20</w:t>
            </w:r>
          </w:p>
        </w:tc>
        <w:tc>
          <w:tcPr>
            <w:tcW w:w="1020" w:type="dxa"/>
            <w:vAlign w:val="center"/>
          </w:tcPr>
          <w:p>
            <w:pPr>
              <w:jc w:val="center"/>
              <w:rPr>
                <w:rFonts w:hint="eastAsia"/>
                <w:sz w:val="18"/>
                <w:szCs w:val="18"/>
              </w:rPr>
            </w:pPr>
            <w:r>
              <w:rPr>
                <w:rFonts w:hint="eastAsia"/>
                <w:sz w:val="18"/>
                <w:szCs w:val="18"/>
              </w:rPr>
              <w:t>32×2</w:t>
            </w:r>
          </w:p>
        </w:tc>
        <w:tc>
          <w:tcPr>
            <w:tcW w:w="1122" w:type="dxa"/>
            <w:vAlign w:val="center"/>
          </w:tcPr>
          <w:p>
            <w:pPr>
              <w:jc w:val="center"/>
              <w:rPr>
                <w:rFonts w:hint="eastAsia"/>
                <w:sz w:val="18"/>
                <w:szCs w:val="18"/>
              </w:rPr>
            </w:pPr>
            <w:r>
              <w:rPr>
                <w:rFonts w:hint="eastAsia"/>
                <w:sz w:val="18"/>
                <w:szCs w:val="18"/>
              </w:rPr>
              <w:t>105.6×2</w:t>
            </w:r>
          </w:p>
        </w:tc>
        <w:tc>
          <w:tcPr>
            <w:tcW w:w="1483" w:type="dxa"/>
            <w:vAlign w:val="center"/>
          </w:tcPr>
          <w:p>
            <w:pPr>
              <w:jc w:val="center"/>
              <w:rPr>
                <w:rFonts w:hint="eastAsia"/>
                <w:sz w:val="18"/>
                <w:szCs w:val="18"/>
              </w:rPr>
            </w:pPr>
            <w:r>
              <w:rPr>
                <w:rFonts w:hint="eastAsia"/>
                <w:sz w:val="18"/>
                <w:szCs w:val="18"/>
              </w:rPr>
              <w:t>单机布袋除尘器</w:t>
            </w:r>
          </w:p>
        </w:tc>
        <w:tc>
          <w:tcPr>
            <w:tcW w:w="786" w:type="dxa"/>
            <w:vAlign w:val="center"/>
          </w:tcPr>
          <w:p>
            <w:pPr>
              <w:jc w:val="center"/>
              <w:rPr>
                <w:rFonts w:ascii="宋体" w:hAnsi="宋体" w:cs="宋体"/>
                <w:sz w:val="18"/>
                <w:szCs w:val="18"/>
              </w:rPr>
            </w:pPr>
            <w:r>
              <w:rPr>
                <w:rFonts w:hint="eastAsia" w:ascii="宋体" w:hAnsi="宋体" w:cs="宋体"/>
                <w:sz w:val="18"/>
                <w:szCs w:val="18"/>
              </w:rPr>
              <w:t>99.85</w:t>
            </w:r>
          </w:p>
        </w:tc>
        <w:tc>
          <w:tcPr>
            <w:tcW w:w="731" w:type="dxa"/>
            <w:vAlign w:val="center"/>
          </w:tcPr>
          <w:p>
            <w:pPr>
              <w:jc w:val="center"/>
              <w:rPr>
                <w:rFonts w:hint="eastAsia"/>
                <w:snapToGrid w:val="0"/>
                <w:kern w:val="0"/>
                <w:sz w:val="18"/>
                <w:szCs w:val="18"/>
              </w:rPr>
            </w:pPr>
            <w:r>
              <w:rPr>
                <w:rFonts w:hint="eastAsia"/>
                <w:snapToGrid w:val="0"/>
                <w:kern w:val="0"/>
                <w:sz w:val="18"/>
                <w:szCs w:val="18"/>
              </w:rPr>
              <w:t>30</w:t>
            </w:r>
          </w:p>
        </w:tc>
        <w:tc>
          <w:tcPr>
            <w:tcW w:w="928" w:type="dxa"/>
            <w:vAlign w:val="center"/>
          </w:tcPr>
          <w:p>
            <w:pPr>
              <w:jc w:val="center"/>
              <w:rPr>
                <w:rFonts w:hint="eastAsia"/>
                <w:sz w:val="18"/>
                <w:szCs w:val="18"/>
              </w:rPr>
            </w:pPr>
            <w:r>
              <w:rPr>
                <w:rFonts w:hint="eastAsia"/>
                <w:sz w:val="18"/>
                <w:szCs w:val="18"/>
              </w:rPr>
              <w:t>0.048×2</w:t>
            </w:r>
          </w:p>
        </w:tc>
        <w:tc>
          <w:tcPr>
            <w:tcW w:w="821" w:type="dxa"/>
            <w:vAlign w:val="center"/>
          </w:tcPr>
          <w:p>
            <w:pPr>
              <w:jc w:val="center"/>
              <w:rPr>
                <w:rFonts w:hint="eastAsia"/>
                <w:sz w:val="18"/>
                <w:szCs w:val="18"/>
              </w:rPr>
            </w:pPr>
            <w:r>
              <w:rPr>
                <w:rFonts w:hint="eastAsia"/>
                <w:sz w:val="18"/>
                <w:szCs w:val="18"/>
              </w:rPr>
              <w:t>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588" w:type="dxa"/>
            <w:shd w:val="clear" w:color="auto" w:fill="auto"/>
            <w:vAlign w:val="center"/>
          </w:tcPr>
          <w:p>
            <w:pPr>
              <w:jc w:val="center"/>
              <w:rPr>
                <w:rFonts w:hint="eastAsia"/>
                <w:sz w:val="18"/>
                <w:szCs w:val="18"/>
              </w:rPr>
            </w:pPr>
            <w:r>
              <w:rPr>
                <w:rFonts w:hint="eastAsia"/>
                <w:sz w:val="18"/>
                <w:szCs w:val="18"/>
              </w:rPr>
              <w:t>20</w:t>
            </w:r>
          </w:p>
        </w:tc>
        <w:tc>
          <w:tcPr>
            <w:tcW w:w="1556" w:type="dxa"/>
            <w:shd w:val="clear" w:color="auto" w:fill="auto"/>
            <w:vAlign w:val="center"/>
          </w:tcPr>
          <w:p>
            <w:pPr>
              <w:jc w:val="center"/>
              <w:rPr>
                <w:rFonts w:hint="eastAsia"/>
                <w:sz w:val="18"/>
                <w:szCs w:val="18"/>
              </w:rPr>
            </w:pPr>
            <w:r>
              <w:rPr>
                <w:rFonts w:hint="eastAsia"/>
                <w:sz w:val="18"/>
                <w:szCs w:val="18"/>
              </w:rPr>
              <w:t>水泥包装</w:t>
            </w:r>
          </w:p>
        </w:tc>
        <w:tc>
          <w:tcPr>
            <w:tcW w:w="974" w:type="dxa"/>
            <w:shd w:val="clear" w:color="auto" w:fill="auto"/>
            <w:vAlign w:val="center"/>
          </w:tcPr>
          <w:p>
            <w:pPr>
              <w:jc w:val="center"/>
              <w:rPr>
                <w:rFonts w:hint="eastAsia"/>
                <w:sz w:val="18"/>
                <w:szCs w:val="18"/>
              </w:rPr>
            </w:pPr>
            <w:r>
              <w:rPr>
                <w:rFonts w:hint="eastAsia"/>
                <w:sz w:val="18"/>
                <w:szCs w:val="18"/>
              </w:rPr>
              <w:t>6700×4</w:t>
            </w:r>
          </w:p>
        </w:tc>
        <w:tc>
          <w:tcPr>
            <w:tcW w:w="607" w:type="dxa"/>
            <w:shd w:val="clear" w:color="auto" w:fill="auto"/>
            <w:vAlign w:val="center"/>
          </w:tcPr>
          <w:p>
            <w:pPr>
              <w:snapToGrid w:val="0"/>
              <w:spacing w:line="360" w:lineRule="exact"/>
              <w:jc w:val="center"/>
              <w:rPr>
                <w:rFonts w:hint="eastAsia"/>
                <w:sz w:val="18"/>
                <w:szCs w:val="18"/>
              </w:rPr>
            </w:pPr>
            <w:r>
              <w:rPr>
                <w:rFonts w:hint="eastAsia"/>
                <w:sz w:val="18"/>
                <w:szCs w:val="18"/>
              </w:rPr>
              <w:t>粉尘</w:t>
            </w:r>
          </w:p>
        </w:tc>
        <w:tc>
          <w:tcPr>
            <w:tcW w:w="769" w:type="dxa"/>
            <w:shd w:val="clear" w:color="auto" w:fill="auto"/>
            <w:vAlign w:val="center"/>
          </w:tcPr>
          <w:p>
            <w:pPr>
              <w:jc w:val="center"/>
              <w:rPr>
                <w:rFonts w:hint="eastAsia"/>
                <w:sz w:val="18"/>
                <w:szCs w:val="18"/>
              </w:rPr>
            </w:pPr>
            <w:r>
              <w:rPr>
                <w:rFonts w:hint="eastAsia"/>
                <w:sz w:val="18"/>
                <w:szCs w:val="18"/>
              </w:rPr>
              <w:t>4263</w:t>
            </w:r>
          </w:p>
        </w:tc>
        <w:tc>
          <w:tcPr>
            <w:tcW w:w="789" w:type="dxa"/>
            <w:vAlign w:val="center"/>
          </w:tcPr>
          <w:p>
            <w:pPr>
              <w:jc w:val="center"/>
              <w:rPr>
                <w:rFonts w:hint="eastAsia"/>
                <w:sz w:val="18"/>
                <w:szCs w:val="18"/>
              </w:rPr>
            </w:pPr>
            <w:r>
              <w:rPr>
                <w:rFonts w:hint="eastAsia"/>
                <w:sz w:val="18"/>
                <w:szCs w:val="18"/>
              </w:rPr>
              <w:t>15</w:t>
            </w:r>
          </w:p>
        </w:tc>
        <w:tc>
          <w:tcPr>
            <w:tcW w:w="789" w:type="dxa"/>
            <w:vAlign w:val="center"/>
          </w:tcPr>
          <w:p>
            <w:pPr>
              <w:snapToGrid w:val="0"/>
              <w:spacing w:line="360" w:lineRule="exact"/>
              <w:jc w:val="center"/>
              <w:rPr>
                <w:rFonts w:hint="eastAsia"/>
                <w:sz w:val="18"/>
                <w:szCs w:val="18"/>
              </w:rPr>
            </w:pPr>
            <w:r>
              <w:rPr>
                <w:rFonts w:hint="eastAsia"/>
                <w:sz w:val="18"/>
                <w:szCs w:val="18"/>
              </w:rPr>
              <w:t>0.45</w:t>
            </w:r>
          </w:p>
        </w:tc>
        <w:tc>
          <w:tcPr>
            <w:tcW w:w="783" w:type="dxa"/>
            <w:vAlign w:val="center"/>
          </w:tcPr>
          <w:p>
            <w:pPr>
              <w:snapToGrid w:val="0"/>
              <w:spacing w:line="360" w:lineRule="exact"/>
              <w:jc w:val="center"/>
              <w:rPr>
                <w:rFonts w:hint="eastAsia"/>
                <w:sz w:val="18"/>
                <w:szCs w:val="18"/>
              </w:rPr>
            </w:pPr>
            <w:r>
              <w:rPr>
                <w:rFonts w:hint="eastAsia"/>
                <w:sz w:val="18"/>
                <w:szCs w:val="18"/>
              </w:rPr>
              <w:t>20</w:t>
            </w:r>
          </w:p>
        </w:tc>
        <w:tc>
          <w:tcPr>
            <w:tcW w:w="708" w:type="dxa"/>
            <w:vAlign w:val="center"/>
          </w:tcPr>
          <w:p>
            <w:pPr>
              <w:jc w:val="center"/>
              <w:rPr>
                <w:rFonts w:hint="eastAsia"/>
                <w:sz w:val="18"/>
                <w:szCs w:val="18"/>
              </w:rPr>
            </w:pPr>
            <w:r>
              <w:rPr>
                <w:rFonts w:hint="eastAsia"/>
                <w:sz w:val="18"/>
                <w:szCs w:val="18"/>
              </w:rPr>
              <w:t>20</w:t>
            </w:r>
          </w:p>
        </w:tc>
        <w:tc>
          <w:tcPr>
            <w:tcW w:w="1020" w:type="dxa"/>
            <w:vAlign w:val="center"/>
          </w:tcPr>
          <w:p>
            <w:pPr>
              <w:jc w:val="center"/>
              <w:rPr>
                <w:rFonts w:hint="eastAsia"/>
                <w:sz w:val="18"/>
                <w:szCs w:val="18"/>
              </w:rPr>
            </w:pPr>
            <w:r>
              <w:rPr>
                <w:rFonts w:hint="eastAsia"/>
                <w:sz w:val="18"/>
                <w:szCs w:val="18"/>
              </w:rPr>
              <w:t>134×4</w:t>
            </w:r>
          </w:p>
        </w:tc>
        <w:tc>
          <w:tcPr>
            <w:tcW w:w="1122" w:type="dxa"/>
            <w:vAlign w:val="center"/>
          </w:tcPr>
          <w:p>
            <w:pPr>
              <w:jc w:val="center"/>
              <w:rPr>
                <w:rFonts w:hint="eastAsia"/>
                <w:sz w:val="18"/>
                <w:szCs w:val="18"/>
              </w:rPr>
            </w:pPr>
            <w:r>
              <w:rPr>
                <w:rFonts w:hint="eastAsia"/>
                <w:sz w:val="18"/>
                <w:szCs w:val="18"/>
              </w:rPr>
              <w:t>571.24×4</w:t>
            </w:r>
          </w:p>
        </w:tc>
        <w:tc>
          <w:tcPr>
            <w:tcW w:w="1483" w:type="dxa"/>
            <w:vAlign w:val="center"/>
          </w:tcPr>
          <w:p>
            <w:pPr>
              <w:jc w:val="center"/>
              <w:rPr>
                <w:rFonts w:hint="eastAsia"/>
                <w:sz w:val="18"/>
                <w:szCs w:val="18"/>
              </w:rPr>
            </w:pPr>
            <w:r>
              <w:rPr>
                <w:rFonts w:hint="eastAsia"/>
                <w:sz w:val="18"/>
                <w:szCs w:val="18"/>
              </w:rPr>
              <w:t>脉冲袋式除尘器</w:t>
            </w:r>
          </w:p>
        </w:tc>
        <w:tc>
          <w:tcPr>
            <w:tcW w:w="786" w:type="dxa"/>
            <w:vAlign w:val="center"/>
          </w:tcPr>
          <w:p>
            <w:pPr>
              <w:jc w:val="center"/>
              <w:rPr>
                <w:rFonts w:ascii="宋体" w:hAnsi="宋体" w:cs="宋体"/>
                <w:sz w:val="18"/>
                <w:szCs w:val="18"/>
              </w:rPr>
            </w:pPr>
            <w:r>
              <w:rPr>
                <w:rFonts w:hint="eastAsia" w:ascii="宋体" w:hAnsi="宋体" w:cs="宋体"/>
                <w:sz w:val="18"/>
                <w:szCs w:val="18"/>
              </w:rPr>
              <w:t>99.85</w:t>
            </w:r>
          </w:p>
        </w:tc>
        <w:tc>
          <w:tcPr>
            <w:tcW w:w="731" w:type="dxa"/>
            <w:vAlign w:val="center"/>
          </w:tcPr>
          <w:p>
            <w:pPr>
              <w:jc w:val="center"/>
              <w:rPr>
                <w:rFonts w:hint="eastAsia"/>
                <w:snapToGrid w:val="0"/>
                <w:kern w:val="0"/>
                <w:sz w:val="18"/>
                <w:szCs w:val="18"/>
              </w:rPr>
            </w:pPr>
            <w:r>
              <w:rPr>
                <w:rFonts w:hint="eastAsia"/>
                <w:snapToGrid w:val="0"/>
                <w:kern w:val="0"/>
                <w:sz w:val="18"/>
                <w:szCs w:val="18"/>
              </w:rPr>
              <w:t>30</w:t>
            </w:r>
          </w:p>
        </w:tc>
        <w:tc>
          <w:tcPr>
            <w:tcW w:w="928" w:type="dxa"/>
            <w:vAlign w:val="center"/>
          </w:tcPr>
          <w:p>
            <w:pPr>
              <w:jc w:val="center"/>
              <w:rPr>
                <w:rFonts w:hint="eastAsia"/>
                <w:sz w:val="18"/>
                <w:szCs w:val="18"/>
              </w:rPr>
            </w:pPr>
            <w:r>
              <w:rPr>
                <w:rFonts w:hint="eastAsia"/>
                <w:sz w:val="18"/>
                <w:szCs w:val="18"/>
              </w:rPr>
              <w:t>0.2×4</w:t>
            </w:r>
          </w:p>
        </w:tc>
        <w:tc>
          <w:tcPr>
            <w:tcW w:w="821" w:type="dxa"/>
            <w:vAlign w:val="center"/>
          </w:tcPr>
          <w:p>
            <w:pPr>
              <w:jc w:val="center"/>
              <w:rPr>
                <w:rFonts w:hint="eastAsia"/>
                <w:sz w:val="18"/>
                <w:szCs w:val="18"/>
              </w:rPr>
            </w:pPr>
            <w:r>
              <w:rPr>
                <w:rFonts w:hint="eastAsia"/>
                <w:sz w:val="18"/>
                <w:szCs w:val="18"/>
              </w:rPr>
              <w:t>0.85×4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144" w:type="dxa"/>
            <w:gridSpan w:val="2"/>
            <w:vMerge w:val="restart"/>
            <w:shd w:val="clear" w:color="auto" w:fill="auto"/>
            <w:vAlign w:val="center"/>
          </w:tcPr>
          <w:p>
            <w:pPr>
              <w:jc w:val="center"/>
              <w:rPr>
                <w:rFonts w:hint="eastAsia"/>
                <w:sz w:val="18"/>
                <w:szCs w:val="18"/>
              </w:rPr>
            </w:pPr>
            <w:r>
              <w:rPr>
                <w:rFonts w:hint="eastAsia"/>
                <w:sz w:val="18"/>
                <w:szCs w:val="18"/>
                <w:lang w:val="de-DE"/>
              </w:rPr>
              <w:t>合计</w:t>
            </w:r>
          </w:p>
        </w:tc>
        <w:tc>
          <w:tcPr>
            <w:tcW w:w="974" w:type="dxa"/>
            <w:vMerge w:val="restart"/>
            <w:shd w:val="clear" w:color="auto" w:fill="auto"/>
            <w:vAlign w:val="center"/>
          </w:tcPr>
          <w:p>
            <w:pPr>
              <w:jc w:val="center"/>
              <w:rPr>
                <w:rFonts w:hint="eastAsia"/>
                <w:sz w:val="18"/>
                <w:szCs w:val="18"/>
              </w:rPr>
            </w:pPr>
            <w:r>
              <w:rPr>
                <w:rFonts w:hint="eastAsia"/>
                <w:sz w:val="18"/>
                <w:szCs w:val="18"/>
              </w:rPr>
              <w:t>1312780</w:t>
            </w:r>
          </w:p>
        </w:tc>
        <w:tc>
          <w:tcPr>
            <w:tcW w:w="607" w:type="dxa"/>
            <w:shd w:val="clear" w:color="auto" w:fill="auto"/>
            <w:vAlign w:val="center"/>
          </w:tcPr>
          <w:p>
            <w:pPr>
              <w:spacing w:line="200" w:lineRule="exact"/>
              <w:rPr>
                <w:rFonts w:hint="eastAsia"/>
                <w:sz w:val="18"/>
                <w:szCs w:val="18"/>
                <w:lang w:val="de-DE"/>
              </w:rPr>
            </w:pPr>
            <w:r>
              <w:rPr>
                <w:rFonts w:hint="eastAsia"/>
                <w:sz w:val="18"/>
                <w:szCs w:val="18"/>
                <w:lang w:val="de-DE"/>
              </w:rPr>
              <w:t>烟尘</w:t>
            </w:r>
          </w:p>
        </w:tc>
        <w:tc>
          <w:tcPr>
            <w:tcW w:w="769" w:type="dxa"/>
            <w:shd w:val="clear" w:color="auto" w:fill="auto"/>
            <w:vAlign w:val="center"/>
          </w:tcPr>
          <w:p>
            <w:pPr>
              <w:spacing w:line="200" w:lineRule="exact"/>
              <w:jc w:val="center"/>
              <w:rPr>
                <w:rFonts w:hint="eastAsia"/>
                <w:sz w:val="18"/>
                <w:szCs w:val="18"/>
                <w:lang w:val="de-DE"/>
              </w:rPr>
            </w:pPr>
            <w:r>
              <w:rPr>
                <w:rFonts w:hint="eastAsia"/>
                <w:sz w:val="18"/>
                <w:szCs w:val="18"/>
                <w:lang w:val="de-DE"/>
              </w:rPr>
              <w:t>/</w:t>
            </w:r>
          </w:p>
        </w:tc>
        <w:tc>
          <w:tcPr>
            <w:tcW w:w="789" w:type="dxa"/>
            <w:vAlign w:val="center"/>
          </w:tcPr>
          <w:p>
            <w:pPr>
              <w:spacing w:line="200" w:lineRule="exact"/>
              <w:jc w:val="center"/>
              <w:rPr>
                <w:rFonts w:hint="eastAsia"/>
                <w:sz w:val="18"/>
                <w:szCs w:val="18"/>
                <w:lang w:val="de-DE"/>
              </w:rPr>
            </w:pPr>
            <w:r>
              <w:rPr>
                <w:rFonts w:hint="eastAsia"/>
                <w:sz w:val="18"/>
                <w:szCs w:val="18"/>
                <w:lang w:val="de-DE"/>
              </w:rPr>
              <w:t>/</w:t>
            </w:r>
          </w:p>
        </w:tc>
        <w:tc>
          <w:tcPr>
            <w:tcW w:w="789" w:type="dxa"/>
            <w:vAlign w:val="center"/>
          </w:tcPr>
          <w:p>
            <w:pPr>
              <w:spacing w:line="200" w:lineRule="exact"/>
              <w:jc w:val="center"/>
              <w:rPr>
                <w:rFonts w:hint="eastAsia"/>
                <w:sz w:val="18"/>
                <w:szCs w:val="18"/>
                <w:lang w:val="de-DE"/>
              </w:rPr>
            </w:pPr>
            <w:r>
              <w:rPr>
                <w:rFonts w:hint="eastAsia"/>
                <w:sz w:val="18"/>
                <w:szCs w:val="18"/>
                <w:lang w:val="de-DE"/>
              </w:rPr>
              <w:t>/</w:t>
            </w:r>
          </w:p>
        </w:tc>
        <w:tc>
          <w:tcPr>
            <w:tcW w:w="783" w:type="dxa"/>
            <w:vAlign w:val="center"/>
          </w:tcPr>
          <w:p>
            <w:pPr>
              <w:spacing w:line="200" w:lineRule="exact"/>
              <w:jc w:val="center"/>
              <w:rPr>
                <w:rFonts w:hint="eastAsia"/>
                <w:sz w:val="18"/>
                <w:szCs w:val="18"/>
                <w:lang w:val="de-DE"/>
              </w:rPr>
            </w:pPr>
            <w:r>
              <w:rPr>
                <w:rFonts w:hint="eastAsia"/>
                <w:sz w:val="18"/>
                <w:szCs w:val="18"/>
                <w:lang w:val="de-DE"/>
              </w:rPr>
              <w:t>/</w:t>
            </w:r>
          </w:p>
        </w:tc>
        <w:tc>
          <w:tcPr>
            <w:tcW w:w="708" w:type="dxa"/>
            <w:vAlign w:val="center"/>
          </w:tcPr>
          <w:p>
            <w:pPr>
              <w:spacing w:line="200" w:lineRule="exact"/>
              <w:jc w:val="center"/>
              <w:rPr>
                <w:rFonts w:hint="eastAsia"/>
                <w:sz w:val="18"/>
                <w:szCs w:val="18"/>
                <w:lang w:val="de-DE"/>
              </w:rPr>
            </w:pPr>
            <w:r>
              <w:rPr>
                <w:rFonts w:hint="eastAsia"/>
                <w:sz w:val="18"/>
                <w:szCs w:val="18"/>
                <w:lang w:val="de-DE"/>
              </w:rPr>
              <w:t>/</w:t>
            </w:r>
          </w:p>
        </w:tc>
        <w:tc>
          <w:tcPr>
            <w:tcW w:w="1020" w:type="dxa"/>
            <w:vAlign w:val="center"/>
          </w:tcPr>
          <w:p>
            <w:pPr>
              <w:jc w:val="center"/>
              <w:rPr>
                <w:rFonts w:hint="eastAsia"/>
                <w:sz w:val="18"/>
                <w:szCs w:val="18"/>
              </w:rPr>
            </w:pPr>
            <w:r>
              <w:rPr>
                <w:rFonts w:hint="eastAsia"/>
                <w:sz w:val="18"/>
                <w:szCs w:val="18"/>
              </w:rPr>
              <w:t>10368</w:t>
            </w:r>
          </w:p>
        </w:tc>
        <w:tc>
          <w:tcPr>
            <w:tcW w:w="1122" w:type="dxa"/>
            <w:vAlign w:val="center"/>
          </w:tcPr>
          <w:p>
            <w:pPr>
              <w:snapToGrid w:val="0"/>
              <w:spacing w:line="360" w:lineRule="exact"/>
              <w:jc w:val="center"/>
              <w:rPr>
                <w:rFonts w:hint="eastAsia"/>
                <w:sz w:val="18"/>
                <w:szCs w:val="18"/>
              </w:rPr>
            </w:pPr>
            <w:r>
              <w:rPr>
                <w:rFonts w:hint="eastAsia"/>
                <w:sz w:val="18"/>
                <w:szCs w:val="18"/>
              </w:rPr>
              <w:t>77137.92</w:t>
            </w:r>
          </w:p>
        </w:tc>
        <w:tc>
          <w:tcPr>
            <w:tcW w:w="2269" w:type="dxa"/>
            <w:gridSpan w:val="2"/>
            <w:vAlign w:val="center"/>
          </w:tcPr>
          <w:p>
            <w:pPr>
              <w:spacing w:line="200" w:lineRule="exact"/>
              <w:jc w:val="center"/>
              <w:rPr>
                <w:rFonts w:hint="eastAsia"/>
                <w:sz w:val="18"/>
                <w:szCs w:val="18"/>
                <w:lang w:val="de-DE"/>
              </w:rPr>
            </w:pPr>
            <w:r>
              <w:rPr>
                <w:rFonts w:hint="eastAsia"/>
                <w:sz w:val="18"/>
                <w:szCs w:val="18"/>
                <w:lang w:val="de-DE"/>
              </w:rPr>
              <w:t>/</w:t>
            </w:r>
          </w:p>
        </w:tc>
        <w:tc>
          <w:tcPr>
            <w:tcW w:w="731" w:type="dxa"/>
            <w:vAlign w:val="center"/>
          </w:tcPr>
          <w:p>
            <w:pPr>
              <w:spacing w:line="200" w:lineRule="exact"/>
              <w:jc w:val="center"/>
              <w:rPr>
                <w:rFonts w:hint="eastAsia"/>
                <w:sz w:val="18"/>
                <w:szCs w:val="18"/>
                <w:lang w:val="de-DE"/>
              </w:rPr>
            </w:pPr>
            <w:r>
              <w:rPr>
                <w:rFonts w:hint="eastAsia"/>
                <w:sz w:val="18"/>
                <w:szCs w:val="18"/>
                <w:lang w:val="de-DE"/>
              </w:rPr>
              <w:t>/</w:t>
            </w:r>
          </w:p>
        </w:tc>
        <w:tc>
          <w:tcPr>
            <w:tcW w:w="928" w:type="dxa"/>
            <w:vAlign w:val="center"/>
          </w:tcPr>
          <w:p>
            <w:pPr>
              <w:jc w:val="center"/>
              <w:rPr>
                <w:rFonts w:hint="eastAsia"/>
                <w:sz w:val="18"/>
                <w:szCs w:val="18"/>
              </w:rPr>
            </w:pPr>
            <w:r>
              <w:rPr>
                <w:rFonts w:hint="eastAsia"/>
                <w:sz w:val="18"/>
                <w:szCs w:val="18"/>
              </w:rPr>
              <w:t>10.37</w:t>
            </w:r>
          </w:p>
        </w:tc>
        <w:tc>
          <w:tcPr>
            <w:tcW w:w="821" w:type="dxa"/>
            <w:vAlign w:val="center"/>
          </w:tcPr>
          <w:p>
            <w:pPr>
              <w:jc w:val="center"/>
              <w:rPr>
                <w:rFonts w:hint="eastAsia"/>
                <w:sz w:val="18"/>
                <w:szCs w:val="18"/>
              </w:rPr>
            </w:pPr>
            <w:r>
              <w:rPr>
                <w:rFonts w:hint="eastAsia"/>
                <w:sz w:val="18"/>
                <w:szCs w:val="18"/>
              </w:rPr>
              <w:t>77.15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144" w:type="dxa"/>
            <w:gridSpan w:val="2"/>
            <w:vMerge w:val="continue"/>
            <w:shd w:val="clear" w:color="auto" w:fill="auto"/>
            <w:vAlign w:val="center"/>
          </w:tcPr>
          <w:p>
            <w:pPr>
              <w:jc w:val="center"/>
              <w:rPr>
                <w:rFonts w:hint="eastAsia"/>
                <w:sz w:val="18"/>
                <w:szCs w:val="18"/>
              </w:rPr>
            </w:pPr>
          </w:p>
        </w:tc>
        <w:tc>
          <w:tcPr>
            <w:tcW w:w="974" w:type="dxa"/>
            <w:vMerge w:val="continue"/>
            <w:shd w:val="clear" w:color="auto" w:fill="auto"/>
            <w:vAlign w:val="center"/>
          </w:tcPr>
          <w:p>
            <w:pPr>
              <w:jc w:val="center"/>
              <w:rPr>
                <w:rFonts w:hint="eastAsia"/>
                <w:sz w:val="18"/>
                <w:szCs w:val="18"/>
              </w:rPr>
            </w:pPr>
          </w:p>
        </w:tc>
        <w:tc>
          <w:tcPr>
            <w:tcW w:w="607" w:type="dxa"/>
            <w:shd w:val="clear" w:color="auto" w:fill="auto"/>
            <w:vAlign w:val="center"/>
          </w:tcPr>
          <w:p>
            <w:pPr>
              <w:spacing w:line="200" w:lineRule="exact"/>
              <w:rPr>
                <w:rFonts w:hint="eastAsia"/>
                <w:sz w:val="18"/>
                <w:szCs w:val="18"/>
                <w:lang w:val="de-DE"/>
              </w:rPr>
            </w:pPr>
            <w:r>
              <w:rPr>
                <w:rFonts w:hint="eastAsia"/>
                <w:sz w:val="18"/>
                <w:szCs w:val="18"/>
                <w:lang w:val="de-DE"/>
              </w:rPr>
              <w:t>粉尘</w:t>
            </w:r>
          </w:p>
        </w:tc>
        <w:tc>
          <w:tcPr>
            <w:tcW w:w="769" w:type="dxa"/>
            <w:shd w:val="clear" w:color="auto" w:fill="auto"/>
            <w:vAlign w:val="center"/>
          </w:tcPr>
          <w:p>
            <w:pPr>
              <w:spacing w:line="200" w:lineRule="exact"/>
              <w:jc w:val="center"/>
              <w:rPr>
                <w:rFonts w:hint="eastAsia"/>
                <w:sz w:val="18"/>
                <w:szCs w:val="18"/>
                <w:lang w:val="de-DE"/>
              </w:rPr>
            </w:pPr>
            <w:r>
              <w:rPr>
                <w:rFonts w:hint="eastAsia"/>
                <w:sz w:val="18"/>
                <w:szCs w:val="18"/>
                <w:lang w:val="de-DE"/>
              </w:rPr>
              <w:t>/</w:t>
            </w:r>
          </w:p>
        </w:tc>
        <w:tc>
          <w:tcPr>
            <w:tcW w:w="789" w:type="dxa"/>
            <w:vAlign w:val="center"/>
          </w:tcPr>
          <w:p>
            <w:pPr>
              <w:spacing w:line="200" w:lineRule="exact"/>
              <w:jc w:val="center"/>
              <w:rPr>
                <w:rFonts w:hint="eastAsia"/>
                <w:sz w:val="18"/>
                <w:szCs w:val="18"/>
                <w:lang w:val="de-DE"/>
              </w:rPr>
            </w:pPr>
            <w:r>
              <w:rPr>
                <w:rFonts w:hint="eastAsia"/>
                <w:sz w:val="18"/>
                <w:szCs w:val="18"/>
                <w:lang w:val="de-DE"/>
              </w:rPr>
              <w:t>/</w:t>
            </w:r>
          </w:p>
        </w:tc>
        <w:tc>
          <w:tcPr>
            <w:tcW w:w="789" w:type="dxa"/>
            <w:vAlign w:val="center"/>
          </w:tcPr>
          <w:p>
            <w:pPr>
              <w:spacing w:line="200" w:lineRule="exact"/>
              <w:jc w:val="center"/>
              <w:rPr>
                <w:rFonts w:hint="eastAsia"/>
                <w:sz w:val="18"/>
                <w:szCs w:val="18"/>
                <w:lang w:val="de-DE"/>
              </w:rPr>
            </w:pPr>
            <w:r>
              <w:rPr>
                <w:rFonts w:hint="eastAsia"/>
                <w:sz w:val="18"/>
                <w:szCs w:val="18"/>
                <w:lang w:val="de-DE"/>
              </w:rPr>
              <w:t>/</w:t>
            </w:r>
          </w:p>
        </w:tc>
        <w:tc>
          <w:tcPr>
            <w:tcW w:w="783" w:type="dxa"/>
            <w:vAlign w:val="center"/>
          </w:tcPr>
          <w:p>
            <w:pPr>
              <w:spacing w:line="200" w:lineRule="exact"/>
              <w:jc w:val="center"/>
              <w:rPr>
                <w:rFonts w:hint="eastAsia"/>
                <w:sz w:val="18"/>
                <w:szCs w:val="18"/>
                <w:lang w:val="de-DE"/>
              </w:rPr>
            </w:pPr>
            <w:r>
              <w:rPr>
                <w:rFonts w:hint="eastAsia"/>
                <w:sz w:val="18"/>
                <w:szCs w:val="18"/>
                <w:lang w:val="de-DE"/>
              </w:rPr>
              <w:t>/</w:t>
            </w:r>
          </w:p>
        </w:tc>
        <w:tc>
          <w:tcPr>
            <w:tcW w:w="708" w:type="dxa"/>
            <w:vAlign w:val="center"/>
          </w:tcPr>
          <w:p>
            <w:pPr>
              <w:spacing w:line="200" w:lineRule="exact"/>
              <w:jc w:val="center"/>
              <w:rPr>
                <w:rFonts w:hint="eastAsia"/>
                <w:sz w:val="18"/>
                <w:szCs w:val="18"/>
                <w:lang w:val="de-DE"/>
              </w:rPr>
            </w:pPr>
            <w:r>
              <w:rPr>
                <w:rFonts w:hint="eastAsia"/>
                <w:sz w:val="18"/>
                <w:szCs w:val="18"/>
                <w:lang w:val="de-DE"/>
              </w:rPr>
              <w:t>/</w:t>
            </w:r>
          </w:p>
        </w:tc>
        <w:tc>
          <w:tcPr>
            <w:tcW w:w="1020" w:type="dxa"/>
            <w:vAlign w:val="center"/>
          </w:tcPr>
          <w:p>
            <w:pPr>
              <w:jc w:val="center"/>
              <w:rPr>
                <w:rFonts w:hint="eastAsia"/>
                <w:sz w:val="21"/>
                <w:szCs w:val="21"/>
              </w:rPr>
            </w:pPr>
            <w:r>
              <w:rPr>
                <w:rFonts w:hint="eastAsia"/>
                <w:sz w:val="21"/>
                <w:szCs w:val="21"/>
              </w:rPr>
              <w:t>29077.28</w:t>
            </w:r>
          </w:p>
        </w:tc>
        <w:tc>
          <w:tcPr>
            <w:tcW w:w="1122" w:type="dxa"/>
            <w:vAlign w:val="center"/>
          </w:tcPr>
          <w:p>
            <w:pPr>
              <w:snapToGrid w:val="0"/>
              <w:spacing w:line="360" w:lineRule="exact"/>
              <w:jc w:val="center"/>
              <w:rPr>
                <w:rFonts w:hint="eastAsia"/>
                <w:sz w:val="18"/>
                <w:szCs w:val="18"/>
              </w:rPr>
            </w:pPr>
            <w:r>
              <w:rPr>
                <w:rFonts w:hint="eastAsia"/>
                <w:sz w:val="18"/>
                <w:szCs w:val="18"/>
              </w:rPr>
              <w:t>106608.6</w:t>
            </w:r>
          </w:p>
        </w:tc>
        <w:tc>
          <w:tcPr>
            <w:tcW w:w="2269" w:type="dxa"/>
            <w:gridSpan w:val="2"/>
            <w:vAlign w:val="center"/>
          </w:tcPr>
          <w:p>
            <w:pPr>
              <w:spacing w:line="200" w:lineRule="exact"/>
              <w:jc w:val="center"/>
              <w:rPr>
                <w:rFonts w:hint="eastAsia"/>
                <w:sz w:val="18"/>
                <w:szCs w:val="18"/>
                <w:lang w:val="de-DE"/>
              </w:rPr>
            </w:pPr>
            <w:r>
              <w:rPr>
                <w:rFonts w:hint="eastAsia"/>
                <w:sz w:val="18"/>
                <w:szCs w:val="18"/>
                <w:lang w:val="de-DE"/>
              </w:rPr>
              <w:t>/</w:t>
            </w:r>
          </w:p>
        </w:tc>
        <w:tc>
          <w:tcPr>
            <w:tcW w:w="731" w:type="dxa"/>
            <w:vAlign w:val="center"/>
          </w:tcPr>
          <w:p>
            <w:pPr>
              <w:spacing w:line="200" w:lineRule="exact"/>
              <w:jc w:val="center"/>
              <w:rPr>
                <w:rFonts w:hint="eastAsia"/>
                <w:sz w:val="18"/>
                <w:szCs w:val="18"/>
                <w:lang w:val="de-DE"/>
              </w:rPr>
            </w:pPr>
            <w:r>
              <w:rPr>
                <w:rFonts w:hint="eastAsia"/>
                <w:sz w:val="18"/>
                <w:szCs w:val="18"/>
                <w:lang w:val="de-DE"/>
              </w:rPr>
              <w:t>/</w:t>
            </w:r>
          </w:p>
        </w:tc>
        <w:tc>
          <w:tcPr>
            <w:tcW w:w="928" w:type="dxa"/>
            <w:vAlign w:val="center"/>
          </w:tcPr>
          <w:p>
            <w:pPr>
              <w:jc w:val="center"/>
              <w:rPr>
                <w:rFonts w:hint="eastAsia"/>
                <w:sz w:val="18"/>
                <w:szCs w:val="18"/>
              </w:rPr>
            </w:pPr>
            <w:r>
              <w:rPr>
                <w:rFonts w:hint="eastAsia"/>
                <w:sz w:val="18"/>
                <w:szCs w:val="18"/>
              </w:rPr>
              <w:t>29.11</w:t>
            </w:r>
          </w:p>
        </w:tc>
        <w:tc>
          <w:tcPr>
            <w:tcW w:w="821" w:type="dxa"/>
            <w:vAlign w:val="center"/>
          </w:tcPr>
          <w:p>
            <w:pPr>
              <w:snapToGrid w:val="0"/>
              <w:spacing w:line="360" w:lineRule="exact"/>
              <w:jc w:val="center"/>
              <w:rPr>
                <w:rFonts w:hint="eastAsia"/>
                <w:sz w:val="18"/>
                <w:szCs w:val="18"/>
              </w:rPr>
            </w:pPr>
            <w:r>
              <w:rPr>
                <w:rFonts w:hint="eastAsia"/>
                <w:sz w:val="18"/>
                <w:szCs w:val="18"/>
              </w:rPr>
              <w:t>184.22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2" w:hRule="atLeast"/>
          <w:jc w:val="center"/>
        </w:trPr>
        <w:tc>
          <w:tcPr>
            <w:tcW w:w="2144" w:type="dxa"/>
            <w:gridSpan w:val="2"/>
            <w:vMerge w:val="continue"/>
            <w:shd w:val="clear" w:color="auto" w:fill="auto"/>
            <w:vAlign w:val="center"/>
          </w:tcPr>
          <w:p>
            <w:pPr>
              <w:jc w:val="center"/>
              <w:rPr>
                <w:rFonts w:hint="eastAsia"/>
                <w:sz w:val="18"/>
                <w:szCs w:val="18"/>
              </w:rPr>
            </w:pPr>
          </w:p>
        </w:tc>
        <w:tc>
          <w:tcPr>
            <w:tcW w:w="974" w:type="dxa"/>
            <w:vMerge w:val="continue"/>
            <w:shd w:val="clear" w:color="auto" w:fill="auto"/>
            <w:vAlign w:val="center"/>
          </w:tcPr>
          <w:p>
            <w:pPr>
              <w:jc w:val="center"/>
              <w:rPr>
                <w:rFonts w:hint="eastAsia"/>
                <w:sz w:val="18"/>
                <w:szCs w:val="18"/>
              </w:rPr>
            </w:pPr>
          </w:p>
        </w:tc>
        <w:tc>
          <w:tcPr>
            <w:tcW w:w="607" w:type="dxa"/>
            <w:shd w:val="clear" w:color="auto" w:fill="auto"/>
            <w:vAlign w:val="center"/>
          </w:tcPr>
          <w:p>
            <w:pPr>
              <w:spacing w:line="200" w:lineRule="exact"/>
              <w:ind w:firstLine="67"/>
              <w:jc w:val="center"/>
              <w:rPr>
                <w:rFonts w:hint="eastAsia"/>
                <w:sz w:val="18"/>
                <w:szCs w:val="18"/>
                <w:lang w:val="de-DE"/>
              </w:rPr>
            </w:pPr>
            <w:r>
              <w:rPr>
                <w:rFonts w:hint="eastAsia"/>
                <w:sz w:val="18"/>
                <w:szCs w:val="18"/>
              </w:rPr>
              <w:t>SO</w:t>
            </w:r>
            <w:r>
              <w:rPr>
                <w:rFonts w:hint="eastAsia"/>
                <w:sz w:val="18"/>
                <w:szCs w:val="18"/>
                <w:vertAlign w:val="subscript"/>
              </w:rPr>
              <w:t>2</w:t>
            </w:r>
          </w:p>
        </w:tc>
        <w:tc>
          <w:tcPr>
            <w:tcW w:w="769" w:type="dxa"/>
            <w:shd w:val="clear" w:color="auto" w:fill="auto"/>
            <w:vAlign w:val="center"/>
          </w:tcPr>
          <w:p>
            <w:pPr>
              <w:spacing w:line="200" w:lineRule="exact"/>
              <w:jc w:val="center"/>
              <w:rPr>
                <w:rFonts w:hint="eastAsia"/>
                <w:sz w:val="18"/>
                <w:szCs w:val="18"/>
                <w:lang w:val="de-DE"/>
              </w:rPr>
            </w:pPr>
            <w:r>
              <w:rPr>
                <w:rFonts w:hint="eastAsia"/>
                <w:sz w:val="18"/>
                <w:szCs w:val="18"/>
                <w:lang w:val="de-DE"/>
              </w:rPr>
              <w:t>/</w:t>
            </w:r>
          </w:p>
        </w:tc>
        <w:tc>
          <w:tcPr>
            <w:tcW w:w="789" w:type="dxa"/>
            <w:vAlign w:val="center"/>
          </w:tcPr>
          <w:p>
            <w:pPr>
              <w:spacing w:line="200" w:lineRule="exact"/>
              <w:jc w:val="center"/>
              <w:rPr>
                <w:rFonts w:hint="eastAsia"/>
                <w:sz w:val="18"/>
                <w:szCs w:val="18"/>
                <w:lang w:val="de-DE"/>
              </w:rPr>
            </w:pPr>
            <w:r>
              <w:rPr>
                <w:rFonts w:hint="eastAsia"/>
                <w:sz w:val="18"/>
                <w:szCs w:val="18"/>
                <w:lang w:val="de-DE"/>
              </w:rPr>
              <w:t>/</w:t>
            </w:r>
          </w:p>
        </w:tc>
        <w:tc>
          <w:tcPr>
            <w:tcW w:w="789" w:type="dxa"/>
            <w:vAlign w:val="center"/>
          </w:tcPr>
          <w:p>
            <w:pPr>
              <w:spacing w:line="200" w:lineRule="exact"/>
              <w:jc w:val="center"/>
              <w:rPr>
                <w:rFonts w:hint="eastAsia"/>
                <w:sz w:val="18"/>
                <w:szCs w:val="18"/>
                <w:lang w:val="de-DE"/>
              </w:rPr>
            </w:pPr>
            <w:r>
              <w:rPr>
                <w:rFonts w:hint="eastAsia"/>
                <w:sz w:val="18"/>
                <w:szCs w:val="18"/>
                <w:lang w:val="de-DE"/>
              </w:rPr>
              <w:t>/</w:t>
            </w:r>
          </w:p>
        </w:tc>
        <w:tc>
          <w:tcPr>
            <w:tcW w:w="783" w:type="dxa"/>
            <w:vAlign w:val="center"/>
          </w:tcPr>
          <w:p>
            <w:pPr>
              <w:spacing w:line="200" w:lineRule="exact"/>
              <w:jc w:val="center"/>
              <w:rPr>
                <w:rFonts w:hint="eastAsia"/>
                <w:sz w:val="18"/>
                <w:szCs w:val="18"/>
                <w:lang w:val="de-DE"/>
              </w:rPr>
            </w:pPr>
            <w:r>
              <w:rPr>
                <w:rFonts w:hint="eastAsia"/>
                <w:sz w:val="18"/>
                <w:szCs w:val="18"/>
                <w:lang w:val="de-DE"/>
              </w:rPr>
              <w:t>/</w:t>
            </w:r>
          </w:p>
        </w:tc>
        <w:tc>
          <w:tcPr>
            <w:tcW w:w="708" w:type="dxa"/>
            <w:vAlign w:val="center"/>
          </w:tcPr>
          <w:p>
            <w:pPr>
              <w:spacing w:line="200" w:lineRule="exact"/>
              <w:jc w:val="center"/>
              <w:rPr>
                <w:rFonts w:hint="eastAsia"/>
                <w:sz w:val="18"/>
                <w:szCs w:val="18"/>
                <w:lang w:val="de-DE"/>
              </w:rPr>
            </w:pPr>
            <w:r>
              <w:rPr>
                <w:rFonts w:hint="eastAsia"/>
                <w:sz w:val="18"/>
                <w:szCs w:val="18"/>
                <w:lang w:val="de-DE"/>
              </w:rPr>
              <w:t>/</w:t>
            </w:r>
          </w:p>
        </w:tc>
        <w:tc>
          <w:tcPr>
            <w:tcW w:w="1020" w:type="dxa"/>
            <w:vAlign w:val="center"/>
          </w:tcPr>
          <w:p>
            <w:pPr>
              <w:jc w:val="center"/>
              <w:rPr>
                <w:rFonts w:hint="eastAsia"/>
                <w:sz w:val="18"/>
                <w:szCs w:val="18"/>
              </w:rPr>
            </w:pPr>
            <w:r>
              <w:rPr>
                <w:rFonts w:hint="eastAsia"/>
                <w:sz w:val="18"/>
                <w:szCs w:val="18"/>
              </w:rPr>
              <w:t>32.19</w:t>
            </w:r>
          </w:p>
        </w:tc>
        <w:tc>
          <w:tcPr>
            <w:tcW w:w="1122" w:type="dxa"/>
            <w:vAlign w:val="center"/>
          </w:tcPr>
          <w:p>
            <w:pPr>
              <w:jc w:val="center"/>
              <w:rPr>
                <w:rFonts w:hint="eastAsia"/>
                <w:sz w:val="18"/>
                <w:szCs w:val="18"/>
              </w:rPr>
            </w:pPr>
            <w:r>
              <w:rPr>
                <w:rFonts w:hint="eastAsia"/>
                <w:sz w:val="18"/>
                <w:szCs w:val="18"/>
              </w:rPr>
              <w:t>239.5</w:t>
            </w:r>
          </w:p>
        </w:tc>
        <w:tc>
          <w:tcPr>
            <w:tcW w:w="2269" w:type="dxa"/>
            <w:gridSpan w:val="2"/>
            <w:vAlign w:val="center"/>
          </w:tcPr>
          <w:p>
            <w:pPr>
              <w:spacing w:line="200" w:lineRule="exact"/>
              <w:jc w:val="center"/>
              <w:rPr>
                <w:rFonts w:hint="eastAsia"/>
                <w:sz w:val="18"/>
                <w:szCs w:val="18"/>
                <w:lang w:val="de-DE"/>
              </w:rPr>
            </w:pPr>
            <w:r>
              <w:rPr>
                <w:rFonts w:hint="eastAsia"/>
                <w:sz w:val="18"/>
                <w:szCs w:val="18"/>
                <w:lang w:val="de-DE"/>
              </w:rPr>
              <w:t>/</w:t>
            </w:r>
          </w:p>
        </w:tc>
        <w:tc>
          <w:tcPr>
            <w:tcW w:w="731" w:type="dxa"/>
            <w:vAlign w:val="center"/>
          </w:tcPr>
          <w:p>
            <w:pPr>
              <w:spacing w:line="200" w:lineRule="exact"/>
              <w:jc w:val="center"/>
              <w:rPr>
                <w:rFonts w:hint="eastAsia"/>
                <w:sz w:val="18"/>
                <w:szCs w:val="18"/>
                <w:lang w:val="de-DE"/>
              </w:rPr>
            </w:pPr>
            <w:r>
              <w:rPr>
                <w:rFonts w:hint="eastAsia"/>
                <w:sz w:val="18"/>
                <w:szCs w:val="18"/>
                <w:lang w:val="de-DE"/>
              </w:rPr>
              <w:t>/</w:t>
            </w:r>
          </w:p>
        </w:tc>
        <w:tc>
          <w:tcPr>
            <w:tcW w:w="928" w:type="dxa"/>
            <w:vAlign w:val="center"/>
          </w:tcPr>
          <w:p>
            <w:pPr>
              <w:jc w:val="center"/>
              <w:rPr>
                <w:rFonts w:hint="eastAsia"/>
                <w:sz w:val="18"/>
                <w:szCs w:val="18"/>
              </w:rPr>
            </w:pPr>
            <w:r>
              <w:rPr>
                <w:rFonts w:hint="eastAsia"/>
                <w:sz w:val="18"/>
                <w:szCs w:val="18"/>
              </w:rPr>
              <w:t>32.19</w:t>
            </w:r>
          </w:p>
        </w:tc>
        <w:tc>
          <w:tcPr>
            <w:tcW w:w="821" w:type="dxa"/>
            <w:vAlign w:val="center"/>
          </w:tcPr>
          <w:p>
            <w:pPr>
              <w:jc w:val="center"/>
              <w:rPr>
                <w:rFonts w:hint="eastAsia"/>
                <w:sz w:val="18"/>
                <w:szCs w:val="18"/>
              </w:rPr>
            </w:pPr>
            <w:r>
              <w:rPr>
                <w:rFonts w:hint="eastAsia"/>
                <w:sz w:val="18"/>
                <w:szCs w:val="18"/>
              </w:rPr>
              <w:t>239.5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8" w:hRule="atLeast"/>
          <w:jc w:val="center"/>
        </w:trPr>
        <w:tc>
          <w:tcPr>
            <w:tcW w:w="2144" w:type="dxa"/>
            <w:gridSpan w:val="2"/>
            <w:vMerge w:val="continue"/>
            <w:tcBorders>
              <w:bottom w:val="single" w:color="auto" w:sz="4" w:space="0"/>
            </w:tcBorders>
            <w:shd w:val="clear" w:color="auto" w:fill="auto"/>
            <w:vAlign w:val="center"/>
          </w:tcPr>
          <w:p>
            <w:pPr>
              <w:jc w:val="center"/>
              <w:rPr>
                <w:rFonts w:hint="eastAsia"/>
                <w:sz w:val="18"/>
                <w:szCs w:val="18"/>
              </w:rPr>
            </w:pPr>
          </w:p>
        </w:tc>
        <w:tc>
          <w:tcPr>
            <w:tcW w:w="974" w:type="dxa"/>
            <w:vMerge w:val="continue"/>
            <w:tcBorders>
              <w:bottom w:val="single" w:color="auto" w:sz="4" w:space="0"/>
            </w:tcBorders>
            <w:shd w:val="clear" w:color="auto" w:fill="auto"/>
            <w:vAlign w:val="center"/>
          </w:tcPr>
          <w:p>
            <w:pPr>
              <w:jc w:val="center"/>
              <w:rPr>
                <w:rFonts w:hint="eastAsia"/>
                <w:sz w:val="18"/>
                <w:szCs w:val="18"/>
              </w:rPr>
            </w:pPr>
          </w:p>
        </w:tc>
        <w:tc>
          <w:tcPr>
            <w:tcW w:w="607" w:type="dxa"/>
            <w:tcBorders>
              <w:bottom w:val="single" w:color="auto" w:sz="4" w:space="0"/>
            </w:tcBorders>
            <w:shd w:val="clear" w:color="auto" w:fill="auto"/>
            <w:vAlign w:val="center"/>
          </w:tcPr>
          <w:p>
            <w:pPr>
              <w:spacing w:line="200" w:lineRule="exact"/>
              <w:ind w:firstLine="67"/>
              <w:jc w:val="center"/>
              <w:rPr>
                <w:rFonts w:hint="eastAsia"/>
                <w:sz w:val="18"/>
                <w:szCs w:val="18"/>
                <w:lang w:val="de-DE"/>
              </w:rPr>
            </w:pPr>
            <w:r>
              <w:rPr>
                <w:rFonts w:hint="eastAsia"/>
                <w:sz w:val="18"/>
                <w:szCs w:val="18"/>
                <w:lang w:val="de-DE"/>
              </w:rPr>
              <w:t>NO</w:t>
            </w:r>
            <w:r>
              <w:rPr>
                <w:rFonts w:hint="eastAsia"/>
                <w:sz w:val="18"/>
                <w:szCs w:val="18"/>
                <w:vertAlign w:val="subscript"/>
                <w:lang w:val="de-DE"/>
              </w:rPr>
              <w:t>2</w:t>
            </w:r>
          </w:p>
        </w:tc>
        <w:tc>
          <w:tcPr>
            <w:tcW w:w="769" w:type="dxa"/>
            <w:tcBorders>
              <w:bottom w:val="single" w:color="auto" w:sz="4" w:space="0"/>
            </w:tcBorders>
            <w:shd w:val="clear" w:color="auto" w:fill="auto"/>
            <w:vAlign w:val="center"/>
          </w:tcPr>
          <w:p>
            <w:pPr>
              <w:spacing w:line="200" w:lineRule="exact"/>
              <w:jc w:val="center"/>
              <w:rPr>
                <w:rFonts w:hint="eastAsia"/>
                <w:sz w:val="18"/>
                <w:szCs w:val="18"/>
                <w:lang w:val="de-DE"/>
              </w:rPr>
            </w:pPr>
            <w:r>
              <w:rPr>
                <w:rFonts w:hint="eastAsia"/>
                <w:sz w:val="18"/>
                <w:szCs w:val="18"/>
                <w:lang w:val="de-DE"/>
              </w:rPr>
              <w:t>/</w:t>
            </w:r>
          </w:p>
        </w:tc>
        <w:tc>
          <w:tcPr>
            <w:tcW w:w="789" w:type="dxa"/>
            <w:tcBorders>
              <w:bottom w:val="single" w:color="auto" w:sz="4" w:space="0"/>
            </w:tcBorders>
            <w:vAlign w:val="center"/>
          </w:tcPr>
          <w:p>
            <w:pPr>
              <w:spacing w:line="200" w:lineRule="exact"/>
              <w:jc w:val="center"/>
              <w:rPr>
                <w:rFonts w:hint="eastAsia"/>
                <w:sz w:val="18"/>
                <w:szCs w:val="18"/>
                <w:lang w:val="de-DE"/>
              </w:rPr>
            </w:pPr>
            <w:r>
              <w:rPr>
                <w:rFonts w:hint="eastAsia"/>
                <w:sz w:val="18"/>
                <w:szCs w:val="18"/>
                <w:lang w:val="de-DE"/>
              </w:rPr>
              <w:t>/</w:t>
            </w:r>
          </w:p>
        </w:tc>
        <w:tc>
          <w:tcPr>
            <w:tcW w:w="789" w:type="dxa"/>
            <w:tcBorders>
              <w:bottom w:val="single" w:color="auto" w:sz="4" w:space="0"/>
            </w:tcBorders>
            <w:vAlign w:val="center"/>
          </w:tcPr>
          <w:p>
            <w:pPr>
              <w:spacing w:line="200" w:lineRule="exact"/>
              <w:jc w:val="center"/>
              <w:rPr>
                <w:rFonts w:hint="eastAsia"/>
                <w:sz w:val="18"/>
                <w:szCs w:val="18"/>
                <w:lang w:val="de-DE"/>
              </w:rPr>
            </w:pPr>
            <w:r>
              <w:rPr>
                <w:rFonts w:hint="eastAsia"/>
                <w:sz w:val="18"/>
                <w:szCs w:val="18"/>
                <w:lang w:val="de-DE"/>
              </w:rPr>
              <w:t>/</w:t>
            </w:r>
          </w:p>
        </w:tc>
        <w:tc>
          <w:tcPr>
            <w:tcW w:w="783" w:type="dxa"/>
            <w:tcBorders>
              <w:bottom w:val="single" w:color="auto" w:sz="4" w:space="0"/>
            </w:tcBorders>
            <w:vAlign w:val="center"/>
          </w:tcPr>
          <w:p>
            <w:pPr>
              <w:spacing w:line="200" w:lineRule="exact"/>
              <w:jc w:val="center"/>
              <w:rPr>
                <w:rFonts w:hint="eastAsia"/>
                <w:sz w:val="18"/>
                <w:szCs w:val="18"/>
                <w:lang w:val="de-DE"/>
              </w:rPr>
            </w:pPr>
            <w:r>
              <w:rPr>
                <w:rFonts w:hint="eastAsia"/>
                <w:sz w:val="18"/>
                <w:szCs w:val="18"/>
                <w:lang w:val="de-DE"/>
              </w:rPr>
              <w:t>/</w:t>
            </w:r>
          </w:p>
        </w:tc>
        <w:tc>
          <w:tcPr>
            <w:tcW w:w="708" w:type="dxa"/>
            <w:tcBorders>
              <w:bottom w:val="single" w:color="auto" w:sz="4" w:space="0"/>
            </w:tcBorders>
            <w:vAlign w:val="center"/>
          </w:tcPr>
          <w:p>
            <w:pPr>
              <w:spacing w:line="200" w:lineRule="exact"/>
              <w:jc w:val="center"/>
              <w:rPr>
                <w:rFonts w:hint="eastAsia"/>
                <w:sz w:val="18"/>
                <w:szCs w:val="18"/>
                <w:lang w:val="de-DE"/>
              </w:rPr>
            </w:pPr>
            <w:r>
              <w:rPr>
                <w:rFonts w:hint="eastAsia"/>
                <w:sz w:val="18"/>
                <w:szCs w:val="18"/>
                <w:lang w:val="de-DE"/>
              </w:rPr>
              <w:t>/</w:t>
            </w:r>
          </w:p>
        </w:tc>
        <w:tc>
          <w:tcPr>
            <w:tcW w:w="1020" w:type="dxa"/>
            <w:tcBorders>
              <w:bottom w:val="single" w:color="auto" w:sz="4" w:space="0"/>
            </w:tcBorders>
            <w:vAlign w:val="center"/>
          </w:tcPr>
          <w:p>
            <w:pPr>
              <w:jc w:val="center"/>
              <w:rPr>
                <w:rFonts w:hint="eastAsia"/>
                <w:sz w:val="18"/>
                <w:szCs w:val="18"/>
              </w:rPr>
            </w:pPr>
            <w:r>
              <w:rPr>
                <w:rFonts w:hint="eastAsia"/>
                <w:sz w:val="18"/>
                <w:szCs w:val="18"/>
              </w:rPr>
              <w:t>241.92</w:t>
            </w:r>
          </w:p>
        </w:tc>
        <w:tc>
          <w:tcPr>
            <w:tcW w:w="1122" w:type="dxa"/>
            <w:tcBorders>
              <w:bottom w:val="single" w:color="auto" w:sz="4" w:space="0"/>
            </w:tcBorders>
            <w:vAlign w:val="center"/>
          </w:tcPr>
          <w:p>
            <w:pPr>
              <w:jc w:val="center"/>
              <w:rPr>
                <w:rFonts w:hint="eastAsia"/>
                <w:sz w:val="18"/>
                <w:szCs w:val="18"/>
              </w:rPr>
            </w:pPr>
            <w:r>
              <w:rPr>
                <w:rFonts w:hint="eastAsia"/>
                <w:sz w:val="18"/>
                <w:szCs w:val="18"/>
              </w:rPr>
              <w:t>1799.88</w:t>
            </w:r>
          </w:p>
        </w:tc>
        <w:tc>
          <w:tcPr>
            <w:tcW w:w="2269" w:type="dxa"/>
            <w:gridSpan w:val="2"/>
            <w:tcBorders>
              <w:bottom w:val="single" w:color="auto" w:sz="4" w:space="0"/>
            </w:tcBorders>
            <w:vAlign w:val="center"/>
          </w:tcPr>
          <w:p>
            <w:pPr>
              <w:spacing w:line="200" w:lineRule="exact"/>
              <w:jc w:val="center"/>
              <w:rPr>
                <w:rFonts w:hint="eastAsia"/>
                <w:sz w:val="18"/>
                <w:szCs w:val="18"/>
                <w:lang w:val="de-DE"/>
              </w:rPr>
            </w:pPr>
            <w:r>
              <w:rPr>
                <w:rFonts w:hint="eastAsia"/>
                <w:sz w:val="18"/>
                <w:szCs w:val="18"/>
                <w:lang w:val="de-DE"/>
              </w:rPr>
              <w:t>/</w:t>
            </w:r>
          </w:p>
        </w:tc>
        <w:tc>
          <w:tcPr>
            <w:tcW w:w="731" w:type="dxa"/>
            <w:tcBorders>
              <w:bottom w:val="single" w:color="auto" w:sz="4" w:space="0"/>
            </w:tcBorders>
            <w:vAlign w:val="center"/>
          </w:tcPr>
          <w:p>
            <w:pPr>
              <w:spacing w:line="200" w:lineRule="exact"/>
              <w:jc w:val="center"/>
              <w:rPr>
                <w:rFonts w:hint="eastAsia"/>
                <w:sz w:val="18"/>
                <w:szCs w:val="18"/>
                <w:lang w:val="de-DE"/>
              </w:rPr>
            </w:pPr>
            <w:r>
              <w:rPr>
                <w:rFonts w:hint="eastAsia"/>
                <w:sz w:val="18"/>
                <w:szCs w:val="18"/>
                <w:lang w:val="de-DE"/>
              </w:rPr>
              <w:t>/</w:t>
            </w:r>
          </w:p>
        </w:tc>
        <w:tc>
          <w:tcPr>
            <w:tcW w:w="928" w:type="dxa"/>
            <w:tcBorders>
              <w:bottom w:val="single" w:color="auto" w:sz="4" w:space="0"/>
            </w:tcBorders>
            <w:vAlign w:val="center"/>
          </w:tcPr>
          <w:p>
            <w:pPr>
              <w:jc w:val="center"/>
              <w:rPr>
                <w:rFonts w:hint="eastAsia"/>
                <w:sz w:val="18"/>
                <w:szCs w:val="18"/>
              </w:rPr>
            </w:pPr>
            <w:r>
              <w:rPr>
                <w:rFonts w:hint="eastAsia"/>
                <w:sz w:val="18"/>
                <w:szCs w:val="18"/>
              </w:rPr>
              <w:t>241.92</w:t>
            </w:r>
          </w:p>
        </w:tc>
        <w:tc>
          <w:tcPr>
            <w:tcW w:w="821" w:type="dxa"/>
            <w:tcBorders>
              <w:bottom w:val="single" w:color="auto" w:sz="4" w:space="0"/>
            </w:tcBorders>
            <w:vAlign w:val="center"/>
          </w:tcPr>
          <w:p>
            <w:pPr>
              <w:jc w:val="center"/>
              <w:rPr>
                <w:rFonts w:hint="eastAsia"/>
                <w:sz w:val="18"/>
                <w:szCs w:val="18"/>
              </w:rPr>
            </w:pPr>
            <w:r>
              <w:rPr>
                <w:rFonts w:hint="eastAsia"/>
                <w:sz w:val="18"/>
                <w:szCs w:val="18"/>
              </w:rPr>
              <w:t>1799.88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2" w:hRule="atLeast"/>
          <w:jc w:val="center"/>
        </w:trPr>
        <w:tc>
          <w:tcPr>
            <w:tcW w:w="2144" w:type="dxa"/>
            <w:gridSpan w:val="2"/>
            <w:tcBorders>
              <w:bottom w:val="single" w:color="auto" w:sz="4" w:space="0"/>
            </w:tcBorders>
            <w:shd w:val="clear" w:color="auto" w:fill="auto"/>
            <w:vAlign w:val="center"/>
          </w:tcPr>
          <w:p>
            <w:pPr>
              <w:spacing w:line="200" w:lineRule="exact"/>
              <w:jc w:val="center"/>
              <w:rPr>
                <w:rFonts w:hint="eastAsia"/>
                <w:sz w:val="18"/>
                <w:szCs w:val="18"/>
              </w:rPr>
            </w:pPr>
            <w:r>
              <w:rPr>
                <w:rFonts w:hint="eastAsia"/>
                <w:sz w:val="18"/>
                <w:szCs w:val="18"/>
              </w:rPr>
              <w:t>无组织排放量合计</w:t>
            </w:r>
          </w:p>
        </w:tc>
        <w:tc>
          <w:tcPr>
            <w:tcW w:w="974" w:type="dxa"/>
            <w:tcBorders>
              <w:bottom w:val="single" w:color="auto" w:sz="4" w:space="0"/>
            </w:tcBorders>
            <w:shd w:val="clear" w:color="auto" w:fill="auto"/>
            <w:vAlign w:val="center"/>
          </w:tcPr>
          <w:p>
            <w:pPr>
              <w:jc w:val="center"/>
              <w:rPr>
                <w:rFonts w:hint="eastAsia"/>
                <w:sz w:val="18"/>
                <w:szCs w:val="18"/>
              </w:rPr>
            </w:pPr>
            <w:r>
              <w:rPr>
                <w:rFonts w:hint="eastAsia"/>
                <w:sz w:val="18"/>
                <w:szCs w:val="18"/>
              </w:rPr>
              <w:t>/</w:t>
            </w:r>
          </w:p>
        </w:tc>
        <w:tc>
          <w:tcPr>
            <w:tcW w:w="607" w:type="dxa"/>
            <w:tcBorders>
              <w:bottom w:val="single" w:color="auto" w:sz="4" w:space="0"/>
            </w:tcBorders>
            <w:shd w:val="clear" w:color="auto" w:fill="auto"/>
            <w:vAlign w:val="center"/>
          </w:tcPr>
          <w:p>
            <w:pPr>
              <w:spacing w:line="200" w:lineRule="exact"/>
              <w:rPr>
                <w:rFonts w:hint="eastAsia"/>
                <w:sz w:val="18"/>
                <w:szCs w:val="18"/>
                <w:lang w:val="de-DE"/>
              </w:rPr>
            </w:pPr>
            <w:r>
              <w:rPr>
                <w:rFonts w:hint="eastAsia"/>
                <w:sz w:val="18"/>
                <w:szCs w:val="18"/>
                <w:lang w:val="de-DE"/>
              </w:rPr>
              <w:t>粉尘</w:t>
            </w:r>
          </w:p>
        </w:tc>
        <w:tc>
          <w:tcPr>
            <w:tcW w:w="769" w:type="dxa"/>
            <w:tcBorders>
              <w:bottom w:val="single" w:color="auto" w:sz="4" w:space="0"/>
            </w:tcBorders>
            <w:shd w:val="clear" w:color="auto" w:fill="auto"/>
            <w:vAlign w:val="center"/>
          </w:tcPr>
          <w:p>
            <w:pPr>
              <w:spacing w:line="200" w:lineRule="exact"/>
              <w:jc w:val="center"/>
              <w:rPr>
                <w:rFonts w:hint="eastAsia"/>
                <w:sz w:val="18"/>
                <w:szCs w:val="18"/>
                <w:lang w:val="de-DE"/>
              </w:rPr>
            </w:pPr>
            <w:r>
              <w:rPr>
                <w:rFonts w:hint="eastAsia"/>
                <w:sz w:val="18"/>
                <w:szCs w:val="18"/>
                <w:lang w:val="de-DE"/>
              </w:rPr>
              <w:t>/</w:t>
            </w:r>
          </w:p>
        </w:tc>
        <w:tc>
          <w:tcPr>
            <w:tcW w:w="789" w:type="dxa"/>
            <w:tcBorders>
              <w:bottom w:val="single" w:color="auto" w:sz="4" w:space="0"/>
            </w:tcBorders>
            <w:vAlign w:val="center"/>
          </w:tcPr>
          <w:p>
            <w:pPr>
              <w:spacing w:line="200" w:lineRule="exact"/>
              <w:jc w:val="center"/>
              <w:rPr>
                <w:rFonts w:hint="eastAsia"/>
                <w:sz w:val="18"/>
                <w:szCs w:val="18"/>
                <w:lang w:val="de-DE"/>
              </w:rPr>
            </w:pPr>
            <w:r>
              <w:rPr>
                <w:rFonts w:hint="eastAsia"/>
                <w:sz w:val="18"/>
                <w:szCs w:val="18"/>
                <w:lang w:val="de-DE"/>
              </w:rPr>
              <w:t>/</w:t>
            </w:r>
          </w:p>
        </w:tc>
        <w:tc>
          <w:tcPr>
            <w:tcW w:w="789" w:type="dxa"/>
            <w:tcBorders>
              <w:bottom w:val="single" w:color="auto" w:sz="4" w:space="0"/>
            </w:tcBorders>
            <w:vAlign w:val="center"/>
          </w:tcPr>
          <w:p>
            <w:pPr>
              <w:spacing w:line="200" w:lineRule="exact"/>
              <w:jc w:val="center"/>
              <w:rPr>
                <w:rFonts w:hint="eastAsia"/>
                <w:sz w:val="18"/>
                <w:szCs w:val="18"/>
                <w:lang w:val="de-DE"/>
              </w:rPr>
            </w:pPr>
            <w:r>
              <w:rPr>
                <w:rFonts w:hint="eastAsia"/>
                <w:sz w:val="18"/>
                <w:szCs w:val="18"/>
                <w:lang w:val="de-DE"/>
              </w:rPr>
              <w:t>/</w:t>
            </w:r>
          </w:p>
        </w:tc>
        <w:tc>
          <w:tcPr>
            <w:tcW w:w="783" w:type="dxa"/>
            <w:tcBorders>
              <w:bottom w:val="single" w:color="auto" w:sz="4" w:space="0"/>
            </w:tcBorders>
            <w:vAlign w:val="center"/>
          </w:tcPr>
          <w:p>
            <w:pPr>
              <w:spacing w:line="200" w:lineRule="exact"/>
              <w:jc w:val="center"/>
              <w:rPr>
                <w:rFonts w:hint="eastAsia"/>
                <w:sz w:val="18"/>
                <w:szCs w:val="18"/>
                <w:lang w:val="de-DE"/>
              </w:rPr>
            </w:pPr>
            <w:r>
              <w:rPr>
                <w:rFonts w:hint="eastAsia"/>
                <w:sz w:val="18"/>
                <w:szCs w:val="18"/>
                <w:lang w:val="de-DE"/>
              </w:rPr>
              <w:t>/</w:t>
            </w:r>
          </w:p>
        </w:tc>
        <w:tc>
          <w:tcPr>
            <w:tcW w:w="708" w:type="dxa"/>
            <w:tcBorders>
              <w:bottom w:val="single" w:color="auto" w:sz="4" w:space="0"/>
            </w:tcBorders>
            <w:vAlign w:val="center"/>
          </w:tcPr>
          <w:p>
            <w:pPr>
              <w:spacing w:line="200" w:lineRule="exact"/>
              <w:jc w:val="center"/>
              <w:rPr>
                <w:rFonts w:hint="eastAsia"/>
                <w:sz w:val="18"/>
                <w:szCs w:val="18"/>
                <w:lang w:val="de-DE"/>
              </w:rPr>
            </w:pPr>
            <w:r>
              <w:rPr>
                <w:rFonts w:hint="eastAsia"/>
                <w:sz w:val="18"/>
                <w:szCs w:val="18"/>
                <w:lang w:val="de-DE"/>
              </w:rPr>
              <w:t>/</w:t>
            </w:r>
          </w:p>
        </w:tc>
        <w:tc>
          <w:tcPr>
            <w:tcW w:w="1020" w:type="dxa"/>
            <w:tcBorders>
              <w:bottom w:val="single" w:color="auto" w:sz="4" w:space="0"/>
            </w:tcBorders>
            <w:vAlign w:val="center"/>
          </w:tcPr>
          <w:p>
            <w:pPr>
              <w:jc w:val="center"/>
              <w:rPr>
                <w:rFonts w:hint="eastAsia"/>
                <w:sz w:val="18"/>
                <w:szCs w:val="18"/>
              </w:rPr>
            </w:pPr>
          </w:p>
        </w:tc>
        <w:tc>
          <w:tcPr>
            <w:tcW w:w="1122" w:type="dxa"/>
            <w:tcBorders>
              <w:bottom w:val="single" w:color="auto" w:sz="4" w:space="0"/>
            </w:tcBorders>
            <w:vAlign w:val="center"/>
          </w:tcPr>
          <w:p>
            <w:pPr>
              <w:jc w:val="center"/>
              <w:rPr>
                <w:rFonts w:hint="eastAsia"/>
                <w:sz w:val="18"/>
                <w:szCs w:val="18"/>
              </w:rPr>
            </w:pPr>
            <w:r>
              <w:rPr>
                <w:rFonts w:hint="eastAsia"/>
                <w:sz w:val="18"/>
                <w:szCs w:val="18"/>
              </w:rPr>
              <w:t>28.73</w:t>
            </w:r>
          </w:p>
        </w:tc>
        <w:tc>
          <w:tcPr>
            <w:tcW w:w="2269" w:type="dxa"/>
            <w:gridSpan w:val="2"/>
            <w:tcBorders>
              <w:bottom w:val="single" w:color="auto" w:sz="4" w:space="0"/>
            </w:tcBorders>
            <w:vAlign w:val="center"/>
          </w:tcPr>
          <w:p>
            <w:pPr>
              <w:spacing w:line="200" w:lineRule="exact"/>
              <w:jc w:val="center"/>
              <w:rPr>
                <w:rFonts w:hint="eastAsia"/>
                <w:sz w:val="18"/>
                <w:szCs w:val="18"/>
                <w:lang w:val="de-DE"/>
              </w:rPr>
            </w:pPr>
            <w:r>
              <w:rPr>
                <w:rFonts w:hint="eastAsia"/>
                <w:sz w:val="18"/>
                <w:szCs w:val="18"/>
                <w:lang w:val="de-DE"/>
              </w:rPr>
              <w:t>/</w:t>
            </w:r>
          </w:p>
        </w:tc>
        <w:tc>
          <w:tcPr>
            <w:tcW w:w="731" w:type="dxa"/>
            <w:tcBorders>
              <w:bottom w:val="single" w:color="auto" w:sz="4" w:space="0"/>
            </w:tcBorders>
            <w:vAlign w:val="center"/>
          </w:tcPr>
          <w:p>
            <w:pPr>
              <w:spacing w:line="200" w:lineRule="exact"/>
              <w:jc w:val="center"/>
              <w:rPr>
                <w:rFonts w:hint="eastAsia"/>
                <w:sz w:val="18"/>
                <w:szCs w:val="18"/>
                <w:lang w:val="de-DE"/>
              </w:rPr>
            </w:pPr>
            <w:r>
              <w:rPr>
                <w:rFonts w:hint="eastAsia"/>
                <w:sz w:val="18"/>
                <w:szCs w:val="18"/>
                <w:lang w:val="de-DE"/>
              </w:rPr>
              <w:t>/</w:t>
            </w:r>
          </w:p>
        </w:tc>
        <w:tc>
          <w:tcPr>
            <w:tcW w:w="928" w:type="dxa"/>
            <w:tcBorders>
              <w:bottom w:val="single" w:color="auto" w:sz="4" w:space="0"/>
            </w:tcBorders>
            <w:vAlign w:val="center"/>
          </w:tcPr>
          <w:p>
            <w:pPr>
              <w:jc w:val="center"/>
              <w:rPr>
                <w:rFonts w:hint="eastAsia"/>
                <w:sz w:val="18"/>
                <w:szCs w:val="18"/>
              </w:rPr>
            </w:pPr>
          </w:p>
        </w:tc>
        <w:tc>
          <w:tcPr>
            <w:tcW w:w="821" w:type="dxa"/>
            <w:tcBorders>
              <w:bottom w:val="single" w:color="auto" w:sz="4" w:space="0"/>
            </w:tcBorders>
            <w:vAlign w:val="center"/>
          </w:tcPr>
          <w:p>
            <w:pPr>
              <w:jc w:val="center"/>
              <w:rPr>
                <w:rFonts w:hint="eastAsia"/>
                <w:sz w:val="18"/>
                <w:szCs w:val="18"/>
              </w:rPr>
            </w:pPr>
            <w:r>
              <w:rPr>
                <w:rFonts w:hint="eastAsia"/>
                <w:sz w:val="18"/>
                <w:szCs w:val="18"/>
              </w:rPr>
              <w:t>28.73</w:t>
            </w:r>
          </w:p>
        </w:tc>
      </w:tr>
    </w:tbl>
    <w:p>
      <w:pPr>
        <w:widowControl/>
        <w:jc w:val="center"/>
        <w:rPr>
          <w:rFonts w:hint="eastAsia"/>
          <w:b/>
        </w:rPr>
      </w:pPr>
    </w:p>
    <w:p>
      <w:pPr>
        <w:spacing w:line="460" w:lineRule="exact"/>
        <w:ind w:firstLine="422" w:firstLineChars="200"/>
        <w:rPr>
          <w:rFonts w:hint="eastAsia"/>
          <w:b/>
        </w:rPr>
      </w:pPr>
    </w:p>
    <w:p>
      <w:pPr>
        <w:widowControl/>
        <w:jc w:val="center"/>
        <w:rPr>
          <w:rFonts w:hint="eastAsia"/>
          <w:b/>
        </w:rPr>
      </w:pPr>
    </w:p>
    <w:p>
      <w:pPr>
        <w:widowControl/>
        <w:jc w:val="center"/>
        <w:rPr>
          <w:rFonts w:hint="eastAsia"/>
          <w:b/>
        </w:rPr>
      </w:pPr>
    </w:p>
    <w:p>
      <w:pPr>
        <w:widowControl/>
        <w:jc w:val="center"/>
        <w:rPr>
          <w:rFonts w:hint="eastAsia"/>
          <w:b/>
        </w:rPr>
      </w:pPr>
    </w:p>
    <w:p>
      <w:pPr>
        <w:widowControl/>
        <w:jc w:val="center"/>
        <w:rPr>
          <w:rFonts w:hint="eastAsia"/>
          <w:b/>
        </w:rPr>
      </w:pPr>
    </w:p>
    <w:p>
      <w:pPr>
        <w:widowControl/>
        <w:jc w:val="center"/>
        <w:rPr>
          <w:b/>
        </w:rPr>
        <w:sectPr>
          <w:pgSz w:w="16838" w:h="11906" w:orient="landscape"/>
          <w:pgMar w:top="1247" w:right="1418" w:bottom="1797" w:left="1418" w:header="851" w:footer="992" w:gutter="0"/>
          <w:paperSrc w:first="20070" w:other="20070"/>
          <w:cols w:space="425" w:num="1"/>
          <w:titlePg/>
          <w:docGrid w:linePitch="312" w:charSpace="0"/>
        </w:sectPr>
      </w:pPr>
    </w:p>
    <w:p>
      <w:pPr>
        <w:spacing w:line="360" w:lineRule="auto"/>
        <w:outlineLvl w:val="2"/>
        <w:rPr>
          <w:rFonts w:hint="eastAsia"/>
          <w:b/>
          <w:bCs/>
          <w:szCs w:val="20"/>
        </w:rPr>
      </w:pPr>
      <w:r>
        <w:rPr>
          <w:rFonts w:hint="eastAsia"/>
          <w:b/>
          <w:bCs/>
          <w:szCs w:val="20"/>
        </w:rPr>
        <w:t>3.2.4.2废水</w:t>
      </w:r>
    </w:p>
    <w:p>
      <w:pPr>
        <w:spacing w:line="360" w:lineRule="auto"/>
        <w:ind w:firstLine="420" w:firstLineChars="200"/>
        <w:rPr>
          <w:rFonts w:hint="eastAsia" w:ascii="宋体" w:hAnsi="宋体"/>
        </w:rPr>
      </w:pPr>
      <w:r>
        <w:rPr>
          <w:rFonts w:hint="eastAsia"/>
        </w:rPr>
        <w:t>由图3.2可见，技改项目水泥生产的</w:t>
      </w:r>
      <w:r>
        <w:rPr>
          <w:rFonts w:hint="eastAsia" w:ascii="宋体" w:hAnsi="宋体"/>
          <w:snapToGrid w:val="0"/>
        </w:rPr>
        <w:t>废水污染源种类主要为清净下水和生产生活废水，其中清净下水包括</w:t>
      </w:r>
      <w:r>
        <w:rPr>
          <w:rFonts w:hint="eastAsia" w:ascii="宋体" w:hAnsi="宋体"/>
        </w:rPr>
        <w:t>循环冷却系统排污水、余热锅炉排污水，</w:t>
      </w:r>
      <w:r>
        <w:rPr>
          <w:rFonts w:hint="eastAsia" w:ascii="宋体" w:hAnsi="宋体"/>
          <w:snapToGrid w:val="0"/>
        </w:rPr>
        <w:t>生产生活废水包括净水站泥浆废水、</w:t>
      </w:r>
      <w:r>
        <w:rPr>
          <w:rFonts w:hint="eastAsia" w:ascii="宋体" w:hAnsi="宋体"/>
        </w:rPr>
        <w:t>脱盐水站树脂再生废水和</w:t>
      </w:r>
      <w:r>
        <w:rPr>
          <w:rFonts w:hint="eastAsia"/>
        </w:rPr>
        <w:t>生活</w:t>
      </w:r>
      <w:r>
        <w:rPr>
          <w:rFonts w:hint="eastAsia" w:ascii="宋体" w:hAnsi="宋体"/>
        </w:rPr>
        <w:t>、辅助设施排水（包括生活废水、化验室废水）。</w:t>
      </w:r>
    </w:p>
    <w:p>
      <w:pPr>
        <w:spacing w:line="360" w:lineRule="auto"/>
        <w:ind w:left="480"/>
        <w:rPr>
          <w:rFonts w:hint="eastAsia" w:ascii="宋体" w:hAnsi="宋体"/>
          <w:snapToGrid w:val="0"/>
        </w:rPr>
      </w:pPr>
      <w:r>
        <w:rPr>
          <w:rFonts w:hint="eastAsia" w:ascii="宋体" w:hAnsi="宋体"/>
          <w:snapToGrid w:val="0"/>
        </w:rPr>
        <w:t>（1）清净下水</w:t>
      </w:r>
    </w:p>
    <w:p>
      <w:pPr>
        <w:spacing w:line="360" w:lineRule="auto"/>
        <w:ind w:firstLine="482"/>
        <w:rPr>
          <w:rFonts w:hint="eastAsia"/>
        </w:rPr>
      </w:pPr>
      <w:r>
        <w:rPr>
          <w:rFonts w:hint="eastAsia" w:ascii="宋体" w:hAnsi="宋体"/>
        </w:rPr>
        <w:t>循环冷却系统排污水量为425</w:t>
      </w:r>
      <w:r>
        <w:t>m</w:t>
      </w:r>
      <w:r>
        <w:rPr>
          <w:vertAlign w:val="superscript"/>
        </w:rPr>
        <w:t>3</w:t>
      </w:r>
      <w:r>
        <w:t>/</w:t>
      </w:r>
      <w:r>
        <w:rPr>
          <w:rFonts w:hint="eastAsia"/>
        </w:rPr>
        <w:t>d，</w:t>
      </w:r>
      <w:r>
        <w:rPr>
          <w:rFonts w:hint="eastAsia" w:ascii="宋体" w:hAnsi="宋体"/>
        </w:rPr>
        <w:t>余热锅炉排污水量12</w:t>
      </w:r>
      <w:r>
        <w:t>m</w:t>
      </w:r>
      <w:r>
        <w:rPr>
          <w:vertAlign w:val="superscript"/>
        </w:rPr>
        <w:t>3</w:t>
      </w:r>
      <w:r>
        <w:t>/</w:t>
      </w:r>
      <w:r>
        <w:rPr>
          <w:rFonts w:hint="eastAsia"/>
        </w:rPr>
        <w:t>d，这些排水的污染物较简单（主要为SS），排放量较小，故将其作为清下水，用重力流直接输送至雨水管网排放。</w:t>
      </w:r>
    </w:p>
    <w:p>
      <w:pPr>
        <w:spacing w:line="360" w:lineRule="auto"/>
        <w:ind w:left="480"/>
        <w:rPr>
          <w:rFonts w:hint="eastAsia" w:ascii="宋体" w:hAnsi="宋体"/>
          <w:snapToGrid w:val="0"/>
        </w:rPr>
      </w:pPr>
      <w:r>
        <w:rPr>
          <w:rFonts w:hint="eastAsia"/>
        </w:rPr>
        <w:t>（2）</w:t>
      </w:r>
      <w:r>
        <w:rPr>
          <w:rFonts w:hint="eastAsia" w:ascii="宋体" w:hAnsi="宋体"/>
          <w:snapToGrid w:val="0"/>
        </w:rPr>
        <w:t>生产生活废水</w:t>
      </w:r>
    </w:p>
    <w:p>
      <w:pPr>
        <w:spacing w:line="360" w:lineRule="auto"/>
        <w:ind w:firstLine="482"/>
        <w:rPr>
          <w:rFonts w:hint="eastAsia"/>
        </w:rPr>
      </w:pPr>
      <w:r>
        <w:rPr>
          <w:rFonts w:hint="eastAsia" w:ascii="宋体" w:hAnsi="宋体"/>
        </w:rPr>
        <w:t>余热电站化学水处理系统排水（10</w:t>
      </w:r>
      <w:r>
        <w:rPr>
          <w:rFonts w:ascii="宋体" w:hAnsi="宋体"/>
        </w:rPr>
        <w:t xml:space="preserve"> m</w:t>
      </w:r>
      <w:r>
        <w:rPr>
          <w:rFonts w:ascii="宋体" w:hAnsi="宋体"/>
          <w:vertAlign w:val="superscript"/>
        </w:rPr>
        <w:t>3</w:t>
      </w:r>
      <w:r>
        <w:rPr>
          <w:rFonts w:ascii="宋体" w:hAnsi="宋体"/>
        </w:rPr>
        <w:t>/d</w:t>
      </w:r>
      <w:r>
        <w:rPr>
          <w:rFonts w:hint="eastAsia" w:ascii="宋体" w:hAnsi="宋体"/>
        </w:rPr>
        <w:t xml:space="preserve"> </w:t>
      </w:r>
      <w:r>
        <w:rPr>
          <w:rFonts w:ascii="宋体" w:hAnsi="宋体"/>
        </w:rPr>
        <w:t>）</w:t>
      </w:r>
      <w:r>
        <w:rPr>
          <w:rFonts w:hint="eastAsia" w:ascii="宋体" w:hAnsi="宋体"/>
        </w:rPr>
        <w:t>经中和处理后与生活污水(24.6</w:t>
      </w:r>
      <w:r>
        <w:rPr>
          <w:rFonts w:ascii="宋体" w:hAnsi="宋体"/>
        </w:rPr>
        <w:t>m</w:t>
      </w:r>
      <w:r>
        <w:rPr>
          <w:rFonts w:ascii="宋体" w:hAnsi="宋体"/>
          <w:vertAlign w:val="superscript"/>
        </w:rPr>
        <w:t>3</w:t>
      </w:r>
      <w:r>
        <w:rPr>
          <w:rFonts w:ascii="宋体" w:hAnsi="宋体"/>
        </w:rPr>
        <w:t>/d</w:t>
      </w:r>
      <w:r>
        <w:rPr>
          <w:rFonts w:hint="eastAsia" w:ascii="宋体" w:hAnsi="宋体"/>
        </w:rPr>
        <w:t>)、化验室污水(18</w:t>
      </w:r>
      <w:r>
        <w:rPr>
          <w:rFonts w:ascii="宋体" w:hAnsi="宋体"/>
        </w:rPr>
        <w:t>m</w:t>
      </w:r>
      <w:r>
        <w:rPr>
          <w:rFonts w:ascii="宋体" w:hAnsi="宋体"/>
          <w:vertAlign w:val="superscript"/>
        </w:rPr>
        <w:t>3</w:t>
      </w:r>
      <w:r>
        <w:rPr>
          <w:rFonts w:ascii="宋体" w:hAnsi="宋体"/>
        </w:rPr>
        <w:t>/d</w:t>
      </w:r>
      <w:r>
        <w:rPr>
          <w:rFonts w:hint="eastAsia" w:ascii="宋体" w:hAnsi="宋体"/>
        </w:rPr>
        <w:t>)进入污水处理站，经处理满足《污水综合排放标准》一级标准排入北侧的无名小沟。</w:t>
      </w:r>
    </w:p>
    <w:p>
      <w:pPr>
        <w:spacing w:line="360" w:lineRule="auto"/>
        <w:ind w:firstLine="482"/>
        <w:rPr>
          <w:rFonts w:hint="eastAsia"/>
        </w:rPr>
      </w:pPr>
      <w:r>
        <w:rPr>
          <w:rFonts w:hint="eastAsia"/>
        </w:rPr>
        <w:t>技改项目生产生活废水产生、治理、排放情况见表3-13。</w:t>
      </w:r>
    </w:p>
    <w:p>
      <w:pPr>
        <w:spacing w:line="480" w:lineRule="exact"/>
        <w:jc w:val="center"/>
        <w:rPr>
          <w:rFonts w:hint="eastAsia" w:ascii="宋体" w:hAnsi="宋体"/>
          <w:b/>
          <w:bCs/>
        </w:rPr>
      </w:pPr>
      <w:r>
        <w:rPr>
          <w:rFonts w:hint="eastAsia" w:ascii="宋体" w:hAnsi="宋体"/>
          <w:b/>
        </w:rPr>
        <w:t>表3-13 技改项目</w:t>
      </w:r>
      <w:r>
        <w:rPr>
          <w:rFonts w:hint="eastAsia" w:ascii="宋体" w:hAnsi="宋体"/>
          <w:b/>
          <w:bCs/>
        </w:rPr>
        <w:t>废水污染排放统计</w:t>
      </w:r>
    </w:p>
    <w:tbl>
      <w:tblPr>
        <w:tblStyle w:val="21"/>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5"/>
        <w:gridCol w:w="1926"/>
        <w:gridCol w:w="1423"/>
        <w:gridCol w:w="1423"/>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3075" w:type="dxa"/>
            <w:vAlign w:val="top"/>
          </w:tcPr>
          <w:p>
            <w:pPr>
              <w:spacing w:line="360" w:lineRule="exact"/>
              <w:rPr>
                <w:sz w:val="21"/>
                <w:szCs w:val="21"/>
              </w:rPr>
            </w:pPr>
            <w:r>
              <w:rPr>
                <w:sz w:val="21"/>
                <w:szCs w:val="21"/>
              </w:rPr>
              <w:t>废水来源及产生量（万m</w:t>
            </w:r>
            <w:r>
              <w:rPr>
                <w:sz w:val="21"/>
                <w:szCs w:val="21"/>
                <w:vertAlign w:val="superscript"/>
              </w:rPr>
              <w:t>3</w:t>
            </w:r>
            <w:r>
              <w:rPr>
                <w:sz w:val="21"/>
                <w:szCs w:val="21"/>
              </w:rPr>
              <w:t>/a）</w:t>
            </w:r>
          </w:p>
        </w:tc>
        <w:tc>
          <w:tcPr>
            <w:tcW w:w="1926" w:type="dxa"/>
            <w:vAlign w:val="top"/>
          </w:tcPr>
          <w:p>
            <w:pPr>
              <w:spacing w:line="360" w:lineRule="exact"/>
              <w:rPr>
                <w:sz w:val="21"/>
                <w:szCs w:val="21"/>
              </w:rPr>
            </w:pPr>
            <w:r>
              <w:rPr>
                <w:sz w:val="21"/>
                <w:szCs w:val="21"/>
              </w:rPr>
              <w:t>污染物</w:t>
            </w:r>
          </w:p>
        </w:tc>
        <w:tc>
          <w:tcPr>
            <w:tcW w:w="1423" w:type="dxa"/>
            <w:vAlign w:val="top"/>
          </w:tcPr>
          <w:p>
            <w:pPr>
              <w:spacing w:line="360" w:lineRule="exact"/>
              <w:rPr>
                <w:sz w:val="21"/>
                <w:szCs w:val="21"/>
              </w:rPr>
            </w:pPr>
            <w:r>
              <w:rPr>
                <w:sz w:val="21"/>
                <w:szCs w:val="21"/>
              </w:rPr>
              <w:t>COD</w:t>
            </w:r>
          </w:p>
        </w:tc>
        <w:tc>
          <w:tcPr>
            <w:tcW w:w="1423" w:type="dxa"/>
            <w:vAlign w:val="top"/>
          </w:tcPr>
          <w:p>
            <w:pPr>
              <w:spacing w:line="360" w:lineRule="exact"/>
              <w:rPr>
                <w:sz w:val="21"/>
                <w:szCs w:val="21"/>
              </w:rPr>
            </w:pPr>
            <w:r>
              <w:rPr>
                <w:sz w:val="21"/>
                <w:szCs w:val="21"/>
              </w:rPr>
              <w:t>NH</w:t>
            </w:r>
            <w:r>
              <w:rPr>
                <w:sz w:val="21"/>
                <w:szCs w:val="21"/>
                <w:vertAlign w:val="subscript"/>
              </w:rPr>
              <w:t>3</w:t>
            </w:r>
            <w:r>
              <w:rPr>
                <w:sz w:val="21"/>
                <w:szCs w:val="21"/>
              </w:rPr>
              <w:t>-N</w:t>
            </w:r>
          </w:p>
        </w:tc>
        <w:tc>
          <w:tcPr>
            <w:tcW w:w="1439" w:type="dxa"/>
            <w:vAlign w:val="top"/>
          </w:tcPr>
          <w:p>
            <w:pPr>
              <w:spacing w:line="360" w:lineRule="exact"/>
              <w:rPr>
                <w:sz w:val="21"/>
                <w:szCs w:val="21"/>
              </w:rPr>
            </w:pPr>
            <w:r>
              <w:rPr>
                <w:sz w:val="21"/>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3075" w:type="dxa"/>
            <w:vAlign w:val="top"/>
          </w:tcPr>
          <w:p>
            <w:pPr>
              <w:spacing w:line="360" w:lineRule="exact"/>
              <w:rPr>
                <w:sz w:val="21"/>
                <w:szCs w:val="21"/>
              </w:rPr>
            </w:pPr>
            <w:r>
              <w:rPr>
                <w:sz w:val="21"/>
                <w:szCs w:val="21"/>
              </w:rPr>
              <w:t>清净下水（13.547）</w:t>
            </w:r>
          </w:p>
        </w:tc>
        <w:tc>
          <w:tcPr>
            <w:tcW w:w="1926" w:type="dxa"/>
            <w:vAlign w:val="top"/>
          </w:tcPr>
          <w:p>
            <w:pPr>
              <w:spacing w:line="360" w:lineRule="exact"/>
              <w:rPr>
                <w:sz w:val="21"/>
                <w:szCs w:val="21"/>
              </w:rPr>
            </w:pPr>
          </w:p>
        </w:tc>
        <w:tc>
          <w:tcPr>
            <w:tcW w:w="1423" w:type="dxa"/>
            <w:vAlign w:val="top"/>
          </w:tcPr>
          <w:p>
            <w:pPr>
              <w:spacing w:line="360" w:lineRule="exact"/>
              <w:rPr>
                <w:sz w:val="21"/>
                <w:szCs w:val="21"/>
              </w:rPr>
            </w:pPr>
            <w:r>
              <w:rPr>
                <w:sz w:val="21"/>
                <w:szCs w:val="21"/>
              </w:rPr>
              <w:t>/</w:t>
            </w:r>
          </w:p>
        </w:tc>
        <w:tc>
          <w:tcPr>
            <w:tcW w:w="1423" w:type="dxa"/>
            <w:vAlign w:val="top"/>
          </w:tcPr>
          <w:p>
            <w:pPr>
              <w:spacing w:line="360" w:lineRule="exact"/>
              <w:rPr>
                <w:sz w:val="21"/>
                <w:szCs w:val="21"/>
              </w:rPr>
            </w:pPr>
            <w:r>
              <w:rPr>
                <w:sz w:val="21"/>
                <w:szCs w:val="21"/>
              </w:rPr>
              <w:t>/</w:t>
            </w:r>
          </w:p>
        </w:tc>
        <w:tc>
          <w:tcPr>
            <w:tcW w:w="1439" w:type="dxa"/>
            <w:vAlign w:val="top"/>
          </w:tcPr>
          <w:p>
            <w:pPr>
              <w:spacing w:line="360" w:lineRule="exact"/>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75" w:type="dxa"/>
            <w:vMerge w:val="restart"/>
            <w:vAlign w:val="top"/>
          </w:tcPr>
          <w:p>
            <w:pPr>
              <w:spacing w:line="360" w:lineRule="exact"/>
              <w:rPr>
                <w:sz w:val="21"/>
                <w:szCs w:val="21"/>
              </w:rPr>
            </w:pPr>
            <w:r>
              <w:rPr>
                <w:sz w:val="21"/>
                <w:szCs w:val="21"/>
              </w:rPr>
              <w:t>生活污水（0.7626）</w:t>
            </w:r>
          </w:p>
        </w:tc>
        <w:tc>
          <w:tcPr>
            <w:tcW w:w="1926" w:type="dxa"/>
            <w:vAlign w:val="top"/>
          </w:tcPr>
          <w:p>
            <w:pPr>
              <w:spacing w:line="360" w:lineRule="exact"/>
              <w:rPr>
                <w:sz w:val="21"/>
                <w:szCs w:val="21"/>
              </w:rPr>
            </w:pPr>
            <w:r>
              <w:rPr>
                <w:sz w:val="21"/>
                <w:szCs w:val="21"/>
              </w:rPr>
              <w:t>产生浓度,mg/l</w:t>
            </w:r>
          </w:p>
        </w:tc>
        <w:tc>
          <w:tcPr>
            <w:tcW w:w="1423" w:type="dxa"/>
            <w:vAlign w:val="top"/>
          </w:tcPr>
          <w:p>
            <w:pPr>
              <w:spacing w:line="360" w:lineRule="exact"/>
              <w:rPr>
                <w:sz w:val="21"/>
                <w:szCs w:val="21"/>
              </w:rPr>
            </w:pPr>
            <w:r>
              <w:rPr>
                <w:sz w:val="21"/>
                <w:szCs w:val="21"/>
              </w:rPr>
              <w:t>350</w:t>
            </w:r>
          </w:p>
        </w:tc>
        <w:tc>
          <w:tcPr>
            <w:tcW w:w="1423" w:type="dxa"/>
            <w:vAlign w:val="top"/>
          </w:tcPr>
          <w:p>
            <w:pPr>
              <w:spacing w:line="360" w:lineRule="exact"/>
              <w:rPr>
                <w:sz w:val="21"/>
                <w:szCs w:val="21"/>
              </w:rPr>
            </w:pPr>
            <w:r>
              <w:rPr>
                <w:sz w:val="21"/>
                <w:szCs w:val="21"/>
              </w:rPr>
              <w:t>30</w:t>
            </w:r>
          </w:p>
        </w:tc>
        <w:tc>
          <w:tcPr>
            <w:tcW w:w="1439" w:type="dxa"/>
            <w:vAlign w:val="top"/>
          </w:tcPr>
          <w:p>
            <w:pPr>
              <w:spacing w:line="360" w:lineRule="exact"/>
              <w:rPr>
                <w:sz w:val="21"/>
                <w:szCs w:val="21"/>
              </w:rPr>
            </w:pPr>
            <w:r>
              <w:rPr>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75" w:type="dxa"/>
            <w:vMerge w:val="continue"/>
            <w:vAlign w:val="top"/>
          </w:tcPr>
          <w:p>
            <w:pPr>
              <w:spacing w:line="360" w:lineRule="exact"/>
              <w:rPr>
                <w:sz w:val="21"/>
                <w:szCs w:val="21"/>
              </w:rPr>
            </w:pPr>
          </w:p>
        </w:tc>
        <w:tc>
          <w:tcPr>
            <w:tcW w:w="1926" w:type="dxa"/>
            <w:vAlign w:val="top"/>
          </w:tcPr>
          <w:p>
            <w:pPr>
              <w:spacing w:line="360" w:lineRule="exact"/>
              <w:rPr>
                <w:sz w:val="21"/>
                <w:szCs w:val="21"/>
              </w:rPr>
            </w:pPr>
            <w:r>
              <w:rPr>
                <w:sz w:val="21"/>
                <w:szCs w:val="21"/>
              </w:rPr>
              <w:t>产生量,t/a</w:t>
            </w:r>
          </w:p>
        </w:tc>
        <w:tc>
          <w:tcPr>
            <w:tcW w:w="1423" w:type="dxa"/>
            <w:vAlign w:val="top"/>
          </w:tcPr>
          <w:p>
            <w:pPr>
              <w:spacing w:line="360" w:lineRule="exact"/>
              <w:rPr>
                <w:sz w:val="21"/>
                <w:szCs w:val="21"/>
              </w:rPr>
            </w:pPr>
            <w:r>
              <w:rPr>
                <w:sz w:val="21"/>
                <w:szCs w:val="21"/>
              </w:rPr>
              <w:t>2.67</w:t>
            </w:r>
          </w:p>
        </w:tc>
        <w:tc>
          <w:tcPr>
            <w:tcW w:w="1423" w:type="dxa"/>
            <w:vAlign w:val="top"/>
          </w:tcPr>
          <w:p>
            <w:pPr>
              <w:spacing w:line="360" w:lineRule="exact"/>
              <w:rPr>
                <w:sz w:val="21"/>
                <w:szCs w:val="21"/>
              </w:rPr>
            </w:pPr>
            <w:r>
              <w:rPr>
                <w:sz w:val="21"/>
                <w:szCs w:val="21"/>
              </w:rPr>
              <w:t>0.23</w:t>
            </w:r>
          </w:p>
        </w:tc>
        <w:tc>
          <w:tcPr>
            <w:tcW w:w="1439" w:type="dxa"/>
            <w:vAlign w:val="top"/>
          </w:tcPr>
          <w:p>
            <w:pPr>
              <w:spacing w:line="360" w:lineRule="exact"/>
              <w:rPr>
                <w:sz w:val="21"/>
                <w:szCs w:val="21"/>
              </w:rPr>
            </w:pPr>
            <w:r>
              <w:rPr>
                <w:sz w:val="21"/>
                <w:szCs w:val="21"/>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75" w:type="dxa"/>
            <w:vMerge w:val="continue"/>
            <w:vAlign w:val="top"/>
          </w:tcPr>
          <w:p>
            <w:pPr>
              <w:spacing w:line="360" w:lineRule="exact"/>
              <w:rPr>
                <w:sz w:val="21"/>
                <w:szCs w:val="21"/>
              </w:rPr>
            </w:pPr>
          </w:p>
        </w:tc>
        <w:tc>
          <w:tcPr>
            <w:tcW w:w="1926" w:type="dxa"/>
            <w:vAlign w:val="top"/>
          </w:tcPr>
          <w:p>
            <w:pPr>
              <w:spacing w:line="360" w:lineRule="exact"/>
              <w:rPr>
                <w:sz w:val="21"/>
                <w:szCs w:val="21"/>
              </w:rPr>
            </w:pPr>
            <w:r>
              <w:rPr>
                <w:sz w:val="21"/>
                <w:szCs w:val="21"/>
              </w:rPr>
              <w:t>排放浓度,mg/l</w:t>
            </w:r>
          </w:p>
        </w:tc>
        <w:tc>
          <w:tcPr>
            <w:tcW w:w="1423" w:type="dxa"/>
            <w:vAlign w:val="top"/>
          </w:tcPr>
          <w:p>
            <w:pPr>
              <w:spacing w:line="360" w:lineRule="exact"/>
              <w:rPr>
                <w:sz w:val="21"/>
                <w:szCs w:val="21"/>
              </w:rPr>
            </w:pPr>
            <w:r>
              <w:rPr>
                <w:sz w:val="21"/>
                <w:szCs w:val="21"/>
              </w:rPr>
              <w:t>100</w:t>
            </w:r>
          </w:p>
        </w:tc>
        <w:tc>
          <w:tcPr>
            <w:tcW w:w="1423" w:type="dxa"/>
            <w:vAlign w:val="top"/>
          </w:tcPr>
          <w:p>
            <w:pPr>
              <w:spacing w:line="360" w:lineRule="exact"/>
              <w:rPr>
                <w:sz w:val="21"/>
                <w:szCs w:val="21"/>
              </w:rPr>
            </w:pPr>
            <w:r>
              <w:rPr>
                <w:sz w:val="21"/>
                <w:szCs w:val="21"/>
              </w:rPr>
              <w:t>15</w:t>
            </w:r>
          </w:p>
        </w:tc>
        <w:tc>
          <w:tcPr>
            <w:tcW w:w="1439" w:type="dxa"/>
            <w:vAlign w:val="top"/>
          </w:tcPr>
          <w:p>
            <w:pPr>
              <w:spacing w:line="360" w:lineRule="exact"/>
              <w:rPr>
                <w:sz w:val="21"/>
                <w:szCs w:val="21"/>
              </w:rPr>
            </w:pPr>
            <w:r>
              <w:rPr>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75" w:type="dxa"/>
            <w:vMerge w:val="continue"/>
            <w:vAlign w:val="top"/>
          </w:tcPr>
          <w:p>
            <w:pPr>
              <w:spacing w:line="360" w:lineRule="exact"/>
              <w:rPr>
                <w:sz w:val="21"/>
                <w:szCs w:val="21"/>
              </w:rPr>
            </w:pPr>
          </w:p>
        </w:tc>
        <w:tc>
          <w:tcPr>
            <w:tcW w:w="1926" w:type="dxa"/>
            <w:vAlign w:val="top"/>
          </w:tcPr>
          <w:p>
            <w:pPr>
              <w:spacing w:line="360" w:lineRule="exact"/>
              <w:rPr>
                <w:sz w:val="21"/>
                <w:szCs w:val="21"/>
              </w:rPr>
            </w:pPr>
            <w:r>
              <w:rPr>
                <w:sz w:val="21"/>
                <w:szCs w:val="21"/>
              </w:rPr>
              <w:t>排放量,t/a</w:t>
            </w:r>
          </w:p>
        </w:tc>
        <w:tc>
          <w:tcPr>
            <w:tcW w:w="1423" w:type="dxa"/>
            <w:vAlign w:val="top"/>
          </w:tcPr>
          <w:p>
            <w:pPr>
              <w:spacing w:line="360" w:lineRule="exact"/>
              <w:rPr>
                <w:sz w:val="21"/>
                <w:szCs w:val="21"/>
              </w:rPr>
            </w:pPr>
            <w:r>
              <w:rPr>
                <w:sz w:val="21"/>
                <w:szCs w:val="21"/>
              </w:rPr>
              <w:t>0.76</w:t>
            </w:r>
          </w:p>
        </w:tc>
        <w:tc>
          <w:tcPr>
            <w:tcW w:w="1423" w:type="dxa"/>
            <w:vAlign w:val="top"/>
          </w:tcPr>
          <w:p>
            <w:pPr>
              <w:spacing w:line="360" w:lineRule="exact"/>
              <w:rPr>
                <w:sz w:val="21"/>
                <w:szCs w:val="21"/>
              </w:rPr>
            </w:pPr>
            <w:r>
              <w:rPr>
                <w:sz w:val="21"/>
                <w:szCs w:val="21"/>
              </w:rPr>
              <w:t>0.11</w:t>
            </w:r>
          </w:p>
        </w:tc>
        <w:tc>
          <w:tcPr>
            <w:tcW w:w="1439" w:type="dxa"/>
            <w:vAlign w:val="top"/>
          </w:tcPr>
          <w:p>
            <w:pPr>
              <w:spacing w:line="360" w:lineRule="exact"/>
              <w:rPr>
                <w:sz w:val="21"/>
                <w:szCs w:val="21"/>
              </w:rPr>
            </w:pPr>
            <w:r>
              <w:rPr>
                <w:sz w:val="21"/>
                <w:szCs w:val="21"/>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75" w:type="dxa"/>
            <w:vMerge w:val="restart"/>
            <w:vAlign w:val="top"/>
          </w:tcPr>
          <w:p>
            <w:pPr>
              <w:spacing w:line="360" w:lineRule="exact"/>
              <w:rPr>
                <w:sz w:val="21"/>
                <w:szCs w:val="21"/>
              </w:rPr>
            </w:pPr>
            <w:r>
              <w:rPr>
                <w:sz w:val="21"/>
                <w:szCs w:val="21"/>
              </w:rPr>
              <w:t>化验室废水（0.558）</w:t>
            </w:r>
          </w:p>
        </w:tc>
        <w:tc>
          <w:tcPr>
            <w:tcW w:w="1926" w:type="dxa"/>
            <w:vAlign w:val="top"/>
          </w:tcPr>
          <w:p>
            <w:pPr>
              <w:spacing w:line="360" w:lineRule="exact"/>
              <w:rPr>
                <w:sz w:val="21"/>
                <w:szCs w:val="21"/>
              </w:rPr>
            </w:pPr>
            <w:r>
              <w:rPr>
                <w:sz w:val="21"/>
                <w:szCs w:val="21"/>
              </w:rPr>
              <w:t>产生浓度,mg/l</w:t>
            </w:r>
          </w:p>
        </w:tc>
        <w:tc>
          <w:tcPr>
            <w:tcW w:w="1423" w:type="dxa"/>
            <w:vAlign w:val="top"/>
          </w:tcPr>
          <w:p>
            <w:pPr>
              <w:spacing w:line="360" w:lineRule="exact"/>
              <w:rPr>
                <w:sz w:val="21"/>
                <w:szCs w:val="21"/>
              </w:rPr>
            </w:pPr>
            <w:r>
              <w:rPr>
                <w:sz w:val="21"/>
                <w:szCs w:val="21"/>
              </w:rPr>
              <w:t>200</w:t>
            </w:r>
          </w:p>
        </w:tc>
        <w:tc>
          <w:tcPr>
            <w:tcW w:w="1423" w:type="dxa"/>
            <w:vAlign w:val="top"/>
          </w:tcPr>
          <w:p>
            <w:pPr>
              <w:spacing w:line="360" w:lineRule="exact"/>
              <w:rPr>
                <w:sz w:val="21"/>
                <w:szCs w:val="21"/>
              </w:rPr>
            </w:pPr>
            <w:r>
              <w:rPr>
                <w:sz w:val="21"/>
                <w:szCs w:val="21"/>
              </w:rPr>
              <w:t>/</w:t>
            </w:r>
          </w:p>
        </w:tc>
        <w:tc>
          <w:tcPr>
            <w:tcW w:w="1439" w:type="dxa"/>
            <w:vAlign w:val="top"/>
          </w:tcPr>
          <w:p>
            <w:pPr>
              <w:spacing w:line="360" w:lineRule="exact"/>
              <w:rPr>
                <w:sz w:val="21"/>
                <w:szCs w:val="21"/>
              </w:rPr>
            </w:pPr>
            <w:r>
              <w:rPr>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75" w:type="dxa"/>
            <w:vMerge w:val="continue"/>
            <w:vAlign w:val="top"/>
          </w:tcPr>
          <w:p>
            <w:pPr>
              <w:spacing w:line="360" w:lineRule="exact"/>
              <w:rPr>
                <w:sz w:val="21"/>
                <w:szCs w:val="21"/>
              </w:rPr>
            </w:pPr>
          </w:p>
        </w:tc>
        <w:tc>
          <w:tcPr>
            <w:tcW w:w="1926" w:type="dxa"/>
            <w:vAlign w:val="top"/>
          </w:tcPr>
          <w:p>
            <w:pPr>
              <w:spacing w:line="360" w:lineRule="exact"/>
              <w:rPr>
                <w:sz w:val="21"/>
                <w:szCs w:val="21"/>
              </w:rPr>
            </w:pPr>
            <w:r>
              <w:rPr>
                <w:sz w:val="21"/>
                <w:szCs w:val="21"/>
              </w:rPr>
              <w:t>产生量,t/a</w:t>
            </w:r>
          </w:p>
        </w:tc>
        <w:tc>
          <w:tcPr>
            <w:tcW w:w="1423" w:type="dxa"/>
            <w:vAlign w:val="top"/>
          </w:tcPr>
          <w:p>
            <w:pPr>
              <w:spacing w:line="360" w:lineRule="exact"/>
              <w:rPr>
                <w:sz w:val="21"/>
                <w:szCs w:val="21"/>
              </w:rPr>
            </w:pPr>
            <w:r>
              <w:rPr>
                <w:sz w:val="21"/>
                <w:szCs w:val="21"/>
              </w:rPr>
              <w:t>1.12</w:t>
            </w:r>
          </w:p>
        </w:tc>
        <w:tc>
          <w:tcPr>
            <w:tcW w:w="1423" w:type="dxa"/>
            <w:vAlign w:val="top"/>
          </w:tcPr>
          <w:p>
            <w:pPr>
              <w:spacing w:line="360" w:lineRule="exact"/>
              <w:rPr>
                <w:sz w:val="21"/>
                <w:szCs w:val="21"/>
              </w:rPr>
            </w:pPr>
            <w:r>
              <w:rPr>
                <w:sz w:val="21"/>
                <w:szCs w:val="21"/>
              </w:rPr>
              <w:t>/</w:t>
            </w:r>
          </w:p>
        </w:tc>
        <w:tc>
          <w:tcPr>
            <w:tcW w:w="1439" w:type="dxa"/>
            <w:vAlign w:val="top"/>
          </w:tcPr>
          <w:p>
            <w:pPr>
              <w:spacing w:line="360" w:lineRule="exact"/>
              <w:rPr>
                <w:sz w:val="21"/>
                <w:szCs w:val="21"/>
              </w:rPr>
            </w:pPr>
            <w:r>
              <w:rPr>
                <w:sz w:val="21"/>
                <w:szCs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75" w:type="dxa"/>
            <w:vMerge w:val="continue"/>
            <w:vAlign w:val="top"/>
          </w:tcPr>
          <w:p>
            <w:pPr>
              <w:spacing w:line="360" w:lineRule="exact"/>
              <w:rPr>
                <w:sz w:val="21"/>
                <w:szCs w:val="21"/>
              </w:rPr>
            </w:pPr>
          </w:p>
        </w:tc>
        <w:tc>
          <w:tcPr>
            <w:tcW w:w="1926" w:type="dxa"/>
            <w:vAlign w:val="top"/>
          </w:tcPr>
          <w:p>
            <w:pPr>
              <w:spacing w:line="360" w:lineRule="exact"/>
              <w:rPr>
                <w:sz w:val="21"/>
                <w:szCs w:val="21"/>
              </w:rPr>
            </w:pPr>
            <w:r>
              <w:rPr>
                <w:sz w:val="21"/>
                <w:szCs w:val="21"/>
              </w:rPr>
              <w:t>排放浓度,mg/l</w:t>
            </w:r>
          </w:p>
        </w:tc>
        <w:tc>
          <w:tcPr>
            <w:tcW w:w="1423" w:type="dxa"/>
            <w:vAlign w:val="top"/>
          </w:tcPr>
          <w:p>
            <w:pPr>
              <w:spacing w:line="360" w:lineRule="exact"/>
              <w:rPr>
                <w:sz w:val="21"/>
                <w:szCs w:val="21"/>
              </w:rPr>
            </w:pPr>
            <w:r>
              <w:rPr>
                <w:sz w:val="21"/>
                <w:szCs w:val="21"/>
              </w:rPr>
              <w:t>100</w:t>
            </w:r>
          </w:p>
        </w:tc>
        <w:tc>
          <w:tcPr>
            <w:tcW w:w="1423" w:type="dxa"/>
            <w:vAlign w:val="top"/>
          </w:tcPr>
          <w:p>
            <w:pPr>
              <w:spacing w:line="360" w:lineRule="exact"/>
              <w:rPr>
                <w:sz w:val="21"/>
                <w:szCs w:val="21"/>
              </w:rPr>
            </w:pPr>
            <w:r>
              <w:rPr>
                <w:sz w:val="21"/>
                <w:szCs w:val="21"/>
              </w:rPr>
              <w:t>/</w:t>
            </w:r>
          </w:p>
        </w:tc>
        <w:tc>
          <w:tcPr>
            <w:tcW w:w="1439" w:type="dxa"/>
            <w:vAlign w:val="top"/>
          </w:tcPr>
          <w:p>
            <w:pPr>
              <w:spacing w:line="360" w:lineRule="exact"/>
              <w:rPr>
                <w:sz w:val="21"/>
                <w:szCs w:val="21"/>
              </w:rPr>
            </w:pPr>
            <w:r>
              <w:rPr>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75" w:type="dxa"/>
            <w:vMerge w:val="continue"/>
            <w:vAlign w:val="top"/>
          </w:tcPr>
          <w:p>
            <w:pPr>
              <w:spacing w:line="360" w:lineRule="exact"/>
              <w:rPr>
                <w:sz w:val="21"/>
                <w:szCs w:val="21"/>
              </w:rPr>
            </w:pPr>
          </w:p>
        </w:tc>
        <w:tc>
          <w:tcPr>
            <w:tcW w:w="1926" w:type="dxa"/>
            <w:vAlign w:val="top"/>
          </w:tcPr>
          <w:p>
            <w:pPr>
              <w:spacing w:line="360" w:lineRule="exact"/>
              <w:rPr>
                <w:sz w:val="21"/>
                <w:szCs w:val="21"/>
              </w:rPr>
            </w:pPr>
            <w:r>
              <w:rPr>
                <w:sz w:val="21"/>
                <w:szCs w:val="21"/>
              </w:rPr>
              <w:t>排放量,t/a</w:t>
            </w:r>
          </w:p>
        </w:tc>
        <w:tc>
          <w:tcPr>
            <w:tcW w:w="1423" w:type="dxa"/>
            <w:vAlign w:val="top"/>
          </w:tcPr>
          <w:p>
            <w:pPr>
              <w:spacing w:line="360" w:lineRule="exact"/>
              <w:rPr>
                <w:sz w:val="21"/>
                <w:szCs w:val="21"/>
              </w:rPr>
            </w:pPr>
            <w:r>
              <w:rPr>
                <w:sz w:val="21"/>
                <w:szCs w:val="21"/>
              </w:rPr>
              <w:t>0.56</w:t>
            </w:r>
          </w:p>
        </w:tc>
        <w:tc>
          <w:tcPr>
            <w:tcW w:w="1423" w:type="dxa"/>
            <w:vAlign w:val="top"/>
          </w:tcPr>
          <w:p>
            <w:pPr>
              <w:spacing w:line="360" w:lineRule="exact"/>
              <w:rPr>
                <w:sz w:val="21"/>
                <w:szCs w:val="21"/>
              </w:rPr>
            </w:pPr>
            <w:r>
              <w:rPr>
                <w:sz w:val="21"/>
                <w:szCs w:val="21"/>
              </w:rPr>
              <w:t>/</w:t>
            </w:r>
          </w:p>
        </w:tc>
        <w:tc>
          <w:tcPr>
            <w:tcW w:w="1439" w:type="dxa"/>
            <w:vAlign w:val="top"/>
          </w:tcPr>
          <w:p>
            <w:pPr>
              <w:spacing w:line="360" w:lineRule="exact"/>
              <w:rPr>
                <w:sz w:val="21"/>
                <w:szCs w:val="21"/>
              </w:rPr>
            </w:pPr>
            <w:r>
              <w:rPr>
                <w:sz w:val="21"/>
                <w:szCs w:val="21"/>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75" w:type="dxa"/>
            <w:vMerge w:val="restart"/>
            <w:vAlign w:val="top"/>
          </w:tcPr>
          <w:p>
            <w:pPr>
              <w:spacing w:line="360" w:lineRule="exact"/>
              <w:rPr>
                <w:sz w:val="21"/>
                <w:szCs w:val="21"/>
              </w:rPr>
            </w:pPr>
            <w:r>
              <w:rPr>
                <w:sz w:val="21"/>
                <w:szCs w:val="21"/>
              </w:rPr>
              <w:t>化学水处理系统废水（0.31）</w:t>
            </w:r>
          </w:p>
        </w:tc>
        <w:tc>
          <w:tcPr>
            <w:tcW w:w="1926" w:type="dxa"/>
            <w:vAlign w:val="top"/>
          </w:tcPr>
          <w:p>
            <w:pPr>
              <w:spacing w:line="360" w:lineRule="exact"/>
              <w:rPr>
                <w:sz w:val="21"/>
                <w:szCs w:val="21"/>
              </w:rPr>
            </w:pPr>
            <w:r>
              <w:rPr>
                <w:sz w:val="21"/>
                <w:szCs w:val="21"/>
              </w:rPr>
              <w:t>产生浓度,mg/l</w:t>
            </w:r>
          </w:p>
        </w:tc>
        <w:tc>
          <w:tcPr>
            <w:tcW w:w="1423" w:type="dxa"/>
            <w:vAlign w:val="top"/>
          </w:tcPr>
          <w:p>
            <w:pPr>
              <w:spacing w:line="360" w:lineRule="exact"/>
              <w:rPr>
                <w:sz w:val="21"/>
                <w:szCs w:val="21"/>
              </w:rPr>
            </w:pPr>
            <w:r>
              <w:rPr>
                <w:sz w:val="21"/>
                <w:szCs w:val="21"/>
              </w:rPr>
              <w:t>150</w:t>
            </w:r>
          </w:p>
        </w:tc>
        <w:tc>
          <w:tcPr>
            <w:tcW w:w="1423" w:type="dxa"/>
            <w:vAlign w:val="top"/>
          </w:tcPr>
          <w:p>
            <w:pPr>
              <w:spacing w:line="360" w:lineRule="exact"/>
              <w:rPr>
                <w:sz w:val="21"/>
                <w:szCs w:val="21"/>
              </w:rPr>
            </w:pPr>
            <w:r>
              <w:rPr>
                <w:sz w:val="21"/>
                <w:szCs w:val="21"/>
              </w:rPr>
              <w:t>/</w:t>
            </w:r>
          </w:p>
        </w:tc>
        <w:tc>
          <w:tcPr>
            <w:tcW w:w="1439" w:type="dxa"/>
            <w:vAlign w:val="top"/>
          </w:tcPr>
          <w:p>
            <w:pPr>
              <w:spacing w:line="360" w:lineRule="exact"/>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75" w:type="dxa"/>
            <w:vMerge w:val="continue"/>
            <w:vAlign w:val="top"/>
          </w:tcPr>
          <w:p>
            <w:pPr>
              <w:spacing w:line="360" w:lineRule="exact"/>
              <w:rPr>
                <w:sz w:val="21"/>
                <w:szCs w:val="21"/>
              </w:rPr>
            </w:pPr>
          </w:p>
        </w:tc>
        <w:tc>
          <w:tcPr>
            <w:tcW w:w="1926" w:type="dxa"/>
            <w:vAlign w:val="top"/>
          </w:tcPr>
          <w:p>
            <w:pPr>
              <w:spacing w:line="360" w:lineRule="exact"/>
              <w:rPr>
                <w:sz w:val="21"/>
                <w:szCs w:val="21"/>
              </w:rPr>
            </w:pPr>
            <w:r>
              <w:rPr>
                <w:sz w:val="21"/>
                <w:szCs w:val="21"/>
              </w:rPr>
              <w:t>产生量,t/a</w:t>
            </w:r>
          </w:p>
        </w:tc>
        <w:tc>
          <w:tcPr>
            <w:tcW w:w="1423" w:type="dxa"/>
            <w:vAlign w:val="top"/>
          </w:tcPr>
          <w:p>
            <w:pPr>
              <w:spacing w:line="360" w:lineRule="exact"/>
              <w:rPr>
                <w:sz w:val="21"/>
                <w:szCs w:val="21"/>
              </w:rPr>
            </w:pPr>
            <w:r>
              <w:rPr>
                <w:sz w:val="21"/>
                <w:szCs w:val="21"/>
              </w:rPr>
              <w:t>0.46</w:t>
            </w:r>
          </w:p>
        </w:tc>
        <w:tc>
          <w:tcPr>
            <w:tcW w:w="1423" w:type="dxa"/>
            <w:vAlign w:val="top"/>
          </w:tcPr>
          <w:p>
            <w:pPr>
              <w:spacing w:line="360" w:lineRule="exact"/>
              <w:rPr>
                <w:sz w:val="21"/>
                <w:szCs w:val="21"/>
              </w:rPr>
            </w:pPr>
            <w:r>
              <w:rPr>
                <w:sz w:val="21"/>
                <w:szCs w:val="21"/>
              </w:rPr>
              <w:t>/</w:t>
            </w:r>
          </w:p>
        </w:tc>
        <w:tc>
          <w:tcPr>
            <w:tcW w:w="1439" w:type="dxa"/>
            <w:vAlign w:val="top"/>
          </w:tcPr>
          <w:p>
            <w:pPr>
              <w:spacing w:line="360" w:lineRule="exact"/>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75" w:type="dxa"/>
            <w:vMerge w:val="continue"/>
            <w:vAlign w:val="top"/>
          </w:tcPr>
          <w:p>
            <w:pPr>
              <w:spacing w:line="360" w:lineRule="exact"/>
              <w:rPr>
                <w:sz w:val="21"/>
                <w:szCs w:val="21"/>
              </w:rPr>
            </w:pPr>
          </w:p>
        </w:tc>
        <w:tc>
          <w:tcPr>
            <w:tcW w:w="1926" w:type="dxa"/>
            <w:vAlign w:val="top"/>
          </w:tcPr>
          <w:p>
            <w:pPr>
              <w:spacing w:line="360" w:lineRule="exact"/>
              <w:rPr>
                <w:sz w:val="21"/>
                <w:szCs w:val="21"/>
              </w:rPr>
            </w:pPr>
            <w:r>
              <w:rPr>
                <w:sz w:val="21"/>
                <w:szCs w:val="21"/>
              </w:rPr>
              <w:t>排放浓度,mg/l</w:t>
            </w:r>
          </w:p>
        </w:tc>
        <w:tc>
          <w:tcPr>
            <w:tcW w:w="1423" w:type="dxa"/>
            <w:vAlign w:val="top"/>
          </w:tcPr>
          <w:p>
            <w:pPr>
              <w:spacing w:line="360" w:lineRule="exact"/>
              <w:rPr>
                <w:sz w:val="21"/>
                <w:szCs w:val="21"/>
              </w:rPr>
            </w:pPr>
            <w:r>
              <w:rPr>
                <w:sz w:val="21"/>
                <w:szCs w:val="21"/>
              </w:rPr>
              <w:t>100</w:t>
            </w:r>
          </w:p>
        </w:tc>
        <w:tc>
          <w:tcPr>
            <w:tcW w:w="1423" w:type="dxa"/>
            <w:vAlign w:val="top"/>
          </w:tcPr>
          <w:p>
            <w:pPr>
              <w:spacing w:line="360" w:lineRule="exact"/>
              <w:rPr>
                <w:sz w:val="21"/>
                <w:szCs w:val="21"/>
              </w:rPr>
            </w:pPr>
            <w:r>
              <w:rPr>
                <w:sz w:val="21"/>
                <w:szCs w:val="21"/>
              </w:rPr>
              <w:t>/</w:t>
            </w:r>
          </w:p>
        </w:tc>
        <w:tc>
          <w:tcPr>
            <w:tcW w:w="1439" w:type="dxa"/>
            <w:vAlign w:val="top"/>
          </w:tcPr>
          <w:p>
            <w:pPr>
              <w:spacing w:line="360" w:lineRule="exact"/>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75" w:type="dxa"/>
            <w:vMerge w:val="continue"/>
            <w:vAlign w:val="top"/>
          </w:tcPr>
          <w:p>
            <w:pPr>
              <w:spacing w:line="360" w:lineRule="exact"/>
              <w:rPr>
                <w:sz w:val="21"/>
                <w:szCs w:val="21"/>
              </w:rPr>
            </w:pPr>
          </w:p>
        </w:tc>
        <w:tc>
          <w:tcPr>
            <w:tcW w:w="1926" w:type="dxa"/>
            <w:vAlign w:val="top"/>
          </w:tcPr>
          <w:p>
            <w:pPr>
              <w:spacing w:line="360" w:lineRule="exact"/>
              <w:rPr>
                <w:sz w:val="21"/>
                <w:szCs w:val="21"/>
              </w:rPr>
            </w:pPr>
            <w:r>
              <w:rPr>
                <w:sz w:val="21"/>
                <w:szCs w:val="21"/>
              </w:rPr>
              <w:t>排放量,t/a</w:t>
            </w:r>
          </w:p>
        </w:tc>
        <w:tc>
          <w:tcPr>
            <w:tcW w:w="1423" w:type="dxa"/>
            <w:vAlign w:val="top"/>
          </w:tcPr>
          <w:p>
            <w:pPr>
              <w:spacing w:line="360" w:lineRule="exact"/>
              <w:rPr>
                <w:sz w:val="21"/>
                <w:szCs w:val="21"/>
              </w:rPr>
            </w:pPr>
            <w:r>
              <w:rPr>
                <w:sz w:val="21"/>
                <w:szCs w:val="21"/>
              </w:rPr>
              <w:t>0.31</w:t>
            </w:r>
          </w:p>
        </w:tc>
        <w:tc>
          <w:tcPr>
            <w:tcW w:w="1423" w:type="dxa"/>
            <w:vAlign w:val="top"/>
          </w:tcPr>
          <w:p>
            <w:pPr>
              <w:spacing w:line="360" w:lineRule="exact"/>
              <w:rPr>
                <w:sz w:val="21"/>
                <w:szCs w:val="21"/>
              </w:rPr>
            </w:pPr>
            <w:r>
              <w:rPr>
                <w:sz w:val="21"/>
                <w:szCs w:val="21"/>
              </w:rPr>
              <w:t>/</w:t>
            </w:r>
          </w:p>
        </w:tc>
        <w:tc>
          <w:tcPr>
            <w:tcW w:w="1439" w:type="dxa"/>
            <w:vAlign w:val="top"/>
          </w:tcPr>
          <w:p>
            <w:pPr>
              <w:spacing w:line="360" w:lineRule="exact"/>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75" w:type="dxa"/>
            <w:vAlign w:val="top"/>
          </w:tcPr>
          <w:p>
            <w:pPr>
              <w:spacing w:line="360" w:lineRule="exact"/>
              <w:rPr>
                <w:sz w:val="21"/>
                <w:szCs w:val="21"/>
              </w:rPr>
            </w:pPr>
            <w:r>
              <w:rPr>
                <w:sz w:val="21"/>
                <w:szCs w:val="21"/>
              </w:rPr>
              <w:t>合计（1.6306）</w:t>
            </w:r>
          </w:p>
        </w:tc>
        <w:tc>
          <w:tcPr>
            <w:tcW w:w="1926" w:type="dxa"/>
            <w:vAlign w:val="top"/>
          </w:tcPr>
          <w:p>
            <w:pPr>
              <w:spacing w:line="360" w:lineRule="exact"/>
              <w:rPr>
                <w:sz w:val="21"/>
                <w:szCs w:val="21"/>
              </w:rPr>
            </w:pPr>
            <w:r>
              <w:rPr>
                <w:sz w:val="21"/>
                <w:szCs w:val="21"/>
              </w:rPr>
              <w:t>排放量,t/a</w:t>
            </w:r>
          </w:p>
        </w:tc>
        <w:tc>
          <w:tcPr>
            <w:tcW w:w="1423" w:type="dxa"/>
            <w:vAlign w:val="top"/>
          </w:tcPr>
          <w:p>
            <w:pPr>
              <w:spacing w:line="360" w:lineRule="exact"/>
              <w:rPr>
                <w:sz w:val="21"/>
                <w:szCs w:val="21"/>
              </w:rPr>
            </w:pPr>
            <w:r>
              <w:rPr>
                <w:sz w:val="21"/>
                <w:szCs w:val="21"/>
              </w:rPr>
              <w:t>1.63</w:t>
            </w:r>
          </w:p>
        </w:tc>
        <w:tc>
          <w:tcPr>
            <w:tcW w:w="1423" w:type="dxa"/>
            <w:vAlign w:val="top"/>
          </w:tcPr>
          <w:p>
            <w:pPr>
              <w:spacing w:line="360" w:lineRule="exact"/>
              <w:rPr>
                <w:sz w:val="21"/>
                <w:szCs w:val="21"/>
              </w:rPr>
            </w:pPr>
            <w:r>
              <w:rPr>
                <w:sz w:val="21"/>
                <w:szCs w:val="21"/>
              </w:rPr>
              <w:t>0.11</w:t>
            </w:r>
          </w:p>
        </w:tc>
        <w:tc>
          <w:tcPr>
            <w:tcW w:w="1439" w:type="dxa"/>
            <w:vAlign w:val="top"/>
          </w:tcPr>
          <w:p>
            <w:pPr>
              <w:spacing w:line="360" w:lineRule="exact"/>
              <w:rPr>
                <w:sz w:val="21"/>
                <w:szCs w:val="21"/>
              </w:rPr>
            </w:pPr>
            <w:r>
              <w:rPr>
                <w:sz w:val="21"/>
                <w:szCs w:val="21"/>
              </w:rPr>
              <w:t>0.92</w:t>
            </w:r>
          </w:p>
        </w:tc>
      </w:tr>
    </w:tbl>
    <w:p>
      <w:pPr>
        <w:spacing w:line="360" w:lineRule="auto"/>
        <w:ind w:firstLine="482"/>
        <w:rPr>
          <w:rFonts w:hint="eastAsia"/>
        </w:rPr>
      </w:pPr>
    </w:p>
    <w:p>
      <w:pPr>
        <w:spacing w:line="360" w:lineRule="auto"/>
        <w:outlineLvl w:val="2"/>
        <w:rPr>
          <w:rFonts w:hint="eastAsia"/>
          <w:b/>
          <w:bCs/>
          <w:szCs w:val="20"/>
        </w:rPr>
      </w:pPr>
      <w:r>
        <w:rPr>
          <w:rFonts w:hint="eastAsia"/>
          <w:b/>
          <w:bCs/>
          <w:szCs w:val="20"/>
        </w:rPr>
        <w:t>3.2.4.3固体废物</w:t>
      </w:r>
    </w:p>
    <w:p>
      <w:pPr>
        <w:spacing w:line="360" w:lineRule="auto"/>
        <w:ind w:firstLine="420" w:firstLineChars="200"/>
        <w:rPr>
          <w:rFonts w:hint="eastAsia"/>
        </w:rPr>
      </w:pPr>
      <w:r>
        <w:rPr>
          <w:rFonts w:hint="eastAsia"/>
        </w:rPr>
        <w:t>技改项目水泥生产的固体废物种类主要为除尘灰、污水处理站污泥和职工生活垃圾。</w:t>
      </w:r>
    </w:p>
    <w:p>
      <w:pPr>
        <w:widowControl/>
        <w:spacing w:line="360" w:lineRule="auto"/>
        <w:ind w:firstLine="420" w:firstLineChars="200"/>
        <w:rPr>
          <w:rFonts w:hint="eastAsia"/>
        </w:rPr>
      </w:pPr>
      <w:r>
        <w:rPr>
          <w:rFonts w:hint="eastAsia"/>
        </w:rPr>
        <w:t>（1）除尘灰</w:t>
      </w:r>
    </w:p>
    <w:p>
      <w:pPr>
        <w:spacing w:line="460" w:lineRule="exact"/>
        <w:ind w:firstLine="420" w:firstLineChars="200"/>
        <w:rPr>
          <w:rFonts w:hint="eastAsia" w:ascii="宋体" w:hAnsi="宋体"/>
        </w:rPr>
      </w:pPr>
      <w:r>
        <w:rPr>
          <w:rFonts w:hint="eastAsia"/>
        </w:rPr>
        <w:t>各粉尘和烟尘除尘器除尘产生收集下来的除尘灰，全部由水泥原料或产品构成，</w:t>
      </w:r>
      <w:r>
        <w:rPr>
          <w:rFonts w:hint="eastAsia" w:ascii="宋体" w:hAnsi="宋体"/>
        </w:rPr>
        <w:t>产生量183485.15</w:t>
      </w:r>
      <w:r>
        <w:rPr>
          <w:rFonts w:ascii="宋体" w:hAnsi="宋体"/>
        </w:rPr>
        <w:t xml:space="preserve"> t/a</w:t>
      </w:r>
      <w:r>
        <w:rPr>
          <w:rFonts w:hint="eastAsia" w:ascii="宋体" w:hAnsi="宋体"/>
        </w:rPr>
        <w:t>。</w:t>
      </w:r>
      <w:r>
        <w:rPr>
          <w:rFonts w:hint="eastAsia"/>
        </w:rPr>
        <w:t>采取收集后作生产原料回用或产品外售利用，不排放</w:t>
      </w:r>
      <w:r>
        <w:rPr>
          <w:rFonts w:hint="eastAsia" w:ascii="宋体" w:hAnsi="宋体"/>
        </w:rPr>
        <w:t>。</w:t>
      </w:r>
    </w:p>
    <w:p>
      <w:pPr>
        <w:spacing w:line="460" w:lineRule="exact"/>
        <w:ind w:firstLine="420" w:firstLineChars="200"/>
        <w:rPr>
          <w:rFonts w:hint="eastAsia"/>
        </w:rPr>
      </w:pPr>
      <w:r>
        <w:rPr>
          <w:rFonts w:hint="eastAsia" w:ascii="宋体" w:hAnsi="宋体"/>
        </w:rPr>
        <w:t>（2）</w:t>
      </w:r>
      <w:r>
        <w:rPr>
          <w:rFonts w:hint="eastAsia"/>
        </w:rPr>
        <w:t>污水处理污泥</w:t>
      </w:r>
    </w:p>
    <w:p>
      <w:pPr>
        <w:spacing w:line="460" w:lineRule="exact"/>
        <w:ind w:firstLine="420" w:firstLineChars="200"/>
        <w:rPr>
          <w:rFonts w:hint="eastAsia"/>
        </w:rPr>
      </w:pPr>
      <w:r>
        <w:rPr>
          <w:rFonts w:hint="eastAsia"/>
        </w:rPr>
        <w:t>生活污水采取生化工艺处理时，产生污泥，</w:t>
      </w:r>
      <w:r>
        <w:rPr>
          <w:rFonts w:hint="eastAsia" w:ascii="宋体" w:hAnsi="宋体"/>
        </w:rPr>
        <w:t>产生量8.82</w:t>
      </w:r>
      <w:r>
        <w:rPr>
          <w:rFonts w:ascii="宋体" w:hAnsi="宋体"/>
        </w:rPr>
        <w:t>t/a</w:t>
      </w:r>
      <w:r>
        <w:rPr>
          <w:rFonts w:hint="eastAsia" w:ascii="宋体" w:hAnsi="宋体"/>
        </w:rPr>
        <w:t>(含水90％)。</w:t>
      </w:r>
      <w:r>
        <w:rPr>
          <w:rFonts w:hint="eastAsia"/>
        </w:rPr>
        <w:t>由于该污泥的成分与粘土类似，故可直接送水泥回转窑作水泥原料煅烧，不排放。</w:t>
      </w:r>
    </w:p>
    <w:p>
      <w:pPr>
        <w:spacing w:line="460" w:lineRule="exact"/>
        <w:ind w:firstLine="420" w:firstLineChars="200"/>
        <w:rPr>
          <w:rFonts w:hint="eastAsia" w:ascii="宋体" w:hAnsi="宋体"/>
        </w:rPr>
      </w:pPr>
      <w:r>
        <w:rPr>
          <w:rFonts w:hint="eastAsia" w:ascii="宋体" w:hAnsi="宋体"/>
        </w:rPr>
        <w:t>（4）生活垃圾</w:t>
      </w:r>
    </w:p>
    <w:p>
      <w:pPr>
        <w:spacing w:line="460" w:lineRule="exact"/>
        <w:ind w:firstLine="420" w:firstLineChars="200"/>
        <w:rPr>
          <w:rFonts w:hint="eastAsia"/>
        </w:rPr>
      </w:pPr>
      <w:r>
        <w:rPr>
          <w:rFonts w:hint="eastAsia"/>
        </w:rPr>
        <w:t>全厂职工生活产生生活垃圾，产生</w:t>
      </w:r>
      <w:r>
        <w:rPr>
          <w:rFonts w:hint="eastAsia" w:ascii="宋体" w:hAnsi="宋体"/>
        </w:rPr>
        <w:t>量</w:t>
      </w:r>
      <w:r>
        <w:rPr>
          <w:rFonts w:hint="eastAsia"/>
        </w:rPr>
        <w:t>42.3</w:t>
      </w:r>
      <w:r>
        <w:rPr>
          <w:rFonts w:ascii="宋体" w:hAnsi="宋体"/>
        </w:rPr>
        <w:t>t/a</w:t>
      </w:r>
      <w:r>
        <w:rPr>
          <w:rFonts w:hint="eastAsia" w:ascii="宋体" w:hAnsi="宋体"/>
        </w:rPr>
        <w:t>。</w:t>
      </w:r>
      <w:r>
        <w:rPr>
          <w:rFonts w:hint="eastAsia"/>
        </w:rPr>
        <w:t>采取在厂区内设生活垃圾转运站，集中收集后，由青木关镇环卫部门送城市垃圾处理场卫生填埋。</w:t>
      </w:r>
    </w:p>
    <w:p>
      <w:pPr>
        <w:spacing w:line="460" w:lineRule="exact"/>
        <w:ind w:firstLine="420" w:firstLineChars="200"/>
        <w:rPr>
          <w:rFonts w:hint="eastAsia"/>
        </w:rPr>
      </w:pPr>
      <w:r>
        <w:rPr>
          <w:rFonts w:hint="eastAsia"/>
        </w:rPr>
        <w:t>技改项目固体废物产生、处置情况见表3-14。</w:t>
      </w:r>
    </w:p>
    <w:p>
      <w:pPr>
        <w:spacing w:line="460" w:lineRule="exact"/>
        <w:jc w:val="center"/>
        <w:rPr>
          <w:rFonts w:hint="eastAsia"/>
          <w:b/>
        </w:rPr>
      </w:pPr>
      <w:r>
        <w:rPr>
          <w:rFonts w:hint="eastAsia"/>
          <w:b/>
        </w:rPr>
        <w:t xml:space="preserve">表3-14 </w:t>
      </w:r>
      <w:r>
        <w:rPr>
          <w:b/>
        </w:rPr>
        <w:t xml:space="preserve"> </w:t>
      </w:r>
      <w:r>
        <w:rPr>
          <w:rFonts w:hint="eastAsia"/>
          <w:b/>
        </w:rPr>
        <w:t xml:space="preserve">  技改项目固体废物产生及处置情况一览表</w:t>
      </w:r>
    </w:p>
    <w:tbl>
      <w:tblPr>
        <w:tblStyle w:val="21"/>
        <w:tblW w:w="7878" w:type="dxa"/>
        <w:jc w:val="center"/>
        <w:tblInd w:w="29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913"/>
        <w:gridCol w:w="1849"/>
        <w:gridCol w:w="1440"/>
        <w:gridCol w:w="267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jc w:val="center"/>
        </w:trPr>
        <w:tc>
          <w:tcPr>
            <w:tcW w:w="1913" w:type="dxa"/>
            <w:vAlign w:val="center"/>
          </w:tcPr>
          <w:p>
            <w:pPr>
              <w:spacing w:line="320" w:lineRule="atLeast"/>
              <w:jc w:val="center"/>
              <w:rPr>
                <w:rFonts w:hint="eastAsia"/>
                <w:sz w:val="21"/>
                <w:szCs w:val="21"/>
              </w:rPr>
            </w:pPr>
            <w:r>
              <w:rPr>
                <w:rFonts w:hint="eastAsia"/>
                <w:sz w:val="21"/>
                <w:szCs w:val="21"/>
              </w:rPr>
              <w:t>固体废物类型</w:t>
            </w:r>
          </w:p>
        </w:tc>
        <w:tc>
          <w:tcPr>
            <w:tcW w:w="1849" w:type="dxa"/>
            <w:vAlign w:val="center"/>
          </w:tcPr>
          <w:p>
            <w:pPr>
              <w:spacing w:line="320" w:lineRule="atLeast"/>
              <w:ind w:firstLine="540"/>
              <w:jc w:val="center"/>
              <w:rPr>
                <w:rFonts w:hint="eastAsia"/>
                <w:sz w:val="21"/>
                <w:szCs w:val="21"/>
              </w:rPr>
            </w:pPr>
            <w:r>
              <w:rPr>
                <w:rFonts w:hint="eastAsia"/>
                <w:sz w:val="21"/>
                <w:szCs w:val="21"/>
              </w:rPr>
              <w:t>产生量（</w:t>
            </w:r>
            <w:r>
              <w:rPr>
                <w:sz w:val="21"/>
                <w:szCs w:val="21"/>
              </w:rPr>
              <w:t>t/a</w:t>
            </w:r>
            <w:r>
              <w:rPr>
                <w:rFonts w:hint="eastAsia"/>
                <w:sz w:val="21"/>
                <w:szCs w:val="21"/>
              </w:rPr>
              <w:t>）</w:t>
            </w:r>
          </w:p>
        </w:tc>
        <w:tc>
          <w:tcPr>
            <w:tcW w:w="1440" w:type="dxa"/>
            <w:vAlign w:val="center"/>
          </w:tcPr>
          <w:p>
            <w:pPr>
              <w:spacing w:line="320" w:lineRule="atLeast"/>
              <w:ind w:firstLine="210" w:firstLineChars="100"/>
              <w:jc w:val="center"/>
              <w:rPr>
                <w:rFonts w:hint="eastAsia"/>
                <w:sz w:val="21"/>
                <w:szCs w:val="21"/>
              </w:rPr>
            </w:pPr>
            <w:r>
              <w:rPr>
                <w:rFonts w:hint="eastAsia"/>
                <w:sz w:val="21"/>
                <w:szCs w:val="21"/>
              </w:rPr>
              <w:t>性质</w:t>
            </w:r>
          </w:p>
        </w:tc>
        <w:tc>
          <w:tcPr>
            <w:tcW w:w="2676" w:type="dxa"/>
            <w:vAlign w:val="center"/>
          </w:tcPr>
          <w:p>
            <w:pPr>
              <w:spacing w:line="320" w:lineRule="atLeast"/>
              <w:jc w:val="center"/>
              <w:rPr>
                <w:rFonts w:hint="eastAsia"/>
                <w:sz w:val="21"/>
                <w:szCs w:val="21"/>
              </w:rPr>
            </w:pPr>
            <w:r>
              <w:rPr>
                <w:rFonts w:hint="eastAsia"/>
                <w:sz w:val="21"/>
                <w:szCs w:val="21"/>
              </w:rPr>
              <w:t>处置措施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1913" w:type="dxa"/>
            <w:vAlign w:val="center"/>
          </w:tcPr>
          <w:p>
            <w:pPr>
              <w:spacing w:line="320" w:lineRule="atLeast"/>
              <w:jc w:val="center"/>
              <w:rPr>
                <w:rFonts w:hint="eastAsia"/>
                <w:sz w:val="21"/>
                <w:szCs w:val="21"/>
              </w:rPr>
            </w:pPr>
            <w:r>
              <w:rPr>
                <w:rFonts w:hint="eastAsia"/>
                <w:sz w:val="21"/>
                <w:szCs w:val="21"/>
              </w:rPr>
              <w:t>除尘灰</w:t>
            </w:r>
          </w:p>
        </w:tc>
        <w:tc>
          <w:tcPr>
            <w:tcW w:w="1849" w:type="dxa"/>
            <w:vAlign w:val="center"/>
          </w:tcPr>
          <w:p>
            <w:pPr>
              <w:spacing w:line="320" w:lineRule="atLeast"/>
              <w:jc w:val="center"/>
              <w:rPr>
                <w:rFonts w:hint="eastAsia"/>
                <w:sz w:val="21"/>
                <w:szCs w:val="21"/>
              </w:rPr>
            </w:pPr>
            <w:r>
              <w:rPr>
                <w:rFonts w:hint="eastAsia"/>
                <w:sz w:val="21"/>
                <w:szCs w:val="21"/>
              </w:rPr>
              <w:t>183485.15</w:t>
            </w:r>
          </w:p>
        </w:tc>
        <w:tc>
          <w:tcPr>
            <w:tcW w:w="1440" w:type="dxa"/>
            <w:vAlign w:val="center"/>
          </w:tcPr>
          <w:p>
            <w:pPr>
              <w:spacing w:line="320" w:lineRule="atLeast"/>
              <w:jc w:val="center"/>
              <w:rPr>
                <w:rFonts w:hint="eastAsia"/>
                <w:sz w:val="21"/>
                <w:szCs w:val="21"/>
              </w:rPr>
            </w:pPr>
            <w:r>
              <w:rPr>
                <w:rFonts w:hint="eastAsia"/>
                <w:sz w:val="21"/>
                <w:szCs w:val="21"/>
              </w:rPr>
              <w:t>一般</w:t>
            </w:r>
          </w:p>
          <w:p>
            <w:pPr>
              <w:spacing w:line="320" w:lineRule="atLeast"/>
              <w:jc w:val="center"/>
              <w:rPr>
                <w:rFonts w:hint="eastAsia"/>
                <w:sz w:val="21"/>
                <w:szCs w:val="21"/>
              </w:rPr>
            </w:pPr>
            <w:r>
              <w:rPr>
                <w:rFonts w:hint="eastAsia"/>
                <w:sz w:val="21"/>
                <w:szCs w:val="21"/>
              </w:rPr>
              <w:t>固废</w:t>
            </w:r>
          </w:p>
        </w:tc>
        <w:tc>
          <w:tcPr>
            <w:tcW w:w="2676" w:type="dxa"/>
            <w:vAlign w:val="center"/>
          </w:tcPr>
          <w:p>
            <w:pPr>
              <w:spacing w:line="320" w:lineRule="atLeast"/>
              <w:rPr>
                <w:rFonts w:hint="eastAsia"/>
                <w:sz w:val="21"/>
                <w:szCs w:val="21"/>
              </w:rPr>
            </w:pPr>
            <w:r>
              <w:rPr>
                <w:rFonts w:hint="eastAsia"/>
                <w:sz w:val="21"/>
                <w:szCs w:val="21"/>
              </w:rPr>
              <w:t>收集后作生产原料回用，不排放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1913" w:type="dxa"/>
            <w:shd w:val="clear" w:color="auto" w:fill="auto"/>
            <w:vAlign w:val="center"/>
          </w:tcPr>
          <w:p>
            <w:pPr>
              <w:spacing w:line="320" w:lineRule="atLeast"/>
              <w:jc w:val="center"/>
              <w:rPr>
                <w:rFonts w:hint="eastAsia"/>
                <w:sz w:val="21"/>
                <w:szCs w:val="21"/>
              </w:rPr>
            </w:pPr>
            <w:r>
              <w:rPr>
                <w:rFonts w:hint="eastAsia"/>
                <w:sz w:val="21"/>
                <w:szCs w:val="21"/>
              </w:rPr>
              <w:t>污水处理污泥</w:t>
            </w:r>
          </w:p>
        </w:tc>
        <w:tc>
          <w:tcPr>
            <w:tcW w:w="1849" w:type="dxa"/>
            <w:shd w:val="clear" w:color="auto" w:fill="auto"/>
            <w:vAlign w:val="center"/>
          </w:tcPr>
          <w:p>
            <w:pPr>
              <w:spacing w:line="320" w:lineRule="atLeast"/>
              <w:jc w:val="center"/>
              <w:rPr>
                <w:rFonts w:hint="eastAsia"/>
                <w:sz w:val="21"/>
                <w:szCs w:val="21"/>
              </w:rPr>
            </w:pPr>
            <w:r>
              <w:rPr>
                <w:rFonts w:hint="eastAsia"/>
                <w:sz w:val="21"/>
                <w:szCs w:val="21"/>
              </w:rPr>
              <w:t>8.82（含水90％）</w:t>
            </w:r>
          </w:p>
        </w:tc>
        <w:tc>
          <w:tcPr>
            <w:tcW w:w="1440" w:type="dxa"/>
            <w:shd w:val="clear" w:color="auto" w:fill="auto"/>
            <w:vAlign w:val="center"/>
          </w:tcPr>
          <w:p>
            <w:pPr>
              <w:spacing w:line="320" w:lineRule="atLeast"/>
              <w:jc w:val="center"/>
              <w:rPr>
                <w:rFonts w:hint="eastAsia"/>
                <w:sz w:val="21"/>
                <w:szCs w:val="21"/>
              </w:rPr>
            </w:pPr>
            <w:r>
              <w:rPr>
                <w:rFonts w:hint="eastAsia"/>
                <w:sz w:val="21"/>
                <w:szCs w:val="21"/>
              </w:rPr>
              <w:t>一般</w:t>
            </w:r>
          </w:p>
          <w:p>
            <w:pPr>
              <w:spacing w:line="320" w:lineRule="atLeast"/>
              <w:jc w:val="center"/>
              <w:rPr>
                <w:rFonts w:hint="eastAsia"/>
                <w:sz w:val="21"/>
                <w:szCs w:val="21"/>
              </w:rPr>
            </w:pPr>
            <w:r>
              <w:rPr>
                <w:rFonts w:hint="eastAsia"/>
                <w:sz w:val="21"/>
                <w:szCs w:val="21"/>
              </w:rPr>
              <w:t>固废</w:t>
            </w:r>
          </w:p>
        </w:tc>
        <w:tc>
          <w:tcPr>
            <w:tcW w:w="2676" w:type="dxa"/>
            <w:shd w:val="clear" w:color="auto" w:fill="auto"/>
            <w:vAlign w:val="center"/>
          </w:tcPr>
          <w:p>
            <w:pPr>
              <w:spacing w:line="320" w:lineRule="atLeast"/>
              <w:rPr>
                <w:rFonts w:hint="eastAsia"/>
                <w:sz w:val="21"/>
                <w:szCs w:val="21"/>
              </w:rPr>
            </w:pPr>
            <w:r>
              <w:rPr>
                <w:rFonts w:hint="eastAsia"/>
                <w:sz w:val="21"/>
                <w:szCs w:val="21"/>
              </w:rPr>
              <w:t>直接送水泥回转窑作水泥原料煅烧，不排放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1913" w:type="dxa"/>
            <w:vAlign w:val="center"/>
          </w:tcPr>
          <w:p>
            <w:pPr>
              <w:spacing w:line="320" w:lineRule="atLeast"/>
              <w:jc w:val="center"/>
              <w:rPr>
                <w:rFonts w:hint="eastAsia"/>
                <w:sz w:val="21"/>
                <w:szCs w:val="21"/>
              </w:rPr>
            </w:pPr>
            <w:r>
              <w:rPr>
                <w:rFonts w:hint="eastAsia"/>
                <w:sz w:val="21"/>
                <w:szCs w:val="21"/>
              </w:rPr>
              <w:t>生活垃圾</w:t>
            </w:r>
          </w:p>
        </w:tc>
        <w:tc>
          <w:tcPr>
            <w:tcW w:w="1849" w:type="dxa"/>
            <w:vAlign w:val="center"/>
          </w:tcPr>
          <w:p>
            <w:pPr>
              <w:spacing w:line="320" w:lineRule="atLeast"/>
              <w:jc w:val="center"/>
              <w:rPr>
                <w:rFonts w:hint="eastAsia"/>
                <w:sz w:val="21"/>
                <w:szCs w:val="21"/>
              </w:rPr>
            </w:pPr>
            <w:r>
              <w:rPr>
                <w:rFonts w:hint="eastAsia"/>
                <w:sz w:val="21"/>
                <w:szCs w:val="21"/>
              </w:rPr>
              <w:t>42.3</w:t>
            </w:r>
          </w:p>
        </w:tc>
        <w:tc>
          <w:tcPr>
            <w:tcW w:w="1440" w:type="dxa"/>
            <w:vAlign w:val="center"/>
          </w:tcPr>
          <w:p>
            <w:pPr>
              <w:spacing w:line="320" w:lineRule="atLeast"/>
              <w:jc w:val="center"/>
              <w:rPr>
                <w:rFonts w:hint="eastAsia"/>
                <w:sz w:val="21"/>
                <w:szCs w:val="21"/>
              </w:rPr>
            </w:pPr>
          </w:p>
          <w:p>
            <w:pPr>
              <w:spacing w:line="320" w:lineRule="atLeast"/>
              <w:jc w:val="center"/>
              <w:rPr>
                <w:rFonts w:hint="eastAsia"/>
                <w:sz w:val="21"/>
                <w:szCs w:val="21"/>
              </w:rPr>
            </w:pPr>
            <w:r>
              <w:rPr>
                <w:rFonts w:hint="eastAsia"/>
                <w:sz w:val="21"/>
                <w:szCs w:val="21"/>
              </w:rPr>
              <w:t>一般</w:t>
            </w:r>
          </w:p>
          <w:p>
            <w:pPr>
              <w:spacing w:line="320" w:lineRule="atLeast"/>
              <w:jc w:val="center"/>
              <w:rPr>
                <w:rFonts w:hint="eastAsia"/>
                <w:sz w:val="21"/>
                <w:szCs w:val="21"/>
              </w:rPr>
            </w:pPr>
            <w:r>
              <w:rPr>
                <w:rFonts w:hint="eastAsia"/>
                <w:sz w:val="21"/>
                <w:szCs w:val="21"/>
              </w:rPr>
              <w:t>固废</w:t>
            </w:r>
          </w:p>
        </w:tc>
        <w:tc>
          <w:tcPr>
            <w:tcW w:w="2676" w:type="dxa"/>
            <w:vAlign w:val="center"/>
          </w:tcPr>
          <w:p>
            <w:pPr>
              <w:spacing w:line="320" w:lineRule="atLeast"/>
              <w:rPr>
                <w:rFonts w:hint="eastAsia"/>
                <w:sz w:val="21"/>
                <w:szCs w:val="21"/>
              </w:rPr>
            </w:pPr>
            <w:r>
              <w:rPr>
                <w:rFonts w:hint="eastAsia"/>
                <w:sz w:val="21"/>
                <w:szCs w:val="21"/>
              </w:rPr>
              <w:t>在厂区内设生活垃圾转运站，集中收集后，由青木关镇环卫部门送城市垃圾处理场卫生填埋，不排放</w:t>
            </w:r>
          </w:p>
        </w:tc>
      </w:tr>
    </w:tbl>
    <w:p>
      <w:pPr>
        <w:spacing w:line="360" w:lineRule="auto"/>
        <w:outlineLvl w:val="2"/>
        <w:rPr>
          <w:rFonts w:hint="eastAsia"/>
          <w:b/>
          <w:bCs/>
          <w:szCs w:val="20"/>
        </w:rPr>
      </w:pPr>
    </w:p>
    <w:p>
      <w:pPr>
        <w:spacing w:line="360" w:lineRule="auto"/>
        <w:outlineLvl w:val="2"/>
        <w:rPr>
          <w:rFonts w:hint="eastAsia"/>
          <w:b/>
          <w:bCs/>
          <w:szCs w:val="20"/>
        </w:rPr>
      </w:pPr>
      <w:r>
        <w:rPr>
          <w:rFonts w:hint="eastAsia"/>
          <w:b/>
          <w:bCs/>
          <w:szCs w:val="20"/>
        </w:rPr>
        <w:t>3.2.4.4噪声</w:t>
      </w:r>
    </w:p>
    <w:p>
      <w:pPr>
        <w:spacing w:line="360" w:lineRule="auto"/>
        <w:ind w:firstLine="516"/>
        <w:rPr>
          <w:rFonts w:hint="eastAsia"/>
        </w:rPr>
      </w:pPr>
      <w:r>
        <w:t>在水泥生产中，噪声对环境的影响仅次于粉尘。</w:t>
      </w:r>
      <w:r>
        <w:rPr>
          <w:rFonts w:hint="eastAsia"/>
        </w:rPr>
        <w:t>技改项目</w:t>
      </w:r>
      <w:r>
        <w:t>主要噪声</w:t>
      </w:r>
      <w:r>
        <w:rPr>
          <w:rFonts w:hint="eastAsia"/>
        </w:rPr>
        <w:t>源</w:t>
      </w:r>
      <w:r>
        <w:t>有破碎机、生料磨机、水泥磨机、煤磨机、高压离心风机、罗茨风机、空压机、大功率电机等设备产生的机械噪声、气动噪声和电磁声，声值一般在85~105dB(A)。项目部分设备安装在室内，车间墙壁有一定的隔声作用；场地主要噪声源水泥磨及循环风机、电机均安装在车间内，并利用地形、挡墙等隔声</w:t>
      </w:r>
      <w:r>
        <w:rPr>
          <w:rFonts w:hint="eastAsia"/>
        </w:rPr>
        <w:t>等综合措施，使噪声值降低15-30</w:t>
      </w:r>
      <w:r>
        <w:t>dB</w:t>
      </w:r>
      <w:r>
        <w:rPr>
          <w:rFonts w:hint="eastAsia"/>
        </w:rPr>
        <w:t>，控制在85</w:t>
      </w:r>
      <w:r>
        <w:t>dB</w:t>
      </w:r>
      <w:r>
        <w:rPr>
          <w:rFonts w:hint="eastAsia"/>
        </w:rPr>
        <w:t>及以下。</w:t>
      </w:r>
    </w:p>
    <w:p>
      <w:pPr>
        <w:spacing w:before="24" w:beforeLines="10" w:after="24" w:afterLines="10" w:line="360" w:lineRule="auto"/>
        <w:ind w:firstLine="420" w:firstLineChars="200"/>
        <w:rPr>
          <w:rFonts w:hint="eastAsia"/>
        </w:rPr>
      </w:pPr>
      <w:r>
        <w:rPr>
          <w:rFonts w:hint="eastAsia"/>
        </w:rPr>
        <w:t>技改项目噪声治理前后声值情况见表3-15。</w:t>
      </w:r>
    </w:p>
    <w:p>
      <w:pPr>
        <w:spacing w:line="440" w:lineRule="exact"/>
        <w:ind w:firstLine="480"/>
        <w:jc w:val="center"/>
        <w:rPr>
          <w:rFonts w:hint="eastAsia"/>
          <w:b/>
        </w:rPr>
      </w:pPr>
    </w:p>
    <w:p>
      <w:pPr>
        <w:spacing w:line="440" w:lineRule="exact"/>
        <w:ind w:firstLine="480"/>
        <w:jc w:val="center"/>
        <w:rPr>
          <w:rFonts w:hint="eastAsia"/>
          <w:b/>
        </w:rPr>
      </w:pPr>
    </w:p>
    <w:p>
      <w:pPr>
        <w:spacing w:line="440" w:lineRule="exact"/>
        <w:ind w:firstLine="480"/>
        <w:jc w:val="center"/>
        <w:rPr>
          <w:rFonts w:hint="eastAsia"/>
          <w:b/>
        </w:rPr>
      </w:pPr>
    </w:p>
    <w:p>
      <w:pPr>
        <w:spacing w:line="440" w:lineRule="exact"/>
        <w:ind w:firstLine="480"/>
        <w:jc w:val="center"/>
        <w:rPr>
          <w:rFonts w:hint="eastAsia"/>
          <w:b/>
        </w:rPr>
      </w:pPr>
    </w:p>
    <w:p>
      <w:pPr>
        <w:spacing w:line="440" w:lineRule="exact"/>
        <w:ind w:firstLine="480"/>
        <w:jc w:val="center"/>
        <w:rPr>
          <w:rFonts w:hint="eastAsia"/>
          <w:b/>
        </w:rPr>
      </w:pPr>
    </w:p>
    <w:p>
      <w:pPr>
        <w:spacing w:line="440" w:lineRule="exact"/>
        <w:ind w:firstLine="480"/>
        <w:jc w:val="center"/>
        <w:rPr>
          <w:rFonts w:hint="eastAsia"/>
        </w:rPr>
      </w:pPr>
      <w:r>
        <w:rPr>
          <w:rFonts w:hint="eastAsia"/>
          <w:b/>
        </w:rPr>
        <w:t xml:space="preserve">表3-15  技改项目主要噪声设备及噪声  </w:t>
      </w:r>
      <w:r>
        <w:rPr>
          <w:rFonts w:hint="eastAsia"/>
        </w:rPr>
        <w:t xml:space="preserve"> </w:t>
      </w:r>
      <w:r>
        <w:t xml:space="preserve">   </w:t>
      </w:r>
      <w:r>
        <w:rPr>
          <w:rFonts w:hint="eastAsia"/>
        </w:rPr>
        <w:t>单位：</w:t>
      </w:r>
      <w:r>
        <w:t>d</w:t>
      </w:r>
      <w:r>
        <w:rPr>
          <w:rFonts w:hint="eastAsia"/>
        </w:rPr>
        <w:t>B</w:t>
      </w:r>
    </w:p>
    <w:tbl>
      <w:tblPr>
        <w:tblStyle w:val="21"/>
        <w:tblW w:w="8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884"/>
        <w:gridCol w:w="1094"/>
        <w:gridCol w:w="849"/>
        <w:gridCol w:w="953"/>
        <w:gridCol w:w="2770"/>
        <w:gridCol w:w="436"/>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tblHeader/>
        </w:trPr>
        <w:tc>
          <w:tcPr>
            <w:tcW w:w="451" w:type="dxa"/>
            <w:vAlign w:val="center"/>
          </w:tcPr>
          <w:p>
            <w:pPr>
              <w:pStyle w:val="9"/>
              <w:jc w:val="center"/>
              <w:rPr>
                <w:rFonts w:ascii="Times New Roman" w:hAnsi="Times New Roman"/>
                <w:sz w:val="21"/>
                <w:szCs w:val="21"/>
              </w:rPr>
            </w:pPr>
            <w:r>
              <w:rPr>
                <w:rFonts w:ascii="Times New Roman" w:hAnsi="Times New Roman"/>
                <w:sz w:val="21"/>
                <w:szCs w:val="21"/>
              </w:rPr>
              <w:t>序号</w:t>
            </w:r>
          </w:p>
        </w:tc>
        <w:tc>
          <w:tcPr>
            <w:tcW w:w="1978" w:type="dxa"/>
            <w:gridSpan w:val="2"/>
            <w:vAlign w:val="center"/>
          </w:tcPr>
          <w:p>
            <w:pPr>
              <w:pStyle w:val="9"/>
              <w:jc w:val="center"/>
              <w:rPr>
                <w:rFonts w:ascii="Times New Roman" w:hAnsi="Times New Roman"/>
                <w:sz w:val="21"/>
                <w:szCs w:val="21"/>
              </w:rPr>
            </w:pPr>
            <w:r>
              <w:rPr>
                <w:rFonts w:ascii="Times New Roman" w:hAnsi="Times New Roman"/>
                <w:sz w:val="21"/>
                <w:szCs w:val="21"/>
              </w:rPr>
              <w:t>设备名称及地点</w:t>
            </w:r>
          </w:p>
        </w:tc>
        <w:tc>
          <w:tcPr>
            <w:tcW w:w="849" w:type="dxa"/>
            <w:vAlign w:val="center"/>
          </w:tcPr>
          <w:p>
            <w:pPr>
              <w:pStyle w:val="9"/>
              <w:jc w:val="center"/>
              <w:rPr>
                <w:rFonts w:ascii="Times New Roman" w:hAnsi="Times New Roman"/>
                <w:sz w:val="21"/>
                <w:szCs w:val="21"/>
              </w:rPr>
            </w:pPr>
            <w:r>
              <w:rPr>
                <w:rFonts w:ascii="Times New Roman" w:hAnsi="Times New Roman"/>
                <w:sz w:val="21"/>
                <w:szCs w:val="21"/>
              </w:rPr>
              <w:t>数量（台）</w:t>
            </w:r>
          </w:p>
        </w:tc>
        <w:tc>
          <w:tcPr>
            <w:tcW w:w="953" w:type="dxa"/>
            <w:vAlign w:val="center"/>
          </w:tcPr>
          <w:p>
            <w:pPr>
              <w:pStyle w:val="9"/>
              <w:jc w:val="center"/>
              <w:rPr>
                <w:rFonts w:hint="eastAsia" w:ascii="Times New Roman" w:hAnsi="Times New Roman"/>
                <w:sz w:val="21"/>
                <w:szCs w:val="21"/>
              </w:rPr>
            </w:pPr>
            <w:r>
              <w:rPr>
                <w:rFonts w:ascii="Times New Roman" w:hAnsi="Times New Roman"/>
                <w:sz w:val="21"/>
                <w:szCs w:val="21"/>
              </w:rPr>
              <w:t>声源</w:t>
            </w:r>
          </w:p>
          <w:p>
            <w:pPr>
              <w:pStyle w:val="9"/>
              <w:jc w:val="center"/>
              <w:rPr>
                <w:rFonts w:ascii="Times New Roman" w:hAnsi="Times New Roman"/>
                <w:sz w:val="21"/>
                <w:szCs w:val="21"/>
              </w:rPr>
            </w:pPr>
            <w:r>
              <w:rPr>
                <w:rFonts w:ascii="Times New Roman" w:hAnsi="Times New Roman"/>
                <w:sz w:val="21"/>
                <w:szCs w:val="21"/>
              </w:rPr>
              <w:t>强度</w:t>
            </w:r>
          </w:p>
        </w:tc>
        <w:tc>
          <w:tcPr>
            <w:tcW w:w="2770" w:type="dxa"/>
            <w:vAlign w:val="center"/>
          </w:tcPr>
          <w:p>
            <w:pPr>
              <w:pStyle w:val="9"/>
              <w:jc w:val="center"/>
              <w:rPr>
                <w:rFonts w:ascii="Times New Roman" w:hAnsi="Times New Roman"/>
                <w:sz w:val="21"/>
                <w:szCs w:val="21"/>
              </w:rPr>
            </w:pPr>
            <w:r>
              <w:rPr>
                <w:rFonts w:ascii="Times New Roman" w:hAnsi="Times New Roman"/>
                <w:sz w:val="21"/>
                <w:szCs w:val="21"/>
              </w:rPr>
              <w:t>防  治  措  施</w:t>
            </w:r>
          </w:p>
        </w:tc>
        <w:tc>
          <w:tcPr>
            <w:tcW w:w="436" w:type="dxa"/>
            <w:vAlign w:val="center"/>
          </w:tcPr>
          <w:p>
            <w:pPr>
              <w:pStyle w:val="9"/>
              <w:jc w:val="center"/>
              <w:rPr>
                <w:rFonts w:ascii="Times New Roman" w:hAnsi="Times New Roman"/>
                <w:sz w:val="21"/>
                <w:szCs w:val="21"/>
              </w:rPr>
            </w:pPr>
            <w:r>
              <w:rPr>
                <w:rFonts w:ascii="Times New Roman" w:hAnsi="Times New Roman"/>
                <w:sz w:val="21"/>
                <w:szCs w:val="21"/>
              </w:rPr>
              <w:t>隔声量</w:t>
            </w:r>
          </w:p>
        </w:tc>
        <w:tc>
          <w:tcPr>
            <w:tcW w:w="852" w:type="dxa"/>
            <w:vAlign w:val="center"/>
          </w:tcPr>
          <w:p>
            <w:pPr>
              <w:pStyle w:val="9"/>
              <w:jc w:val="center"/>
              <w:rPr>
                <w:rFonts w:ascii="Times New Roman" w:hAnsi="Times New Roman"/>
                <w:sz w:val="21"/>
                <w:szCs w:val="21"/>
              </w:rPr>
            </w:pPr>
            <w:r>
              <w:rPr>
                <w:rFonts w:ascii="Times New Roman" w:hAnsi="Times New Roman"/>
                <w:sz w:val="21"/>
                <w:szCs w:val="21"/>
              </w:rPr>
              <w:t>对外噪声影响值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451" w:type="dxa"/>
            <w:vMerge w:val="restart"/>
            <w:vAlign w:val="center"/>
          </w:tcPr>
          <w:p>
            <w:pPr>
              <w:pStyle w:val="6"/>
              <w:spacing w:line="240" w:lineRule="auto"/>
              <w:rPr>
                <w:sz w:val="21"/>
                <w:szCs w:val="21"/>
              </w:rPr>
            </w:pPr>
            <w:r>
              <w:rPr>
                <w:sz w:val="21"/>
                <w:szCs w:val="21"/>
              </w:rPr>
              <w:t>1</w:t>
            </w:r>
          </w:p>
        </w:tc>
        <w:tc>
          <w:tcPr>
            <w:tcW w:w="884" w:type="dxa"/>
            <w:vMerge w:val="restart"/>
            <w:vAlign w:val="center"/>
          </w:tcPr>
          <w:p>
            <w:pPr>
              <w:pStyle w:val="6"/>
              <w:spacing w:line="240" w:lineRule="auto"/>
              <w:rPr>
                <w:sz w:val="21"/>
                <w:szCs w:val="21"/>
              </w:rPr>
            </w:pPr>
            <w:r>
              <w:rPr>
                <w:sz w:val="21"/>
                <w:szCs w:val="21"/>
              </w:rPr>
              <w:t>石灰石破碎车间</w:t>
            </w:r>
          </w:p>
        </w:tc>
        <w:tc>
          <w:tcPr>
            <w:tcW w:w="1094" w:type="dxa"/>
            <w:vAlign w:val="center"/>
          </w:tcPr>
          <w:p>
            <w:pPr>
              <w:jc w:val="center"/>
              <w:rPr>
                <w:sz w:val="21"/>
                <w:szCs w:val="21"/>
              </w:rPr>
            </w:pPr>
            <w:r>
              <w:rPr>
                <w:sz w:val="21"/>
                <w:szCs w:val="21"/>
              </w:rPr>
              <w:t>破碎机</w:t>
            </w:r>
          </w:p>
        </w:tc>
        <w:tc>
          <w:tcPr>
            <w:tcW w:w="849" w:type="dxa"/>
            <w:vAlign w:val="center"/>
          </w:tcPr>
          <w:p>
            <w:pPr>
              <w:pStyle w:val="6"/>
              <w:spacing w:line="240" w:lineRule="auto"/>
              <w:rPr>
                <w:sz w:val="21"/>
                <w:szCs w:val="21"/>
              </w:rPr>
            </w:pPr>
            <w:r>
              <w:rPr>
                <w:sz w:val="21"/>
                <w:szCs w:val="21"/>
              </w:rPr>
              <w:t>1</w:t>
            </w:r>
          </w:p>
        </w:tc>
        <w:tc>
          <w:tcPr>
            <w:tcW w:w="953" w:type="dxa"/>
            <w:vAlign w:val="center"/>
          </w:tcPr>
          <w:p>
            <w:pPr>
              <w:jc w:val="center"/>
              <w:rPr>
                <w:sz w:val="21"/>
                <w:szCs w:val="21"/>
              </w:rPr>
            </w:pPr>
            <w:r>
              <w:rPr>
                <w:sz w:val="21"/>
                <w:szCs w:val="21"/>
              </w:rPr>
              <w:t>95~100</w:t>
            </w:r>
          </w:p>
        </w:tc>
        <w:tc>
          <w:tcPr>
            <w:tcW w:w="2770" w:type="dxa"/>
            <w:vAlign w:val="center"/>
          </w:tcPr>
          <w:p>
            <w:pPr>
              <w:pStyle w:val="12"/>
              <w:widowControl/>
              <w:tabs>
                <w:tab w:val="clear" w:pos="4153"/>
                <w:tab w:val="clear" w:pos="8306"/>
              </w:tabs>
              <w:snapToGrid/>
              <w:jc w:val="center"/>
              <w:rPr>
                <w:kern w:val="0"/>
                <w:sz w:val="21"/>
                <w:szCs w:val="21"/>
              </w:rPr>
            </w:pPr>
            <w:r>
              <w:rPr>
                <w:kern w:val="0"/>
                <w:sz w:val="21"/>
                <w:szCs w:val="21"/>
              </w:rPr>
              <w:t>优化总图，半封闭式车间，破碎机安装在地坑内，减振</w:t>
            </w:r>
          </w:p>
        </w:tc>
        <w:tc>
          <w:tcPr>
            <w:tcW w:w="436" w:type="dxa"/>
            <w:vAlign w:val="center"/>
          </w:tcPr>
          <w:p>
            <w:pPr>
              <w:pStyle w:val="6"/>
              <w:spacing w:line="240" w:lineRule="auto"/>
              <w:rPr>
                <w:sz w:val="21"/>
                <w:szCs w:val="21"/>
              </w:rPr>
            </w:pPr>
            <w:r>
              <w:rPr>
                <w:rFonts w:hint="eastAsia"/>
                <w:sz w:val="21"/>
                <w:szCs w:val="21"/>
              </w:rPr>
              <w:t>18</w:t>
            </w:r>
          </w:p>
        </w:tc>
        <w:tc>
          <w:tcPr>
            <w:tcW w:w="852" w:type="dxa"/>
            <w:vAlign w:val="center"/>
          </w:tcPr>
          <w:p>
            <w:pPr>
              <w:pStyle w:val="6"/>
              <w:spacing w:line="240" w:lineRule="auto"/>
              <w:rPr>
                <w:rFonts w:hint="eastAsia"/>
                <w:sz w:val="21"/>
                <w:szCs w:val="21"/>
              </w:rPr>
            </w:pPr>
            <w:r>
              <w:rPr>
                <w:sz w:val="21"/>
                <w:szCs w:val="21"/>
              </w:rPr>
              <w:t>＜8</w:t>
            </w:r>
            <w:r>
              <w:rPr>
                <w:rFonts w:hint="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451" w:type="dxa"/>
            <w:vMerge w:val="continue"/>
            <w:vAlign w:val="center"/>
          </w:tcPr>
          <w:p>
            <w:pPr>
              <w:pStyle w:val="6"/>
              <w:spacing w:line="240" w:lineRule="auto"/>
              <w:rPr>
                <w:sz w:val="21"/>
                <w:szCs w:val="21"/>
              </w:rPr>
            </w:pPr>
          </w:p>
        </w:tc>
        <w:tc>
          <w:tcPr>
            <w:tcW w:w="884" w:type="dxa"/>
            <w:vMerge w:val="continue"/>
            <w:vAlign w:val="center"/>
          </w:tcPr>
          <w:p>
            <w:pPr>
              <w:pStyle w:val="6"/>
              <w:spacing w:line="240" w:lineRule="auto"/>
              <w:rPr>
                <w:sz w:val="21"/>
                <w:szCs w:val="21"/>
              </w:rPr>
            </w:pPr>
          </w:p>
        </w:tc>
        <w:tc>
          <w:tcPr>
            <w:tcW w:w="1094" w:type="dxa"/>
            <w:vAlign w:val="center"/>
          </w:tcPr>
          <w:p>
            <w:pPr>
              <w:jc w:val="center"/>
              <w:rPr>
                <w:sz w:val="21"/>
                <w:szCs w:val="21"/>
              </w:rPr>
            </w:pPr>
            <w:r>
              <w:rPr>
                <w:sz w:val="21"/>
                <w:szCs w:val="21"/>
              </w:rPr>
              <w:t>除尘风机</w:t>
            </w:r>
          </w:p>
        </w:tc>
        <w:tc>
          <w:tcPr>
            <w:tcW w:w="849" w:type="dxa"/>
            <w:vAlign w:val="center"/>
          </w:tcPr>
          <w:p>
            <w:pPr>
              <w:pStyle w:val="6"/>
              <w:spacing w:line="240" w:lineRule="auto"/>
              <w:rPr>
                <w:sz w:val="21"/>
                <w:szCs w:val="21"/>
              </w:rPr>
            </w:pPr>
            <w:r>
              <w:rPr>
                <w:sz w:val="21"/>
                <w:szCs w:val="21"/>
              </w:rPr>
              <w:t>1</w:t>
            </w:r>
          </w:p>
        </w:tc>
        <w:tc>
          <w:tcPr>
            <w:tcW w:w="953" w:type="dxa"/>
            <w:vAlign w:val="center"/>
          </w:tcPr>
          <w:p>
            <w:pPr>
              <w:jc w:val="center"/>
              <w:rPr>
                <w:sz w:val="21"/>
                <w:szCs w:val="21"/>
              </w:rPr>
            </w:pPr>
            <w:r>
              <w:rPr>
                <w:sz w:val="21"/>
                <w:szCs w:val="21"/>
              </w:rPr>
              <w:t>85~90</w:t>
            </w:r>
          </w:p>
        </w:tc>
        <w:tc>
          <w:tcPr>
            <w:tcW w:w="2770" w:type="dxa"/>
            <w:vAlign w:val="center"/>
          </w:tcPr>
          <w:p>
            <w:pPr>
              <w:jc w:val="center"/>
              <w:rPr>
                <w:sz w:val="21"/>
                <w:szCs w:val="21"/>
              </w:rPr>
            </w:pPr>
            <w:r>
              <w:rPr>
                <w:sz w:val="21"/>
                <w:szCs w:val="21"/>
              </w:rPr>
              <w:t>除尘风机隔声、消声，减振</w:t>
            </w:r>
          </w:p>
        </w:tc>
        <w:tc>
          <w:tcPr>
            <w:tcW w:w="436" w:type="dxa"/>
            <w:vAlign w:val="center"/>
          </w:tcPr>
          <w:p>
            <w:pPr>
              <w:pStyle w:val="6"/>
              <w:spacing w:line="240" w:lineRule="auto"/>
              <w:rPr>
                <w:sz w:val="21"/>
                <w:szCs w:val="21"/>
              </w:rPr>
            </w:pPr>
            <w:r>
              <w:rPr>
                <w:rFonts w:hint="eastAsia"/>
                <w:sz w:val="21"/>
                <w:szCs w:val="21"/>
              </w:rPr>
              <w:t>30</w:t>
            </w:r>
          </w:p>
        </w:tc>
        <w:tc>
          <w:tcPr>
            <w:tcW w:w="852" w:type="dxa"/>
            <w:vAlign w:val="center"/>
          </w:tcPr>
          <w:p>
            <w:pPr>
              <w:pStyle w:val="6"/>
              <w:spacing w:line="240" w:lineRule="auto"/>
              <w:rPr>
                <w:sz w:val="21"/>
                <w:szCs w:val="21"/>
              </w:rPr>
            </w:pPr>
            <w:r>
              <w:rPr>
                <w:sz w:val="21"/>
                <w:szCs w:val="21"/>
              </w:rPr>
              <w:t>＜</w:t>
            </w:r>
            <w:r>
              <w:rPr>
                <w:rFonts w:hint="eastAsia"/>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vMerge w:val="restart"/>
            <w:vAlign w:val="center"/>
          </w:tcPr>
          <w:p>
            <w:pPr>
              <w:pStyle w:val="9"/>
              <w:jc w:val="center"/>
              <w:rPr>
                <w:rFonts w:hint="eastAsia" w:ascii="Times New Roman" w:hAnsi="Times New Roman"/>
                <w:sz w:val="21"/>
                <w:szCs w:val="21"/>
              </w:rPr>
            </w:pPr>
            <w:r>
              <w:rPr>
                <w:rFonts w:hint="eastAsia" w:ascii="Times New Roman" w:hAnsi="Times New Roman"/>
                <w:sz w:val="21"/>
                <w:szCs w:val="21"/>
              </w:rPr>
              <w:t>2</w:t>
            </w:r>
          </w:p>
        </w:tc>
        <w:tc>
          <w:tcPr>
            <w:tcW w:w="884" w:type="dxa"/>
            <w:vMerge w:val="restart"/>
            <w:vAlign w:val="center"/>
          </w:tcPr>
          <w:p>
            <w:pPr>
              <w:pStyle w:val="9"/>
              <w:ind w:left="-105" w:leftChars="-50" w:right="-105" w:rightChars="-50"/>
              <w:jc w:val="center"/>
              <w:rPr>
                <w:rFonts w:ascii="Times New Roman" w:hAnsi="Times New Roman"/>
                <w:sz w:val="21"/>
                <w:szCs w:val="21"/>
              </w:rPr>
            </w:pPr>
            <w:r>
              <w:rPr>
                <w:rFonts w:ascii="Times New Roman" w:hAnsi="Times New Roman"/>
                <w:sz w:val="21"/>
                <w:szCs w:val="21"/>
              </w:rPr>
              <w:t>生料磨车间</w:t>
            </w:r>
          </w:p>
        </w:tc>
        <w:tc>
          <w:tcPr>
            <w:tcW w:w="1094" w:type="dxa"/>
            <w:vAlign w:val="center"/>
          </w:tcPr>
          <w:p>
            <w:pPr>
              <w:pStyle w:val="9"/>
              <w:jc w:val="center"/>
              <w:rPr>
                <w:rFonts w:ascii="Times New Roman" w:hAnsi="Times New Roman"/>
                <w:sz w:val="21"/>
                <w:szCs w:val="21"/>
              </w:rPr>
            </w:pPr>
            <w:r>
              <w:rPr>
                <w:rFonts w:ascii="Times New Roman" w:hAnsi="Times New Roman"/>
                <w:sz w:val="21"/>
                <w:szCs w:val="21"/>
              </w:rPr>
              <w:t>立磨</w:t>
            </w:r>
          </w:p>
        </w:tc>
        <w:tc>
          <w:tcPr>
            <w:tcW w:w="849" w:type="dxa"/>
            <w:vAlign w:val="center"/>
          </w:tcPr>
          <w:p>
            <w:pPr>
              <w:pStyle w:val="9"/>
              <w:jc w:val="center"/>
              <w:rPr>
                <w:rFonts w:ascii="Times New Roman" w:hAnsi="Times New Roman"/>
                <w:sz w:val="21"/>
                <w:szCs w:val="21"/>
              </w:rPr>
            </w:pPr>
            <w:r>
              <w:rPr>
                <w:rFonts w:ascii="Times New Roman" w:hAnsi="Times New Roman"/>
                <w:sz w:val="21"/>
                <w:szCs w:val="21"/>
              </w:rPr>
              <w:t>1</w:t>
            </w:r>
          </w:p>
        </w:tc>
        <w:tc>
          <w:tcPr>
            <w:tcW w:w="953" w:type="dxa"/>
            <w:vAlign w:val="center"/>
          </w:tcPr>
          <w:p>
            <w:pPr>
              <w:pStyle w:val="9"/>
              <w:jc w:val="center"/>
              <w:rPr>
                <w:rFonts w:ascii="Times New Roman" w:hAnsi="Times New Roman"/>
                <w:sz w:val="21"/>
                <w:szCs w:val="21"/>
              </w:rPr>
            </w:pPr>
            <w:r>
              <w:rPr>
                <w:rFonts w:ascii="Times New Roman" w:hAnsi="Times New Roman"/>
                <w:sz w:val="21"/>
                <w:szCs w:val="21"/>
              </w:rPr>
              <w:t>90~95</w:t>
            </w:r>
          </w:p>
        </w:tc>
        <w:tc>
          <w:tcPr>
            <w:tcW w:w="2770" w:type="dxa"/>
            <w:vMerge w:val="restart"/>
            <w:vAlign w:val="center"/>
          </w:tcPr>
          <w:p>
            <w:pPr>
              <w:pStyle w:val="12"/>
              <w:widowControl/>
              <w:tabs>
                <w:tab w:val="clear" w:pos="4153"/>
                <w:tab w:val="clear" w:pos="8306"/>
              </w:tabs>
              <w:snapToGrid/>
              <w:jc w:val="center"/>
              <w:rPr>
                <w:sz w:val="21"/>
                <w:szCs w:val="21"/>
              </w:rPr>
            </w:pPr>
            <w:r>
              <w:rPr>
                <w:kern w:val="0"/>
                <w:sz w:val="21"/>
                <w:szCs w:val="21"/>
              </w:rPr>
              <w:t>封闭式车间，</w:t>
            </w:r>
            <w:r>
              <w:rPr>
                <w:sz w:val="21"/>
                <w:szCs w:val="21"/>
              </w:rPr>
              <w:t>设置隔声门窗，通风口消声，</w:t>
            </w:r>
            <w:r>
              <w:rPr>
                <w:kern w:val="0"/>
                <w:sz w:val="21"/>
                <w:szCs w:val="21"/>
              </w:rPr>
              <w:t>循环风机消声，减振</w:t>
            </w:r>
          </w:p>
        </w:tc>
        <w:tc>
          <w:tcPr>
            <w:tcW w:w="436" w:type="dxa"/>
            <w:vMerge w:val="restart"/>
            <w:vAlign w:val="center"/>
          </w:tcPr>
          <w:p>
            <w:pPr>
              <w:pStyle w:val="9"/>
              <w:jc w:val="center"/>
              <w:rPr>
                <w:rFonts w:ascii="Times New Roman" w:hAnsi="Times New Roman"/>
                <w:sz w:val="21"/>
                <w:szCs w:val="21"/>
              </w:rPr>
            </w:pPr>
            <w:r>
              <w:rPr>
                <w:rFonts w:ascii="Times New Roman" w:hAnsi="Times New Roman"/>
                <w:sz w:val="21"/>
                <w:szCs w:val="21"/>
              </w:rPr>
              <w:t>15</w:t>
            </w:r>
          </w:p>
        </w:tc>
        <w:tc>
          <w:tcPr>
            <w:tcW w:w="852" w:type="dxa"/>
            <w:vMerge w:val="restart"/>
            <w:vAlign w:val="center"/>
          </w:tcPr>
          <w:p>
            <w:pPr>
              <w:pStyle w:val="9"/>
              <w:jc w:val="center"/>
              <w:rPr>
                <w:rFonts w:ascii="Times New Roman" w:hAnsi="Times New Roman"/>
                <w:sz w:val="21"/>
                <w:szCs w:val="21"/>
              </w:rPr>
            </w:pPr>
            <w:r>
              <w:rPr>
                <w:rFonts w:ascii="Times New Roman" w:hAnsi="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vMerge w:val="continue"/>
            <w:vAlign w:val="center"/>
          </w:tcPr>
          <w:p>
            <w:pPr>
              <w:pStyle w:val="9"/>
              <w:jc w:val="center"/>
              <w:rPr>
                <w:rFonts w:ascii="Times New Roman" w:hAnsi="Times New Roman"/>
                <w:sz w:val="21"/>
                <w:szCs w:val="21"/>
              </w:rPr>
            </w:pPr>
          </w:p>
        </w:tc>
        <w:tc>
          <w:tcPr>
            <w:tcW w:w="884" w:type="dxa"/>
            <w:vMerge w:val="continue"/>
            <w:vAlign w:val="center"/>
          </w:tcPr>
          <w:p>
            <w:pPr>
              <w:pStyle w:val="9"/>
              <w:jc w:val="center"/>
              <w:rPr>
                <w:rFonts w:ascii="Times New Roman" w:hAnsi="Times New Roman"/>
                <w:sz w:val="21"/>
                <w:szCs w:val="21"/>
              </w:rPr>
            </w:pPr>
          </w:p>
        </w:tc>
        <w:tc>
          <w:tcPr>
            <w:tcW w:w="1094" w:type="dxa"/>
            <w:vAlign w:val="center"/>
          </w:tcPr>
          <w:p>
            <w:pPr>
              <w:pStyle w:val="9"/>
              <w:jc w:val="center"/>
              <w:rPr>
                <w:rFonts w:ascii="Times New Roman" w:hAnsi="Times New Roman"/>
                <w:sz w:val="21"/>
                <w:szCs w:val="21"/>
              </w:rPr>
            </w:pPr>
            <w:r>
              <w:rPr>
                <w:rFonts w:ascii="Times New Roman" w:hAnsi="Times New Roman"/>
                <w:sz w:val="21"/>
                <w:szCs w:val="21"/>
              </w:rPr>
              <w:t>选粉机</w:t>
            </w:r>
          </w:p>
        </w:tc>
        <w:tc>
          <w:tcPr>
            <w:tcW w:w="849" w:type="dxa"/>
            <w:vAlign w:val="center"/>
          </w:tcPr>
          <w:p>
            <w:pPr>
              <w:pStyle w:val="9"/>
              <w:jc w:val="center"/>
              <w:rPr>
                <w:rFonts w:ascii="Times New Roman" w:hAnsi="Times New Roman"/>
                <w:sz w:val="21"/>
                <w:szCs w:val="21"/>
              </w:rPr>
            </w:pPr>
            <w:r>
              <w:rPr>
                <w:rFonts w:ascii="Times New Roman" w:hAnsi="Times New Roman"/>
                <w:sz w:val="21"/>
                <w:szCs w:val="21"/>
              </w:rPr>
              <w:t>1</w:t>
            </w:r>
          </w:p>
        </w:tc>
        <w:tc>
          <w:tcPr>
            <w:tcW w:w="953" w:type="dxa"/>
            <w:vAlign w:val="center"/>
          </w:tcPr>
          <w:p>
            <w:pPr>
              <w:pStyle w:val="9"/>
              <w:jc w:val="center"/>
              <w:rPr>
                <w:rFonts w:ascii="Times New Roman" w:hAnsi="Times New Roman"/>
                <w:sz w:val="21"/>
                <w:szCs w:val="21"/>
              </w:rPr>
            </w:pPr>
            <w:r>
              <w:rPr>
                <w:rFonts w:ascii="Times New Roman" w:hAnsi="Times New Roman"/>
                <w:sz w:val="21"/>
                <w:szCs w:val="21"/>
              </w:rPr>
              <w:t>85~90</w:t>
            </w:r>
          </w:p>
        </w:tc>
        <w:tc>
          <w:tcPr>
            <w:tcW w:w="2770" w:type="dxa"/>
            <w:vMerge w:val="continue"/>
            <w:vAlign w:val="center"/>
          </w:tcPr>
          <w:p>
            <w:pPr>
              <w:pStyle w:val="9"/>
              <w:jc w:val="center"/>
              <w:rPr>
                <w:rFonts w:ascii="Times New Roman" w:hAnsi="Times New Roman"/>
                <w:sz w:val="21"/>
                <w:szCs w:val="21"/>
              </w:rPr>
            </w:pPr>
          </w:p>
        </w:tc>
        <w:tc>
          <w:tcPr>
            <w:tcW w:w="436" w:type="dxa"/>
            <w:vMerge w:val="continue"/>
            <w:vAlign w:val="center"/>
          </w:tcPr>
          <w:p>
            <w:pPr>
              <w:pStyle w:val="9"/>
              <w:jc w:val="center"/>
              <w:rPr>
                <w:rFonts w:ascii="Times New Roman" w:hAnsi="Times New Roman"/>
                <w:sz w:val="21"/>
                <w:szCs w:val="21"/>
              </w:rPr>
            </w:pPr>
          </w:p>
        </w:tc>
        <w:tc>
          <w:tcPr>
            <w:tcW w:w="852" w:type="dxa"/>
            <w:vMerge w:val="continue"/>
            <w:vAlign w:val="center"/>
          </w:tcPr>
          <w:p>
            <w:pPr>
              <w:pStyle w:val="9"/>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vMerge w:val="continue"/>
            <w:vAlign w:val="center"/>
          </w:tcPr>
          <w:p>
            <w:pPr>
              <w:pStyle w:val="9"/>
              <w:jc w:val="center"/>
              <w:rPr>
                <w:rFonts w:ascii="Times New Roman" w:hAnsi="Times New Roman"/>
                <w:sz w:val="21"/>
                <w:szCs w:val="21"/>
              </w:rPr>
            </w:pPr>
          </w:p>
        </w:tc>
        <w:tc>
          <w:tcPr>
            <w:tcW w:w="884" w:type="dxa"/>
            <w:vMerge w:val="continue"/>
            <w:vAlign w:val="center"/>
          </w:tcPr>
          <w:p>
            <w:pPr>
              <w:pStyle w:val="9"/>
              <w:jc w:val="center"/>
              <w:rPr>
                <w:rFonts w:ascii="Times New Roman" w:hAnsi="Times New Roman"/>
                <w:sz w:val="21"/>
                <w:szCs w:val="21"/>
              </w:rPr>
            </w:pPr>
          </w:p>
        </w:tc>
        <w:tc>
          <w:tcPr>
            <w:tcW w:w="1094" w:type="dxa"/>
            <w:vAlign w:val="center"/>
          </w:tcPr>
          <w:p>
            <w:pPr>
              <w:pStyle w:val="9"/>
              <w:jc w:val="center"/>
              <w:rPr>
                <w:rFonts w:ascii="Times New Roman" w:hAnsi="Times New Roman"/>
                <w:sz w:val="21"/>
                <w:szCs w:val="21"/>
              </w:rPr>
            </w:pPr>
            <w:r>
              <w:rPr>
                <w:rFonts w:ascii="Times New Roman" w:hAnsi="Times New Roman"/>
                <w:sz w:val="21"/>
                <w:szCs w:val="21"/>
              </w:rPr>
              <w:t>循环风机</w:t>
            </w:r>
          </w:p>
        </w:tc>
        <w:tc>
          <w:tcPr>
            <w:tcW w:w="849" w:type="dxa"/>
            <w:vAlign w:val="center"/>
          </w:tcPr>
          <w:p>
            <w:pPr>
              <w:pStyle w:val="9"/>
              <w:jc w:val="center"/>
              <w:rPr>
                <w:rFonts w:ascii="Times New Roman" w:hAnsi="Times New Roman"/>
                <w:sz w:val="21"/>
                <w:szCs w:val="21"/>
              </w:rPr>
            </w:pPr>
            <w:r>
              <w:rPr>
                <w:rFonts w:ascii="Times New Roman" w:hAnsi="Times New Roman"/>
                <w:sz w:val="21"/>
                <w:szCs w:val="21"/>
              </w:rPr>
              <w:t>1</w:t>
            </w:r>
          </w:p>
        </w:tc>
        <w:tc>
          <w:tcPr>
            <w:tcW w:w="953" w:type="dxa"/>
            <w:vAlign w:val="center"/>
          </w:tcPr>
          <w:p>
            <w:pPr>
              <w:pStyle w:val="9"/>
              <w:jc w:val="center"/>
              <w:rPr>
                <w:rFonts w:ascii="Times New Roman" w:hAnsi="Times New Roman"/>
                <w:sz w:val="21"/>
                <w:szCs w:val="21"/>
              </w:rPr>
            </w:pPr>
            <w:r>
              <w:rPr>
                <w:rFonts w:ascii="Times New Roman" w:hAnsi="Times New Roman"/>
                <w:sz w:val="21"/>
                <w:szCs w:val="21"/>
              </w:rPr>
              <w:t>90~95</w:t>
            </w:r>
          </w:p>
        </w:tc>
        <w:tc>
          <w:tcPr>
            <w:tcW w:w="2770" w:type="dxa"/>
            <w:vMerge w:val="continue"/>
            <w:vAlign w:val="center"/>
          </w:tcPr>
          <w:p>
            <w:pPr>
              <w:pStyle w:val="9"/>
              <w:jc w:val="center"/>
              <w:rPr>
                <w:rFonts w:ascii="Times New Roman" w:hAnsi="Times New Roman"/>
                <w:sz w:val="21"/>
                <w:szCs w:val="21"/>
              </w:rPr>
            </w:pPr>
          </w:p>
        </w:tc>
        <w:tc>
          <w:tcPr>
            <w:tcW w:w="436" w:type="dxa"/>
            <w:vMerge w:val="continue"/>
            <w:vAlign w:val="center"/>
          </w:tcPr>
          <w:p>
            <w:pPr>
              <w:pStyle w:val="9"/>
              <w:jc w:val="center"/>
              <w:rPr>
                <w:rFonts w:ascii="Times New Roman" w:hAnsi="Times New Roman"/>
                <w:sz w:val="21"/>
                <w:szCs w:val="21"/>
              </w:rPr>
            </w:pPr>
          </w:p>
        </w:tc>
        <w:tc>
          <w:tcPr>
            <w:tcW w:w="852" w:type="dxa"/>
            <w:vMerge w:val="continue"/>
            <w:vAlign w:val="center"/>
          </w:tcPr>
          <w:p>
            <w:pPr>
              <w:pStyle w:val="9"/>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vMerge w:val="continue"/>
            <w:vAlign w:val="center"/>
          </w:tcPr>
          <w:p>
            <w:pPr>
              <w:pStyle w:val="9"/>
              <w:jc w:val="center"/>
              <w:rPr>
                <w:rFonts w:ascii="Times New Roman" w:hAnsi="Times New Roman"/>
                <w:sz w:val="21"/>
                <w:szCs w:val="21"/>
              </w:rPr>
            </w:pPr>
          </w:p>
        </w:tc>
        <w:tc>
          <w:tcPr>
            <w:tcW w:w="884" w:type="dxa"/>
            <w:vMerge w:val="continue"/>
            <w:vAlign w:val="center"/>
          </w:tcPr>
          <w:p>
            <w:pPr>
              <w:pStyle w:val="9"/>
              <w:jc w:val="center"/>
              <w:rPr>
                <w:rFonts w:ascii="Times New Roman" w:hAnsi="Times New Roman"/>
                <w:sz w:val="21"/>
                <w:szCs w:val="21"/>
              </w:rPr>
            </w:pPr>
          </w:p>
        </w:tc>
        <w:tc>
          <w:tcPr>
            <w:tcW w:w="1094" w:type="dxa"/>
            <w:vAlign w:val="center"/>
          </w:tcPr>
          <w:p>
            <w:pPr>
              <w:pStyle w:val="9"/>
              <w:jc w:val="center"/>
              <w:rPr>
                <w:rFonts w:ascii="Times New Roman" w:hAnsi="Times New Roman"/>
                <w:sz w:val="21"/>
                <w:szCs w:val="21"/>
              </w:rPr>
            </w:pPr>
            <w:r>
              <w:rPr>
                <w:rFonts w:ascii="Times New Roman" w:hAnsi="Times New Roman"/>
                <w:sz w:val="21"/>
                <w:szCs w:val="21"/>
              </w:rPr>
              <w:t>循环风机电机</w:t>
            </w:r>
          </w:p>
        </w:tc>
        <w:tc>
          <w:tcPr>
            <w:tcW w:w="849" w:type="dxa"/>
            <w:vAlign w:val="center"/>
          </w:tcPr>
          <w:p>
            <w:pPr>
              <w:pStyle w:val="9"/>
              <w:jc w:val="center"/>
              <w:rPr>
                <w:rFonts w:hint="eastAsia" w:ascii="Times New Roman" w:hAnsi="Times New Roman"/>
                <w:sz w:val="21"/>
                <w:szCs w:val="21"/>
              </w:rPr>
            </w:pPr>
            <w:r>
              <w:rPr>
                <w:rFonts w:hint="eastAsia" w:ascii="Times New Roman" w:hAnsi="Times New Roman"/>
                <w:sz w:val="21"/>
                <w:szCs w:val="21"/>
              </w:rPr>
              <w:t>1</w:t>
            </w:r>
          </w:p>
        </w:tc>
        <w:tc>
          <w:tcPr>
            <w:tcW w:w="953" w:type="dxa"/>
            <w:vAlign w:val="center"/>
          </w:tcPr>
          <w:p>
            <w:pPr>
              <w:pStyle w:val="9"/>
              <w:jc w:val="center"/>
              <w:rPr>
                <w:rFonts w:ascii="Times New Roman" w:hAnsi="Times New Roman"/>
                <w:sz w:val="21"/>
                <w:szCs w:val="21"/>
              </w:rPr>
            </w:pPr>
            <w:r>
              <w:rPr>
                <w:rFonts w:ascii="Times New Roman" w:hAnsi="Times New Roman"/>
                <w:sz w:val="21"/>
                <w:szCs w:val="21"/>
              </w:rPr>
              <w:t>85~90</w:t>
            </w:r>
          </w:p>
        </w:tc>
        <w:tc>
          <w:tcPr>
            <w:tcW w:w="2770" w:type="dxa"/>
            <w:vMerge w:val="continue"/>
            <w:vAlign w:val="center"/>
          </w:tcPr>
          <w:p>
            <w:pPr>
              <w:pStyle w:val="9"/>
              <w:jc w:val="center"/>
              <w:rPr>
                <w:rFonts w:ascii="Times New Roman" w:hAnsi="Times New Roman"/>
                <w:sz w:val="21"/>
                <w:szCs w:val="21"/>
              </w:rPr>
            </w:pPr>
          </w:p>
        </w:tc>
        <w:tc>
          <w:tcPr>
            <w:tcW w:w="436" w:type="dxa"/>
            <w:vMerge w:val="continue"/>
            <w:vAlign w:val="center"/>
          </w:tcPr>
          <w:p>
            <w:pPr>
              <w:pStyle w:val="9"/>
              <w:jc w:val="center"/>
              <w:rPr>
                <w:rFonts w:ascii="Times New Roman" w:hAnsi="Times New Roman"/>
                <w:sz w:val="21"/>
                <w:szCs w:val="21"/>
              </w:rPr>
            </w:pPr>
          </w:p>
        </w:tc>
        <w:tc>
          <w:tcPr>
            <w:tcW w:w="852" w:type="dxa"/>
            <w:vMerge w:val="continue"/>
            <w:vAlign w:val="center"/>
          </w:tcPr>
          <w:p>
            <w:pPr>
              <w:pStyle w:val="9"/>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vAlign w:val="center"/>
          </w:tcPr>
          <w:p>
            <w:pPr>
              <w:pStyle w:val="9"/>
              <w:jc w:val="center"/>
              <w:rPr>
                <w:rFonts w:ascii="Times New Roman" w:hAnsi="Times New Roman"/>
                <w:sz w:val="21"/>
                <w:szCs w:val="21"/>
              </w:rPr>
            </w:pPr>
            <w:r>
              <w:rPr>
                <w:rFonts w:hint="eastAsia" w:ascii="Times New Roman" w:hAnsi="Times New Roman"/>
                <w:sz w:val="21"/>
                <w:szCs w:val="21"/>
              </w:rPr>
              <w:t>3</w:t>
            </w:r>
          </w:p>
        </w:tc>
        <w:tc>
          <w:tcPr>
            <w:tcW w:w="884" w:type="dxa"/>
            <w:vAlign w:val="center"/>
          </w:tcPr>
          <w:p>
            <w:pPr>
              <w:pStyle w:val="9"/>
              <w:ind w:left="-105" w:leftChars="-50" w:right="-105" w:rightChars="-50"/>
              <w:jc w:val="center"/>
              <w:rPr>
                <w:rFonts w:ascii="Times New Roman" w:hAnsi="Times New Roman"/>
                <w:sz w:val="21"/>
                <w:szCs w:val="21"/>
              </w:rPr>
            </w:pPr>
            <w:r>
              <w:rPr>
                <w:rFonts w:ascii="Times New Roman" w:hAnsi="Times New Roman"/>
                <w:sz w:val="21"/>
                <w:szCs w:val="21"/>
              </w:rPr>
              <w:t>生料均化库</w:t>
            </w:r>
          </w:p>
        </w:tc>
        <w:tc>
          <w:tcPr>
            <w:tcW w:w="1094" w:type="dxa"/>
            <w:vAlign w:val="center"/>
          </w:tcPr>
          <w:p>
            <w:pPr>
              <w:pStyle w:val="9"/>
              <w:jc w:val="center"/>
              <w:rPr>
                <w:rFonts w:ascii="Times New Roman" w:hAnsi="Times New Roman"/>
                <w:sz w:val="21"/>
                <w:szCs w:val="21"/>
              </w:rPr>
            </w:pPr>
            <w:r>
              <w:rPr>
                <w:rFonts w:ascii="Times New Roman" w:hAnsi="Times New Roman"/>
                <w:sz w:val="21"/>
                <w:szCs w:val="21"/>
              </w:rPr>
              <w:t>罗茨风机</w:t>
            </w:r>
          </w:p>
        </w:tc>
        <w:tc>
          <w:tcPr>
            <w:tcW w:w="849" w:type="dxa"/>
            <w:vAlign w:val="center"/>
          </w:tcPr>
          <w:p>
            <w:pPr>
              <w:pStyle w:val="9"/>
              <w:jc w:val="center"/>
              <w:rPr>
                <w:rFonts w:hint="eastAsia" w:ascii="Times New Roman" w:hAnsi="Times New Roman"/>
                <w:sz w:val="21"/>
                <w:szCs w:val="21"/>
              </w:rPr>
            </w:pPr>
            <w:r>
              <w:rPr>
                <w:rFonts w:hint="eastAsia" w:ascii="Times New Roman" w:hAnsi="Times New Roman"/>
                <w:sz w:val="21"/>
                <w:szCs w:val="21"/>
              </w:rPr>
              <w:t>2</w:t>
            </w:r>
          </w:p>
        </w:tc>
        <w:tc>
          <w:tcPr>
            <w:tcW w:w="953" w:type="dxa"/>
            <w:vAlign w:val="center"/>
          </w:tcPr>
          <w:p>
            <w:pPr>
              <w:pStyle w:val="9"/>
              <w:jc w:val="center"/>
              <w:rPr>
                <w:rFonts w:ascii="Times New Roman" w:hAnsi="Times New Roman"/>
                <w:sz w:val="21"/>
                <w:szCs w:val="21"/>
              </w:rPr>
            </w:pPr>
            <w:r>
              <w:rPr>
                <w:rFonts w:ascii="Times New Roman" w:hAnsi="Times New Roman"/>
                <w:sz w:val="21"/>
                <w:szCs w:val="21"/>
              </w:rPr>
              <w:t>95~105</w:t>
            </w:r>
          </w:p>
        </w:tc>
        <w:tc>
          <w:tcPr>
            <w:tcW w:w="2770" w:type="dxa"/>
            <w:vAlign w:val="center"/>
          </w:tcPr>
          <w:p>
            <w:pPr>
              <w:pStyle w:val="9"/>
              <w:jc w:val="center"/>
              <w:rPr>
                <w:rFonts w:ascii="Times New Roman" w:hAnsi="Times New Roman"/>
                <w:sz w:val="21"/>
                <w:szCs w:val="21"/>
              </w:rPr>
            </w:pPr>
            <w:r>
              <w:rPr>
                <w:rFonts w:ascii="Times New Roman" w:hAnsi="Times New Roman"/>
                <w:sz w:val="21"/>
                <w:szCs w:val="21"/>
              </w:rPr>
              <w:t>安装消声器，风机房隔声，减振</w:t>
            </w:r>
          </w:p>
        </w:tc>
        <w:tc>
          <w:tcPr>
            <w:tcW w:w="436" w:type="dxa"/>
            <w:vAlign w:val="center"/>
          </w:tcPr>
          <w:p>
            <w:pPr>
              <w:pStyle w:val="9"/>
              <w:jc w:val="center"/>
              <w:rPr>
                <w:rFonts w:ascii="Times New Roman" w:hAnsi="Times New Roman"/>
                <w:sz w:val="21"/>
                <w:szCs w:val="21"/>
              </w:rPr>
            </w:pPr>
            <w:r>
              <w:rPr>
                <w:rFonts w:ascii="Times New Roman" w:hAnsi="Times New Roman"/>
                <w:sz w:val="21"/>
                <w:szCs w:val="21"/>
              </w:rPr>
              <w:t>30</w:t>
            </w:r>
          </w:p>
        </w:tc>
        <w:tc>
          <w:tcPr>
            <w:tcW w:w="852" w:type="dxa"/>
            <w:vAlign w:val="center"/>
          </w:tcPr>
          <w:p>
            <w:pPr>
              <w:pStyle w:val="9"/>
              <w:jc w:val="center"/>
              <w:rPr>
                <w:rFonts w:ascii="Times New Roman" w:hAnsi="Times New Roman"/>
                <w:sz w:val="21"/>
                <w:szCs w:val="21"/>
              </w:rPr>
            </w:pPr>
            <w:r>
              <w:rPr>
                <w:rFonts w:ascii="Times New Roman" w:hAnsi="Times New Roman"/>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vMerge w:val="restart"/>
            <w:vAlign w:val="center"/>
          </w:tcPr>
          <w:p>
            <w:pPr>
              <w:pStyle w:val="9"/>
              <w:jc w:val="center"/>
              <w:rPr>
                <w:rFonts w:ascii="Times New Roman" w:hAnsi="Times New Roman"/>
                <w:sz w:val="21"/>
                <w:szCs w:val="21"/>
              </w:rPr>
            </w:pPr>
            <w:r>
              <w:rPr>
                <w:rFonts w:hint="eastAsia" w:ascii="Times New Roman" w:hAnsi="Times New Roman"/>
                <w:sz w:val="21"/>
                <w:szCs w:val="21"/>
              </w:rPr>
              <w:t>4</w:t>
            </w:r>
          </w:p>
        </w:tc>
        <w:tc>
          <w:tcPr>
            <w:tcW w:w="884" w:type="dxa"/>
            <w:vMerge w:val="restart"/>
            <w:vAlign w:val="center"/>
          </w:tcPr>
          <w:p>
            <w:pPr>
              <w:pStyle w:val="9"/>
              <w:ind w:left="-105" w:leftChars="-50" w:right="-105" w:rightChars="-50"/>
              <w:jc w:val="center"/>
              <w:rPr>
                <w:rFonts w:ascii="Times New Roman" w:hAnsi="Times New Roman"/>
                <w:sz w:val="21"/>
                <w:szCs w:val="21"/>
              </w:rPr>
            </w:pPr>
            <w:r>
              <w:rPr>
                <w:rFonts w:ascii="Times New Roman" w:hAnsi="Times New Roman"/>
                <w:sz w:val="21"/>
                <w:szCs w:val="21"/>
              </w:rPr>
              <w:t>窑</w:t>
            </w:r>
            <w:r>
              <w:rPr>
                <w:rFonts w:hint="eastAsia" w:ascii="Times New Roman" w:hAnsi="Times New Roman"/>
                <w:sz w:val="21"/>
                <w:szCs w:val="21"/>
              </w:rPr>
              <w:t>磨</w:t>
            </w:r>
            <w:r>
              <w:rPr>
                <w:rFonts w:ascii="Times New Roman" w:hAnsi="Times New Roman"/>
                <w:sz w:val="21"/>
                <w:szCs w:val="21"/>
              </w:rPr>
              <w:t>废气处理</w:t>
            </w:r>
          </w:p>
        </w:tc>
        <w:tc>
          <w:tcPr>
            <w:tcW w:w="1094" w:type="dxa"/>
            <w:vAlign w:val="center"/>
          </w:tcPr>
          <w:p>
            <w:pPr>
              <w:pStyle w:val="9"/>
              <w:jc w:val="center"/>
              <w:rPr>
                <w:rFonts w:ascii="Times New Roman" w:hAnsi="Times New Roman"/>
                <w:sz w:val="21"/>
                <w:szCs w:val="21"/>
              </w:rPr>
            </w:pPr>
            <w:r>
              <w:rPr>
                <w:rFonts w:ascii="Times New Roman" w:hAnsi="Times New Roman"/>
                <w:sz w:val="21"/>
                <w:szCs w:val="21"/>
              </w:rPr>
              <w:t>高压离心风机</w:t>
            </w:r>
          </w:p>
        </w:tc>
        <w:tc>
          <w:tcPr>
            <w:tcW w:w="849" w:type="dxa"/>
            <w:vAlign w:val="center"/>
          </w:tcPr>
          <w:p>
            <w:pPr>
              <w:pStyle w:val="9"/>
              <w:jc w:val="center"/>
              <w:rPr>
                <w:rFonts w:hint="eastAsia" w:ascii="Times New Roman" w:hAnsi="Times New Roman"/>
                <w:sz w:val="21"/>
                <w:szCs w:val="21"/>
              </w:rPr>
            </w:pPr>
            <w:r>
              <w:rPr>
                <w:rFonts w:hint="eastAsia" w:ascii="Times New Roman" w:hAnsi="Times New Roman"/>
                <w:sz w:val="21"/>
                <w:szCs w:val="21"/>
              </w:rPr>
              <w:t>1</w:t>
            </w:r>
          </w:p>
        </w:tc>
        <w:tc>
          <w:tcPr>
            <w:tcW w:w="953" w:type="dxa"/>
            <w:vAlign w:val="center"/>
          </w:tcPr>
          <w:p>
            <w:pPr>
              <w:pStyle w:val="9"/>
              <w:jc w:val="center"/>
              <w:rPr>
                <w:rFonts w:ascii="Times New Roman" w:hAnsi="Times New Roman"/>
                <w:sz w:val="21"/>
                <w:szCs w:val="21"/>
              </w:rPr>
            </w:pPr>
            <w:r>
              <w:rPr>
                <w:rFonts w:ascii="Times New Roman" w:hAnsi="Times New Roman"/>
                <w:sz w:val="21"/>
                <w:szCs w:val="21"/>
              </w:rPr>
              <w:t>95~105</w:t>
            </w:r>
          </w:p>
        </w:tc>
        <w:tc>
          <w:tcPr>
            <w:tcW w:w="2770" w:type="dxa"/>
            <w:vMerge w:val="restart"/>
            <w:vAlign w:val="center"/>
          </w:tcPr>
          <w:p>
            <w:pPr>
              <w:pStyle w:val="9"/>
              <w:jc w:val="center"/>
              <w:rPr>
                <w:rFonts w:ascii="Times New Roman" w:hAnsi="Times New Roman"/>
                <w:sz w:val="21"/>
                <w:szCs w:val="21"/>
              </w:rPr>
            </w:pPr>
            <w:r>
              <w:rPr>
                <w:rFonts w:ascii="Times New Roman" w:hAnsi="Times New Roman"/>
                <w:sz w:val="21"/>
                <w:szCs w:val="21"/>
              </w:rPr>
              <w:t>风机隔声及消声，减振，优化总图布置</w:t>
            </w:r>
          </w:p>
        </w:tc>
        <w:tc>
          <w:tcPr>
            <w:tcW w:w="436" w:type="dxa"/>
            <w:vMerge w:val="restart"/>
            <w:vAlign w:val="center"/>
          </w:tcPr>
          <w:p>
            <w:pPr>
              <w:pStyle w:val="9"/>
              <w:jc w:val="center"/>
              <w:rPr>
                <w:rFonts w:ascii="Times New Roman" w:hAnsi="Times New Roman"/>
                <w:sz w:val="21"/>
                <w:szCs w:val="21"/>
              </w:rPr>
            </w:pPr>
            <w:r>
              <w:rPr>
                <w:rFonts w:ascii="Times New Roman" w:hAnsi="Times New Roman"/>
                <w:sz w:val="21"/>
                <w:szCs w:val="21"/>
              </w:rPr>
              <w:t>20</w:t>
            </w:r>
          </w:p>
        </w:tc>
        <w:tc>
          <w:tcPr>
            <w:tcW w:w="852" w:type="dxa"/>
            <w:vMerge w:val="restart"/>
            <w:vAlign w:val="center"/>
          </w:tcPr>
          <w:p>
            <w:pPr>
              <w:pStyle w:val="9"/>
              <w:jc w:val="center"/>
              <w:rPr>
                <w:rFonts w:ascii="Times New Roman" w:hAnsi="Times New Roman"/>
                <w:sz w:val="21"/>
                <w:szCs w:val="21"/>
              </w:rPr>
            </w:pPr>
            <w:r>
              <w:rPr>
                <w:rFonts w:ascii="Times New Roman" w:hAnsi="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451" w:type="dxa"/>
            <w:vMerge w:val="continue"/>
            <w:vAlign w:val="center"/>
          </w:tcPr>
          <w:p>
            <w:pPr>
              <w:pStyle w:val="9"/>
              <w:jc w:val="center"/>
              <w:rPr>
                <w:rFonts w:ascii="Times New Roman" w:hAnsi="Times New Roman"/>
                <w:sz w:val="21"/>
                <w:szCs w:val="21"/>
              </w:rPr>
            </w:pPr>
          </w:p>
        </w:tc>
        <w:tc>
          <w:tcPr>
            <w:tcW w:w="884" w:type="dxa"/>
            <w:vMerge w:val="continue"/>
            <w:vAlign w:val="center"/>
          </w:tcPr>
          <w:p>
            <w:pPr>
              <w:pStyle w:val="9"/>
              <w:jc w:val="center"/>
              <w:rPr>
                <w:rFonts w:ascii="Times New Roman" w:hAnsi="Times New Roman"/>
                <w:sz w:val="21"/>
                <w:szCs w:val="21"/>
              </w:rPr>
            </w:pPr>
          </w:p>
        </w:tc>
        <w:tc>
          <w:tcPr>
            <w:tcW w:w="1094" w:type="dxa"/>
            <w:vAlign w:val="center"/>
          </w:tcPr>
          <w:p>
            <w:pPr>
              <w:pStyle w:val="9"/>
              <w:jc w:val="center"/>
              <w:rPr>
                <w:rFonts w:ascii="Times New Roman" w:hAnsi="Times New Roman"/>
                <w:sz w:val="21"/>
                <w:szCs w:val="21"/>
              </w:rPr>
            </w:pPr>
            <w:r>
              <w:rPr>
                <w:rFonts w:ascii="Times New Roman" w:hAnsi="Times New Roman"/>
                <w:sz w:val="21"/>
                <w:szCs w:val="21"/>
              </w:rPr>
              <w:t>废气风机</w:t>
            </w:r>
          </w:p>
        </w:tc>
        <w:tc>
          <w:tcPr>
            <w:tcW w:w="849" w:type="dxa"/>
            <w:vAlign w:val="center"/>
          </w:tcPr>
          <w:p>
            <w:pPr>
              <w:pStyle w:val="9"/>
              <w:jc w:val="center"/>
              <w:rPr>
                <w:rFonts w:hint="eastAsia" w:ascii="Times New Roman" w:hAnsi="Times New Roman"/>
                <w:sz w:val="21"/>
                <w:szCs w:val="21"/>
              </w:rPr>
            </w:pPr>
            <w:r>
              <w:rPr>
                <w:rFonts w:hint="eastAsia" w:ascii="Times New Roman" w:hAnsi="Times New Roman"/>
                <w:sz w:val="21"/>
                <w:szCs w:val="21"/>
              </w:rPr>
              <w:t>1</w:t>
            </w:r>
          </w:p>
        </w:tc>
        <w:tc>
          <w:tcPr>
            <w:tcW w:w="953" w:type="dxa"/>
            <w:vAlign w:val="center"/>
          </w:tcPr>
          <w:p>
            <w:pPr>
              <w:pStyle w:val="9"/>
              <w:jc w:val="center"/>
              <w:rPr>
                <w:rFonts w:ascii="Times New Roman" w:hAnsi="Times New Roman"/>
                <w:sz w:val="21"/>
                <w:szCs w:val="21"/>
              </w:rPr>
            </w:pPr>
            <w:r>
              <w:rPr>
                <w:rFonts w:ascii="Times New Roman" w:hAnsi="Times New Roman"/>
                <w:sz w:val="21"/>
                <w:szCs w:val="21"/>
              </w:rPr>
              <w:t>95~105</w:t>
            </w:r>
          </w:p>
        </w:tc>
        <w:tc>
          <w:tcPr>
            <w:tcW w:w="2770" w:type="dxa"/>
            <w:vMerge w:val="continue"/>
            <w:vAlign w:val="center"/>
          </w:tcPr>
          <w:p>
            <w:pPr>
              <w:pStyle w:val="9"/>
              <w:jc w:val="center"/>
              <w:rPr>
                <w:rFonts w:ascii="Times New Roman" w:hAnsi="Times New Roman"/>
                <w:sz w:val="21"/>
                <w:szCs w:val="21"/>
              </w:rPr>
            </w:pPr>
          </w:p>
        </w:tc>
        <w:tc>
          <w:tcPr>
            <w:tcW w:w="436" w:type="dxa"/>
            <w:vMerge w:val="continue"/>
            <w:vAlign w:val="center"/>
          </w:tcPr>
          <w:p>
            <w:pPr>
              <w:pStyle w:val="9"/>
              <w:jc w:val="center"/>
              <w:rPr>
                <w:rFonts w:ascii="Times New Roman" w:hAnsi="Times New Roman"/>
                <w:sz w:val="21"/>
                <w:szCs w:val="21"/>
              </w:rPr>
            </w:pPr>
          </w:p>
        </w:tc>
        <w:tc>
          <w:tcPr>
            <w:tcW w:w="852" w:type="dxa"/>
            <w:vMerge w:val="continue"/>
            <w:vAlign w:val="center"/>
          </w:tcPr>
          <w:p>
            <w:pPr>
              <w:pStyle w:val="9"/>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451" w:type="dxa"/>
            <w:vMerge w:val="restart"/>
            <w:vAlign w:val="center"/>
          </w:tcPr>
          <w:p>
            <w:pPr>
              <w:pStyle w:val="9"/>
              <w:jc w:val="center"/>
              <w:rPr>
                <w:rFonts w:ascii="Times New Roman" w:hAnsi="Times New Roman"/>
                <w:sz w:val="21"/>
                <w:szCs w:val="21"/>
              </w:rPr>
            </w:pPr>
            <w:r>
              <w:rPr>
                <w:rFonts w:hint="eastAsia" w:ascii="Times New Roman" w:hAnsi="Times New Roman"/>
                <w:sz w:val="21"/>
                <w:szCs w:val="21"/>
              </w:rPr>
              <w:t>5</w:t>
            </w:r>
          </w:p>
        </w:tc>
        <w:tc>
          <w:tcPr>
            <w:tcW w:w="884" w:type="dxa"/>
            <w:vMerge w:val="restart"/>
            <w:vAlign w:val="center"/>
          </w:tcPr>
          <w:p>
            <w:pPr>
              <w:pStyle w:val="9"/>
              <w:jc w:val="center"/>
              <w:rPr>
                <w:rFonts w:ascii="Times New Roman" w:hAnsi="Times New Roman"/>
                <w:sz w:val="21"/>
                <w:szCs w:val="21"/>
              </w:rPr>
            </w:pPr>
            <w:r>
              <w:rPr>
                <w:rFonts w:ascii="Times New Roman" w:hAnsi="Times New Roman"/>
                <w:sz w:val="21"/>
                <w:szCs w:val="21"/>
              </w:rPr>
              <w:t>煤粉制备</w:t>
            </w:r>
          </w:p>
        </w:tc>
        <w:tc>
          <w:tcPr>
            <w:tcW w:w="1094" w:type="dxa"/>
            <w:vAlign w:val="center"/>
          </w:tcPr>
          <w:p>
            <w:pPr>
              <w:pStyle w:val="9"/>
              <w:jc w:val="center"/>
              <w:rPr>
                <w:rFonts w:ascii="Times New Roman" w:hAnsi="Times New Roman"/>
                <w:sz w:val="21"/>
                <w:szCs w:val="21"/>
              </w:rPr>
            </w:pPr>
            <w:r>
              <w:rPr>
                <w:rFonts w:ascii="Times New Roman" w:hAnsi="Times New Roman"/>
                <w:sz w:val="21"/>
                <w:szCs w:val="21"/>
              </w:rPr>
              <w:t>立式煤磨</w:t>
            </w:r>
          </w:p>
        </w:tc>
        <w:tc>
          <w:tcPr>
            <w:tcW w:w="849" w:type="dxa"/>
            <w:vAlign w:val="center"/>
          </w:tcPr>
          <w:p>
            <w:pPr>
              <w:pStyle w:val="9"/>
              <w:jc w:val="center"/>
              <w:rPr>
                <w:rFonts w:ascii="Times New Roman" w:hAnsi="Times New Roman"/>
                <w:sz w:val="21"/>
                <w:szCs w:val="21"/>
              </w:rPr>
            </w:pPr>
            <w:r>
              <w:rPr>
                <w:rFonts w:ascii="Times New Roman" w:hAnsi="Times New Roman"/>
                <w:sz w:val="21"/>
                <w:szCs w:val="21"/>
              </w:rPr>
              <w:t>1</w:t>
            </w:r>
          </w:p>
        </w:tc>
        <w:tc>
          <w:tcPr>
            <w:tcW w:w="953" w:type="dxa"/>
            <w:vAlign w:val="center"/>
          </w:tcPr>
          <w:p>
            <w:pPr>
              <w:pStyle w:val="9"/>
              <w:jc w:val="center"/>
              <w:rPr>
                <w:rFonts w:ascii="Times New Roman" w:hAnsi="Times New Roman"/>
                <w:sz w:val="21"/>
                <w:szCs w:val="21"/>
              </w:rPr>
            </w:pPr>
            <w:r>
              <w:rPr>
                <w:rFonts w:ascii="Times New Roman" w:hAnsi="Times New Roman"/>
                <w:sz w:val="21"/>
                <w:szCs w:val="21"/>
              </w:rPr>
              <w:t>90～95</w:t>
            </w:r>
          </w:p>
        </w:tc>
        <w:tc>
          <w:tcPr>
            <w:tcW w:w="2770" w:type="dxa"/>
            <w:vMerge w:val="restart"/>
            <w:vAlign w:val="center"/>
          </w:tcPr>
          <w:p>
            <w:pPr>
              <w:pStyle w:val="9"/>
              <w:jc w:val="center"/>
              <w:rPr>
                <w:rFonts w:ascii="Times New Roman" w:hAnsi="Times New Roman"/>
                <w:sz w:val="21"/>
                <w:szCs w:val="21"/>
              </w:rPr>
            </w:pPr>
            <w:r>
              <w:rPr>
                <w:rFonts w:ascii="Times New Roman" w:hAnsi="Times New Roman"/>
                <w:sz w:val="21"/>
                <w:szCs w:val="21"/>
              </w:rPr>
              <w:t>半封闭式车间，风机隔声，减振</w:t>
            </w:r>
          </w:p>
        </w:tc>
        <w:tc>
          <w:tcPr>
            <w:tcW w:w="436" w:type="dxa"/>
            <w:vMerge w:val="restart"/>
            <w:vAlign w:val="center"/>
          </w:tcPr>
          <w:p>
            <w:pPr>
              <w:pStyle w:val="9"/>
              <w:jc w:val="center"/>
              <w:rPr>
                <w:rFonts w:ascii="Times New Roman" w:hAnsi="Times New Roman"/>
                <w:sz w:val="21"/>
                <w:szCs w:val="21"/>
              </w:rPr>
            </w:pPr>
            <w:r>
              <w:rPr>
                <w:rFonts w:ascii="Times New Roman" w:hAnsi="Times New Roman"/>
                <w:sz w:val="21"/>
                <w:szCs w:val="21"/>
              </w:rPr>
              <w:t>20</w:t>
            </w:r>
          </w:p>
        </w:tc>
        <w:tc>
          <w:tcPr>
            <w:tcW w:w="852" w:type="dxa"/>
            <w:vMerge w:val="restart"/>
            <w:vAlign w:val="center"/>
          </w:tcPr>
          <w:p>
            <w:pPr>
              <w:pStyle w:val="9"/>
              <w:jc w:val="center"/>
              <w:rPr>
                <w:rFonts w:ascii="Times New Roman" w:hAnsi="Times New Roman"/>
                <w:sz w:val="21"/>
                <w:szCs w:val="21"/>
              </w:rPr>
            </w:pPr>
            <w:r>
              <w:rPr>
                <w:rFonts w:ascii="Times New Roman" w:hAnsi="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trPr>
        <w:tc>
          <w:tcPr>
            <w:tcW w:w="451" w:type="dxa"/>
            <w:vMerge w:val="continue"/>
            <w:vAlign w:val="center"/>
          </w:tcPr>
          <w:p>
            <w:pPr>
              <w:pStyle w:val="9"/>
              <w:jc w:val="center"/>
              <w:rPr>
                <w:rFonts w:ascii="Times New Roman" w:hAnsi="Times New Roman"/>
                <w:sz w:val="21"/>
                <w:szCs w:val="21"/>
              </w:rPr>
            </w:pPr>
          </w:p>
        </w:tc>
        <w:tc>
          <w:tcPr>
            <w:tcW w:w="884" w:type="dxa"/>
            <w:vMerge w:val="continue"/>
            <w:vAlign w:val="center"/>
          </w:tcPr>
          <w:p>
            <w:pPr>
              <w:pStyle w:val="9"/>
              <w:jc w:val="center"/>
              <w:rPr>
                <w:rFonts w:ascii="Times New Roman" w:hAnsi="Times New Roman"/>
                <w:sz w:val="21"/>
                <w:szCs w:val="21"/>
              </w:rPr>
            </w:pPr>
          </w:p>
        </w:tc>
        <w:tc>
          <w:tcPr>
            <w:tcW w:w="1094" w:type="dxa"/>
            <w:vAlign w:val="center"/>
          </w:tcPr>
          <w:p>
            <w:pPr>
              <w:pStyle w:val="9"/>
              <w:jc w:val="center"/>
              <w:rPr>
                <w:rFonts w:ascii="Times New Roman" w:hAnsi="Times New Roman"/>
                <w:sz w:val="21"/>
                <w:szCs w:val="21"/>
              </w:rPr>
            </w:pPr>
            <w:r>
              <w:rPr>
                <w:rFonts w:ascii="Times New Roman" w:hAnsi="Times New Roman"/>
                <w:sz w:val="21"/>
                <w:szCs w:val="21"/>
              </w:rPr>
              <w:t>煤磨系统风机</w:t>
            </w:r>
          </w:p>
        </w:tc>
        <w:tc>
          <w:tcPr>
            <w:tcW w:w="849" w:type="dxa"/>
            <w:vAlign w:val="center"/>
          </w:tcPr>
          <w:p>
            <w:pPr>
              <w:pStyle w:val="9"/>
              <w:jc w:val="center"/>
              <w:rPr>
                <w:rFonts w:hint="eastAsia" w:ascii="Times New Roman" w:hAnsi="Times New Roman"/>
                <w:sz w:val="21"/>
                <w:szCs w:val="21"/>
              </w:rPr>
            </w:pPr>
            <w:r>
              <w:rPr>
                <w:rFonts w:hint="eastAsia" w:ascii="Times New Roman" w:hAnsi="Times New Roman"/>
                <w:sz w:val="21"/>
                <w:szCs w:val="21"/>
              </w:rPr>
              <w:t>1</w:t>
            </w:r>
          </w:p>
        </w:tc>
        <w:tc>
          <w:tcPr>
            <w:tcW w:w="953" w:type="dxa"/>
            <w:vAlign w:val="center"/>
          </w:tcPr>
          <w:p>
            <w:pPr>
              <w:pStyle w:val="9"/>
              <w:jc w:val="center"/>
              <w:rPr>
                <w:rFonts w:ascii="Times New Roman" w:hAnsi="Times New Roman"/>
                <w:sz w:val="21"/>
                <w:szCs w:val="21"/>
              </w:rPr>
            </w:pPr>
            <w:r>
              <w:rPr>
                <w:rFonts w:ascii="Times New Roman" w:hAnsi="Times New Roman"/>
                <w:sz w:val="21"/>
                <w:szCs w:val="21"/>
              </w:rPr>
              <w:t>85~90</w:t>
            </w:r>
          </w:p>
        </w:tc>
        <w:tc>
          <w:tcPr>
            <w:tcW w:w="2770" w:type="dxa"/>
            <w:vMerge w:val="continue"/>
            <w:vAlign w:val="center"/>
          </w:tcPr>
          <w:p>
            <w:pPr>
              <w:pStyle w:val="9"/>
              <w:jc w:val="center"/>
              <w:rPr>
                <w:rFonts w:ascii="Times New Roman" w:hAnsi="Times New Roman"/>
                <w:sz w:val="21"/>
                <w:szCs w:val="21"/>
              </w:rPr>
            </w:pPr>
          </w:p>
        </w:tc>
        <w:tc>
          <w:tcPr>
            <w:tcW w:w="436" w:type="dxa"/>
            <w:vMerge w:val="continue"/>
            <w:vAlign w:val="center"/>
          </w:tcPr>
          <w:p>
            <w:pPr>
              <w:pStyle w:val="9"/>
              <w:jc w:val="center"/>
              <w:rPr>
                <w:rFonts w:ascii="Times New Roman" w:hAnsi="Times New Roman"/>
                <w:sz w:val="21"/>
                <w:szCs w:val="21"/>
              </w:rPr>
            </w:pPr>
          </w:p>
        </w:tc>
        <w:tc>
          <w:tcPr>
            <w:tcW w:w="852" w:type="dxa"/>
            <w:vMerge w:val="continue"/>
            <w:vAlign w:val="center"/>
          </w:tcPr>
          <w:p>
            <w:pPr>
              <w:pStyle w:val="9"/>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vAlign w:val="center"/>
          </w:tcPr>
          <w:p>
            <w:pPr>
              <w:pStyle w:val="9"/>
              <w:jc w:val="center"/>
              <w:rPr>
                <w:rFonts w:ascii="Times New Roman" w:hAnsi="Times New Roman"/>
                <w:sz w:val="21"/>
                <w:szCs w:val="21"/>
              </w:rPr>
            </w:pPr>
            <w:r>
              <w:rPr>
                <w:rFonts w:hint="eastAsia" w:ascii="Times New Roman" w:hAnsi="Times New Roman"/>
                <w:sz w:val="21"/>
                <w:szCs w:val="21"/>
              </w:rPr>
              <w:t>6</w:t>
            </w:r>
          </w:p>
        </w:tc>
        <w:tc>
          <w:tcPr>
            <w:tcW w:w="884" w:type="dxa"/>
            <w:vAlign w:val="center"/>
          </w:tcPr>
          <w:p>
            <w:pPr>
              <w:pStyle w:val="9"/>
              <w:jc w:val="center"/>
              <w:rPr>
                <w:rFonts w:ascii="Times New Roman" w:hAnsi="Times New Roman"/>
                <w:sz w:val="21"/>
                <w:szCs w:val="21"/>
              </w:rPr>
            </w:pPr>
            <w:r>
              <w:rPr>
                <w:rFonts w:ascii="Times New Roman" w:hAnsi="Times New Roman"/>
                <w:sz w:val="21"/>
                <w:szCs w:val="21"/>
              </w:rPr>
              <w:t>空压机站</w:t>
            </w:r>
          </w:p>
        </w:tc>
        <w:tc>
          <w:tcPr>
            <w:tcW w:w="1094" w:type="dxa"/>
            <w:vAlign w:val="center"/>
          </w:tcPr>
          <w:p>
            <w:pPr>
              <w:pStyle w:val="9"/>
              <w:jc w:val="center"/>
              <w:rPr>
                <w:rFonts w:ascii="Times New Roman" w:hAnsi="Times New Roman"/>
                <w:sz w:val="21"/>
                <w:szCs w:val="21"/>
              </w:rPr>
            </w:pPr>
            <w:r>
              <w:rPr>
                <w:rFonts w:ascii="Times New Roman" w:hAnsi="Times New Roman"/>
                <w:sz w:val="21"/>
                <w:szCs w:val="21"/>
              </w:rPr>
              <w:t>空压机</w:t>
            </w:r>
          </w:p>
        </w:tc>
        <w:tc>
          <w:tcPr>
            <w:tcW w:w="849" w:type="dxa"/>
            <w:vAlign w:val="center"/>
          </w:tcPr>
          <w:p>
            <w:pPr>
              <w:pStyle w:val="9"/>
              <w:jc w:val="center"/>
              <w:rPr>
                <w:rFonts w:hint="eastAsia" w:ascii="Times New Roman" w:hAnsi="Times New Roman"/>
                <w:sz w:val="21"/>
                <w:szCs w:val="21"/>
              </w:rPr>
            </w:pPr>
            <w:r>
              <w:rPr>
                <w:rFonts w:hint="eastAsia" w:ascii="Times New Roman" w:hAnsi="Times New Roman"/>
                <w:sz w:val="21"/>
                <w:szCs w:val="21"/>
              </w:rPr>
              <w:t>5</w:t>
            </w:r>
          </w:p>
        </w:tc>
        <w:tc>
          <w:tcPr>
            <w:tcW w:w="953" w:type="dxa"/>
            <w:vAlign w:val="center"/>
          </w:tcPr>
          <w:p>
            <w:pPr>
              <w:pStyle w:val="9"/>
              <w:jc w:val="center"/>
              <w:rPr>
                <w:rFonts w:ascii="Times New Roman" w:hAnsi="Times New Roman"/>
                <w:sz w:val="21"/>
                <w:szCs w:val="21"/>
              </w:rPr>
            </w:pPr>
            <w:r>
              <w:rPr>
                <w:rFonts w:ascii="Times New Roman" w:hAnsi="Times New Roman"/>
                <w:sz w:val="21"/>
                <w:szCs w:val="21"/>
              </w:rPr>
              <w:t>85~90</w:t>
            </w:r>
          </w:p>
        </w:tc>
        <w:tc>
          <w:tcPr>
            <w:tcW w:w="2770" w:type="dxa"/>
            <w:vAlign w:val="center"/>
          </w:tcPr>
          <w:p>
            <w:pPr>
              <w:pStyle w:val="9"/>
              <w:jc w:val="center"/>
              <w:rPr>
                <w:rFonts w:ascii="Times New Roman" w:hAnsi="Times New Roman"/>
                <w:sz w:val="21"/>
                <w:szCs w:val="21"/>
              </w:rPr>
            </w:pPr>
            <w:r>
              <w:rPr>
                <w:rFonts w:ascii="Times New Roman" w:hAnsi="Times New Roman"/>
                <w:sz w:val="21"/>
                <w:szCs w:val="21"/>
              </w:rPr>
              <w:t>半封闭式车间，减振</w:t>
            </w:r>
          </w:p>
        </w:tc>
        <w:tc>
          <w:tcPr>
            <w:tcW w:w="436" w:type="dxa"/>
            <w:vAlign w:val="center"/>
          </w:tcPr>
          <w:p>
            <w:pPr>
              <w:pStyle w:val="9"/>
              <w:jc w:val="center"/>
              <w:rPr>
                <w:rFonts w:ascii="Times New Roman" w:hAnsi="Times New Roman"/>
                <w:sz w:val="21"/>
                <w:szCs w:val="21"/>
              </w:rPr>
            </w:pPr>
            <w:r>
              <w:rPr>
                <w:rFonts w:ascii="Times New Roman" w:hAnsi="Times New Roman"/>
                <w:sz w:val="21"/>
                <w:szCs w:val="21"/>
              </w:rPr>
              <w:t>20</w:t>
            </w:r>
          </w:p>
        </w:tc>
        <w:tc>
          <w:tcPr>
            <w:tcW w:w="852" w:type="dxa"/>
            <w:vAlign w:val="center"/>
          </w:tcPr>
          <w:p>
            <w:pPr>
              <w:pStyle w:val="9"/>
              <w:jc w:val="center"/>
              <w:rPr>
                <w:rFonts w:ascii="Times New Roman" w:hAnsi="Times New Roman"/>
                <w:sz w:val="21"/>
                <w:szCs w:val="21"/>
              </w:rPr>
            </w:pPr>
            <w:r>
              <w:rPr>
                <w:rFonts w:ascii="Times New Roman" w:hAnsi="Times New Roman"/>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vAlign w:val="center"/>
          </w:tcPr>
          <w:p>
            <w:pPr>
              <w:pStyle w:val="9"/>
              <w:jc w:val="center"/>
              <w:rPr>
                <w:rFonts w:ascii="Times New Roman" w:hAnsi="Times New Roman"/>
                <w:sz w:val="21"/>
                <w:szCs w:val="21"/>
              </w:rPr>
            </w:pPr>
            <w:r>
              <w:rPr>
                <w:rFonts w:hint="eastAsia" w:ascii="Times New Roman" w:hAnsi="Times New Roman"/>
                <w:sz w:val="21"/>
                <w:szCs w:val="21"/>
              </w:rPr>
              <w:t>7</w:t>
            </w:r>
          </w:p>
        </w:tc>
        <w:tc>
          <w:tcPr>
            <w:tcW w:w="884" w:type="dxa"/>
            <w:vAlign w:val="center"/>
          </w:tcPr>
          <w:p>
            <w:pPr>
              <w:pStyle w:val="9"/>
              <w:jc w:val="center"/>
              <w:rPr>
                <w:rFonts w:ascii="Times New Roman" w:hAnsi="Times New Roman"/>
                <w:sz w:val="21"/>
                <w:szCs w:val="21"/>
              </w:rPr>
            </w:pPr>
            <w:r>
              <w:rPr>
                <w:rFonts w:ascii="Times New Roman" w:hAnsi="Times New Roman"/>
                <w:sz w:val="21"/>
                <w:szCs w:val="21"/>
              </w:rPr>
              <w:t>篦冷机风机及窑中降温风机</w:t>
            </w:r>
          </w:p>
        </w:tc>
        <w:tc>
          <w:tcPr>
            <w:tcW w:w="1094" w:type="dxa"/>
            <w:vAlign w:val="center"/>
          </w:tcPr>
          <w:p>
            <w:pPr>
              <w:pStyle w:val="9"/>
              <w:jc w:val="center"/>
              <w:rPr>
                <w:rFonts w:ascii="Times New Roman" w:hAnsi="Times New Roman"/>
                <w:sz w:val="21"/>
                <w:szCs w:val="21"/>
              </w:rPr>
            </w:pPr>
            <w:r>
              <w:rPr>
                <w:rFonts w:ascii="Times New Roman" w:hAnsi="Times New Roman"/>
                <w:sz w:val="21"/>
                <w:szCs w:val="21"/>
              </w:rPr>
              <w:t>离心风机</w:t>
            </w:r>
          </w:p>
        </w:tc>
        <w:tc>
          <w:tcPr>
            <w:tcW w:w="849" w:type="dxa"/>
            <w:vAlign w:val="center"/>
          </w:tcPr>
          <w:p>
            <w:pPr>
              <w:pStyle w:val="9"/>
              <w:jc w:val="center"/>
              <w:rPr>
                <w:rFonts w:hint="eastAsia" w:ascii="Times New Roman" w:hAnsi="Times New Roman"/>
                <w:sz w:val="21"/>
                <w:szCs w:val="21"/>
              </w:rPr>
            </w:pPr>
            <w:r>
              <w:rPr>
                <w:rFonts w:hint="eastAsia" w:ascii="Times New Roman" w:hAnsi="Times New Roman"/>
                <w:sz w:val="21"/>
                <w:szCs w:val="21"/>
              </w:rPr>
              <w:t>4</w:t>
            </w:r>
          </w:p>
        </w:tc>
        <w:tc>
          <w:tcPr>
            <w:tcW w:w="953" w:type="dxa"/>
            <w:vAlign w:val="center"/>
          </w:tcPr>
          <w:p>
            <w:pPr>
              <w:pStyle w:val="9"/>
              <w:jc w:val="center"/>
              <w:rPr>
                <w:rFonts w:ascii="Times New Roman" w:hAnsi="Times New Roman"/>
                <w:sz w:val="21"/>
                <w:szCs w:val="21"/>
              </w:rPr>
            </w:pPr>
            <w:r>
              <w:rPr>
                <w:rFonts w:ascii="Times New Roman" w:hAnsi="Times New Roman"/>
                <w:sz w:val="21"/>
                <w:szCs w:val="21"/>
              </w:rPr>
              <w:t>90~100</w:t>
            </w:r>
          </w:p>
        </w:tc>
        <w:tc>
          <w:tcPr>
            <w:tcW w:w="2770" w:type="dxa"/>
            <w:vAlign w:val="center"/>
          </w:tcPr>
          <w:p>
            <w:pPr>
              <w:pStyle w:val="9"/>
              <w:jc w:val="center"/>
              <w:rPr>
                <w:rFonts w:ascii="Times New Roman" w:hAnsi="Times New Roman"/>
                <w:sz w:val="21"/>
                <w:szCs w:val="21"/>
              </w:rPr>
            </w:pPr>
            <w:r>
              <w:rPr>
                <w:rFonts w:ascii="Times New Roman" w:hAnsi="Times New Roman"/>
                <w:sz w:val="21"/>
                <w:szCs w:val="21"/>
              </w:rPr>
              <w:t>安装在室内隔声，风机安装消声器，减振</w:t>
            </w:r>
          </w:p>
        </w:tc>
        <w:tc>
          <w:tcPr>
            <w:tcW w:w="436" w:type="dxa"/>
            <w:vAlign w:val="center"/>
          </w:tcPr>
          <w:p>
            <w:pPr>
              <w:pStyle w:val="9"/>
              <w:jc w:val="center"/>
              <w:rPr>
                <w:rFonts w:ascii="Times New Roman" w:hAnsi="Times New Roman"/>
                <w:sz w:val="21"/>
                <w:szCs w:val="21"/>
              </w:rPr>
            </w:pPr>
            <w:r>
              <w:rPr>
                <w:rFonts w:ascii="Times New Roman" w:hAnsi="Times New Roman"/>
                <w:sz w:val="21"/>
                <w:szCs w:val="21"/>
              </w:rPr>
              <w:t>20</w:t>
            </w:r>
          </w:p>
        </w:tc>
        <w:tc>
          <w:tcPr>
            <w:tcW w:w="852" w:type="dxa"/>
            <w:vAlign w:val="center"/>
          </w:tcPr>
          <w:p>
            <w:pPr>
              <w:pStyle w:val="9"/>
              <w:jc w:val="center"/>
              <w:rPr>
                <w:rFonts w:ascii="Times New Roman" w:hAnsi="Times New Roman"/>
                <w:sz w:val="21"/>
                <w:szCs w:val="21"/>
              </w:rPr>
            </w:pPr>
            <w:r>
              <w:rPr>
                <w:rFonts w:ascii="Times New Roman" w:hAnsi="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vMerge w:val="restart"/>
            <w:vAlign w:val="center"/>
          </w:tcPr>
          <w:p>
            <w:pPr>
              <w:pStyle w:val="9"/>
              <w:jc w:val="center"/>
              <w:rPr>
                <w:rFonts w:ascii="Times New Roman" w:hAnsi="Times New Roman"/>
                <w:sz w:val="21"/>
                <w:szCs w:val="21"/>
              </w:rPr>
            </w:pPr>
            <w:r>
              <w:rPr>
                <w:rFonts w:ascii="Times New Roman" w:hAnsi="Times New Roman"/>
                <w:sz w:val="21"/>
                <w:szCs w:val="21"/>
              </w:rPr>
              <w:t>8</w:t>
            </w:r>
          </w:p>
        </w:tc>
        <w:tc>
          <w:tcPr>
            <w:tcW w:w="884" w:type="dxa"/>
            <w:vMerge w:val="restart"/>
            <w:vAlign w:val="center"/>
          </w:tcPr>
          <w:p>
            <w:pPr>
              <w:pStyle w:val="9"/>
              <w:ind w:left="-105" w:leftChars="-50" w:right="-105" w:rightChars="-50"/>
              <w:jc w:val="center"/>
              <w:rPr>
                <w:rFonts w:ascii="Times New Roman" w:hAnsi="Times New Roman"/>
                <w:sz w:val="21"/>
                <w:szCs w:val="21"/>
              </w:rPr>
            </w:pPr>
            <w:r>
              <w:rPr>
                <w:rFonts w:ascii="Times New Roman" w:hAnsi="Times New Roman"/>
                <w:sz w:val="21"/>
                <w:szCs w:val="21"/>
              </w:rPr>
              <w:t>水泥磨车间</w:t>
            </w:r>
          </w:p>
        </w:tc>
        <w:tc>
          <w:tcPr>
            <w:tcW w:w="1094" w:type="dxa"/>
            <w:vAlign w:val="center"/>
          </w:tcPr>
          <w:p>
            <w:pPr>
              <w:pStyle w:val="9"/>
              <w:jc w:val="center"/>
              <w:rPr>
                <w:rFonts w:ascii="Times New Roman" w:hAnsi="Times New Roman"/>
                <w:sz w:val="21"/>
                <w:szCs w:val="21"/>
              </w:rPr>
            </w:pPr>
            <w:r>
              <w:rPr>
                <w:rFonts w:ascii="Times New Roman" w:hAnsi="Times New Roman"/>
                <w:sz w:val="21"/>
                <w:szCs w:val="21"/>
              </w:rPr>
              <w:t>水泥磨</w:t>
            </w:r>
          </w:p>
        </w:tc>
        <w:tc>
          <w:tcPr>
            <w:tcW w:w="849" w:type="dxa"/>
            <w:vAlign w:val="center"/>
          </w:tcPr>
          <w:p>
            <w:pPr>
              <w:pStyle w:val="9"/>
              <w:jc w:val="center"/>
              <w:rPr>
                <w:rFonts w:hint="eastAsia" w:ascii="Times New Roman" w:hAnsi="Times New Roman"/>
                <w:sz w:val="21"/>
                <w:szCs w:val="21"/>
              </w:rPr>
            </w:pPr>
            <w:r>
              <w:rPr>
                <w:rFonts w:hint="eastAsia" w:ascii="Times New Roman" w:hAnsi="Times New Roman"/>
                <w:sz w:val="21"/>
                <w:szCs w:val="21"/>
              </w:rPr>
              <w:t>1</w:t>
            </w:r>
          </w:p>
        </w:tc>
        <w:tc>
          <w:tcPr>
            <w:tcW w:w="953" w:type="dxa"/>
            <w:vAlign w:val="center"/>
          </w:tcPr>
          <w:p>
            <w:pPr>
              <w:pStyle w:val="9"/>
              <w:jc w:val="center"/>
              <w:rPr>
                <w:rFonts w:ascii="Times New Roman" w:hAnsi="Times New Roman"/>
                <w:sz w:val="21"/>
                <w:szCs w:val="21"/>
              </w:rPr>
            </w:pPr>
            <w:r>
              <w:rPr>
                <w:rFonts w:ascii="Times New Roman" w:hAnsi="Times New Roman"/>
                <w:sz w:val="21"/>
                <w:szCs w:val="21"/>
              </w:rPr>
              <w:t>95~105</w:t>
            </w:r>
          </w:p>
        </w:tc>
        <w:tc>
          <w:tcPr>
            <w:tcW w:w="2770" w:type="dxa"/>
            <w:vMerge w:val="restart"/>
            <w:vAlign w:val="center"/>
          </w:tcPr>
          <w:p>
            <w:pPr>
              <w:pStyle w:val="9"/>
              <w:jc w:val="center"/>
              <w:rPr>
                <w:rFonts w:ascii="Times New Roman" w:hAnsi="Times New Roman"/>
                <w:sz w:val="21"/>
                <w:szCs w:val="21"/>
              </w:rPr>
            </w:pPr>
            <w:r>
              <w:rPr>
                <w:rFonts w:ascii="Times New Roman" w:hAnsi="Times New Roman"/>
                <w:sz w:val="21"/>
                <w:szCs w:val="21"/>
              </w:rPr>
              <w:t>封闭式车间，设置隔声门窗，减振，对主要散热设备采取降温措施 ，循环风消声、减振</w:t>
            </w:r>
          </w:p>
        </w:tc>
        <w:tc>
          <w:tcPr>
            <w:tcW w:w="436" w:type="dxa"/>
            <w:vMerge w:val="restart"/>
            <w:vAlign w:val="center"/>
          </w:tcPr>
          <w:p>
            <w:pPr>
              <w:pStyle w:val="9"/>
              <w:jc w:val="center"/>
              <w:rPr>
                <w:rFonts w:ascii="Times New Roman" w:hAnsi="Times New Roman"/>
                <w:sz w:val="21"/>
                <w:szCs w:val="21"/>
              </w:rPr>
            </w:pPr>
            <w:r>
              <w:rPr>
                <w:rFonts w:ascii="Times New Roman" w:hAnsi="Times New Roman"/>
                <w:sz w:val="21"/>
                <w:szCs w:val="21"/>
              </w:rPr>
              <w:t>30</w:t>
            </w:r>
          </w:p>
        </w:tc>
        <w:tc>
          <w:tcPr>
            <w:tcW w:w="852" w:type="dxa"/>
            <w:vMerge w:val="restart"/>
            <w:vAlign w:val="center"/>
          </w:tcPr>
          <w:p>
            <w:pPr>
              <w:pStyle w:val="9"/>
              <w:jc w:val="center"/>
              <w:rPr>
                <w:rFonts w:ascii="Times New Roman" w:hAnsi="Times New Roman"/>
                <w:sz w:val="21"/>
                <w:szCs w:val="21"/>
              </w:rPr>
            </w:pPr>
            <w:r>
              <w:rPr>
                <w:rFonts w:ascii="Times New Roman" w:hAnsi="Times New Roman"/>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vMerge w:val="continue"/>
            <w:vAlign w:val="center"/>
          </w:tcPr>
          <w:p>
            <w:pPr>
              <w:pStyle w:val="9"/>
              <w:jc w:val="center"/>
              <w:rPr>
                <w:rFonts w:ascii="Times New Roman" w:hAnsi="Times New Roman"/>
                <w:sz w:val="21"/>
                <w:szCs w:val="21"/>
              </w:rPr>
            </w:pPr>
          </w:p>
        </w:tc>
        <w:tc>
          <w:tcPr>
            <w:tcW w:w="884" w:type="dxa"/>
            <w:vMerge w:val="continue"/>
            <w:vAlign w:val="center"/>
          </w:tcPr>
          <w:p>
            <w:pPr>
              <w:pStyle w:val="9"/>
              <w:jc w:val="center"/>
              <w:rPr>
                <w:rFonts w:ascii="Times New Roman" w:hAnsi="Times New Roman"/>
                <w:sz w:val="21"/>
                <w:szCs w:val="21"/>
              </w:rPr>
            </w:pPr>
          </w:p>
        </w:tc>
        <w:tc>
          <w:tcPr>
            <w:tcW w:w="1094" w:type="dxa"/>
            <w:vAlign w:val="center"/>
          </w:tcPr>
          <w:p>
            <w:pPr>
              <w:pStyle w:val="9"/>
              <w:jc w:val="center"/>
              <w:rPr>
                <w:rFonts w:ascii="Times New Roman" w:hAnsi="Times New Roman"/>
                <w:sz w:val="21"/>
                <w:szCs w:val="21"/>
              </w:rPr>
            </w:pPr>
            <w:r>
              <w:rPr>
                <w:rFonts w:ascii="Times New Roman" w:hAnsi="Times New Roman"/>
                <w:sz w:val="21"/>
                <w:szCs w:val="21"/>
              </w:rPr>
              <w:t>循环风机</w:t>
            </w:r>
          </w:p>
        </w:tc>
        <w:tc>
          <w:tcPr>
            <w:tcW w:w="849" w:type="dxa"/>
            <w:vAlign w:val="center"/>
          </w:tcPr>
          <w:p>
            <w:pPr>
              <w:pStyle w:val="9"/>
              <w:jc w:val="center"/>
              <w:rPr>
                <w:rFonts w:hint="eastAsia" w:ascii="Times New Roman" w:hAnsi="Times New Roman"/>
                <w:sz w:val="21"/>
                <w:szCs w:val="21"/>
              </w:rPr>
            </w:pPr>
            <w:r>
              <w:rPr>
                <w:rFonts w:hint="eastAsia" w:ascii="Times New Roman" w:hAnsi="Times New Roman"/>
                <w:sz w:val="21"/>
                <w:szCs w:val="21"/>
              </w:rPr>
              <w:t>1</w:t>
            </w:r>
          </w:p>
        </w:tc>
        <w:tc>
          <w:tcPr>
            <w:tcW w:w="953" w:type="dxa"/>
            <w:vAlign w:val="center"/>
          </w:tcPr>
          <w:p>
            <w:pPr>
              <w:pStyle w:val="9"/>
              <w:jc w:val="center"/>
              <w:rPr>
                <w:rFonts w:ascii="Times New Roman" w:hAnsi="Times New Roman"/>
                <w:sz w:val="21"/>
                <w:szCs w:val="21"/>
              </w:rPr>
            </w:pPr>
            <w:r>
              <w:rPr>
                <w:rFonts w:ascii="Times New Roman" w:hAnsi="Times New Roman"/>
                <w:sz w:val="21"/>
                <w:szCs w:val="21"/>
              </w:rPr>
              <w:t>90~95</w:t>
            </w:r>
          </w:p>
        </w:tc>
        <w:tc>
          <w:tcPr>
            <w:tcW w:w="2770" w:type="dxa"/>
            <w:vMerge w:val="continue"/>
            <w:vAlign w:val="center"/>
          </w:tcPr>
          <w:p>
            <w:pPr>
              <w:pStyle w:val="9"/>
              <w:jc w:val="center"/>
              <w:rPr>
                <w:rFonts w:ascii="Times New Roman" w:hAnsi="Times New Roman"/>
                <w:sz w:val="21"/>
                <w:szCs w:val="21"/>
              </w:rPr>
            </w:pPr>
          </w:p>
        </w:tc>
        <w:tc>
          <w:tcPr>
            <w:tcW w:w="436" w:type="dxa"/>
            <w:vMerge w:val="continue"/>
            <w:vAlign w:val="center"/>
          </w:tcPr>
          <w:p>
            <w:pPr>
              <w:pStyle w:val="9"/>
              <w:jc w:val="center"/>
              <w:rPr>
                <w:rFonts w:ascii="Times New Roman" w:hAnsi="Times New Roman"/>
                <w:sz w:val="21"/>
                <w:szCs w:val="21"/>
              </w:rPr>
            </w:pPr>
          </w:p>
        </w:tc>
        <w:tc>
          <w:tcPr>
            <w:tcW w:w="852" w:type="dxa"/>
            <w:vMerge w:val="continue"/>
            <w:vAlign w:val="center"/>
          </w:tcPr>
          <w:p>
            <w:pPr>
              <w:pStyle w:val="9"/>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vMerge w:val="continue"/>
            <w:vAlign w:val="center"/>
          </w:tcPr>
          <w:p>
            <w:pPr>
              <w:pStyle w:val="9"/>
              <w:jc w:val="center"/>
              <w:rPr>
                <w:rFonts w:ascii="Times New Roman" w:hAnsi="Times New Roman"/>
                <w:sz w:val="21"/>
                <w:szCs w:val="21"/>
              </w:rPr>
            </w:pPr>
          </w:p>
        </w:tc>
        <w:tc>
          <w:tcPr>
            <w:tcW w:w="884" w:type="dxa"/>
            <w:vMerge w:val="continue"/>
            <w:vAlign w:val="center"/>
          </w:tcPr>
          <w:p>
            <w:pPr>
              <w:pStyle w:val="9"/>
              <w:jc w:val="center"/>
              <w:rPr>
                <w:rFonts w:ascii="Times New Roman" w:hAnsi="Times New Roman"/>
                <w:sz w:val="21"/>
                <w:szCs w:val="21"/>
              </w:rPr>
            </w:pPr>
          </w:p>
        </w:tc>
        <w:tc>
          <w:tcPr>
            <w:tcW w:w="1094" w:type="dxa"/>
            <w:vAlign w:val="center"/>
          </w:tcPr>
          <w:p>
            <w:pPr>
              <w:pStyle w:val="9"/>
              <w:jc w:val="center"/>
              <w:rPr>
                <w:rFonts w:ascii="Times New Roman" w:hAnsi="Times New Roman"/>
                <w:sz w:val="21"/>
                <w:szCs w:val="21"/>
              </w:rPr>
            </w:pPr>
            <w:r>
              <w:rPr>
                <w:rFonts w:ascii="Times New Roman" w:hAnsi="Times New Roman"/>
                <w:sz w:val="21"/>
                <w:szCs w:val="21"/>
              </w:rPr>
              <w:t>选粉机</w:t>
            </w:r>
          </w:p>
        </w:tc>
        <w:tc>
          <w:tcPr>
            <w:tcW w:w="849" w:type="dxa"/>
            <w:vAlign w:val="center"/>
          </w:tcPr>
          <w:p>
            <w:pPr>
              <w:pStyle w:val="9"/>
              <w:jc w:val="center"/>
              <w:rPr>
                <w:rFonts w:hint="eastAsia" w:ascii="Times New Roman" w:hAnsi="Times New Roman"/>
                <w:sz w:val="21"/>
                <w:szCs w:val="21"/>
              </w:rPr>
            </w:pPr>
            <w:r>
              <w:rPr>
                <w:rFonts w:hint="eastAsia" w:ascii="Times New Roman" w:hAnsi="Times New Roman"/>
                <w:sz w:val="21"/>
                <w:szCs w:val="21"/>
              </w:rPr>
              <w:t>1</w:t>
            </w:r>
          </w:p>
        </w:tc>
        <w:tc>
          <w:tcPr>
            <w:tcW w:w="953" w:type="dxa"/>
            <w:vAlign w:val="center"/>
          </w:tcPr>
          <w:p>
            <w:pPr>
              <w:pStyle w:val="9"/>
              <w:jc w:val="center"/>
              <w:rPr>
                <w:rFonts w:ascii="Times New Roman" w:hAnsi="Times New Roman"/>
                <w:sz w:val="21"/>
                <w:szCs w:val="21"/>
              </w:rPr>
            </w:pPr>
            <w:r>
              <w:rPr>
                <w:rFonts w:ascii="Times New Roman" w:hAnsi="Times New Roman"/>
                <w:sz w:val="21"/>
                <w:szCs w:val="21"/>
              </w:rPr>
              <w:t>85~90</w:t>
            </w:r>
          </w:p>
        </w:tc>
        <w:tc>
          <w:tcPr>
            <w:tcW w:w="2770" w:type="dxa"/>
            <w:vMerge w:val="continue"/>
            <w:vAlign w:val="center"/>
          </w:tcPr>
          <w:p>
            <w:pPr>
              <w:pStyle w:val="9"/>
              <w:jc w:val="center"/>
              <w:rPr>
                <w:rFonts w:ascii="Times New Roman" w:hAnsi="Times New Roman"/>
                <w:sz w:val="21"/>
                <w:szCs w:val="21"/>
              </w:rPr>
            </w:pPr>
          </w:p>
        </w:tc>
        <w:tc>
          <w:tcPr>
            <w:tcW w:w="436" w:type="dxa"/>
            <w:vMerge w:val="continue"/>
            <w:vAlign w:val="center"/>
          </w:tcPr>
          <w:p>
            <w:pPr>
              <w:pStyle w:val="9"/>
              <w:jc w:val="center"/>
              <w:rPr>
                <w:rFonts w:ascii="Times New Roman" w:hAnsi="Times New Roman"/>
                <w:sz w:val="21"/>
                <w:szCs w:val="21"/>
              </w:rPr>
            </w:pPr>
          </w:p>
        </w:tc>
        <w:tc>
          <w:tcPr>
            <w:tcW w:w="852" w:type="dxa"/>
            <w:vMerge w:val="continue"/>
            <w:vAlign w:val="center"/>
          </w:tcPr>
          <w:p>
            <w:pPr>
              <w:pStyle w:val="9"/>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vMerge w:val="continue"/>
            <w:vAlign w:val="center"/>
          </w:tcPr>
          <w:p>
            <w:pPr>
              <w:pStyle w:val="9"/>
              <w:jc w:val="center"/>
              <w:rPr>
                <w:rFonts w:ascii="Times New Roman" w:hAnsi="Times New Roman"/>
                <w:sz w:val="21"/>
                <w:szCs w:val="21"/>
              </w:rPr>
            </w:pPr>
          </w:p>
        </w:tc>
        <w:tc>
          <w:tcPr>
            <w:tcW w:w="884" w:type="dxa"/>
            <w:vMerge w:val="continue"/>
            <w:vAlign w:val="center"/>
          </w:tcPr>
          <w:p>
            <w:pPr>
              <w:pStyle w:val="9"/>
              <w:jc w:val="center"/>
              <w:rPr>
                <w:rFonts w:ascii="Times New Roman" w:hAnsi="Times New Roman"/>
                <w:sz w:val="21"/>
                <w:szCs w:val="21"/>
              </w:rPr>
            </w:pPr>
          </w:p>
        </w:tc>
        <w:tc>
          <w:tcPr>
            <w:tcW w:w="1094" w:type="dxa"/>
            <w:vAlign w:val="center"/>
          </w:tcPr>
          <w:p>
            <w:pPr>
              <w:pStyle w:val="9"/>
              <w:jc w:val="center"/>
              <w:rPr>
                <w:rFonts w:ascii="Times New Roman" w:hAnsi="Times New Roman"/>
                <w:sz w:val="21"/>
                <w:szCs w:val="21"/>
              </w:rPr>
            </w:pPr>
            <w:r>
              <w:rPr>
                <w:rFonts w:ascii="Times New Roman" w:hAnsi="Times New Roman"/>
                <w:sz w:val="21"/>
                <w:szCs w:val="21"/>
              </w:rPr>
              <w:t>循环风机电机</w:t>
            </w:r>
          </w:p>
        </w:tc>
        <w:tc>
          <w:tcPr>
            <w:tcW w:w="849" w:type="dxa"/>
            <w:vAlign w:val="center"/>
          </w:tcPr>
          <w:p>
            <w:pPr>
              <w:pStyle w:val="9"/>
              <w:jc w:val="center"/>
              <w:rPr>
                <w:rFonts w:ascii="Times New Roman" w:hAnsi="Times New Roman"/>
                <w:sz w:val="21"/>
                <w:szCs w:val="21"/>
              </w:rPr>
            </w:pPr>
          </w:p>
        </w:tc>
        <w:tc>
          <w:tcPr>
            <w:tcW w:w="953" w:type="dxa"/>
            <w:vAlign w:val="center"/>
          </w:tcPr>
          <w:p>
            <w:pPr>
              <w:pStyle w:val="9"/>
              <w:jc w:val="center"/>
              <w:rPr>
                <w:rFonts w:ascii="Times New Roman" w:hAnsi="Times New Roman"/>
                <w:sz w:val="21"/>
                <w:szCs w:val="21"/>
              </w:rPr>
            </w:pPr>
            <w:r>
              <w:rPr>
                <w:rFonts w:ascii="Times New Roman" w:hAnsi="Times New Roman"/>
                <w:sz w:val="21"/>
                <w:szCs w:val="21"/>
              </w:rPr>
              <w:t>85~90</w:t>
            </w:r>
          </w:p>
        </w:tc>
        <w:tc>
          <w:tcPr>
            <w:tcW w:w="2770" w:type="dxa"/>
            <w:vMerge w:val="continue"/>
            <w:vAlign w:val="center"/>
          </w:tcPr>
          <w:p>
            <w:pPr>
              <w:pStyle w:val="9"/>
              <w:jc w:val="center"/>
              <w:rPr>
                <w:rFonts w:ascii="Times New Roman" w:hAnsi="Times New Roman"/>
                <w:sz w:val="21"/>
                <w:szCs w:val="21"/>
              </w:rPr>
            </w:pPr>
          </w:p>
        </w:tc>
        <w:tc>
          <w:tcPr>
            <w:tcW w:w="436" w:type="dxa"/>
            <w:vMerge w:val="continue"/>
            <w:vAlign w:val="center"/>
          </w:tcPr>
          <w:p>
            <w:pPr>
              <w:pStyle w:val="9"/>
              <w:jc w:val="center"/>
              <w:rPr>
                <w:rFonts w:ascii="Times New Roman" w:hAnsi="Times New Roman"/>
                <w:sz w:val="21"/>
                <w:szCs w:val="21"/>
              </w:rPr>
            </w:pPr>
          </w:p>
        </w:tc>
        <w:tc>
          <w:tcPr>
            <w:tcW w:w="852" w:type="dxa"/>
            <w:vMerge w:val="continue"/>
            <w:vAlign w:val="center"/>
          </w:tcPr>
          <w:p>
            <w:pPr>
              <w:pStyle w:val="9"/>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vAlign w:val="center"/>
          </w:tcPr>
          <w:p>
            <w:pPr>
              <w:pStyle w:val="9"/>
              <w:jc w:val="center"/>
              <w:rPr>
                <w:rFonts w:ascii="Times New Roman" w:hAnsi="Times New Roman"/>
                <w:sz w:val="21"/>
                <w:szCs w:val="21"/>
              </w:rPr>
            </w:pPr>
            <w:r>
              <w:rPr>
                <w:rFonts w:ascii="Times New Roman" w:hAnsi="Times New Roman"/>
                <w:sz w:val="21"/>
                <w:szCs w:val="21"/>
              </w:rPr>
              <w:t>9</w:t>
            </w:r>
          </w:p>
        </w:tc>
        <w:tc>
          <w:tcPr>
            <w:tcW w:w="884" w:type="dxa"/>
            <w:vAlign w:val="center"/>
          </w:tcPr>
          <w:p>
            <w:pPr>
              <w:pStyle w:val="9"/>
              <w:jc w:val="center"/>
              <w:rPr>
                <w:rFonts w:ascii="Times New Roman" w:hAnsi="Times New Roman"/>
                <w:sz w:val="21"/>
                <w:szCs w:val="21"/>
              </w:rPr>
            </w:pPr>
            <w:r>
              <w:rPr>
                <w:rFonts w:ascii="Times New Roman" w:hAnsi="Times New Roman"/>
                <w:sz w:val="21"/>
                <w:szCs w:val="21"/>
              </w:rPr>
              <w:t>水泥库</w:t>
            </w:r>
          </w:p>
        </w:tc>
        <w:tc>
          <w:tcPr>
            <w:tcW w:w="1094" w:type="dxa"/>
            <w:vAlign w:val="center"/>
          </w:tcPr>
          <w:p>
            <w:pPr>
              <w:pStyle w:val="9"/>
              <w:jc w:val="center"/>
              <w:rPr>
                <w:rFonts w:ascii="Times New Roman" w:hAnsi="Times New Roman"/>
                <w:sz w:val="21"/>
                <w:szCs w:val="21"/>
              </w:rPr>
            </w:pPr>
            <w:r>
              <w:rPr>
                <w:rFonts w:ascii="Times New Roman" w:hAnsi="Times New Roman"/>
                <w:sz w:val="21"/>
                <w:szCs w:val="21"/>
              </w:rPr>
              <w:t>罗茨风机</w:t>
            </w:r>
          </w:p>
        </w:tc>
        <w:tc>
          <w:tcPr>
            <w:tcW w:w="849" w:type="dxa"/>
            <w:vAlign w:val="center"/>
          </w:tcPr>
          <w:p>
            <w:pPr>
              <w:pStyle w:val="9"/>
              <w:jc w:val="center"/>
              <w:rPr>
                <w:rFonts w:hint="eastAsia" w:ascii="Times New Roman" w:hAnsi="Times New Roman"/>
                <w:sz w:val="21"/>
                <w:szCs w:val="21"/>
              </w:rPr>
            </w:pPr>
            <w:r>
              <w:rPr>
                <w:rFonts w:hint="eastAsia" w:ascii="Times New Roman" w:hAnsi="Times New Roman"/>
                <w:sz w:val="21"/>
                <w:szCs w:val="21"/>
              </w:rPr>
              <w:t>6</w:t>
            </w:r>
          </w:p>
        </w:tc>
        <w:tc>
          <w:tcPr>
            <w:tcW w:w="953" w:type="dxa"/>
            <w:vAlign w:val="center"/>
          </w:tcPr>
          <w:p>
            <w:pPr>
              <w:pStyle w:val="9"/>
              <w:jc w:val="center"/>
              <w:rPr>
                <w:rFonts w:ascii="Times New Roman" w:hAnsi="Times New Roman"/>
                <w:sz w:val="21"/>
                <w:szCs w:val="21"/>
              </w:rPr>
            </w:pPr>
            <w:r>
              <w:rPr>
                <w:rFonts w:ascii="Times New Roman" w:hAnsi="Times New Roman"/>
                <w:sz w:val="21"/>
                <w:szCs w:val="21"/>
              </w:rPr>
              <w:t>95~105</w:t>
            </w:r>
          </w:p>
        </w:tc>
        <w:tc>
          <w:tcPr>
            <w:tcW w:w="2770" w:type="dxa"/>
            <w:vAlign w:val="center"/>
          </w:tcPr>
          <w:p>
            <w:pPr>
              <w:pStyle w:val="9"/>
              <w:jc w:val="center"/>
              <w:rPr>
                <w:rFonts w:ascii="Times New Roman" w:hAnsi="Times New Roman"/>
                <w:sz w:val="21"/>
                <w:szCs w:val="21"/>
              </w:rPr>
            </w:pPr>
            <w:r>
              <w:rPr>
                <w:rFonts w:ascii="Times New Roman" w:hAnsi="Times New Roman"/>
                <w:sz w:val="21"/>
                <w:szCs w:val="21"/>
              </w:rPr>
              <w:t>安装消声器，风机房隔声、减振</w:t>
            </w:r>
          </w:p>
        </w:tc>
        <w:tc>
          <w:tcPr>
            <w:tcW w:w="436" w:type="dxa"/>
            <w:vAlign w:val="center"/>
          </w:tcPr>
          <w:p>
            <w:pPr>
              <w:pStyle w:val="9"/>
              <w:jc w:val="center"/>
              <w:rPr>
                <w:rFonts w:ascii="Times New Roman" w:hAnsi="Times New Roman"/>
                <w:sz w:val="21"/>
                <w:szCs w:val="21"/>
              </w:rPr>
            </w:pPr>
            <w:r>
              <w:rPr>
                <w:rFonts w:ascii="Times New Roman" w:hAnsi="Times New Roman"/>
                <w:sz w:val="21"/>
                <w:szCs w:val="21"/>
              </w:rPr>
              <w:t>30</w:t>
            </w:r>
          </w:p>
        </w:tc>
        <w:tc>
          <w:tcPr>
            <w:tcW w:w="852" w:type="dxa"/>
            <w:vAlign w:val="center"/>
          </w:tcPr>
          <w:p>
            <w:pPr>
              <w:pStyle w:val="9"/>
              <w:jc w:val="center"/>
              <w:rPr>
                <w:rFonts w:ascii="Times New Roman" w:hAnsi="Times New Roman"/>
                <w:sz w:val="21"/>
                <w:szCs w:val="21"/>
              </w:rPr>
            </w:pPr>
            <w:r>
              <w:rPr>
                <w:rFonts w:ascii="Times New Roman" w:hAnsi="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vAlign w:val="center"/>
          </w:tcPr>
          <w:p>
            <w:pPr>
              <w:pStyle w:val="9"/>
              <w:jc w:val="center"/>
              <w:rPr>
                <w:rFonts w:ascii="Times New Roman" w:hAnsi="Times New Roman"/>
                <w:sz w:val="21"/>
                <w:szCs w:val="21"/>
              </w:rPr>
            </w:pPr>
            <w:r>
              <w:rPr>
                <w:rFonts w:ascii="Times New Roman" w:hAnsi="Times New Roman"/>
                <w:sz w:val="21"/>
                <w:szCs w:val="21"/>
              </w:rPr>
              <w:t>10</w:t>
            </w:r>
          </w:p>
        </w:tc>
        <w:tc>
          <w:tcPr>
            <w:tcW w:w="884" w:type="dxa"/>
            <w:vAlign w:val="center"/>
          </w:tcPr>
          <w:p>
            <w:pPr>
              <w:pStyle w:val="9"/>
              <w:jc w:val="center"/>
              <w:rPr>
                <w:rFonts w:ascii="Times New Roman" w:hAnsi="Times New Roman"/>
                <w:sz w:val="21"/>
                <w:szCs w:val="21"/>
              </w:rPr>
            </w:pPr>
            <w:r>
              <w:rPr>
                <w:rFonts w:ascii="Times New Roman" w:hAnsi="Times New Roman"/>
                <w:sz w:val="21"/>
                <w:szCs w:val="21"/>
              </w:rPr>
              <w:t>包装车间</w:t>
            </w:r>
          </w:p>
        </w:tc>
        <w:tc>
          <w:tcPr>
            <w:tcW w:w="1094" w:type="dxa"/>
            <w:vAlign w:val="center"/>
          </w:tcPr>
          <w:p>
            <w:pPr>
              <w:pStyle w:val="9"/>
              <w:jc w:val="center"/>
              <w:rPr>
                <w:rFonts w:ascii="Times New Roman" w:hAnsi="Times New Roman"/>
                <w:sz w:val="21"/>
                <w:szCs w:val="21"/>
              </w:rPr>
            </w:pPr>
            <w:r>
              <w:rPr>
                <w:rFonts w:ascii="Times New Roman" w:hAnsi="Times New Roman"/>
                <w:sz w:val="21"/>
                <w:szCs w:val="21"/>
              </w:rPr>
              <w:t>除尘风机</w:t>
            </w:r>
          </w:p>
        </w:tc>
        <w:tc>
          <w:tcPr>
            <w:tcW w:w="849" w:type="dxa"/>
            <w:vAlign w:val="center"/>
          </w:tcPr>
          <w:p>
            <w:pPr>
              <w:pStyle w:val="9"/>
              <w:jc w:val="center"/>
              <w:rPr>
                <w:rFonts w:hint="eastAsia" w:ascii="Times New Roman" w:hAnsi="Times New Roman"/>
                <w:sz w:val="21"/>
                <w:szCs w:val="21"/>
              </w:rPr>
            </w:pPr>
            <w:r>
              <w:rPr>
                <w:rFonts w:hint="eastAsia" w:ascii="Times New Roman" w:hAnsi="Times New Roman"/>
                <w:sz w:val="21"/>
                <w:szCs w:val="21"/>
              </w:rPr>
              <w:t>4</w:t>
            </w:r>
          </w:p>
        </w:tc>
        <w:tc>
          <w:tcPr>
            <w:tcW w:w="953" w:type="dxa"/>
            <w:vAlign w:val="center"/>
          </w:tcPr>
          <w:p>
            <w:pPr>
              <w:pStyle w:val="9"/>
              <w:jc w:val="center"/>
              <w:rPr>
                <w:rFonts w:ascii="Times New Roman" w:hAnsi="Times New Roman"/>
                <w:sz w:val="21"/>
                <w:szCs w:val="21"/>
              </w:rPr>
            </w:pPr>
            <w:r>
              <w:rPr>
                <w:rFonts w:ascii="Times New Roman" w:hAnsi="Times New Roman"/>
                <w:sz w:val="21"/>
                <w:szCs w:val="21"/>
              </w:rPr>
              <w:t>85-90</w:t>
            </w:r>
          </w:p>
        </w:tc>
        <w:tc>
          <w:tcPr>
            <w:tcW w:w="2770" w:type="dxa"/>
            <w:vAlign w:val="center"/>
          </w:tcPr>
          <w:p>
            <w:pPr>
              <w:pStyle w:val="9"/>
              <w:jc w:val="center"/>
              <w:rPr>
                <w:rFonts w:ascii="Times New Roman" w:hAnsi="Times New Roman"/>
                <w:sz w:val="21"/>
                <w:szCs w:val="21"/>
              </w:rPr>
            </w:pPr>
            <w:r>
              <w:rPr>
                <w:rFonts w:ascii="Times New Roman" w:hAnsi="Times New Roman"/>
                <w:sz w:val="21"/>
                <w:szCs w:val="21"/>
              </w:rPr>
              <w:t>消声，隔声，减振</w:t>
            </w:r>
          </w:p>
        </w:tc>
        <w:tc>
          <w:tcPr>
            <w:tcW w:w="436" w:type="dxa"/>
            <w:vAlign w:val="center"/>
          </w:tcPr>
          <w:p>
            <w:pPr>
              <w:pStyle w:val="9"/>
              <w:jc w:val="center"/>
              <w:rPr>
                <w:rFonts w:ascii="Times New Roman" w:hAnsi="Times New Roman"/>
                <w:sz w:val="21"/>
                <w:szCs w:val="21"/>
              </w:rPr>
            </w:pPr>
            <w:r>
              <w:rPr>
                <w:rFonts w:ascii="Times New Roman" w:hAnsi="Times New Roman"/>
                <w:sz w:val="21"/>
                <w:szCs w:val="21"/>
              </w:rPr>
              <w:t>20</w:t>
            </w:r>
          </w:p>
        </w:tc>
        <w:tc>
          <w:tcPr>
            <w:tcW w:w="852" w:type="dxa"/>
            <w:vAlign w:val="center"/>
          </w:tcPr>
          <w:p>
            <w:pPr>
              <w:pStyle w:val="9"/>
              <w:jc w:val="center"/>
              <w:rPr>
                <w:rFonts w:ascii="Times New Roman" w:hAnsi="Times New Roman"/>
                <w:sz w:val="21"/>
                <w:szCs w:val="21"/>
              </w:rPr>
            </w:pPr>
            <w:r>
              <w:rPr>
                <w:rFonts w:ascii="Times New Roman" w:hAnsi="Times New Roman"/>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vAlign w:val="center"/>
          </w:tcPr>
          <w:p>
            <w:pPr>
              <w:pStyle w:val="9"/>
              <w:jc w:val="center"/>
              <w:rPr>
                <w:rFonts w:ascii="Times New Roman" w:hAnsi="Times New Roman"/>
                <w:sz w:val="21"/>
                <w:szCs w:val="21"/>
              </w:rPr>
            </w:pPr>
            <w:r>
              <w:rPr>
                <w:rFonts w:ascii="Times New Roman" w:hAnsi="Times New Roman"/>
                <w:sz w:val="21"/>
                <w:szCs w:val="21"/>
              </w:rPr>
              <w:t>11</w:t>
            </w:r>
          </w:p>
        </w:tc>
        <w:tc>
          <w:tcPr>
            <w:tcW w:w="884" w:type="dxa"/>
            <w:vAlign w:val="center"/>
          </w:tcPr>
          <w:p>
            <w:pPr>
              <w:pStyle w:val="9"/>
              <w:jc w:val="center"/>
              <w:rPr>
                <w:rFonts w:ascii="Times New Roman" w:hAnsi="Times New Roman"/>
                <w:sz w:val="21"/>
                <w:szCs w:val="21"/>
              </w:rPr>
            </w:pPr>
            <w:r>
              <w:rPr>
                <w:rFonts w:ascii="Times New Roman" w:hAnsi="Times New Roman"/>
                <w:sz w:val="21"/>
                <w:szCs w:val="21"/>
              </w:rPr>
              <w:t>循环水泵房</w:t>
            </w:r>
          </w:p>
        </w:tc>
        <w:tc>
          <w:tcPr>
            <w:tcW w:w="1094" w:type="dxa"/>
            <w:vAlign w:val="center"/>
          </w:tcPr>
          <w:p>
            <w:pPr>
              <w:pStyle w:val="9"/>
              <w:jc w:val="center"/>
              <w:rPr>
                <w:rFonts w:ascii="Times New Roman" w:hAnsi="Times New Roman"/>
                <w:sz w:val="21"/>
                <w:szCs w:val="21"/>
              </w:rPr>
            </w:pPr>
            <w:r>
              <w:rPr>
                <w:rFonts w:ascii="Times New Roman" w:hAnsi="Times New Roman"/>
                <w:sz w:val="21"/>
                <w:szCs w:val="21"/>
              </w:rPr>
              <w:t>水泵</w:t>
            </w:r>
          </w:p>
        </w:tc>
        <w:tc>
          <w:tcPr>
            <w:tcW w:w="849" w:type="dxa"/>
            <w:vAlign w:val="center"/>
          </w:tcPr>
          <w:p>
            <w:pPr>
              <w:pStyle w:val="9"/>
              <w:jc w:val="center"/>
              <w:rPr>
                <w:rFonts w:ascii="Times New Roman" w:hAnsi="Times New Roman"/>
                <w:sz w:val="21"/>
                <w:szCs w:val="21"/>
              </w:rPr>
            </w:pPr>
            <w:r>
              <w:rPr>
                <w:rFonts w:ascii="Times New Roman" w:hAnsi="Times New Roman"/>
                <w:sz w:val="21"/>
                <w:szCs w:val="21"/>
              </w:rPr>
              <w:t>2</w:t>
            </w:r>
          </w:p>
        </w:tc>
        <w:tc>
          <w:tcPr>
            <w:tcW w:w="953" w:type="dxa"/>
            <w:vAlign w:val="center"/>
          </w:tcPr>
          <w:p>
            <w:pPr>
              <w:pStyle w:val="9"/>
              <w:jc w:val="center"/>
              <w:rPr>
                <w:rFonts w:ascii="Times New Roman" w:hAnsi="Times New Roman"/>
                <w:sz w:val="21"/>
                <w:szCs w:val="21"/>
              </w:rPr>
            </w:pPr>
            <w:r>
              <w:rPr>
                <w:rFonts w:ascii="Times New Roman" w:hAnsi="Times New Roman"/>
                <w:sz w:val="21"/>
                <w:szCs w:val="21"/>
              </w:rPr>
              <w:t>80~85</w:t>
            </w:r>
          </w:p>
        </w:tc>
        <w:tc>
          <w:tcPr>
            <w:tcW w:w="2770" w:type="dxa"/>
            <w:vAlign w:val="center"/>
          </w:tcPr>
          <w:p>
            <w:pPr>
              <w:pStyle w:val="9"/>
              <w:jc w:val="center"/>
              <w:rPr>
                <w:rFonts w:ascii="Times New Roman" w:hAnsi="Times New Roman"/>
                <w:sz w:val="21"/>
                <w:szCs w:val="21"/>
              </w:rPr>
            </w:pPr>
            <w:r>
              <w:rPr>
                <w:rFonts w:ascii="Times New Roman" w:hAnsi="Times New Roman"/>
                <w:sz w:val="21"/>
                <w:szCs w:val="21"/>
              </w:rPr>
              <w:t>设在隔声房内，减振</w:t>
            </w:r>
          </w:p>
        </w:tc>
        <w:tc>
          <w:tcPr>
            <w:tcW w:w="436" w:type="dxa"/>
            <w:vAlign w:val="center"/>
          </w:tcPr>
          <w:p>
            <w:pPr>
              <w:pStyle w:val="9"/>
              <w:jc w:val="center"/>
              <w:rPr>
                <w:rFonts w:ascii="Times New Roman" w:hAnsi="Times New Roman"/>
                <w:sz w:val="21"/>
                <w:szCs w:val="21"/>
              </w:rPr>
            </w:pPr>
            <w:r>
              <w:rPr>
                <w:rFonts w:ascii="Times New Roman" w:hAnsi="Times New Roman"/>
                <w:sz w:val="21"/>
                <w:szCs w:val="21"/>
              </w:rPr>
              <w:t>25</w:t>
            </w:r>
          </w:p>
        </w:tc>
        <w:tc>
          <w:tcPr>
            <w:tcW w:w="852" w:type="dxa"/>
            <w:vAlign w:val="center"/>
          </w:tcPr>
          <w:p>
            <w:pPr>
              <w:pStyle w:val="9"/>
              <w:jc w:val="center"/>
              <w:rPr>
                <w:rFonts w:ascii="Times New Roman" w:hAnsi="Times New Roman"/>
                <w:sz w:val="21"/>
                <w:szCs w:val="21"/>
              </w:rPr>
            </w:pPr>
            <w:r>
              <w:rPr>
                <w:rFonts w:ascii="Times New Roman" w:hAnsi="Times New Roman"/>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vMerge w:val="restart"/>
            <w:vAlign w:val="center"/>
          </w:tcPr>
          <w:p>
            <w:pPr>
              <w:pStyle w:val="9"/>
              <w:jc w:val="center"/>
              <w:rPr>
                <w:rFonts w:ascii="Times New Roman" w:hAnsi="Times New Roman"/>
                <w:sz w:val="21"/>
                <w:szCs w:val="21"/>
              </w:rPr>
            </w:pPr>
            <w:r>
              <w:rPr>
                <w:rFonts w:ascii="Times New Roman" w:hAnsi="Times New Roman"/>
                <w:sz w:val="21"/>
                <w:szCs w:val="21"/>
              </w:rPr>
              <w:t>12</w:t>
            </w:r>
          </w:p>
        </w:tc>
        <w:tc>
          <w:tcPr>
            <w:tcW w:w="884" w:type="dxa"/>
            <w:vMerge w:val="restart"/>
            <w:vAlign w:val="center"/>
          </w:tcPr>
          <w:p>
            <w:pPr>
              <w:pStyle w:val="9"/>
              <w:jc w:val="center"/>
              <w:rPr>
                <w:rFonts w:ascii="Times New Roman" w:hAnsi="Times New Roman"/>
                <w:sz w:val="21"/>
                <w:szCs w:val="21"/>
              </w:rPr>
            </w:pPr>
            <w:r>
              <w:rPr>
                <w:rFonts w:ascii="Times New Roman" w:hAnsi="Times New Roman"/>
                <w:sz w:val="21"/>
                <w:szCs w:val="21"/>
              </w:rPr>
              <w:t>辅助原料破碎</w:t>
            </w:r>
          </w:p>
        </w:tc>
        <w:tc>
          <w:tcPr>
            <w:tcW w:w="1094" w:type="dxa"/>
            <w:vAlign w:val="center"/>
          </w:tcPr>
          <w:p>
            <w:pPr>
              <w:pStyle w:val="9"/>
              <w:jc w:val="center"/>
              <w:rPr>
                <w:rFonts w:ascii="Times New Roman" w:hAnsi="Times New Roman"/>
                <w:sz w:val="21"/>
                <w:szCs w:val="21"/>
              </w:rPr>
            </w:pPr>
            <w:r>
              <w:rPr>
                <w:rFonts w:ascii="Times New Roman" w:hAnsi="Times New Roman"/>
                <w:sz w:val="21"/>
                <w:szCs w:val="21"/>
              </w:rPr>
              <w:t>破碎机</w:t>
            </w:r>
          </w:p>
        </w:tc>
        <w:tc>
          <w:tcPr>
            <w:tcW w:w="849" w:type="dxa"/>
            <w:vAlign w:val="center"/>
          </w:tcPr>
          <w:p>
            <w:pPr>
              <w:pStyle w:val="9"/>
              <w:jc w:val="center"/>
              <w:rPr>
                <w:rFonts w:ascii="Times New Roman" w:hAnsi="Times New Roman"/>
                <w:sz w:val="21"/>
                <w:szCs w:val="21"/>
              </w:rPr>
            </w:pPr>
            <w:r>
              <w:rPr>
                <w:rFonts w:ascii="Times New Roman" w:hAnsi="Times New Roman"/>
                <w:sz w:val="21"/>
                <w:szCs w:val="21"/>
              </w:rPr>
              <w:t>1</w:t>
            </w:r>
          </w:p>
        </w:tc>
        <w:tc>
          <w:tcPr>
            <w:tcW w:w="953" w:type="dxa"/>
            <w:vAlign w:val="center"/>
          </w:tcPr>
          <w:p>
            <w:pPr>
              <w:pStyle w:val="9"/>
              <w:jc w:val="center"/>
              <w:rPr>
                <w:rFonts w:ascii="Times New Roman" w:hAnsi="Times New Roman"/>
                <w:sz w:val="21"/>
                <w:szCs w:val="21"/>
              </w:rPr>
            </w:pPr>
            <w:r>
              <w:rPr>
                <w:rFonts w:ascii="Times New Roman" w:hAnsi="Times New Roman"/>
                <w:sz w:val="21"/>
                <w:szCs w:val="21"/>
              </w:rPr>
              <w:t>90~95</w:t>
            </w:r>
          </w:p>
        </w:tc>
        <w:tc>
          <w:tcPr>
            <w:tcW w:w="2770" w:type="dxa"/>
            <w:vMerge w:val="restart"/>
            <w:vAlign w:val="center"/>
          </w:tcPr>
          <w:p>
            <w:pPr>
              <w:pStyle w:val="9"/>
              <w:jc w:val="center"/>
              <w:rPr>
                <w:rFonts w:ascii="Times New Roman" w:hAnsi="Times New Roman"/>
                <w:sz w:val="21"/>
                <w:szCs w:val="21"/>
              </w:rPr>
            </w:pPr>
            <w:r>
              <w:rPr>
                <w:rFonts w:ascii="Times New Roman" w:hAnsi="Times New Roman"/>
                <w:sz w:val="21"/>
                <w:szCs w:val="21"/>
              </w:rPr>
              <w:t>厂房隔声，除尘风机消声、隔声，减振</w:t>
            </w:r>
          </w:p>
        </w:tc>
        <w:tc>
          <w:tcPr>
            <w:tcW w:w="436" w:type="dxa"/>
            <w:vMerge w:val="restart"/>
            <w:vAlign w:val="center"/>
          </w:tcPr>
          <w:p>
            <w:pPr>
              <w:pStyle w:val="9"/>
              <w:jc w:val="center"/>
              <w:rPr>
                <w:rFonts w:ascii="Times New Roman" w:hAnsi="Times New Roman"/>
                <w:sz w:val="21"/>
                <w:szCs w:val="21"/>
              </w:rPr>
            </w:pPr>
            <w:r>
              <w:rPr>
                <w:rFonts w:ascii="Times New Roman" w:hAnsi="Times New Roman"/>
                <w:sz w:val="21"/>
                <w:szCs w:val="21"/>
              </w:rPr>
              <w:t>20</w:t>
            </w:r>
          </w:p>
        </w:tc>
        <w:tc>
          <w:tcPr>
            <w:tcW w:w="852" w:type="dxa"/>
            <w:vMerge w:val="restart"/>
            <w:vAlign w:val="center"/>
          </w:tcPr>
          <w:p>
            <w:pPr>
              <w:pStyle w:val="9"/>
              <w:jc w:val="center"/>
              <w:rPr>
                <w:rFonts w:ascii="Times New Roman" w:hAnsi="Times New Roman"/>
                <w:sz w:val="21"/>
                <w:szCs w:val="21"/>
              </w:rPr>
            </w:pPr>
            <w:r>
              <w:rPr>
                <w:rFonts w:ascii="Times New Roman" w:hAnsi="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vMerge w:val="continue"/>
            <w:vAlign w:val="center"/>
          </w:tcPr>
          <w:p>
            <w:pPr>
              <w:pStyle w:val="9"/>
              <w:jc w:val="center"/>
              <w:rPr>
                <w:rFonts w:ascii="Times New Roman" w:hAnsi="Times New Roman"/>
                <w:sz w:val="21"/>
                <w:szCs w:val="21"/>
              </w:rPr>
            </w:pPr>
          </w:p>
        </w:tc>
        <w:tc>
          <w:tcPr>
            <w:tcW w:w="884" w:type="dxa"/>
            <w:vMerge w:val="continue"/>
            <w:vAlign w:val="center"/>
          </w:tcPr>
          <w:p>
            <w:pPr>
              <w:pStyle w:val="9"/>
              <w:jc w:val="center"/>
              <w:rPr>
                <w:rFonts w:ascii="Times New Roman" w:hAnsi="Times New Roman"/>
                <w:sz w:val="21"/>
                <w:szCs w:val="21"/>
              </w:rPr>
            </w:pPr>
          </w:p>
        </w:tc>
        <w:tc>
          <w:tcPr>
            <w:tcW w:w="1094" w:type="dxa"/>
            <w:vAlign w:val="center"/>
          </w:tcPr>
          <w:p>
            <w:pPr>
              <w:pStyle w:val="9"/>
              <w:jc w:val="center"/>
              <w:rPr>
                <w:rFonts w:ascii="Times New Roman" w:hAnsi="Times New Roman"/>
                <w:sz w:val="21"/>
                <w:szCs w:val="21"/>
              </w:rPr>
            </w:pPr>
            <w:r>
              <w:rPr>
                <w:rFonts w:ascii="Times New Roman" w:hAnsi="Times New Roman"/>
                <w:sz w:val="21"/>
                <w:szCs w:val="21"/>
              </w:rPr>
              <w:t>除尘风机</w:t>
            </w:r>
          </w:p>
        </w:tc>
        <w:tc>
          <w:tcPr>
            <w:tcW w:w="849" w:type="dxa"/>
            <w:vAlign w:val="center"/>
          </w:tcPr>
          <w:p>
            <w:pPr>
              <w:pStyle w:val="9"/>
              <w:jc w:val="center"/>
              <w:rPr>
                <w:rFonts w:ascii="Times New Roman" w:hAnsi="Times New Roman"/>
                <w:sz w:val="21"/>
                <w:szCs w:val="21"/>
              </w:rPr>
            </w:pPr>
            <w:r>
              <w:rPr>
                <w:rFonts w:ascii="Times New Roman" w:hAnsi="Times New Roman"/>
                <w:sz w:val="21"/>
                <w:szCs w:val="21"/>
              </w:rPr>
              <w:t>1</w:t>
            </w:r>
          </w:p>
        </w:tc>
        <w:tc>
          <w:tcPr>
            <w:tcW w:w="953" w:type="dxa"/>
            <w:vAlign w:val="center"/>
          </w:tcPr>
          <w:p>
            <w:pPr>
              <w:pStyle w:val="9"/>
              <w:jc w:val="center"/>
              <w:rPr>
                <w:rFonts w:ascii="Times New Roman" w:hAnsi="Times New Roman"/>
                <w:sz w:val="21"/>
                <w:szCs w:val="21"/>
              </w:rPr>
            </w:pPr>
            <w:r>
              <w:rPr>
                <w:rFonts w:ascii="Times New Roman" w:hAnsi="Times New Roman"/>
                <w:sz w:val="21"/>
                <w:szCs w:val="21"/>
              </w:rPr>
              <w:t>85~90</w:t>
            </w:r>
          </w:p>
        </w:tc>
        <w:tc>
          <w:tcPr>
            <w:tcW w:w="2770" w:type="dxa"/>
            <w:vMerge w:val="continue"/>
            <w:vAlign w:val="center"/>
          </w:tcPr>
          <w:p>
            <w:pPr>
              <w:pStyle w:val="9"/>
              <w:jc w:val="center"/>
              <w:rPr>
                <w:rFonts w:ascii="Times New Roman" w:hAnsi="Times New Roman"/>
                <w:sz w:val="21"/>
                <w:szCs w:val="21"/>
              </w:rPr>
            </w:pPr>
          </w:p>
        </w:tc>
        <w:tc>
          <w:tcPr>
            <w:tcW w:w="436" w:type="dxa"/>
            <w:vMerge w:val="continue"/>
            <w:vAlign w:val="center"/>
          </w:tcPr>
          <w:p>
            <w:pPr>
              <w:pStyle w:val="9"/>
              <w:jc w:val="center"/>
              <w:rPr>
                <w:rFonts w:ascii="Times New Roman" w:hAnsi="Times New Roman"/>
                <w:sz w:val="21"/>
                <w:szCs w:val="21"/>
              </w:rPr>
            </w:pPr>
          </w:p>
        </w:tc>
        <w:tc>
          <w:tcPr>
            <w:tcW w:w="852" w:type="dxa"/>
            <w:vMerge w:val="continue"/>
            <w:vAlign w:val="center"/>
          </w:tcPr>
          <w:p>
            <w:pPr>
              <w:pStyle w:val="9"/>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vMerge w:val="restart"/>
            <w:vAlign w:val="center"/>
          </w:tcPr>
          <w:p>
            <w:pPr>
              <w:pStyle w:val="9"/>
              <w:jc w:val="center"/>
              <w:rPr>
                <w:rFonts w:ascii="Times New Roman" w:hAnsi="Times New Roman"/>
                <w:sz w:val="21"/>
                <w:szCs w:val="21"/>
              </w:rPr>
            </w:pPr>
            <w:r>
              <w:rPr>
                <w:rFonts w:ascii="Times New Roman" w:hAnsi="Times New Roman"/>
                <w:sz w:val="21"/>
                <w:szCs w:val="21"/>
              </w:rPr>
              <w:t>13</w:t>
            </w:r>
          </w:p>
        </w:tc>
        <w:tc>
          <w:tcPr>
            <w:tcW w:w="884" w:type="dxa"/>
            <w:vMerge w:val="restart"/>
            <w:vAlign w:val="center"/>
          </w:tcPr>
          <w:p>
            <w:pPr>
              <w:pStyle w:val="9"/>
              <w:jc w:val="center"/>
              <w:rPr>
                <w:rFonts w:ascii="Times New Roman" w:hAnsi="Times New Roman"/>
                <w:sz w:val="21"/>
                <w:szCs w:val="21"/>
              </w:rPr>
            </w:pPr>
            <w:r>
              <w:rPr>
                <w:rFonts w:ascii="Times New Roman" w:hAnsi="Times New Roman"/>
                <w:sz w:val="21"/>
                <w:szCs w:val="21"/>
              </w:rPr>
              <w:t>石膏破碎</w:t>
            </w:r>
          </w:p>
        </w:tc>
        <w:tc>
          <w:tcPr>
            <w:tcW w:w="1094" w:type="dxa"/>
            <w:vAlign w:val="center"/>
          </w:tcPr>
          <w:p>
            <w:pPr>
              <w:pStyle w:val="9"/>
              <w:jc w:val="center"/>
              <w:rPr>
                <w:rFonts w:ascii="Times New Roman" w:hAnsi="Times New Roman"/>
                <w:sz w:val="21"/>
                <w:szCs w:val="21"/>
              </w:rPr>
            </w:pPr>
            <w:r>
              <w:rPr>
                <w:rFonts w:ascii="Times New Roman" w:hAnsi="Times New Roman"/>
                <w:sz w:val="21"/>
                <w:szCs w:val="21"/>
              </w:rPr>
              <w:t>锤式破碎机</w:t>
            </w:r>
          </w:p>
        </w:tc>
        <w:tc>
          <w:tcPr>
            <w:tcW w:w="849" w:type="dxa"/>
            <w:vAlign w:val="center"/>
          </w:tcPr>
          <w:p>
            <w:pPr>
              <w:pStyle w:val="9"/>
              <w:jc w:val="center"/>
              <w:rPr>
                <w:rFonts w:ascii="Times New Roman" w:hAnsi="Times New Roman"/>
                <w:sz w:val="21"/>
                <w:szCs w:val="21"/>
              </w:rPr>
            </w:pPr>
            <w:r>
              <w:rPr>
                <w:rFonts w:ascii="Times New Roman" w:hAnsi="Times New Roman"/>
                <w:sz w:val="21"/>
                <w:szCs w:val="21"/>
              </w:rPr>
              <w:t>1</w:t>
            </w:r>
          </w:p>
        </w:tc>
        <w:tc>
          <w:tcPr>
            <w:tcW w:w="953" w:type="dxa"/>
            <w:vAlign w:val="center"/>
          </w:tcPr>
          <w:p>
            <w:pPr>
              <w:pStyle w:val="9"/>
              <w:jc w:val="center"/>
              <w:rPr>
                <w:rFonts w:ascii="Times New Roman" w:hAnsi="Times New Roman"/>
                <w:sz w:val="21"/>
                <w:szCs w:val="21"/>
              </w:rPr>
            </w:pPr>
            <w:r>
              <w:rPr>
                <w:rFonts w:ascii="Times New Roman" w:hAnsi="Times New Roman"/>
                <w:sz w:val="21"/>
                <w:szCs w:val="21"/>
              </w:rPr>
              <w:t>85~90</w:t>
            </w:r>
          </w:p>
        </w:tc>
        <w:tc>
          <w:tcPr>
            <w:tcW w:w="2770" w:type="dxa"/>
            <w:vMerge w:val="restart"/>
            <w:vAlign w:val="center"/>
          </w:tcPr>
          <w:p>
            <w:pPr>
              <w:pStyle w:val="9"/>
              <w:jc w:val="center"/>
              <w:rPr>
                <w:rFonts w:ascii="Times New Roman" w:hAnsi="Times New Roman"/>
                <w:sz w:val="21"/>
                <w:szCs w:val="21"/>
              </w:rPr>
            </w:pPr>
            <w:r>
              <w:rPr>
                <w:rFonts w:ascii="Times New Roman" w:hAnsi="Times New Roman"/>
                <w:sz w:val="21"/>
                <w:szCs w:val="21"/>
              </w:rPr>
              <w:t>厂房隔声，除尘风机消声、隔声，减振</w:t>
            </w:r>
          </w:p>
        </w:tc>
        <w:tc>
          <w:tcPr>
            <w:tcW w:w="436" w:type="dxa"/>
            <w:vMerge w:val="continue"/>
            <w:vAlign w:val="center"/>
          </w:tcPr>
          <w:p>
            <w:pPr>
              <w:pStyle w:val="9"/>
              <w:jc w:val="center"/>
              <w:rPr>
                <w:rFonts w:ascii="Times New Roman" w:hAnsi="Times New Roman"/>
                <w:sz w:val="21"/>
                <w:szCs w:val="21"/>
              </w:rPr>
            </w:pPr>
          </w:p>
        </w:tc>
        <w:tc>
          <w:tcPr>
            <w:tcW w:w="852" w:type="dxa"/>
            <w:vMerge w:val="continue"/>
            <w:vAlign w:val="center"/>
          </w:tcPr>
          <w:p>
            <w:pPr>
              <w:pStyle w:val="9"/>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vMerge w:val="continue"/>
            <w:vAlign w:val="center"/>
          </w:tcPr>
          <w:p>
            <w:pPr>
              <w:pStyle w:val="9"/>
              <w:jc w:val="center"/>
              <w:rPr>
                <w:rFonts w:ascii="Times New Roman" w:hAnsi="Times New Roman"/>
                <w:sz w:val="21"/>
                <w:szCs w:val="21"/>
              </w:rPr>
            </w:pPr>
          </w:p>
        </w:tc>
        <w:tc>
          <w:tcPr>
            <w:tcW w:w="884" w:type="dxa"/>
            <w:vMerge w:val="continue"/>
            <w:vAlign w:val="center"/>
          </w:tcPr>
          <w:p>
            <w:pPr>
              <w:pStyle w:val="9"/>
              <w:ind w:firstLine="420" w:firstLineChars="200"/>
              <w:jc w:val="center"/>
              <w:rPr>
                <w:rFonts w:ascii="Times New Roman" w:hAnsi="Times New Roman"/>
                <w:sz w:val="21"/>
                <w:szCs w:val="21"/>
              </w:rPr>
            </w:pPr>
          </w:p>
        </w:tc>
        <w:tc>
          <w:tcPr>
            <w:tcW w:w="1094" w:type="dxa"/>
            <w:vAlign w:val="center"/>
          </w:tcPr>
          <w:p>
            <w:pPr>
              <w:pStyle w:val="9"/>
              <w:jc w:val="center"/>
              <w:rPr>
                <w:rFonts w:ascii="Times New Roman" w:hAnsi="Times New Roman"/>
                <w:sz w:val="21"/>
                <w:szCs w:val="21"/>
              </w:rPr>
            </w:pPr>
            <w:r>
              <w:rPr>
                <w:rFonts w:ascii="Times New Roman" w:hAnsi="Times New Roman"/>
                <w:sz w:val="21"/>
                <w:szCs w:val="21"/>
              </w:rPr>
              <w:t>除尘风机</w:t>
            </w:r>
          </w:p>
        </w:tc>
        <w:tc>
          <w:tcPr>
            <w:tcW w:w="849" w:type="dxa"/>
            <w:vAlign w:val="center"/>
          </w:tcPr>
          <w:p>
            <w:pPr>
              <w:pStyle w:val="9"/>
              <w:jc w:val="center"/>
              <w:rPr>
                <w:rFonts w:ascii="Times New Roman" w:hAnsi="Times New Roman"/>
                <w:sz w:val="21"/>
                <w:szCs w:val="21"/>
              </w:rPr>
            </w:pPr>
            <w:r>
              <w:rPr>
                <w:rFonts w:ascii="Times New Roman" w:hAnsi="Times New Roman"/>
                <w:sz w:val="21"/>
                <w:szCs w:val="21"/>
              </w:rPr>
              <w:t>1</w:t>
            </w:r>
          </w:p>
        </w:tc>
        <w:tc>
          <w:tcPr>
            <w:tcW w:w="953" w:type="dxa"/>
            <w:vAlign w:val="center"/>
          </w:tcPr>
          <w:p>
            <w:pPr>
              <w:pStyle w:val="9"/>
              <w:jc w:val="center"/>
              <w:rPr>
                <w:rFonts w:ascii="Times New Roman" w:hAnsi="Times New Roman"/>
                <w:sz w:val="21"/>
                <w:szCs w:val="21"/>
              </w:rPr>
            </w:pPr>
            <w:r>
              <w:rPr>
                <w:rFonts w:ascii="Times New Roman" w:hAnsi="Times New Roman"/>
                <w:sz w:val="21"/>
                <w:szCs w:val="21"/>
              </w:rPr>
              <w:t>90~95</w:t>
            </w:r>
          </w:p>
        </w:tc>
        <w:tc>
          <w:tcPr>
            <w:tcW w:w="2770" w:type="dxa"/>
            <w:vMerge w:val="continue"/>
            <w:vAlign w:val="center"/>
          </w:tcPr>
          <w:p>
            <w:pPr>
              <w:pStyle w:val="9"/>
              <w:jc w:val="center"/>
              <w:rPr>
                <w:rFonts w:ascii="Times New Roman" w:hAnsi="Times New Roman"/>
                <w:sz w:val="21"/>
                <w:szCs w:val="21"/>
              </w:rPr>
            </w:pPr>
          </w:p>
        </w:tc>
        <w:tc>
          <w:tcPr>
            <w:tcW w:w="436" w:type="dxa"/>
            <w:vMerge w:val="continue"/>
            <w:vAlign w:val="center"/>
          </w:tcPr>
          <w:p>
            <w:pPr>
              <w:pStyle w:val="9"/>
              <w:jc w:val="center"/>
              <w:rPr>
                <w:rFonts w:ascii="Times New Roman" w:hAnsi="Times New Roman"/>
                <w:sz w:val="21"/>
                <w:szCs w:val="21"/>
              </w:rPr>
            </w:pPr>
          </w:p>
        </w:tc>
        <w:tc>
          <w:tcPr>
            <w:tcW w:w="852" w:type="dxa"/>
            <w:vMerge w:val="continue"/>
            <w:vAlign w:val="center"/>
          </w:tcPr>
          <w:p>
            <w:pPr>
              <w:pStyle w:val="9"/>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vMerge w:val="restart"/>
            <w:vAlign w:val="center"/>
          </w:tcPr>
          <w:p>
            <w:pPr>
              <w:pStyle w:val="9"/>
              <w:jc w:val="center"/>
              <w:rPr>
                <w:rFonts w:hint="eastAsia" w:ascii="Times New Roman" w:hAnsi="Times New Roman"/>
                <w:sz w:val="21"/>
                <w:szCs w:val="21"/>
              </w:rPr>
            </w:pPr>
            <w:r>
              <w:rPr>
                <w:rFonts w:ascii="Times New Roman" w:hAnsi="Times New Roman"/>
                <w:sz w:val="21"/>
                <w:szCs w:val="21"/>
              </w:rPr>
              <w:t>14</w:t>
            </w:r>
          </w:p>
          <w:p>
            <w:pPr>
              <w:pStyle w:val="9"/>
              <w:jc w:val="center"/>
              <w:rPr>
                <w:rFonts w:hint="eastAsia" w:ascii="Times New Roman" w:hAnsi="Times New Roman"/>
                <w:sz w:val="21"/>
                <w:szCs w:val="21"/>
              </w:rPr>
            </w:pPr>
          </w:p>
        </w:tc>
        <w:tc>
          <w:tcPr>
            <w:tcW w:w="884" w:type="dxa"/>
            <w:vMerge w:val="restart"/>
            <w:vAlign w:val="center"/>
          </w:tcPr>
          <w:p>
            <w:pPr>
              <w:pStyle w:val="9"/>
              <w:jc w:val="center"/>
              <w:rPr>
                <w:rFonts w:ascii="Times New Roman" w:hAnsi="Times New Roman"/>
                <w:sz w:val="21"/>
                <w:szCs w:val="21"/>
              </w:rPr>
            </w:pPr>
            <w:r>
              <w:rPr>
                <w:rFonts w:ascii="Times New Roman" w:hAnsi="Times New Roman"/>
                <w:sz w:val="21"/>
                <w:szCs w:val="21"/>
              </w:rPr>
              <w:t>余热发电系统</w:t>
            </w:r>
          </w:p>
        </w:tc>
        <w:tc>
          <w:tcPr>
            <w:tcW w:w="1094" w:type="dxa"/>
            <w:vAlign w:val="center"/>
          </w:tcPr>
          <w:p>
            <w:pPr>
              <w:pStyle w:val="13"/>
              <w:widowControl/>
              <w:pBdr>
                <w:bottom w:val="none" w:color="auto" w:sz="0" w:space="0"/>
              </w:pBdr>
              <w:tabs>
                <w:tab w:val="clear" w:pos="4153"/>
                <w:tab w:val="clear" w:pos="8306"/>
              </w:tabs>
              <w:snapToGrid/>
              <w:rPr>
                <w:kern w:val="0"/>
                <w:sz w:val="21"/>
                <w:szCs w:val="21"/>
              </w:rPr>
            </w:pPr>
            <w:r>
              <w:rPr>
                <w:kern w:val="0"/>
                <w:sz w:val="21"/>
                <w:szCs w:val="21"/>
              </w:rPr>
              <w:t>发电机</w:t>
            </w:r>
          </w:p>
        </w:tc>
        <w:tc>
          <w:tcPr>
            <w:tcW w:w="849" w:type="dxa"/>
            <w:vAlign w:val="center"/>
          </w:tcPr>
          <w:p>
            <w:pPr>
              <w:jc w:val="center"/>
              <w:rPr>
                <w:sz w:val="21"/>
                <w:szCs w:val="21"/>
              </w:rPr>
            </w:pPr>
            <w:r>
              <w:rPr>
                <w:sz w:val="21"/>
                <w:szCs w:val="21"/>
              </w:rPr>
              <w:t>1</w:t>
            </w:r>
          </w:p>
        </w:tc>
        <w:tc>
          <w:tcPr>
            <w:tcW w:w="953" w:type="dxa"/>
            <w:vAlign w:val="center"/>
          </w:tcPr>
          <w:p>
            <w:pPr>
              <w:jc w:val="center"/>
              <w:rPr>
                <w:sz w:val="21"/>
                <w:szCs w:val="21"/>
              </w:rPr>
            </w:pPr>
            <w:r>
              <w:rPr>
                <w:sz w:val="21"/>
                <w:szCs w:val="21"/>
              </w:rPr>
              <w:t>90~95</w:t>
            </w:r>
          </w:p>
        </w:tc>
        <w:tc>
          <w:tcPr>
            <w:tcW w:w="2770" w:type="dxa"/>
            <w:vAlign w:val="center"/>
          </w:tcPr>
          <w:p>
            <w:pPr>
              <w:pStyle w:val="12"/>
              <w:widowControl/>
              <w:tabs>
                <w:tab w:val="clear" w:pos="4153"/>
                <w:tab w:val="clear" w:pos="8306"/>
              </w:tabs>
              <w:snapToGrid/>
              <w:jc w:val="center"/>
              <w:rPr>
                <w:kern w:val="0"/>
                <w:sz w:val="21"/>
                <w:szCs w:val="21"/>
              </w:rPr>
            </w:pPr>
            <w:r>
              <w:rPr>
                <w:kern w:val="0"/>
                <w:sz w:val="21"/>
                <w:szCs w:val="21"/>
              </w:rPr>
              <w:t>封闭车间隔声，减振</w:t>
            </w:r>
          </w:p>
        </w:tc>
        <w:tc>
          <w:tcPr>
            <w:tcW w:w="436" w:type="dxa"/>
            <w:vMerge w:val="restart"/>
            <w:vAlign w:val="center"/>
          </w:tcPr>
          <w:p>
            <w:pPr>
              <w:pStyle w:val="9"/>
              <w:jc w:val="center"/>
              <w:rPr>
                <w:rFonts w:ascii="Times New Roman" w:hAnsi="Times New Roman"/>
                <w:sz w:val="21"/>
                <w:szCs w:val="21"/>
              </w:rPr>
            </w:pPr>
            <w:r>
              <w:rPr>
                <w:rFonts w:ascii="Times New Roman" w:hAnsi="Times New Roman"/>
                <w:sz w:val="21"/>
                <w:szCs w:val="21"/>
              </w:rPr>
              <w:t>15</w:t>
            </w:r>
          </w:p>
        </w:tc>
        <w:tc>
          <w:tcPr>
            <w:tcW w:w="852" w:type="dxa"/>
            <w:vMerge w:val="restart"/>
            <w:vAlign w:val="center"/>
          </w:tcPr>
          <w:p>
            <w:pPr>
              <w:pStyle w:val="9"/>
              <w:jc w:val="center"/>
              <w:rPr>
                <w:rFonts w:ascii="Times New Roman" w:hAnsi="Times New Roman"/>
                <w:sz w:val="21"/>
                <w:szCs w:val="21"/>
              </w:rPr>
            </w:pPr>
            <w:r>
              <w:rPr>
                <w:rFonts w:ascii="Times New Roman" w:hAnsi="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vMerge w:val="continue"/>
            <w:vAlign w:val="center"/>
          </w:tcPr>
          <w:p>
            <w:pPr>
              <w:pStyle w:val="9"/>
              <w:jc w:val="center"/>
              <w:rPr>
                <w:rFonts w:ascii="Times New Roman" w:hAnsi="Times New Roman"/>
                <w:sz w:val="21"/>
                <w:szCs w:val="21"/>
              </w:rPr>
            </w:pPr>
          </w:p>
        </w:tc>
        <w:tc>
          <w:tcPr>
            <w:tcW w:w="884" w:type="dxa"/>
            <w:vMerge w:val="continue"/>
            <w:vAlign w:val="center"/>
          </w:tcPr>
          <w:p>
            <w:pPr>
              <w:pStyle w:val="9"/>
              <w:ind w:firstLine="420" w:firstLineChars="200"/>
              <w:jc w:val="center"/>
              <w:rPr>
                <w:rFonts w:ascii="Times New Roman" w:hAnsi="Times New Roman"/>
                <w:sz w:val="21"/>
                <w:szCs w:val="21"/>
              </w:rPr>
            </w:pPr>
          </w:p>
        </w:tc>
        <w:tc>
          <w:tcPr>
            <w:tcW w:w="1094" w:type="dxa"/>
            <w:vAlign w:val="center"/>
          </w:tcPr>
          <w:p>
            <w:pPr>
              <w:pStyle w:val="13"/>
              <w:widowControl/>
              <w:pBdr>
                <w:bottom w:val="none" w:color="auto" w:sz="0" w:space="0"/>
              </w:pBdr>
              <w:tabs>
                <w:tab w:val="clear" w:pos="4153"/>
                <w:tab w:val="clear" w:pos="8306"/>
              </w:tabs>
              <w:snapToGrid/>
              <w:rPr>
                <w:kern w:val="0"/>
                <w:sz w:val="21"/>
                <w:szCs w:val="21"/>
              </w:rPr>
            </w:pPr>
            <w:r>
              <w:rPr>
                <w:kern w:val="0"/>
                <w:sz w:val="21"/>
                <w:szCs w:val="21"/>
              </w:rPr>
              <w:t>汽轮机</w:t>
            </w:r>
          </w:p>
        </w:tc>
        <w:tc>
          <w:tcPr>
            <w:tcW w:w="849" w:type="dxa"/>
            <w:vAlign w:val="center"/>
          </w:tcPr>
          <w:p>
            <w:pPr>
              <w:jc w:val="center"/>
              <w:rPr>
                <w:sz w:val="21"/>
                <w:szCs w:val="21"/>
              </w:rPr>
            </w:pPr>
            <w:r>
              <w:rPr>
                <w:sz w:val="21"/>
                <w:szCs w:val="21"/>
              </w:rPr>
              <w:t>1</w:t>
            </w:r>
          </w:p>
        </w:tc>
        <w:tc>
          <w:tcPr>
            <w:tcW w:w="953" w:type="dxa"/>
            <w:vAlign w:val="center"/>
          </w:tcPr>
          <w:p>
            <w:pPr>
              <w:jc w:val="center"/>
              <w:rPr>
                <w:sz w:val="21"/>
                <w:szCs w:val="21"/>
              </w:rPr>
            </w:pPr>
            <w:r>
              <w:rPr>
                <w:sz w:val="21"/>
                <w:szCs w:val="21"/>
              </w:rPr>
              <w:t>90~95</w:t>
            </w:r>
          </w:p>
        </w:tc>
        <w:tc>
          <w:tcPr>
            <w:tcW w:w="2770" w:type="dxa"/>
            <w:vAlign w:val="center"/>
          </w:tcPr>
          <w:p>
            <w:pPr>
              <w:pStyle w:val="12"/>
              <w:widowControl/>
              <w:tabs>
                <w:tab w:val="clear" w:pos="4153"/>
                <w:tab w:val="clear" w:pos="8306"/>
              </w:tabs>
              <w:snapToGrid/>
              <w:jc w:val="center"/>
              <w:rPr>
                <w:kern w:val="0"/>
                <w:sz w:val="21"/>
                <w:szCs w:val="21"/>
              </w:rPr>
            </w:pPr>
            <w:r>
              <w:rPr>
                <w:kern w:val="0"/>
                <w:sz w:val="21"/>
                <w:szCs w:val="21"/>
              </w:rPr>
              <w:t>封闭车间隔声，减振</w:t>
            </w:r>
          </w:p>
        </w:tc>
        <w:tc>
          <w:tcPr>
            <w:tcW w:w="436" w:type="dxa"/>
            <w:vMerge w:val="continue"/>
            <w:vAlign w:val="center"/>
          </w:tcPr>
          <w:p>
            <w:pPr>
              <w:pStyle w:val="9"/>
              <w:jc w:val="center"/>
              <w:rPr>
                <w:rFonts w:ascii="Times New Roman" w:hAnsi="Times New Roman"/>
                <w:sz w:val="21"/>
                <w:szCs w:val="21"/>
              </w:rPr>
            </w:pPr>
          </w:p>
        </w:tc>
        <w:tc>
          <w:tcPr>
            <w:tcW w:w="852" w:type="dxa"/>
            <w:vMerge w:val="continue"/>
            <w:vAlign w:val="center"/>
          </w:tcPr>
          <w:p>
            <w:pPr>
              <w:pStyle w:val="9"/>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vMerge w:val="continue"/>
            <w:vAlign w:val="center"/>
          </w:tcPr>
          <w:p>
            <w:pPr>
              <w:pStyle w:val="9"/>
              <w:jc w:val="center"/>
              <w:rPr>
                <w:rFonts w:ascii="Times New Roman" w:hAnsi="Times New Roman"/>
                <w:sz w:val="21"/>
                <w:szCs w:val="21"/>
              </w:rPr>
            </w:pPr>
          </w:p>
        </w:tc>
        <w:tc>
          <w:tcPr>
            <w:tcW w:w="884" w:type="dxa"/>
            <w:vMerge w:val="continue"/>
            <w:vAlign w:val="center"/>
          </w:tcPr>
          <w:p>
            <w:pPr>
              <w:pStyle w:val="9"/>
              <w:ind w:firstLine="420" w:firstLineChars="200"/>
              <w:jc w:val="center"/>
              <w:rPr>
                <w:rFonts w:ascii="Times New Roman" w:hAnsi="Times New Roman"/>
                <w:sz w:val="21"/>
                <w:szCs w:val="21"/>
              </w:rPr>
            </w:pPr>
          </w:p>
        </w:tc>
        <w:tc>
          <w:tcPr>
            <w:tcW w:w="1094" w:type="dxa"/>
            <w:vAlign w:val="center"/>
          </w:tcPr>
          <w:p>
            <w:pPr>
              <w:pStyle w:val="13"/>
              <w:widowControl/>
              <w:pBdr>
                <w:bottom w:val="none" w:color="auto" w:sz="0" w:space="0"/>
              </w:pBdr>
              <w:tabs>
                <w:tab w:val="clear" w:pos="4153"/>
                <w:tab w:val="clear" w:pos="8306"/>
              </w:tabs>
              <w:snapToGrid/>
              <w:rPr>
                <w:kern w:val="0"/>
                <w:sz w:val="21"/>
                <w:szCs w:val="21"/>
              </w:rPr>
            </w:pPr>
            <w:r>
              <w:rPr>
                <w:kern w:val="0"/>
                <w:sz w:val="21"/>
                <w:szCs w:val="21"/>
              </w:rPr>
              <w:t>水泵</w:t>
            </w:r>
          </w:p>
        </w:tc>
        <w:tc>
          <w:tcPr>
            <w:tcW w:w="849" w:type="dxa"/>
            <w:vAlign w:val="center"/>
          </w:tcPr>
          <w:p>
            <w:pPr>
              <w:jc w:val="center"/>
              <w:rPr>
                <w:sz w:val="21"/>
                <w:szCs w:val="21"/>
              </w:rPr>
            </w:pPr>
            <w:r>
              <w:rPr>
                <w:sz w:val="21"/>
                <w:szCs w:val="21"/>
              </w:rPr>
              <w:t>2</w:t>
            </w:r>
          </w:p>
        </w:tc>
        <w:tc>
          <w:tcPr>
            <w:tcW w:w="953" w:type="dxa"/>
            <w:vAlign w:val="center"/>
          </w:tcPr>
          <w:p>
            <w:pPr>
              <w:jc w:val="center"/>
              <w:rPr>
                <w:sz w:val="21"/>
                <w:szCs w:val="21"/>
              </w:rPr>
            </w:pPr>
            <w:r>
              <w:rPr>
                <w:sz w:val="21"/>
                <w:szCs w:val="21"/>
              </w:rPr>
              <w:t>85~90</w:t>
            </w:r>
          </w:p>
        </w:tc>
        <w:tc>
          <w:tcPr>
            <w:tcW w:w="2770" w:type="dxa"/>
            <w:vAlign w:val="center"/>
          </w:tcPr>
          <w:p>
            <w:pPr>
              <w:pStyle w:val="12"/>
              <w:widowControl/>
              <w:tabs>
                <w:tab w:val="clear" w:pos="4153"/>
                <w:tab w:val="clear" w:pos="8306"/>
              </w:tabs>
              <w:snapToGrid/>
              <w:jc w:val="center"/>
              <w:rPr>
                <w:kern w:val="0"/>
                <w:sz w:val="21"/>
                <w:szCs w:val="21"/>
              </w:rPr>
            </w:pPr>
            <w:r>
              <w:rPr>
                <w:kern w:val="0"/>
                <w:sz w:val="21"/>
                <w:szCs w:val="21"/>
              </w:rPr>
              <w:t>隔声，减振</w:t>
            </w:r>
          </w:p>
        </w:tc>
        <w:tc>
          <w:tcPr>
            <w:tcW w:w="436" w:type="dxa"/>
            <w:vMerge w:val="continue"/>
            <w:vAlign w:val="center"/>
          </w:tcPr>
          <w:p>
            <w:pPr>
              <w:pStyle w:val="9"/>
              <w:jc w:val="center"/>
              <w:rPr>
                <w:rFonts w:ascii="Times New Roman" w:hAnsi="Times New Roman"/>
                <w:sz w:val="21"/>
                <w:szCs w:val="21"/>
              </w:rPr>
            </w:pPr>
          </w:p>
        </w:tc>
        <w:tc>
          <w:tcPr>
            <w:tcW w:w="852" w:type="dxa"/>
            <w:vMerge w:val="continue"/>
            <w:vAlign w:val="center"/>
          </w:tcPr>
          <w:p>
            <w:pPr>
              <w:pStyle w:val="9"/>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vMerge w:val="continue"/>
            <w:vAlign w:val="center"/>
          </w:tcPr>
          <w:p>
            <w:pPr>
              <w:pStyle w:val="9"/>
              <w:jc w:val="center"/>
              <w:rPr>
                <w:rFonts w:ascii="Times New Roman" w:hAnsi="Times New Roman"/>
                <w:sz w:val="21"/>
                <w:szCs w:val="21"/>
              </w:rPr>
            </w:pPr>
          </w:p>
        </w:tc>
        <w:tc>
          <w:tcPr>
            <w:tcW w:w="884" w:type="dxa"/>
            <w:vMerge w:val="continue"/>
            <w:vAlign w:val="center"/>
          </w:tcPr>
          <w:p>
            <w:pPr>
              <w:pStyle w:val="9"/>
              <w:ind w:firstLine="420" w:firstLineChars="200"/>
              <w:jc w:val="center"/>
              <w:rPr>
                <w:rFonts w:ascii="Times New Roman" w:hAnsi="Times New Roman"/>
                <w:sz w:val="21"/>
                <w:szCs w:val="21"/>
              </w:rPr>
            </w:pPr>
          </w:p>
        </w:tc>
        <w:tc>
          <w:tcPr>
            <w:tcW w:w="1094" w:type="dxa"/>
            <w:vAlign w:val="center"/>
          </w:tcPr>
          <w:p>
            <w:pPr>
              <w:pStyle w:val="13"/>
              <w:widowControl/>
              <w:pBdr>
                <w:bottom w:val="none" w:color="auto" w:sz="0" w:space="0"/>
              </w:pBdr>
              <w:tabs>
                <w:tab w:val="clear" w:pos="4153"/>
                <w:tab w:val="clear" w:pos="8306"/>
              </w:tabs>
              <w:snapToGrid/>
              <w:rPr>
                <w:kern w:val="0"/>
                <w:sz w:val="21"/>
                <w:szCs w:val="21"/>
              </w:rPr>
            </w:pPr>
            <w:r>
              <w:rPr>
                <w:kern w:val="0"/>
                <w:sz w:val="21"/>
                <w:szCs w:val="21"/>
              </w:rPr>
              <w:t>冷却塔</w:t>
            </w:r>
          </w:p>
        </w:tc>
        <w:tc>
          <w:tcPr>
            <w:tcW w:w="849" w:type="dxa"/>
            <w:vAlign w:val="center"/>
          </w:tcPr>
          <w:p>
            <w:pPr>
              <w:jc w:val="center"/>
              <w:rPr>
                <w:sz w:val="21"/>
                <w:szCs w:val="21"/>
              </w:rPr>
            </w:pPr>
            <w:r>
              <w:rPr>
                <w:rFonts w:hint="eastAsia"/>
                <w:sz w:val="21"/>
                <w:szCs w:val="21"/>
              </w:rPr>
              <w:t>1</w:t>
            </w:r>
          </w:p>
        </w:tc>
        <w:tc>
          <w:tcPr>
            <w:tcW w:w="953" w:type="dxa"/>
            <w:vAlign w:val="center"/>
          </w:tcPr>
          <w:p>
            <w:pPr>
              <w:jc w:val="center"/>
              <w:rPr>
                <w:sz w:val="21"/>
                <w:szCs w:val="21"/>
              </w:rPr>
            </w:pPr>
            <w:r>
              <w:rPr>
                <w:sz w:val="21"/>
                <w:szCs w:val="21"/>
              </w:rPr>
              <w:t>95</w:t>
            </w:r>
          </w:p>
        </w:tc>
        <w:tc>
          <w:tcPr>
            <w:tcW w:w="2770" w:type="dxa"/>
            <w:vAlign w:val="center"/>
          </w:tcPr>
          <w:p>
            <w:pPr>
              <w:pStyle w:val="12"/>
              <w:widowControl/>
              <w:tabs>
                <w:tab w:val="clear" w:pos="4153"/>
                <w:tab w:val="clear" w:pos="8306"/>
              </w:tabs>
              <w:snapToGrid/>
              <w:jc w:val="center"/>
              <w:rPr>
                <w:kern w:val="0"/>
                <w:sz w:val="21"/>
                <w:szCs w:val="21"/>
              </w:rPr>
            </w:pPr>
            <w:r>
              <w:rPr>
                <w:kern w:val="0"/>
                <w:sz w:val="21"/>
                <w:szCs w:val="21"/>
              </w:rPr>
              <w:t>优化总图</w:t>
            </w:r>
          </w:p>
        </w:tc>
        <w:tc>
          <w:tcPr>
            <w:tcW w:w="436" w:type="dxa"/>
            <w:vAlign w:val="center"/>
          </w:tcPr>
          <w:p>
            <w:pPr>
              <w:pStyle w:val="9"/>
              <w:jc w:val="center"/>
              <w:rPr>
                <w:rFonts w:ascii="Times New Roman" w:hAnsi="Times New Roman"/>
                <w:sz w:val="21"/>
                <w:szCs w:val="21"/>
              </w:rPr>
            </w:pPr>
            <w:r>
              <w:rPr>
                <w:rFonts w:ascii="Times New Roman" w:hAnsi="Times New Roman"/>
                <w:sz w:val="21"/>
                <w:szCs w:val="21"/>
              </w:rPr>
              <w:t>10</w:t>
            </w:r>
          </w:p>
        </w:tc>
        <w:tc>
          <w:tcPr>
            <w:tcW w:w="852" w:type="dxa"/>
            <w:vAlign w:val="center"/>
          </w:tcPr>
          <w:p>
            <w:pPr>
              <w:pStyle w:val="9"/>
              <w:jc w:val="center"/>
              <w:rPr>
                <w:rFonts w:ascii="Times New Roman" w:hAnsi="Times New Roman"/>
                <w:sz w:val="21"/>
                <w:szCs w:val="21"/>
              </w:rPr>
            </w:pPr>
            <w:r>
              <w:rPr>
                <w:rFonts w:ascii="Times New Roman" w:hAnsi="Times New Roman"/>
                <w:sz w:val="21"/>
                <w:szCs w:val="21"/>
              </w:rPr>
              <w:t>85</w:t>
            </w:r>
          </w:p>
        </w:tc>
      </w:tr>
    </w:tbl>
    <w:p>
      <w:pPr>
        <w:spacing w:line="440" w:lineRule="exact"/>
        <w:ind w:firstLine="480"/>
        <w:jc w:val="center"/>
        <w:rPr>
          <w:rFonts w:hint="eastAsia"/>
        </w:rPr>
      </w:pPr>
    </w:p>
    <w:p>
      <w:pPr>
        <w:spacing w:line="440" w:lineRule="exact"/>
        <w:ind w:firstLine="480"/>
        <w:jc w:val="center"/>
        <w:rPr>
          <w:rFonts w:hint="eastAsia"/>
        </w:rPr>
      </w:pPr>
    </w:p>
    <w:p>
      <w:pPr>
        <w:spacing w:line="360" w:lineRule="auto"/>
        <w:outlineLvl w:val="2"/>
        <w:rPr>
          <w:rFonts w:hint="eastAsia"/>
          <w:b/>
          <w:bCs/>
          <w:szCs w:val="20"/>
        </w:rPr>
      </w:pPr>
      <w:bookmarkStart w:id="174" w:name="_Toc473281504"/>
      <w:bookmarkStart w:id="175" w:name="_Toc189814146"/>
      <w:bookmarkStart w:id="176" w:name="_Toc165607357"/>
      <w:bookmarkStart w:id="177" w:name="_Toc175479801"/>
      <w:r>
        <w:rPr>
          <w:rFonts w:hint="eastAsia"/>
          <w:b/>
          <w:bCs/>
          <w:szCs w:val="20"/>
        </w:rPr>
        <w:t>3.2</w:t>
      </w:r>
      <w:r>
        <w:rPr>
          <w:b/>
          <w:bCs/>
          <w:szCs w:val="20"/>
        </w:rPr>
        <w:t>.</w:t>
      </w:r>
      <w:r>
        <w:rPr>
          <w:rFonts w:hint="eastAsia"/>
          <w:b/>
          <w:bCs/>
          <w:szCs w:val="20"/>
        </w:rPr>
        <w:t>5技改项目“三废”产生量、削减量、排放量汇总</w:t>
      </w:r>
      <w:bookmarkEnd w:id="174"/>
      <w:bookmarkEnd w:id="175"/>
    </w:p>
    <w:p>
      <w:pPr>
        <w:spacing w:line="460" w:lineRule="exact"/>
        <w:ind w:firstLine="516"/>
        <w:rPr>
          <w:rFonts w:hint="eastAsia"/>
        </w:rPr>
      </w:pPr>
      <w:r>
        <w:rPr>
          <w:rFonts w:hint="eastAsia"/>
        </w:rPr>
        <w:t>技改项目污染物产生量、削减量、排放量情况见表3-16。</w:t>
      </w:r>
    </w:p>
    <w:p>
      <w:pPr>
        <w:spacing w:before="24" w:beforeLines="10" w:after="24" w:afterLines="10" w:line="460" w:lineRule="exact"/>
        <w:ind w:firstLine="930" w:firstLineChars="441"/>
        <w:rPr>
          <w:rFonts w:hint="eastAsia"/>
          <w:b/>
        </w:rPr>
      </w:pPr>
      <w:r>
        <w:rPr>
          <w:rFonts w:hint="eastAsia"/>
          <w:b/>
        </w:rPr>
        <w:t>表3-16   技改项目“三废”污染物产生量、削减量、排放量统计</w:t>
      </w:r>
    </w:p>
    <w:tbl>
      <w:tblPr>
        <w:tblStyle w:val="21"/>
        <w:tblW w:w="95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649"/>
        <w:gridCol w:w="1460"/>
        <w:gridCol w:w="1071"/>
        <w:gridCol w:w="1197"/>
        <w:gridCol w:w="1197"/>
        <w:gridCol w:w="1197"/>
        <w:gridCol w:w="2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296" w:hRule="atLeast"/>
          <w:jc w:val="center"/>
        </w:trPr>
        <w:tc>
          <w:tcPr>
            <w:tcW w:w="649" w:type="dxa"/>
            <w:vAlign w:val="center"/>
          </w:tcPr>
          <w:p>
            <w:pPr>
              <w:spacing w:line="300" w:lineRule="exact"/>
              <w:jc w:val="center"/>
              <w:rPr>
                <w:sz w:val="21"/>
                <w:szCs w:val="21"/>
              </w:rPr>
            </w:pPr>
            <w:r>
              <w:rPr>
                <w:sz w:val="21"/>
                <w:szCs w:val="21"/>
              </w:rPr>
              <w:t>类别</w:t>
            </w:r>
          </w:p>
        </w:tc>
        <w:tc>
          <w:tcPr>
            <w:tcW w:w="1460" w:type="dxa"/>
            <w:vAlign w:val="center"/>
          </w:tcPr>
          <w:p>
            <w:pPr>
              <w:spacing w:line="300" w:lineRule="exact"/>
              <w:jc w:val="center"/>
              <w:rPr>
                <w:sz w:val="21"/>
                <w:szCs w:val="21"/>
              </w:rPr>
            </w:pPr>
            <w:r>
              <w:rPr>
                <w:sz w:val="21"/>
                <w:szCs w:val="21"/>
              </w:rPr>
              <w:t>项目</w:t>
            </w:r>
          </w:p>
        </w:tc>
        <w:tc>
          <w:tcPr>
            <w:tcW w:w="1071" w:type="dxa"/>
            <w:vAlign w:val="center"/>
          </w:tcPr>
          <w:p>
            <w:pPr>
              <w:spacing w:line="300" w:lineRule="exact"/>
              <w:jc w:val="center"/>
              <w:rPr>
                <w:sz w:val="21"/>
                <w:szCs w:val="21"/>
              </w:rPr>
            </w:pPr>
            <w:r>
              <w:rPr>
                <w:sz w:val="21"/>
                <w:szCs w:val="21"/>
              </w:rPr>
              <w:t>单位</w:t>
            </w:r>
          </w:p>
        </w:tc>
        <w:tc>
          <w:tcPr>
            <w:tcW w:w="1197" w:type="dxa"/>
            <w:vAlign w:val="center"/>
          </w:tcPr>
          <w:p>
            <w:pPr>
              <w:spacing w:line="300" w:lineRule="exact"/>
              <w:jc w:val="center"/>
              <w:rPr>
                <w:sz w:val="21"/>
                <w:szCs w:val="21"/>
              </w:rPr>
            </w:pPr>
            <w:r>
              <w:rPr>
                <w:sz w:val="21"/>
                <w:szCs w:val="21"/>
              </w:rPr>
              <w:t>产生量</w:t>
            </w:r>
          </w:p>
        </w:tc>
        <w:tc>
          <w:tcPr>
            <w:tcW w:w="1197" w:type="dxa"/>
            <w:vAlign w:val="center"/>
          </w:tcPr>
          <w:p>
            <w:pPr>
              <w:spacing w:line="300" w:lineRule="exact"/>
              <w:jc w:val="center"/>
              <w:rPr>
                <w:sz w:val="21"/>
                <w:szCs w:val="21"/>
              </w:rPr>
            </w:pPr>
            <w:r>
              <w:rPr>
                <w:sz w:val="21"/>
                <w:szCs w:val="21"/>
              </w:rPr>
              <w:t>削减量</w:t>
            </w:r>
          </w:p>
        </w:tc>
        <w:tc>
          <w:tcPr>
            <w:tcW w:w="1197" w:type="dxa"/>
            <w:vAlign w:val="center"/>
          </w:tcPr>
          <w:p>
            <w:pPr>
              <w:spacing w:line="300" w:lineRule="exact"/>
              <w:jc w:val="center"/>
              <w:rPr>
                <w:sz w:val="21"/>
                <w:szCs w:val="21"/>
              </w:rPr>
            </w:pPr>
            <w:r>
              <w:rPr>
                <w:sz w:val="21"/>
                <w:szCs w:val="21"/>
              </w:rPr>
              <w:t>排放量</w:t>
            </w:r>
          </w:p>
        </w:tc>
        <w:tc>
          <w:tcPr>
            <w:tcW w:w="2789" w:type="dxa"/>
            <w:vAlign w:val="center"/>
          </w:tcPr>
          <w:p>
            <w:pPr>
              <w:spacing w:line="300" w:lineRule="exact"/>
              <w:jc w:val="center"/>
              <w:rPr>
                <w:sz w:val="21"/>
                <w:szCs w:val="21"/>
              </w:rPr>
            </w:pPr>
            <w:r>
              <w:rPr>
                <w:sz w:val="21"/>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296" w:hRule="atLeast"/>
          <w:jc w:val="center"/>
        </w:trPr>
        <w:tc>
          <w:tcPr>
            <w:tcW w:w="649" w:type="dxa"/>
            <w:vMerge w:val="restart"/>
            <w:vAlign w:val="center"/>
          </w:tcPr>
          <w:p>
            <w:pPr>
              <w:spacing w:line="300" w:lineRule="exact"/>
              <w:jc w:val="center"/>
              <w:rPr>
                <w:sz w:val="21"/>
                <w:szCs w:val="21"/>
              </w:rPr>
            </w:pPr>
            <w:r>
              <w:rPr>
                <w:sz w:val="21"/>
                <w:szCs w:val="21"/>
              </w:rPr>
              <w:t>废气</w:t>
            </w:r>
          </w:p>
        </w:tc>
        <w:tc>
          <w:tcPr>
            <w:tcW w:w="1460" w:type="dxa"/>
            <w:vAlign w:val="center"/>
          </w:tcPr>
          <w:p>
            <w:pPr>
              <w:spacing w:line="300" w:lineRule="exact"/>
              <w:jc w:val="center"/>
              <w:rPr>
                <w:sz w:val="21"/>
                <w:szCs w:val="21"/>
              </w:rPr>
            </w:pPr>
            <w:r>
              <w:rPr>
                <w:sz w:val="21"/>
                <w:szCs w:val="21"/>
              </w:rPr>
              <w:t>废气量</w:t>
            </w:r>
          </w:p>
        </w:tc>
        <w:tc>
          <w:tcPr>
            <w:tcW w:w="1071" w:type="dxa"/>
            <w:vAlign w:val="center"/>
          </w:tcPr>
          <w:p>
            <w:pPr>
              <w:spacing w:line="300" w:lineRule="exact"/>
              <w:jc w:val="center"/>
              <w:rPr>
                <w:sz w:val="21"/>
                <w:szCs w:val="21"/>
              </w:rPr>
            </w:pPr>
            <w:r>
              <w:rPr>
                <w:sz w:val="21"/>
                <w:szCs w:val="21"/>
              </w:rPr>
              <w:t>万Nm</w:t>
            </w:r>
            <w:r>
              <w:rPr>
                <w:sz w:val="21"/>
                <w:szCs w:val="21"/>
                <w:vertAlign w:val="superscript"/>
              </w:rPr>
              <w:t>3</w:t>
            </w:r>
            <w:r>
              <w:rPr>
                <w:sz w:val="21"/>
                <w:szCs w:val="21"/>
              </w:rPr>
              <w:t>/a</w:t>
            </w:r>
          </w:p>
        </w:tc>
        <w:tc>
          <w:tcPr>
            <w:tcW w:w="1197" w:type="dxa"/>
            <w:vAlign w:val="center"/>
          </w:tcPr>
          <w:p>
            <w:pPr>
              <w:spacing w:line="300" w:lineRule="exact"/>
              <w:jc w:val="center"/>
              <w:rPr>
                <w:rFonts w:hint="eastAsia"/>
                <w:sz w:val="21"/>
                <w:szCs w:val="21"/>
              </w:rPr>
            </w:pPr>
            <w:r>
              <w:rPr>
                <w:sz w:val="20"/>
                <w:szCs w:val="20"/>
              </w:rPr>
              <w:t>867924</w:t>
            </w:r>
            <w:r>
              <w:rPr>
                <w:rFonts w:hint="eastAsia"/>
                <w:sz w:val="20"/>
                <w:szCs w:val="20"/>
              </w:rPr>
              <w:t>.</w:t>
            </w:r>
            <w:r>
              <w:rPr>
                <w:sz w:val="20"/>
                <w:szCs w:val="20"/>
              </w:rPr>
              <w:t>026</w:t>
            </w:r>
          </w:p>
        </w:tc>
        <w:tc>
          <w:tcPr>
            <w:tcW w:w="1197" w:type="dxa"/>
            <w:vAlign w:val="center"/>
          </w:tcPr>
          <w:p>
            <w:pPr>
              <w:spacing w:line="300" w:lineRule="exact"/>
              <w:jc w:val="center"/>
              <w:rPr>
                <w:sz w:val="21"/>
                <w:szCs w:val="21"/>
                <w:lang w:val="de-DE"/>
              </w:rPr>
            </w:pPr>
            <w:r>
              <w:rPr>
                <w:sz w:val="21"/>
                <w:szCs w:val="21"/>
                <w:lang w:val="de-DE"/>
              </w:rPr>
              <w:t>/</w:t>
            </w:r>
          </w:p>
        </w:tc>
        <w:tc>
          <w:tcPr>
            <w:tcW w:w="1197" w:type="dxa"/>
            <w:vAlign w:val="center"/>
          </w:tcPr>
          <w:p>
            <w:pPr>
              <w:spacing w:line="300" w:lineRule="exact"/>
              <w:jc w:val="center"/>
              <w:rPr>
                <w:sz w:val="21"/>
                <w:szCs w:val="21"/>
                <w:lang w:val="de-DE"/>
              </w:rPr>
            </w:pPr>
            <w:r>
              <w:rPr>
                <w:sz w:val="20"/>
                <w:szCs w:val="20"/>
              </w:rPr>
              <w:t>867924</w:t>
            </w:r>
            <w:r>
              <w:rPr>
                <w:rFonts w:hint="eastAsia"/>
                <w:sz w:val="20"/>
                <w:szCs w:val="20"/>
              </w:rPr>
              <w:t>.</w:t>
            </w:r>
            <w:r>
              <w:rPr>
                <w:sz w:val="20"/>
                <w:szCs w:val="20"/>
              </w:rPr>
              <w:t>026</w:t>
            </w:r>
          </w:p>
        </w:tc>
        <w:tc>
          <w:tcPr>
            <w:tcW w:w="2789" w:type="dxa"/>
            <w:vMerge w:val="restart"/>
            <w:vAlign w:val="center"/>
          </w:tcPr>
          <w:p>
            <w:pPr>
              <w:spacing w:line="300" w:lineRule="exact"/>
              <w:jc w:val="center"/>
              <w:rPr>
                <w:sz w:val="21"/>
                <w:szCs w:val="21"/>
                <w:lang w:val="de-DE"/>
              </w:rPr>
            </w:pPr>
            <w:r>
              <w:rPr>
                <w:sz w:val="21"/>
                <w:szCs w:val="21"/>
              </w:rPr>
              <w:t>大</w:t>
            </w:r>
            <w:r>
              <w:rPr>
                <w:sz w:val="21"/>
                <w:szCs w:val="21"/>
                <w:lang w:val="de-DE"/>
              </w:rPr>
              <w:t xml:space="preserve">  </w:t>
            </w:r>
            <w:r>
              <w:rPr>
                <w:sz w:val="21"/>
                <w:szCs w:val="21"/>
              </w:rPr>
              <w:t>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143" w:hRule="atLeast"/>
          <w:jc w:val="center"/>
        </w:trPr>
        <w:tc>
          <w:tcPr>
            <w:tcW w:w="649" w:type="dxa"/>
            <w:vMerge w:val="continue"/>
            <w:vAlign w:val="center"/>
          </w:tcPr>
          <w:p>
            <w:pPr>
              <w:spacing w:line="300" w:lineRule="exact"/>
              <w:jc w:val="center"/>
              <w:rPr>
                <w:sz w:val="21"/>
                <w:szCs w:val="21"/>
                <w:lang w:val="de-DE"/>
              </w:rPr>
            </w:pPr>
          </w:p>
        </w:tc>
        <w:tc>
          <w:tcPr>
            <w:tcW w:w="1460" w:type="dxa"/>
            <w:vAlign w:val="center"/>
          </w:tcPr>
          <w:p>
            <w:pPr>
              <w:spacing w:line="200" w:lineRule="exact"/>
              <w:ind w:firstLine="67"/>
              <w:jc w:val="center"/>
              <w:rPr>
                <w:spacing w:val="20"/>
                <w:sz w:val="21"/>
                <w:szCs w:val="21"/>
              </w:rPr>
            </w:pPr>
            <w:r>
              <w:rPr>
                <w:spacing w:val="20"/>
                <w:sz w:val="21"/>
                <w:szCs w:val="21"/>
              </w:rPr>
              <w:t>烟粉尘</w:t>
            </w:r>
          </w:p>
        </w:tc>
        <w:tc>
          <w:tcPr>
            <w:tcW w:w="1071" w:type="dxa"/>
            <w:vAlign w:val="center"/>
          </w:tcPr>
          <w:p>
            <w:pPr>
              <w:spacing w:line="300" w:lineRule="exact"/>
              <w:jc w:val="center"/>
              <w:rPr>
                <w:sz w:val="21"/>
                <w:szCs w:val="21"/>
                <w:lang w:val="de-DE"/>
              </w:rPr>
            </w:pPr>
            <w:r>
              <w:rPr>
                <w:sz w:val="21"/>
                <w:szCs w:val="21"/>
                <w:lang w:val="de-DE"/>
              </w:rPr>
              <w:t>t/a</w:t>
            </w:r>
          </w:p>
        </w:tc>
        <w:tc>
          <w:tcPr>
            <w:tcW w:w="1197" w:type="dxa"/>
            <w:vAlign w:val="center"/>
          </w:tcPr>
          <w:p>
            <w:pPr>
              <w:spacing w:line="200" w:lineRule="exact"/>
              <w:jc w:val="center"/>
              <w:rPr>
                <w:sz w:val="21"/>
                <w:szCs w:val="21"/>
              </w:rPr>
            </w:pPr>
            <w:r>
              <w:rPr>
                <w:rFonts w:hint="eastAsia"/>
                <w:sz w:val="21"/>
                <w:szCs w:val="21"/>
              </w:rPr>
              <w:t>183746.52</w:t>
            </w:r>
          </w:p>
        </w:tc>
        <w:tc>
          <w:tcPr>
            <w:tcW w:w="1197" w:type="dxa"/>
            <w:vAlign w:val="center"/>
          </w:tcPr>
          <w:p>
            <w:pPr>
              <w:spacing w:line="300" w:lineRule="exact"/>
              <w:jc w:val="center"/>
              <w:rPr>
                <w:rFonts w:hint="eastAsia"/>
                <w:sz w:val="21"/>
                <w:szCs w:val="21"/>
                <w:lang w:val="de-DE"/>
              </w:rPr>
            </w:pPr>
            <w:r>
              <w:rPr>
                <w:rFonts w:hint="eastAsia"/>
                <w:sz w:val="21"/>
                <w:szCs w:val="21"/>
                <w:lang w:val="de-DE"/>
              </w:rPr>
              <w:t>430821.38</w:t>
            </w:r>
          </w:p>
        </w:tc>
        <w:tc>
          <w:tcPr>
            <w:tcW w:w="1197" w:type="dxa"/>
            <w:vAlign w:val="center"/>
          </w:tcPr>
          <w:p>
            <w:pPr>
              <w:spacing w:line="200" w:lineRule="exact"/>
              <w:jc w:val="center"/>
              <w:rPr>
                <w:sz w:val="21"/>
                <w:szCs w:val="21"/>
              </w:rPr>
            </w:pPr>
            <w:r>
              <w:rPr>
                <w:rFonts w:hint="eastAsia"/>
                <w:sz w:val="21"/>
                <w:szCs w:val="21"/>
              </w:rPr>
              <w:t>261.37</w:t>
            </w:r>
          </w:p>
        </w:tc>
        <w:tc>
          <w:tcPr>
            <w:tcW w:w="2789" w:type="dxa"/>
            <w:vMerge w:val="continue"/>
            <w:vAlign w:val="center"/>
          </w:tcPr>
          <w:p>
            <w:pPr>
              <w:spacing w:line="300" w:lineRule="exact"/>
              <w:jc w:val="center"/>
              <w:rPr>
                <w:sz w:val="21"/>
                <w:szCs w:val="21"/>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143" w:hRule="atLeast"/>
          <w:jc w:val="center"/>
        </w:trPr>
        <w:tc>
          <w:tcPr>
            <w:tcW w:w="649" w:type="dxa"/>
            <w:vMerge w:val="continue"/>
            <w:vAlign w:val="center"/>
          </w:tcPr>
          <w:p>
            <w:pPr>
              <w:spacing w:line="300" w:lineRule="exact"/>
              <w:jc w:val="center"/>
              <w:rPr>
                <w:sz w:val="21"/>
                <w:szCs w:val="21"/>
                <w:lang w:val="de-DE"/>
              </w:rPr>
            </w:pPr>
          </w:p>
        </w:tc>
        <w:tc>
          <w:tcPr>
            <w:tcW w:w="1460" w:type="dxa"/>
            <w:vAlign w:val="center"/>
          </w:tcPr>
          <w:p>
            <w:pPr>
              <w:spacing w:line="200" w:lineRule="exact"/>
              <w:ind w:firstLine="67"/>
              <w:jc w:val="center"/>
              <w:rPr>
                <w:spacing w:val="20"/>
                <w:sz w:val="21"/>
                <w:szCs w:val="21"/>
              </w:rPr>
            </w:pPr>
            <w:r>
              <w:rPr>
                <w:spacing w:val="20"/>
                <w:sz w:val="21"/>
                <w:szCs w:val="21"/>
              </w:rPr>
              <w:t>SO</w:t>
            </w:r>
            <w:r>
              <w:rPr>
                <w:spacing w:val="20"/>
                <w:sz w:val="21"/>
                <w:szCs w:val="21"/>
                <w:vertAlign w:val="subscript"/>
              </w:rPr>
              <w:t>2</w:t>
            </w:r>
          </w:p>
        </w:tc>
        <w:tc>
          <w:tcPr>
            <w:tcW w:w="1071" w:type="dxa"/>
            <w:vAlign w:val="center"/>
          </w:tcPr>
          <w:p>
            <w:pPr>
              <w:spacing w:line="300" w:lineRule="exact"/>
              <w:jc w:val="center"/>
              <w:rPr>
                <w:sz w:val="21"/>
                <w:szCs w:val="21"/>
                <w:lang w:val="de-DE"/>
              </w:rPr>
            </w:pPr>
            <w:r>
              <w:rPr>
                <w:sz w:val="21"/>
                <w:szCs w:val="21"/>
                <w:lang w:val="de-DE"/>
              </w:rPr>
              <w:t>t/a</w:t>
            </w:r>
          </w:p>
        </w:tc>
        <w:tc>
          <w:tcPr>
            <w:tcW w:w="1197" w:type="dxa"/>
            <w:vAlign w:val="center"/>
          </w:tcPr>
          <w:p>
            <w:pPr>
              <w:jc w:val="center"/>
              <w:rPr>
                <w:rFonts w:hint="eastAsia"/>
                <w:sz w:val="18"/>
                <w:szCs w:val="18"/>
              </w:rPr>
            </w:pPr>
            <w:r>
              <w:rPr>
                <w:rFonts w:hint="eastAsia"/>
                <w:sz w:val="18"/>
                <w:szCs w:val="18"/>
              </w:rPr>
              <w:t>216.44</w:t>
            </w:r>
          </w:p>
        </w:tc>
        <w:tc>
          <w:tcPr>
            <w:tcW w:w="1197" w:type="dxa"/>
            <w:vAlign w:val="center"/>
          </w:tcPr>
          <w:p>
            <w:pPr>
              <w:spacing w:line="300" w:lineRule="exact"/>
              <w:jc w:val="center"/>
              <w:rPr>
                <w:sz w:val="21"/>
                <w:szCs w:val="21"/>
                <w:lang w:val="de-DE"/>
              </w:rPr>
            </w:pPr>
            <w:r>
              <w:rPr>
                <w:sz w:val="21"/>
                <w:szCs w:val="21"/>
                <w:lang w:val="de-DE"/>
              </w:rPr>
              <w:t>/</w:t>
            </w:r>
          </w:p>
        </w:tc>
        <w:tc>
          <w:tcPr>
            <w:tcW w:w="1197" w:type="dxa"/>
            <w:vAlign w:val="center"/>
          </w:tcPr>
          <w:p>
            <w:pPr>
              <w:jc w:val="center"/>
              <w:rPr>
                <w:rFonts w:hint="eastAsia"/>
                <w:sz w:val="18"/>
                <w:szCs w:val="18"/>
              </w:rPr>
            </w:pPr>
            <w:r>
              <w:rPr>
                <w:rFonts w:hint="eastAsia"/>
                <w:sz w:val="18"/>
                <w:szCs w:val="18"/>
              </w:rPr>
              <w:t>216.44</w:t>
            </w:r>
          </w:p>
        </w:tc>
        <w:tc>
          <w:tcPr>
            <w:tcW w:w="2789" w:type="dxa"/>
            <w:vMerge w:val="continue"/>
            <w:vAlign w:val="center"/>
          </w:tcPr>
          <w:p>
            <w:pPr>
              <w:spacing w:line="300" w:lineRule="exact"/>
              <w:jc w:val="center"/>
              <w:rPr>
                <w:sz w:val="21"/>
                <w:szCs w:val="21"/>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143" w:hRule="atLeast"/>
          <w:jc w:val="center"/>
        </w:trPr>
        <w:tc>
          <w:tcPr>
            <w:tcW w:w="649" w:type="dxa"/>
            <w:vMerge w:val="continue"/>
            <w:vAlign w:val="center"/>
          </w:tcPr>
          <w:p>
            <w:pPr>
              <w:spacing w:line="300" w:lineRule="exact"/>
              <w:jc w:val="center"/>
              <w:rPr>
                <w:sz w:val="21"/>
                <w:szCs w:val="21"/>
                <w:lang w:val="de-DE"/>
              </w:rPr>
            </w:pPr>
          </w:p>
        </w:tc>
        <w:tc>
          <w:tcPr>
            <w:tcW w:w="1460" w:type="dxa"/>
            <w:vAlign w:val="center"/>
          </w:tcPr>
          <w:p>
            <w:pPr>
              <w:spacing w:line="200" w:lineRule="exact"/>
              <w:ind w:firstLine="67"/>
              <w:jc w:val="center"/>
              <w:rPr>
                <w:rFonts w:hint="eastAsia"/>
                <w:spacing w:val="20"/>
                <w:sz w:val="21"/>
                <w:szCs w:val="21"/>
              </w:rPr>
            </w:pPr>
            <w:r>
              <w:rPr>
                <w:sz w:val="21"/>
                <w:szCs w:val="21"/>
                <w:lang w:val="de-DE"/>
              </w:rPr>
              <w:t>NO</w:t>
            </w:r>
            <w:r>
              <w:rPr>
                <w:rFonts w:hint="eastAsia"/>
                <w:sz w:val="21"/>
                <w:szCs w:val="21"/>
                <w:vertAlign w:val="subscript"/>
                <w:lang w:val="de-DE"/>
              </w:rPr>
              <w:t>x</w:t>
            </w:r>
          </w:p>
        </w:tc>
        <w:tc>
          <w:tcPr>
            <w:tcW w:w="1071" w:type="dxa"/>
            <w:vAlign w:val="center"/>
          </w:tcPr>
          <w:p>
            <w:pPr>
              <w:spacing w:line="300" w:lineRule="exact"/>
              <w:jc w:val="center"/>
              <w:rPr>
                <w:sz w:val="21"/>
                <w:szCs w:val="21"/>
                <w:lang w:val="de-DE"/>
              </w:rPr>
            </w:pPr>
            <w:r>
              <w:rPr>
                <w:sz w:val="21"/>
                <w:szCs w:val="21"/>
                <w:lang w:val="de-DE"/>
              </w:rPr>
              <w:t>t/a</w:t>
            </w:r>
          </w:p>
        </w:tc>
        <w:tc>
          <w:tcPr>
            <w:tcW w:w="1197" w:type="dxa"/>
            <w:vAlign w:val="center"/>
          </w:tcPr>
          <w:p>
            <w:pPr>
              <w:jc w:val="center"/>
              <w:rPr>
                <w:rFonts w:hint="eastAsia"/>
                <w:sz w:val="18"/>
                <w:szCs w:val="18"/>
              </w:rPr>
            </w:pPr>
            <w:r>
              <w:rPr>
                <w:rFonts w:hint="eastAsia"/>
                <w:sz w:val="18"/>
                <w:szCs w:val="18"/>
              </w:rPr>
              <w:t>1799.88</w:t>
            </w:r>
          </w:p>
        </w:tc>
        <w:tc>
          <w:tcPr>
            <w:tcW w:w="1197" w:type="dxa"/>
            <w:vAlign w:val="center"/>
          </w:tcPr>
          <w:p>
            <w:pPr>
              <w:spacing w:line="300" w:lineRule="exact"/>
              <w:jc w:val="center"/>
              <w:rPr>
                <w:sz w:val="21"/>
                <w:szCs w:val="21"/>
                <w:lang w:val="de-DE"/>
              </w:rPr>
            </w:pPr>
            <w:r>
              <w:rPr>
                <w:sz w:val="21"/>
                <w:szCs w:val="21"/>
                <w:lang w:val="de-DE"/>
              </w:rPr>
              <w:t>/</w:t>
            </w:r>
          </w:p>
        </w:tc>
        <w:tc>
          <w:tcPr>
            <w:tcW w:w="1197" w:type="dxa"/>
            <w:vAlign w:val="center"/>
          </w:tcPr>
          <w:p>
            <w:pPr>
              <w:jc w:val="center"/>
              <w:rPr>
                <w:rFonts w:hint="eastAsia"/>
                <w:sz w:val="18"/>
                <w:szCs w:val="18"/>
              </w:rPr>
            </w:pPr>
            <w:r>
              <w:rPr>
                <w:rFonts w:hint="eastAsia"/>
                <w:sz w:val="18"/>
                <w:szCs w:val="18"/>
              </w:rPr>
              <w:t>1799.88</w:t>
            </w:r>
          </w:p>
        </w:tc>
        <w:tc>
          <w:tcPr>
            <w:tcW w:w="2789" w:type="dxa"/>
            <w:vMerge w:val="continue"/>
            <w:vAlign w:val="center"/>
          </w:tcPr>
          <w:p>
            <w:pPr>
              <w:spacing w:line="300" w:lineRule="exact"/>
              <w:jc w:val="center"/>
              <w:rPr>
                <w:sz w:val="21"/>
                <w:szCs w:val="21"/>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579" w:hRule="atLeast"/>
          <w:jc w:val="center"/>
        </w:trPr>
        <w:tc>
          <w:tcPr>
            <w:tcW w:w="649" w:type="dxa"/>
            <w:vMerge w:val="continue"/>
            <w:vAlign w:val="center"/>
          </w:tcPr>
          <w:p>
            <w:pPr>
              <w:spacing w:line="280" w:lineRule="atLeast"/>
              <w:jc w:val="center"/>
              <w:rPr>
                <w:sz w:val="21"/>
                <w:szCs w:val="21"/>
              </w:rPr>
            </w:pPr>
          </w:p>
        </w:tc>
        <w:tc>
          <w:tcPr>
            <w:tcW w:w="1460" w:type="dxa"/>
            <w:vAlign w:val="center"/>
          </w:tcPr>
          <w:p>
            <w:pPr>
              <w:spacing w:line="280" w:lineRule="atLeast"/>
              <w:ind w:firstLine="67"/>
              <w:jc w:val="center"/>
              <w:rPr>
                <w:rFonts w:hint="eastAsia"/>
                <w:sz w:val="21"/>
                <w:szCs w:val="21"/>
              </w:rPr>
            </w:pPr>
            <w:r>
              <w:rPr>
                <w:rFonts w:hint="eastAsia"/>
                <w:sz w:val="21"/>
                <w:szCs w:val="21"/>
              </w:rPr>
              <w:t>无组织排放粉尘</w:t>
            </w:r>
          </w:p>
        </w:tc>
        <w:tc>
          <w:tcPr>
            <w:tcW w:w="1071" w:type="dxa"/>
            <w:vAlign w:val="center"/>
          </w:tcPr>
          <w:p>
            <w:pPr>
              <w:spacing w:line="280" w:lineRule="atLeast"/>
              <w:jc w:val="center"/>
              <w:rPr>
                <w:sz w:val="21"/>
                <w:szCs w:val="21"/>
              </w:rPr>
            </w:pPr>
            <w:r>
              <w:rPr>
                <w:sz w:val="21"/>
                <w:szCs w:val="21"/>
                <w:lang w:val="de-DE"/>
              </w:rPr>
              <w:t>t/a</w:t>
            </w:r>
          </w:p>
        </w:tc>
        <w:tc>
          <w:tcPr>
            <w:tcW w:w="1197" w:type="dxa"/>
            <w:vAlign w:val="center"/>
          </w:tcPr>
          <w:p>
            <w:pPr>
              <w:spacing w:line="280" w:lineRule="atLeast"/>
              <w:jc w:val="center"/>
              <w:rPr>
                <w:rFonts w:hint="eastAsia"/>
                <w:sz w:val="21"/>
                <w:szCs w:val="21"/>
              </w:rPr>
            </w:pPr>
            <w:r>
              <w:rPr>
                <w:rFonts w:hint="eastAsia"/>
                <w:sz w:val="21"/>
                <w:szCs w:val="21"/>
              </w:rPr>
              <w:t>28.73</w:t>
            </w:r>
          </w:p>
        </w:tc>
        <w:tc>
          <w:tcPr>
            <w:tcW w:w="1197" w:type="dxa"/>
            <w:vAlign w:val="center"/>
          </w:tcPr>
          <w:p>
            <w:pPr>
              <w:spacing w:line="280" w:lineRule="atLeast"/>
              <w:jc w:val="center"/>
              <w:rPr>
                <w:rFonts w:hint="eastAsia"/>
                <w:sz w:val="21"/>
                <w:szCs w:val="21"/>
              </w:rPr>
            </w:pPr>
            <w:r>
              <w:rPr>
                <w:rFonts w:hint="eastAsia"/>
                <w:sz w:val="21"/>
                <w:szCs w:val="21"/>
              </w:rPr>
              <w:t>/</w:t>
            </w:r>
          </w:p>
        </w:tc>
        <w:tc>
          <w:tcPr>
            <w:tcW w:w="1197" w:type="dxa"/>
            <w:vAlign w:val="center"/>
          </w:tcPr>
          <w:p>
            <w:pPr>
              <w:jc w:val="center"/>
              <w:rPr>
                <w:rFonts w:hint="eastAsia"/>
                <w:sz w:val="18"/>
                <w:szCs w:val="18"/>
              </w:rPr>
            </w:pPr>
            <w:r>
              <w:rPr>
                <w:rFonts w:hint="eastAsia"/>
                <w:sz w:val="18"/>
                <w:szCs w:val="18"/>
              </w:rPr>
              <w:t>28.73</w:t>
            </w:r>
          </w:p>
        </w:tc>
        <w:tc>
          <w:tcPr>
            <w:tcW w:w="2789" w:type="dxa"/>
            <w:vMerge w:val="continue"/>
            <w:vAlign w:val="center"/>
          </w:tcPr>
          <w:p>
            <w:pPr>
              <w:spacing w:line="300" w:lineRule="exact"/>
              <w:jc w:val="center"/>
              <w:rPr>
                <w:sz w:val="21"/>
                <w:szCs w:val="21"/>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296" w:hRule="atLeast"/>
          <w:jc w:val="center"/>
        </w:trPr>
        <w:tc>
          <w:tcPr>
            <w:tcW w:w="649" w:type="dxa"/>
            <w:vMerge w:val="restart"/>
            <w:vAlign w:val="center"/>
          </w:tcPr>
          <w:p>
            <w:pPr>
              <w:spacing w:line="300" w:lineRule="exact"/>
              <w:jc w:val="center"/>
              <w:rPr>
                <w:sz w:val="21"/>
                <w:szCs w:val="21"/>
                <w:lang w:val="de-DE"/>
              </w:rPr>
            </w:pPr>
            <w:r>
              <w:rPr>
                <w:sz w:val="21"/>
                <w:szCs w:val="21"/>
              </w:rPr>
              <w:t>废水</w:t>
            </w:r>
          </w:p>
        </w:tc>
        <w:tc>
          <w:tcPr>
            <w:tcW w:w="1460" w:type="dxa"/>
            <w:vAlign w:val="center"/>
          </w:tcPr>
          <w:p>
            <w:pPr>
              <w:spacing w:line="300" w:lineRule="exact"/>
              <w:jc w:val="center"/>
              <w:rPr>
                <w:sz w:val="21"/>
                <w:szCs w:val="21"/>
                <w:lang w:val="de-DE"/>
              </w:rPr>
            </w:pPr>
            <w:r>
              <w:rPr>
                <w:sz w:val="21"/>
                <w:szCs w:val="21"/>
              </w:rPr>
              <w:t>废水量</w:t>
            </w:r>
          </w:p>
        </w:tc>
        <w:tc>
          <w:tcPr>
            <w:tcW w:w="1071" w:type="dxa"/>
            <w:vAlign w:val="center"/>
          </w:tcPr>
          <w:p>
            <w:pPr>
              <w:spacing w:line="300" w:lineRule="exact"/>
              <w:jc w:val="center"/>
              <w:rPr>
                <w:sz w:val="21"/>
                <w:szCs w:val="21"/>
                <w:lang w:val="de-DE"/>
              </w:rPr>
            </w:pPr>
            <w:r>
              <w:rPr>
                <w:sz w:val="21"/>
                <w:szCs w:val="21"/>
                <w:lang w:val="de-DE"/>
              </w:rPr>
              <w:t>m</w:t>
            </w:r>
            <w:r>
              <w:rPr>
                <w:sz w:val="21"/>
                <w:szCs w:val="21"/>
                <w:vertAlign w:val="superscript"/>
                <w:lang w:val="de-DE"/>
              </w:rPr>
              <w:t>3</w:t>
            </w:r>
            <w:r>
              <w:rPr>
                <w:sz w:val="21"/>
                <w:szCs w:val="21"/>
                <w:lang w:val="de-DE"/>
              </w:rPr>
              <w:t>/a</w:t>
            </w:r>
          </w:p>
        </w:tc>
        <w:tc>
          <w:tcPr>
            <w:tcW w:w="1197" w:type="dxa"/>
            <w:vAlign w:val="center"/>
          </w:tcPr>
          <w:p>
            <w:pPr>
              <w:spacing w:line="300" w:lineRule="exact"/>
              <w:jc w:val="center"/>
              <w:rPr>
                <w:rFonts w:hint="eastAsia"/>
                <w:sz w:val="21"/>
                <w:szCs w:val="21"/>
              </w:rPr>
            </w:pPr>
            <w:r>
              <w:rPr>
                <w:rFonts w:hint="eastAsia"/>
                <w:sz w:val="21"/>
                <w:szCs w:val="21"/>
              </w:rPr>
              <w:t>16306</w:t>
            </w:r>
          </w:p>
        </w:tc>
        <w:tc>
          <w:tcPr>
            <w:tcW w:w="1197" w:type="dxa"/>
            <w:vAlign w:val="center"/>
          </w:tcPr>
          <w:p>
            <w:pPr>
              <w:spacing w:line="300" w:lineRule="exact"/>
              <w:jc w:val="center"/>
              <w:rPr>
                <w:sz w:val="21"/>
                <w:szCs w:val="21"/>
              </w:rPr>
            </w:pPr>
            <w:r>
              <w:rPr>
                <w:sz w:val="21"/>
                <w:szCs w:val="21"/>
              </w:rPr>
              <w:t>/</w:t>
            </w:r>
          </w:p>
        </w:tc>
        <w:tc>
          <w:tcPr>
            <w:tcW w:w="1197" w:type="dxa"/>
            <w:vAlign w:val="center"/>
          </w:tcPr>
          <w:p>
            <w:pPr>
              <w:spacing w:line="300" w:lineRule="exact"/>
              <w:jc w:val="center"/>
              <w:rPr>
                <w:rFonts w:hint="eastAsia"/>
                <w:sz w:val="21"/>
                <w:szCs w:val="21"/>
              </w:rPr>
            </w:pPr>
            <w:r>
              <w:rPr>
                <w:rFonts w:hint="eastAsia"/>
                <w:sz w:val="21"/>
                <w:szCs w:val="21"/>
              </w:rPr>
              <w:t>16306</w:t>
            </w:r>
          </w:p>
        </w:tc>
        <w:tc>
          <w:tcPr>
            <w:tcW w:w="2789" w:type="dxa"/>
            <w:vMerge w:val="restart"/>
            <w:vAlign w:val="center"/>
          </w:tcPr>
          <w:p>
            <w:pPr>
              <w:spacing w:line="300" w:lineRule="exact"/>
              <w:jc w:val="center"/>
              <w:rPr>
                <w:sz w:val="21"/>
                <w:szCs w:val="21"/>
              </w:rPr>
            </w:pPr>
            <w:r>
              <w:rPr>
                <w:rFonts w:hint="eastAsia"/>
                <w:sz w:val="21"/>
                <w:szCs w:val="21"/>
              </w:rPr>
              <w:t>从厂区</w:t>
            </w:r>
            <w:r>
              <w:rPr>
                <w:rFonts w:hint="eastAsia" w:ascii="宋体" w:hAnsi="宋体"/>
                <w:sz w:val="21"/>
                <w:szCs w:val="21"/>
              </w:rPr>
              <w:t>废水排放口经</w:t>
            </w:r>
            <w:r>
              <w:rPr>
                <w:rFonts w:hint="eastAsia"/>
                <w:sz w:val="21"/>
                <w:szCs w:val="21"/>
              </w:rPr>
              <w:t>北侧</w:t>
            </w:r>
            <w:r>
              <w:rPr>
                <w:rFonts w:hint="eastAsia" w:ascii="宋体" w:hAnsi="宋体"/>
                <w:sz w:val="21"/>
                <w:szCs w:val="21"/>
              </w:rPr>
              <w:t>入</w:t>
            </w:r>
            <w:r>
              <w:rPr>
                <w:rFonts w:hint="eastAsia"/>
                <w:sz w:val="21"/>
                <w:szCs w:val="21"/>
              </w:rPr>
              <w:t>无名小沟汇入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143" w:hRule="atLeast"/>
          <w:jc w:val="center"/>
        </w:trPr>
        <w:tc>
          <w:tcPr>
            <w:tcW w:w="649" w:type="dxa"/>
            <w:vMerge w:val="continue"/>
            <w:vAlign w:val="center"/>
          </w:tcPr>
          <w:p>
            <w:pPr>
              <w:spacing w:line="300" w:lineRule="exact"/>
              <w:jc w:val="center"/>
              <w:rPr>
                <w:sz w:val="21"/>
                <w:szCs w:val="21"/>
              </w:rPr>
            </w:pPr>
          </w:p>
        </w:tc>
        <w:tc>
          <w:tcPr>
            <w:tcW w:w="1460" w:type="dxa"/>
            <w:vAlign w:val="center"/>
          </w:tcPr>
          <w:p>
            <w:pPr>
              <w:spacing w:line="280" w:lineRule="atLeast"/>
              <w:jc w:val="center"/>
              <w:rPr>
                <w:sz w:val="21"/>
                <w:szCs w:val="21"/>
              </w:rPr>
            </w:pPr>
            <w:r>
              <w:rPr>
                <w:sz w:val="21"/>
                <w:szCs w:val="21"/>
              </w:rPr>
              <w:t>COD</w:t>
            </w:r>
          </w:p>
        </w:tc>
        <w:tc>
          <w:tcPr>
            <w:tcW w:w="1071" w:type="dxa"/>
            <w:vAlign w:val="center"/>
          </w:tcPr>
          <w:p>
            <w:pPr>
              <w:spacing w:line="300" w:lineRule="exact"/>
              <w:jc w:val="center"/>
              <w:rPr>
                <w:sz w:val="21"/>
                <w:szCs w:val="21"/>
              </w:rPr>
            </w:pPr>
            <w:r>
              <w:rPr>
                <w:sz w:val="21"/>
                <w:szCs w:val="21"/>
              </w:rPr>
              <w:t>t/a</w:t>
            </w:r>
          </w:p>
        </w:tc>
        <w:tc>
          <w:tcPr>
            <w:tcW w:w="1197" w:type="dxa"/>
            <w:vAlign w:val="center"/>
          </w:tcPr>
          <w:p>
            <w:pPr>
              <w:jc w:val="center"/>
              <w:rPr>
                <w:rFonts w:ascii="宋体" w:hAnsi="宋体" w:cs="宋体"/>
                <w:sz w:val="21"/>
                <w:szCs w:val="21"/>
              </w:rPr>
            </w:pPr>
            <w:r>
              <w:rPr>
                <w:rFonts w:hint="eastAsia"/>
                <w:sz w:val="21"/>
                <w:szCs w:val="21"/>
              </w:rPr>
              <w:t>4.25</w:t>
            </w:r>
          </w:p>
        </w:tc>
        <w:tc>
          <w:tcPr>
            <w:tcW w:w="1197" w:type="dxa"/>
            <w:vAlign w:val="center"/>
          </w:tcPr>
          <w:p>
            <w:pPr>
              <w:jc w:val="center"/>
              <w:rPr>
                <w:rFonts w:hint="eastAsia" w:ascii="宋体" w:hAnsi="宋体" w:cs="宋体"/>
                <w:sz w:val="21"/>
                <w:szCs w:val="21"/>
              </w:rPr>
            </w:pPr>
            <w:r>
              <w:rPr>
                <w:rFonts w:hint="eastAsia" w:ascii="宋体" w:hAnsi="宋体" w:cs="宋体"/>
                <w:sz w:val="21"/>
                <w:szCs w:val="21"/>
              </w:rPr>
              <w:t>2.62</w:t>
            </w:r>
          </w:p>
        </w:tc>
        <w:tc>
          <w:tcPr>
            <w:tcW w:w="1197" w:type="dxa"/>
            <w:vAlign w:val="center"/>
          </w:tcPr>
          <w:p>
            <w:pPr>
              <w:jc w:val="center"/>
              <w:rPr>
                <w:rFonts w:ascii="宋体" w:hAnsi="宋体" w:cs="宋体"/>
                <w:sz w:val="21"/>
                <w:szCs w:val="21"/>
              </w:rPr>
            </w:pPr>
            <w:r>
              <w:rPr>
                <w:rFonts w:hint="eastAsia"/>
                <w:sz w:val="21"/>
                <w:szCs w:val="21"/>
              </w:rPr>
              <w:t>1.63</w:t>
            </w:r>
          </w:p>
        </w:tc>
        <w:tc>
          <w:tcPr>
            <w:tcW w:w="2789" w:type="dxa"/>
            <w:vMerge w:val="continue"/>
            <w:vAlign w:val="center"/>
          </w:tcPr>
          <w:p>
            <w:pPr>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143" w:hRule="atLeast"/>
          <w:jc w:val="center"/>
        </w:trPr>
        <w:tc>
          <w:tcPr>
            <w:tcW w:w="649" w:type="dxa"/>
            <w:vMerge w:val="continue"/>
            <w:vAlign w:val="center"/>
          </w:tcPr>
          <w:p>
            <w:pPr>
              <w:spacing w:line="300" w:lineRule="exact"/>
              <w:jc w:val="center"/>
              <w:rPr>
                <w:sz w:val="21"/>
                <w:szCs w:val="21"/>
              </w:rPr>
            </w:pPr>
          </w:p>
        </w:tc>
        <w:tc>
          <w:tcPr>
            <w:tcW w:w="1460" w:type="dxa"/>
            <w:vAlign w:val="center"/>
          </w:tcPr>
          <w:p>
            <w:pPr>
              <w:spacing w:line="280" w:lineRule="atLeast"/>
              <w:jc w:val="center"/>
              <w:rPr>
                <w:sz w:val="21"/>
                <w:szCs w:val="21"/>
              </w:rPr>
            </w:pPr>
            <w:r>
              <w:rPr>
                <w:sz w:val="21"/>
                <w:szCs w:val="21"/>
              </w:rPr>
              <w:t>SS</w:t>
            </w:r>
          </w:p>
        </w:tc>
        <w:tc>
          <w:tcPr>
            <w:tcW w:w="1071" w:type="dxa"/>
            <w:vAlign w:val="center"/>
          </w:tcPr>
          <w:p>
            <w:pPr>
              <w:spacing w:line="300" w:lineRule="exact"/>
              <w:jc w:val="center"/>
              <w:rPr>
                <w:sz w:val="21"/>
                <w:szCs w:val="21"/>
              </w:rPr>
            </w:pPr>
            <w:r>
              <w:rPr>
                <w:sz w:val="21"/>
                <w:szCs w:val="21"/>
              </w:rPr>
              <w:t>t/a</w:t>
            </w:r>
          </w:p>
        </w:tc>
        <w:tc>
          <w:tcPr>
            <w:tcW w:w="1197" w:type="dxa"/>
            <w:vAlign w:val="center"/>
          </w:tcPr>
          <w:p>
            <w:pPr>
              <w:jc w:val="center"/>
              <w:rPr>
                <w:rFonts w:ascii="宋体" w:hAnsi="宋体" w:cs="宋体"/>
                <w:sz w:val="21"/>
                <w:szCs w:val="21"/>
              </w:rPr>
            </w:pPr>
            <w:r>
              <w:rPr>
                <w:rFonts w:hint="eastAsia"/>
                <w:sz w:val="21"/>
                <w:szCs w:val="21"/>
              </w:rPr>
              <w:t>2.31</w:t>
            </w:r>
          </w:p>
        </w:tc>
        <w:tc>
          <w:tcPr>
            <w:tcW w:w="1197" w:type="dxa"/>
            <w:vAlign w:val="center"/>
          </w:tcPr>
          <w:p>
            <w:pPr>
              <w:jc w:val="center"/>
              <w:rPr>
                <w:rFonts w:ascii="宋体" w:hAnsi="宋体" w:cs="宋体"/>
                <w:sz w:val="21"/>
                <w:szCs w:val="21"/>
              </w:rPr>
            </w:pPr>
            <w:r>
              <w:rPr>
                <w:rFonts w:hint="eastAsia"/>
                <w:sz w:val="21"/>
                <w:szCs w:val="21"/>
              </w:rPr>
              <w:t>1.39</w:t>
            </w:r>
          </w:p>
        </w:tc>
        <w:tc>
          <w:tcPr>
            <w:tcW w:w="1197" w:type="dxa"/>
            <w:vAlign w:val="center"/>
          </w:tcPr>
          <w:p>
            <w:pPr>
              <w:jc w:val="center"/>
              <w:rPr>
                <w:rFonts w:ascii="宋体" w:hAnsi="宋体" w:cs="宋体"/>
                <w:sz w:val="21"/>
                <w:szCs w:val="21"/>
              </w:rPr>
            </w:pPr>
            <w:r>
              <w:rPr>
                <w:rFonts w:hint="eastAsia"/>
                <w:sz w:val="21"/>
                <w:szCs w:val="21"/>
              </w:rPr>
              <w:t>0.92</w:t>
            </w:r>
          </w:p>
        </w:tc>
        <w:tc>
          <w:tcPr>
            <w:tcW w:w="2789" w:type="dxa"/>
            <w:vMerge w:val="continue"/>
            <w:vAlign w:val="center"/>
          </w:tcPr>
          <w:p>
            <w:pPr>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143" w:hRule="atLeast"/>
          <w:jc w:val="center"/>
        </w:trPr>
        <w:tc>
          <w:tcPr>
            <w:tcW w:w="649" w:type="dxa"/>
            <w:vMerge w:val="continue"/>
            <w:vAlign w:val="center"/>
          </w:tcPr>
          <w:p>
            <w:pPr>
              <w:spacing w:line="300" w:lineRule="exact"/>
              <w:jc w:val="center"/>
              <w:rPr>
                <w:sz w:val="21"/>
                <w:szCs w:val="21"/>
              </w:rPr>
            </w:pPr>
          </w:p>
        </w:tc>
        <w:tc>
          <w:tcPr>
            <w:tcW w:w="1460" w:type="dxa"/>
            <w:vAlign w:val="center"/>
          </w:tcPr>
          <w:p>
            <w:pPr>
              <w:spacing w:line="280" w:lineRule="atLeast"/>
              <w:jc w:val="center"/>
              <w:rPr>
                <w:sz w:val="21"/>
                <w:szCs w:val="21"/>
              </w:rPr>
            </w:pPr>
            <w:r>
              <w:rPr>
                <w:sz w:val="21"/>
                <w:szCs w:val="21"/>
              </w:rPr>
              <w:t>NH</w:t>
            </w:r>
            <w:r>
              <w:rPr>
                <w:sz w:val="21"/>
                <w:szCs w:val="21"/>
                <w:vertAlign w:val="subscript"/>
              </w:rPr>
              <w:t>3</w:t>
            </w:r>
            <w:r>
              <w:rPr>
                <w:sz w:val="21"/>
                <w:szCs w:val="21"/>
              </w:rPr>
              <w:t>-N</w:t>
            </w:r>
          </w:p>
        </w:tc>
        <w:tc>
          <w:tcPr>
            <w:tcW w:w="1071" w:type="dxa"/>
            <w:vAlign w:val="center"/>
          </w:tcPr>
          <w:p>
            <w:pPr>
              <w:spacing w:line="300" w:lineRule="exact"/>
              <w:jc w:val="center"/>
              <w:rPr>
                <w:sz w:val="21"/>
                <w:szCs w:val="21"/>
              </w:rPr>
            </w:pPr>
            <w:r>
              <w:rPr>
                <w:sz w:val="21"/>
                <w:szCs w:val="21"/>
              </w:rPr>
              <w:t>t/a</w:t>
            </w:r>
          </w:p>
        </w:tc>
        <w:tc>
          <w:tcPr>
            <w:tcW w:w="1197" w:type="dxa"/>
            <w:vAlign w:val="center"/>
          </w:tcPr>
          <w:p>
            <w:pPr>
              <w:jc w:val="center"/>
              <w:rPr>
                <w:rFonts w:ascii="宋体" w:hAnsi="宋体" w:cs="宋体"/>
                <w:sz w:val="21"/>
                <w:szCs w:val="21"/>
              </w:rPr>
            </w:pPr>
            <w:r>
              <w:rPr>
                <w:rFonts w:hint="eastAsia"/>
                <w:sz w:val="21"/>
                <w:szCs w:val="21"/>
              </w:rPr>
              <w:t>0.23</w:t>
            </w:r>
          </w:p>
        </w:tc>
        <w:tc>
          <w:tcPr>
            <w:tcW w:w="1197" w:type="dxa"/>
            <w:vAlign w:val="center"/>
          </w:tcPr>
          <w:p>
            <w:pPr>
              <w:jc w:val="center"/>
              <w:rPr>
                <w:rFonts w:ascii="宋体" w:hAnsi="宋体" w:cs="宋体"/>
                <w:sz w:val="21"/>
                <w:szCs w:val="21"/>
              </w:rPr>
            </w:pPr>
            <w:r>
              <w:rPr>
                <w:rFonts w:hint="eastAsia"/>
                <w:sz w:val="21"/>
                <w:szCs w:val="21"/>
              </w:rPr>
              <w:t>0.12</w:t>
            </w:r>
          </w:p>
        </w:tc>
        <w:tc>
          <w:tcPr>
            <w:tcW w:w="1197" w:type="dxa"/>
            <w:vAlign w:val="center"/>
          </w:tcPr>
          <w:p>
            <w:pPr>
              <w:jc w:val="center"/>
              <w:rPr>
                <w:rFonts w:ascii="宋体" w:hAnsi="宋体" w:cs="宋体"/>
                <w:sz w:val="21"/>
                <w:szCs w:val="21"/>
              </w:rPr>
            </w:pPr>
            <w:r>
              <w:rPr>
                <w:rFonts w:hint="eastAsia"/>
                <w:sz w:val="21"/>
                <w:szCs w:val="21"/>
              </w:rPr>
              <w:t>0.11</w:t>
            </w:r>
          </w:p>
        </w:tc>
        <w:tc>
          <w:tcPr>
            <w:tcW w:w="2789" w:type="dxa"/>
            <w:vMerge w:val="continue"/>
            <w:vAlign w:val="center"/>
          </w:tcPr>
          <w:p>
            <w:pPr>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465" w:hRule="atLeast"/>
          <w:jc w:val="center"/>
        </w:trPr>
        <w:tc>
          <w:tcPr>
            <w:tcW w:w="649" w:type="dxa"/>
            <w:vMerge w:val="restart"/>
            <w:vAlign w:val="center"/>
          </w:tcPr>
          <w:p>
            <w:pPr>
              <w:spacing w:line="300" w:lineRule="exact"/>
              <w:jc w:val="center"/>
              <w:rPr>
                <w:sz w:val="21"/>
                <w:szCs w:val="21"/>
              </w:rPr>
            </w:pPr>
            <w:r>
              <w:rPr>
                <w:sz w:val="21"/>
                <w:szCs w:val="21"/>
              </w:rPr>
              <w:t>固体废物</w:t>
            </w:r>
          </w:p>
        </w:tc>
        <w:tc>
          <w:tcPr>
            <w:tcW w:w="1460" w:type="dxa"/>
            <w:vAlign w:val="center"/>
          </w:tcPr>
          <w:p>
            <w:pPr>
              <w:spacing w:line="300" w:lineRule="exact"/>
              <w:jc w:val="center"/>
              <w:rPr>
                <w:sz w:val="21"/>
                <w:szCs w:val="21"/>
              </w:rPr>
            </w:pPr>
            <w:r>
              <w:rPr>
                <w:sz w:val="21"/>
                <w:szCs w:val="21"/>
              </w:rPr>
              <w:t>固体废物</w:t>
            </w:r>
          </w:p>
        </w:tc>
        <w:tc>
          <w:tcPr>
            <w:tcW w:w="1071" w:type="dxa"/>
            <w:vAlign w:val="center"/>
          </w:tcPr>
          <w:p>
            <w:pPr>
              <w:spacing w:line="300" w:lineRule="exact"/>
              <w:jc w:val="center"/>
              <w:rPr>
                <w:sz w:val="21"/>
                <w:szCs w:val="21"/>
              </w:rPr>
            </w:pPr>
            <w:r>
              <w:rPr>
                <w:sz w:val="21"/>
                <w:szCs w:val="21"/>
              </w:rPr>
              <w:t>万t/a</w:t>
            </w:r>
          </w:p>
        </w:tc>
        <w:tc>
          <w:tcPr>
            <w:tcW w:w="1197" w:type="dxa"/>
            <w:vAlign w:val="center"/>
          </w:tcPr>
          <w:p>
            <w:pPr>
              <w:spacing w:line="300" w:lineRule="exact"/>
              <w:jc w:val="center"/>
              <w:rPr>
                <w:rFonts w:hint="eastAsia"/>
                <w:sz w:val="21"/>
                <w:szCs w:val="21"/>
              </w:rPr>
            </w:pPr>
            <w:r>
              <w:rPr>
                <w:rFonts w:hint="eastAsia"/>
                <w:sz w:val="21"/>
                <w:szCs w:val="21"/>
              </w:rPr>
              <w:t>18.3536</w:t>
            </w:r>
          </w:p>
        </w:tc>
        <w:tc>
          <w:tcPr>
            <w:tcW w:w="1197" w:type="dxa"/>
            <w:vAlign w:val="center"/>
          </w:tcPr>
          <w:p>
            <w:pPr>
              <w:spacing w:line="300" w:lineRule="exact"/>
              <w:jc w:val="center"/>
              <w:rPr>
                <w:rFonts w:hint="eastAsia"/>
                <w:sz w:val="21"/>
                <w:szCs w:val="21"/>
              </w:rPr>
            </w:pPr>
            <w:r>
              <w:rPr>
                <w:rFonts w:hint="eastAsia"/>
                <w:sz w:val="21"/>
                <w:szCs w:val="21"/>
              </w:rPr>
              <w:t>18.3536</w:t>
            </w:r>
          </w:p>
        </w:tc>
        <w:tc>
          <w:tcPr>
            <w:tcW w:w="1197" w:type="dxa"/>
            <w:vAlign w:val="center"/>
          </w:tcPr>
          <w:p>
            <w:pPr>
              <w:spacing w:line="300" w:lineRule="exact"/>
              <w:jc w:val="center"/>
              <w:rPr>
                <w:sz w:val="21"/>
                <w:szCs w:val="21"/>
              </w:rPr>
            </w:pPr>
            <w:r>
              <w:rPr>
                <w:sz w:val="21"/>
                <w:szCs w:val="21"/>
              </w:rPr>
              <w:t>0</w:t>
            </w:r>
          </w:p>
        </w:tc>
        <w:tc>
          <w:tcPr>
            <w:tcW w:w="2789" w:type="dxa"/>
            <w:vAlign w:val="center"/>
          </w:tcPr>
          <w:p>
            <w:pPr>
              <w:spacing w:line="300" w:lineRule="exact"/>
              <w:jc w:val="center"/>
              <w:rPr>
                <w:sz w:val="21"/>
                <w:szCs w:val="21"/>
              </w:rPr>
            </w:pPr>
            <w:r>
              <w:rPr>
                <w:sz w:val="21"/>
                <w:szCs w:val="21"/>
              </w:rPr>
              <w:t>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619" w:hRule="atLeast"/>
          <w:jc w:val="center"/>
        </w:trPr>
        <w:tc>
          <w:tcPr>
            <w:tcW w:w="649" w:type="dxa"/>
            <w:vMerge w:val="continue"/>
            <w:vAlign w:val="center"/>
          </w:tcPr>
          <w:p>
            <w:pPr>
              <w:spacing w:line="300" w:lineRule="exact"/>
              <w:jc w:val="center"/>
              <w:rPr>
                <w:sz w:val="21"/>
                <w:szCs w:val="21"/>
              </w:rPr>
            </w:pPr>
          </w:p>
        </w:tc>
        <w:tc>
          <w:tcPr>
            <w:tcW w:w="1460" w:type="dxa"/>
            <w:vAlign w:val="center"/>
          </w:tcPr>
          <w:p>
            <w:pPr>
              <w:spacing w:line="320" w:lineRule="atLeast"/>
              <w:ind w:firstLine="210" w:firstLineChars="100"/>
              <w:jc w:val="center"/>
              <w:rPr>
                <w:rFonts w:hint="eastAsia"/>
                <w:sz w:val="21"/>
                <w:szCs w:val="21"/>
              </w:rPr>
            </w:pPr>
            <w:r>
              <w:rPr>
                <w:rFonts w:hint="eastAsia"/>
                <w:sz w:val="21"/>
                <w:szCs w:val="21"/>
              </w:rPr>
              <w:t>除尘灰</w:t>
            </w:r>
          </w:p>
        </w:tc>
        <w:tc>
          <w:tcPr>
            <w:tcW w:w="1071" w:type="dxa"/>
            <w:vAlign w:val="center"/>
          </w:tcPr>
          <w:p>
            <w:pPr>
              <w:spacing w:line="240" w:lineRule="exact"/>
              <w:jc w:val="center"/>
              <w:rPr>
                <w:sz w:val="21"/>
                <w:szCs w:val="21"/>
              </w:rPr>
            </w:pPr>
            <w:r>
              <w:rPr>
                <w:sz w:val="21"/>
                <w:szCs w:val="21"/>
              </w:rPr>
              <w:t xml:space="preserve">t/a </w:t>
            </w:r>
          </w:p>
        </w:tc>
        <w:tc>
          <w:tcPr>
            <w:tcW w:w="1197" w:type="dxa"/>
            <w:vAlign w:val="center"/>
          </w:tcPr>
          <w:p>
            <w:r>
              <w:rPr>
                <w:rFonts w:hint="eastAsia"/>
                <w:sz w:val="21"/>
                <w:szCs w:val="21"/>
              </w:rPr>
              <w:t>183485.15</w:t>
            </w:r>
          </w:p>
        </w:tc>
        <w:tc>
          <w:tcPr>
            <w:tcW w:w="1197" w:type="dxa"/>
            <w:vAlign w:val="center"/>
          </w:tcPr>
          <w:p>
            <w:r>
              <w:rPr>
                <w:rFonts w:hint="eastAsia"/>
                <w:sz w:val="21"/>
                <w:szCs w:val="21"/>
              </w:rPr>
              <w:t>183485.15</w:t>
            </w:r>
          </w:p>
        </w:tc>
        <w:tc>
          <w:tcPr>
            <w:tcW w:w="1197" w:type="dxa"/>
            <w:vAlign w:val="center"/>
          </w:tcPr>
          <w:p>
            <w:pPr>
              <w:spacing w:line="240" w:lineRule="exact"/>
              <w:jc w:val="center"/>
              <w:rPr>
                <w:sz w:val="21"/>
                <w:szCs w:val="21"/>
              </w:rPr>
            </w:pPr>
            <w:r>
              <w:rPr>
                <w:sz w:val="21"/>
                <w:szCs w:val="21"/>
              </w:rPr>
              <w:t>0</w:t>
            </w:r>
          </w:p>
        </w:tc>
        <w:tc>
          <w:tcPr>
            <w:tcW w:w="2789" w:type="dxa"/>
            <w:vAlign w:val="center"/>
          </w:tcPr>
          <w:p>
            <w:pPr>
              <w:spacing w:line="240" w:lineRule="exact"/>
              <w:jc w:val="center"/>
              <w:rPr>
                <w:sz w:val="21"/>
                <w:szCs w:val="21"/>
              </w:rPr>
            </w:pPr>
            <w:r>
              <w:rPr>
                <w:sz w:val="21"/>
                <w:szCs w:val="21"/>
              </w:rPr>
              <w:t>收集后作生产原料回用或产品外售利用，不排放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143" w:hRule="atLeast"/>
          <w:jc w:val="center"/>
        </w:trPr>
        <w:tc>
          <w:tcPr>
            <w:tcW w:w="649" w:type="dxa"/>
            <w:vMerge w:val="continue"/>
            <w:shd w:val="clear" w:color="auto" w:fill="auto"/>
            <w:vAlign w:val="center"/>
          </w:tcPr>
          <w:p>
            <w:pPr>
              <w:spacing w:line="300" w:lineRule="exact"/>
              <w:jc w:val="center"/>
              <w:rPr>
                <w:sz w:val="21"/>
                <w:szCs w:val="21"/>
              </w:rPr>
            </w:pPr>
          </w:p>
        </w:tc>
        <w:tc>
          <w:tcPr>
            <w:tcW w:w="1460" w:type="dxa"/>
            <w:shd w:val="clear" w:color="auto" w:fill="auto"/>
            <w:vAlign w:val="center"/>
          </w:tcPr>
          <w:p>
            <w:pPr>
              <w:spacing w:line="320" w:lineRule="atLeast"/>
              <w:jc w:val="center"/>
              <w:rPr>
                <w:rFonts w:hint="eastAsia"/>
                <w:sz w:val="21"/>
                <w:szCs w:val="21"/>
              </w:rPr>
            </w:pPr>
            <w:r>
              <w:rPr>
                <w:rFonts w:hint="eastAsia"/>
                <w:sz w:val="21"/>
                <w:szCs w:val="21"/>
              </w:rPr>
              <w:t>污水处理污泥</w:t>
            </w:r>
          </w:p>
        </w:tc>
        <w:tc>
          <w:tcPr>
            <w:tcW w:w="1071" w:type="dxa"/>
            <w:shd w:val="clear" w:color="auto" w:fill="auto"/>
            <w:vAlign w:val="center"/>
          </w:tcPr>
          <w:p>
            <w:pPr>
              <w:spacing w:line="240" w:lineRule="exact"/>
              <w:jc w:val="center"/>
              <w:rPr>
                <w:sz w:val="21"/>
                <w:szCs w:val="21"/>
              </w:rPr>
            </w:pPr>
            <w:r>
              <w:rPr>
                <w:sz w:val="21"/>
                <w:szCs w:val="21"/>
              </w:rPr>
              <w:t>t/a</w:t>
            </w:r>
          </w:p>
        </w:tc>
        <w:tc>
          <w:tcPr>
            <w:tcW w:w="1197" w:type="dxa"/>
            <w:shd w:val="clear" w:color="auto" w:fill="auto"/>
            <w:vAlign w:val="center"/>
          </w:tcPr>
          <w:p>
            <w:pPr>
              <w:spacing w:line="320" w:lineRule="atLeast"/>
              <w:jc w:val="center"/>
              <w:rPr>
                <w:rFonts w:hint="eastAsia"/>
                <w:sz w:val="21"/>
                <w:szCs w:val="21"/>
              </w:rPr>
            </w:pPr>
            <w:r>
              <w:rPr>
                <w:rFonts w:hint="eastAsia"/>
                <w:sz w:val="21"/>
                <w:szCs w:val="21"/>
              </w:rPr>
              <w:t>8.82</w:t>
            </w:r>
          </w:p>
        </w:tc>
        <w:tc>
          <w:tcPr>
            <w:tcW w:w="1197" w:type="dxa"/>
            <w:shd w:val="clear" w:color="auto" w:fill="auto"/>
            <w:vAlign w:val="center"/>
          </w:tcPr>
          <w:p>
            <w:pPr>
              <w:spacing w:line="320" w:lineRule="atLeast"/>
              <w:jc w:val="center"/>
              <w:rPr>
                <w:rFonts w:hint="eastAsia"/>
                <w:sz w:val="21"/>
                <w:szCs w:val="21"/>
              </w:rPr>
            </w:pPr>
            <w:r>
              <w:rPr>
                <w:rFonts w:hint="eastAsia"/>
                <w:sz w:val="21"/>
                <w:szCs w:val="21"/>
              </w:rPr>
              <w:t>8.82</w:t>
            </w:r>
          </w:p>
        </w:tc>
        <w:tc>
          <w:tcPr>
            <w:tcW w:w="1197" w:type="dxa"/>
            <w:shd w:val="clear" w:color="auto" w:fill="auto"/>
            <w:vAlign w:val="center"/>
          </w:tcPr>
          <w:p>
            <w:pPr>
              <w:spacing w:line="240" w:lineRule="exact"/>
              <w:jc w:val="center"/>
              <w:rPr>
                <w:sz w:val="21"/>
                <w:szCs w:val="21"/>
              </w:rPr>
            </w:pPr>
            <w:r>
              <w:rPr>
                <w:sz w:val="21"/>
                <w:szCs w:val="21"/>
              </w:rPr>
              <w:t>0</w:t>
            </w:r>
          </w:p>
        </w:tc>
        <w:tc>
          <w:tcPr>
            <w:tcW w:w="2789" w:type="dxa"/>
            <w:shd w:val="clear" w:color="auto" w:fill="auto"/>
            <w:vAlign w:val="center"/>
          </w:tcPr>
          <w:p>
            <w:pPr>
              <w:spacing w:line="240" w:lineRule="exact"/>
              <w:jc w:val="center"/>
              <w:rPr>
                <w:sz w:val="21"/>
                <w:szCs w:val="21"/>
              </w:rPr>
            </w:pPr>
            <w:r>
              <w:rPr>
                <w:sz w:val="21"/>
                <w:szCs w:val="21"/>
              </w:rPr>
              <w:t>直接送水泥回转窑作水泥原料煅烧，不排放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143" w:hRule="atLeast"/>
          <w:jc w:val="center"/>
        </w:trPr>
        <w:tc>
          <w:tcPr>
            <w:tcW w:w="649" w:type="dxa"/>
            <w:vMerge w:val="continue"/>
            <w:shd w:val="clear" w:color="auto" w:fill="auto"/>
            <w:vAlign w:val="center"/>
          </w:tcPr>
          <w:p>
            <w:pPr>
              <w:spacing w:line="300" w:lineRule="exact"/>
              <w:jc w:val="center"/>
              <w:rPr>
                <w:sz w:val="21"/>
                <w:szCs w:val="21"/>
              </w:rPr>
            </w:pPr>
          </w:p>
        </w:tc>
        <w:tc>
          <w:tcPr>
            <w:tcW w:w="1460" w:type="dxa"/>
            <w:shd w:val="clear" w:color="auto" w:fill="auto"/>
            <w:vAlign w:val="center"/>
          </w:tcPr>
          <w:p>
            <w:pPr>
              <w:spacing w:line="320" w:lineRule="atLeast"/>
              <w:ind w:firstLine="105" w:firstLineChars="50"/>
              <w:jc w:val="center"/>
              <w:rPr>
                <w:rFonts w:hint="eastAsia"/>
                <w:sz w:val="21"/>
                <w:szCs w:val="21"/>
              </w:rPr>
            </w:pPr>
            <w:r>
              <w:rPr>
                <w:rFonts w:hint="eastAsia"/>
                <w:sz w:val="21"/>
                <w:szCs w:val="21"/>
              </w:rPr>
              <w:t>生活垃圾</w:t>
            </w:r>
          </w:p>
        </w:tc>
        <w:tc>
          <w:tcPr>
            <w:tcW w:w="1071" w:type="dxa"/>
            <w:shd w:val="clear" w:color="auto" w:fill="auto"/>
            <w:vAlign w:val="center"/>
          </w:tcPr>
          <w:p>
            <w:pPr>
              <w:spacing w:line="240" w:lineRule="exact"/>
              <w:jc w:val="center"/>
              <w:rPr>
                <w:sz w:val="21"/>
                <w:szCs w:val="21"/>
              </w:rPr>
            </w:pPr>
            <w:r>
              <w:rPr>
                <w:sz w:val="21"/>
                <w:szCs w:val="21"/>
              </w:rPr>
              <w:t>t/a</w:t>
            </w:r>
          </w:p>
        </w:tc>
        <w:tc>
          <w:tcPr>
            <w:tcW w:w="1197" w:type="dxa"/>
            <w:shd w:val="clear" w:color="auto" w:fill="auto"/>
            <w:vAlign w:val="center"/>
          </w:tcPr>
          <w:p>
            <w:pPr>
              <w:spacing w:line="320" w:lineRule="atLeast"/>
              <w:ind w:firstLine="315" w:firstLineChars="150"/>
              <w:rPr>
                <w:rFonts w:hint="eastAsia"/>
                <w:sz w:val="21"/>
                <w:szCs w:val="21"/>
              </w:rPr>
            </w:pPr>
            <w:r>
              <w:rPr>
                <w:rFonts w:hint="eastAsia"/>
                <w:sz w:val="21"/>
                <w:szCs w:val="21"/>
              </w:rPr>
              <w:t>42.3</w:t>
            </w:r>
          </w:p>
        </w:tc>
        <w:tc>
          <w:tcPr>
            <w:tcW w:w="1197" w:type="dxa"/>
            <w:shd w:val="clear" w:color="auto" w:fill="auto"/>
            <w:vAlign w:val="center"/>
          </w:tcPr>
          <w:p>
            <w:pPr>
              <w:spacing w:line="320" w:lineRule="atLeast"/>
              <w:ind w:firstLine="420" w:firstLineChars="200"/>
              <w:rPr>
                <w:rFonts w:hint="eastAsia"/>
                <w:sz w:val="21"/>
                <w:szCs w:val="21"/>
              </w:rPr>
            </w:pPr>
            <w:r>
              <w:rPr>
                <w:rFonts w:hint="eastAsia"/>
                <w:sz w:val="21"/>
                <w:szCs w:val="21"/>
              </w:rPr>
              <w:t>42.3</w:t>
            </w:r>
          </w:p>
        </w:tc>
        <w:tc>
          <w:tcPr>
            <w:tcW w:w="1197" w:type="dxa"/>
            <w:shd w:val="clear" w:color="auto" w:fill="auto"/>
            <w:vAlign w:val="center"/>
          </w:tcPr>
          <w:p>
            <w:pPr>
              <w:spacing w:line="240" w:lineRule="exact"/>
              <w:jc w:val="center"/>
              <w:rPr>
                <w:sz w:val="21"/>
                <w:szCs w:val="21"/>
              </w:rPr>
            </w:pPr>
            <w:r>
              <w:rPr>
                <w:sz w:val="21"/>
                <w:szCs w:val="21"/>
              </w:rPr>
              <w:t>0</w:t>
            </w:r>
          </w:p>
        </w:tc>
        <w:tc>
          <w:tcPr>
            <w:tcW w:w="2789" w:type="dxa"/>
            <w:shd w:val="clear" w:color="auto" w:fill="auto"/>
            <w:vAlign w:val="center"/>
          </w:tcPr>
          <w:p>
            <w:pPr>
              <w:spacing w:line="240" w:lineRule="exact"/>
              <w:ind w:firstLine="420"/>
              <w:jc w:val="center"/>
              <w:rPr>
                <w:sz w:val="21"/>
                <w:szCs w:val="21"/>
              </w:rPr>
            </w:pPr>
            <w:r>
              <w:rPr>
                <w:sz w:val="21"/>
                <w:szCs w:val="21"/>
              </w:rPr>
              <w:t>在厂区内设生活垃圾转运站，集中收集后，由</w:t>
            </w:r>
            <w:r>
              <w:rPr>
                <w:rFonts w:hint="eastAsia"/>
                <w:sz w:val="21"/>
                <w:szCs w:val="21"/>
              </w:rPr>
              <w:t>青木关镇</w:t>
            </w:r>
            <w:r>
              <w:rPr>
                <w:sz w:val="21"/>
                <w:szCs w:val="21"/>
              </w:rPr>
              <w:t>环卫部门送城市垃圾处理场卫生填埋，不排放</w:t>
            </w:r>
          </w:p>
        </w:tc>
      </w:tr>
      <w:bookmarkEnd w:id="176"/>
      <w:bookmarkEnd w:id="177"/>
    </w:tbl>
    <w:p>
      <w:pPr>
        <w:spacing w:line="460" w:lineRule="exact"/>
        <w:outlineLvl w:val="1"/>
        <w:rPr>
          <w:rFonts w:hint="eastAsia"/>
          <w:b/>
        </w:rPr>
      </w:pPr>
      <w:bookmarkStart w:id="178" w:name="_Toc473281505"/>
      <w:bookmarkStart w:id="179" w:name="_Toc129763714"/>
      <w:bookmarkStart w:id="180" w:name="_Toc165607358"/>
      <w:bookmarkStart w:id="181" w:name="_Toc189814147"/>
      <w:bookmarkStart w:id="182" w:name="_Toc175479802"/>
    </w:p>
    <w:p>
      <w:pPr>
        <w:spacing w:line="360" w:lineRule="auto"/>
        <w:outlineLvl w:val="2"/>
        <w:rPr>
          <w:rFonts w:hint="eastAsia"/>
          <w:b/>
          <w:bCs/>
          <w:szCs w:val="20"/>
        </w:rPr>
      </w:pPr>
      <w:r>
        <w:rPr>
          <w:rFonts w:hint="eastAsia"/>
          <w:b/>
          <w:bCs/>
          <w:szCs w:val="20"/>
        </w:rPr>
        <w:t>3.3 技改项目建成后主要污染物增减情况分析</w:t>
      </w:r>
    </w:p>
    <w:p>
      <w:pPr>
        <w:spacing w:line="360" w:lineRule="auto"/>
        <w:outlineLvl w:val="2"/>
        <w:rPr>
          <w:rFonts w:hint="eastAsia"/>
          <w:spacing w:val="-8"/>
        </w:rPr>
      </w:pPr>
      <w:r>
        <w:rPr>
          <w:rFonts w:hint="eastAsia"/>
          <w:spacing w:val="-8"/>
        </w:rPr>
        <w:t xml:space="preserve">    技改项目投产前后污染物排放“三本帐”列于表3-17。</w:t>
      </w:r>
    </w:p>
    <w:p>
      <w:pPr>
        <w:spacing w:line="360" w:lineRule="auto"/>
        <w:jc w:val="center"/>
        <w:outlineLvl w:val="2"/>
        <w:rPr>
          <w:rFonts w:hint="eastAsia"/>
          <w:b/>
          <w:spacing w:val="-8"/>
        </w:rPr>
      </w:pPr>
      <w:r>
        <w:rPr>
          <w:rFonts w:hint="eastAsia"/>
          <w:b/>
          <w:bCs/>
          <w:szCs w:val="20"/>
        </w:rPr>
        <w:t>表3-17  技改项目投产前后</w:t>
      </w:r>
      <w:r>
        <w:rPr>
          <w:rFonts w:hint="eastAsia"/>
          <w:b/>
          <w:spacing w:val="-8"/>
        </w:rPr>
        <w:t>污染物排放“三本帐</w:t>
      </w:r>
    </w:p>
    <w:tbl>
      <w:tblPr>
        <w:tblStyle w:val="21"/>
        <w:tblpPr w:leftFromText="180" w:rightFromText="180" w:vertAnchor="page" w:horzAnchor="margin" w:tblpY="10396"/>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1160"/>
        <w:gridCol w:w="1161"/>
        <w:gridCol w:w="1161"/>
        <w:gridCol w:w="1161"/>
        <w:gridCol w:w="1161"/>
        <w:gridCol w:w="1161"/>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60" w:type="dxa"/>
            <w:shd w:val="clear" w:color="auto" w:fill="auto"/>
            <w:vAlign w:val="center"/>
          </w:tcPr>
          <w:p>
            <w:pPr>
              <w:spacing w:line="280" w:lineRule="atLeast"/>
              <w:ind w:firstLine="67"/>
              <w:jc w:val="center"/>
              <w:rPr>
                <w:sz w:val="21"/>
                <w:szCs w:val="21"/>
              </w:rPr>
            </w:pPr>
            <w:r>
              <w:rPr>
                <w:rFonts w:hint="eastAsia"/>
                <w:sz w:val="21"/>
                <w:szCs w:val="21"/>
              </w:rPr>
              <w:t>种类</w:t>
            </w:r>
          </w:p>
        </w:tc>
        <w:tc>
          <w:tcPr>
            <w:tcW w:w="1160" w:type="dxa"/>
            <w:shd w:val="clear" w:color="auto" w:fill="auto"/>
            <w:vAlign w:val="center"/>
          </w:tcPr>
          <w:p>
            <w:pPr>
              <w:spacing w:line="280" w:lineRule="atLeast"/>
              <w:ind w:firstLine="67"/>
              <w:jc w:val="center"/>
              <w:rPr>
                <w:sz w:val="21"/>
                <w:szCs w:val="21"/>
              </w:rPr>
            </w:pPr>
            <w:r>
              <w:rPr>
                <w:rFonts w:hint="eastAsia"/>
                <w:sz w:val="21"/>
                <w:szCs w:val="21"/>
              </w:rPr>
              <w:t>污染物名称</w:t>
            </w:r>
          </w:p>
        </w:tc>
        <w:tc>
          <w:tcPr>
            <w:tcW w:w="1161" w:type="dxa"/>
            <w:shd w:val="clear" w:color="auto" w:fill="auto"/>
            <w:vAlign w:val="center"/>
          </w:tcPr>
          <w:p>
            <w:pPr>
              <w:spacing w:line="280" w:lineRule="atLeast"/>
              <w:ind w:firstLine="67"/>
              <w:jc w:val="center"/>
              <w:rPr>
                <w:sz w:val="21"/>
                <w:szCs w:val="21"/>
              </w:rPr>
            </w:pPr>
            <w:r>
              <w:rPr>
                <w:rFonts w:hint="eastAsia"/>
                <w:sz w:val="21"/>
                <w:szCs w:val="21"/>
              </w:rPr>
              <w:t>现有项目排放量（</w:t>
            </w:r>
            <w:r>
              <w:rPr>
                <w:sz w:val="21"/>
                <w:szCs w:val="21"/>
              </w:rPr>
              <w:t>t/a</w:t>
            </w:r>
            <w:r>
              <w:rPr>
                <w:rFonts w:hint="eastAsia"/>
                <w:sz w:val="21"/>
                <w:szCs w:val="21"/>
              </w:rPr>
              <w:t>）</w:t>
            </w:r>
          </w:p>
        </w:tc>
        <w:tc>
          <w:tcPr>
            <w:tcW w:w="1161" w:type="dxa"/>
            <w:shd w:val="clear" w:color="auto" w:fill="auto"/>
            <w:vAlign w:val="center"/>
          </w:tcPr>
          <w:p>
            <w:pPr>
              <w:spacing w:line="280" w:lineRule="atLeast"/>
              <w:ind w:firstLine="67"/>
              <w:jc w:val="center"/>
              <w:rPr>
                <w:sz w:val="21"/>
                <w:szCs w:val="21"/>
              </w:rPr>
            </w:pPr>
            <w:r>
              <w:rPr>
                <w:rFonts w:hint="eastAsia"/>
                <w:sz w:val="21"/>
                <w:szCs w:val="21"/>
              </w:rPr>
              <w:t>技改项目排放量（</w:t>
            </w:r>
            <w:r>
              <w:rPr>
                <w:sz w:val="21"/>
                <w:szCs w:val="21"/>
              </w:rPr>
              <w:t>t/a</w:t>
            </w:r>
            <w:r>
              <w:rPr>
                <w:rFonts w:hint="eastAsia"/>
                <w:sz w:val="21"/>
                <w:szCs w:val="21"/>
              </w:rPr>
              <w:t>）</w:t>
            </w:r>
          </w:p>
        </w:tc>
        <w:tc>
          <w:tcPr>
            <w:tcW w:w="1161" w:type="dxa"/>
            <w:shd w:val="clear" w:color="auto" w:fill="auto"/>
            <w:vAlign w:val="center"/>
          </w:tcPr>
          <w:p>
            <w:pPr>
              <w:spacing w:line="280" w:lineRule="atLeast"/>
              <w:ind w:firstLine="67"/>
              <w:jc w:val="center"/>
              <w:rPr>
                <w:sz w:val="21"/>
                <w:szCs w:val="21"/>
              </w:rPr>
            </w:pPr>
            <w:r>
              <w:rPr>
                <w:rFonts w:hint="eastAsia"/>
                <w:sz w:val="21"/>
                <w:szCs w:val="21"/>
              </w:rPr>
              <w:t>“以新代老”削减量（</w:t>
            </w:r>
            <w:r>
              <w:rPr>
                <w:sz w:val="21"/>
                <w:szCs w:val="21"/>
              </w:rPr>
              <w:t>t/a</w:t>
            </w:r>
            <w:r>
              <w:rPr>
                <w:rFonts w:hint="eastAsia"/>
                <w:sz w:val="21"/>
                <w:szCs w:val="21"/>
              </w:rPr>
              <w:t>）</w:t>
            </w:r>
          </w:p>
        </w:tc>
        <w:tc>
          <w:tcPr>
            <w:tcW w:w="1161" w:type="dxa"/>
            <w:shd w:val="clear" w:color="auto" w:fill="auto"/>
            <w:vAlign w:val="center"/>
          </w:tcPr>
          <w:p>
            <w:pPr>
              <w:spacing w:line="280" w:lineRule="atLeast"/>
              <w:ind w:firstLine="67"/>
              <w:jc w:val="center"/>
              <w:rPr>
                <w:sz w:val="21"/>
                <w:szCs w:val="21"/>
              </w:rPr>
            </w:pPr>
            <w:r>
              <w:rPr>
                <w:rFonts w:hint="eastAsia"/>
                <w:sz w:val="21"/>
                <w:szCs w:val="21"/>
              </w:rPr>
              <w:t>技改项目建成后全厂排放量（</w:t>
            </w:r>
            <w:r>
              <w:rPr>
                <w:sz w:val="21"/>
                <w:szCs w:val="21"/>
              </w:rPr>
              <w:t>t/a</w:t>
            </w:r>
            <w:r>
              <w:rPr>
                <w:rFonts w:hint="eastAsia"/>
                <w:sz w:val="21"/>
                <w:szCs w:val="21"/>
              </w:rPr>
              <w:t>）</w:t>
            </w:r>
          </w:p>
        </w:tc>
        <w:tc>
          <w:tcPr>
            <w:tcW w:w="1161" w:type="dxa"/>
            <w:shd w:val="clear" w:color="auto" w:fill="auto"/>
            <w:vAlign w:val="center"/>
          </w:tcPr>
          <w:p>
            <w:pPr>
              <w:spacing w:line="280" w:lineRule="atLeast"/>
              <w:ind w:firstLine="67"/>
              <w:jc w:val="center"/>
              <w:rPr>
                <w:sz w:val="21"/>
                <w:szCs w:val="21"/>
              </w:rPr>
            </w:pPr>
            <w:r>
              <w:rPr>
                <w:rFonts w:hint="eastAsia"/>
                <w:sz w:val="21"/>
                <w:szCs w:val="21"/>
              </w:rPr>
              <w:t>技改项目建成后污染物增减量（</w:t>
            </w:r>
            <w:r>
              <w:rPr>
                <w:sz w:val="21"/>
                <w:szCs w:val="21"/>
              </w:rPr>
              <w:t>t/a</w:t>
            </w:r>
            <w:r>
              <w:rPr>
                <w:rFonts w:hint="eastAsia"/>
                <w:sz w:val="21"/>
                <w:szCs w:val="21"/>
              </w:rPr>
              <w:t>）</w:t>
            </w:r>
          </w:p>
        </w:tc>
        <w:tc>
          <w:tcPr>
            <w:tcW w:w="1161" w:type="dxa"/>
            <w:shd w:val="clear" w:color="auto" w:fill="auto"/>
            <w:vAlign w:val="center"/>
          </w:tcPr>
          <w:p>
            <w:pPr>
              <w:spacing w:line="280" w:lineRule="atLeast"/>
              <w:ind w:firstLine="67"/>
              <w:jc w:val="center"/>
              <w:rPr>
                <w:sz w:val="21"/>
                <w:szCs w:val="21"/>
              </w:rPr>
            </w:pPr>
            <w:r>
              <w:rPr>
                <w:rFonts w:hint="eastAsia"/>
                <w:sz w:val="21"/>
                <w:szCs w:val="21"/>
              </w:rPr>
              <w:t>增减率（</w:t>
            </w:r>
            <w:r>
              <w:rPr>
                <w:sz w:val="21"/>
                <w:szCs w:val="21"/>
              </w:rPr>
              <w:t>%</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60" w:type="dxa"/>
            <w:vMerge w:val="restart"/>
            <w:shd w:val="clear" w:color="auto" w:fill="auto"/>
            <w:vAlign w:val="center"/>
          </w:tcPr>
          <w:p>
            <w:pPr>
              <w:spacing w:line="280" w:lineRule="atLeast"/>
              <w:ind w:firstLine="67"/>
              <w:jc w:val="center"/>
              <w:rPr>
                <w:rFonts w:hint="eastAsia"/>
                <w:sz w:val="21"/>
                <w:szCs w:val="21"/>
              </w:rPr>
            </w:pPr>
            <w:r>
              <w:rPr>
                <w:rFonts w:hint="eastAsia"/>
                <w:sz w:val="21"/>
                <w:szCs w:val="21"/>
              </w:rPr>
              <w:t>大气污染物</w:t>
            </w:r>
          </w:p>
        </w:tc>
        <w:tc>
          <w:tcPr>
            <w:tcW w:w="1160" w:type="dxa"/>
            <w:shd w:val="clear" w:color="auto" w:fill="auto"/>
            <w:vAlign w:val="center"/>
          </w:tcPr>
          <w:p>
            <w:pPr>
              <w:widowControl/>
              <w:spacing w:line="280" w:lineRule="atLeast"/>
              <w:ind w:firstLine="67"/>
              <w:jc w:val="center"/>
              <w:rPr>
                <w:rFonts w:hint="eastAsia"/>
                <w:sz w:val="21"/>
                <w:szCs w:val="21"/>
              </w:rPr>
            </w:pPr>
            <w:r>
              <w:rPr>
                <w:rFonts w:hint="eastAsia"/>
                <w:sz w:val="21"/>
                <w:szCs w:val="21"/>
              </w:rPr>
              <w:t>烟(粉)尘</w:t>
            </w:r>
          </w:p>
        </w:tc>
        <w:tc>
          <w:tcPr>
            <w:tcW w:w="1161" w:type="dxa"/>
            <w:shd w:val="clear" w:color="auto" w:fill="auto"/>
            <w:vAlign w:val="center"/>
          </w:tcPr>
          <w:p>
            <w:pPr>
              <w:spacing w:line="280" w:lineRule="atLeast"/>
              <w:ind w:firstLine="67"/>
              <w:jc w:val="center"/>
              <w:rPr>
                <w:rFonts w:hint="eastAsia"/>
                <w:sz w:val="21"/>
                <w:szCs w:val="21"/>
              </w:rPr>
            </w:pPr>
            <w:r>
              <w:rPr>
                <w:rFonts w:hint="eastAsia"/>
                <w:sz w:val="21"/>
                <w:szCs w:val="21"/>
              </w:rPr>
              <w:t>334.92</w:t>
            </w:r>
          </w:p>
        </w:tc>
        <w:tc>
          <w:tcPr>
            <w:tcW w:w="1161" w:type="dxa"/>
            <w:shd w:val="clear" w:color="auto" w:fill="auto"/>
            <w:vAlign w:val="center"/>
          </w:tcPr>
          <w:p>
            <w:pPr>
              <w:spacing w:line="280" w:lineRule="atLeast"/>
              <w:ind w:firstLine="67"/>
              <w:jc w:val="center"/>
              <w:rPr>
                <w:sz w:val="21"/>
                <w:szCs w:val="21"/>
              </w:rPr>
            </w:pPr>
            <w:r>
              <w:rPr>
                <w:rFonts w:hint="eastAsia"/>
                <w:sz w:val="21"/>
                <w:szCs w:val="21"/>
              </w:rPr>
              <w:t>261.37</w:t>
            </w:r>
          </w:p>
        </w:tc>
        <w:tc>
          <w:tcPr>
            <w:tcW w:w="1161" w:type="dxa"/>
            <w:shd w:val="clear" w:color="auto" w:fill="auto"/>
            <w:vAlign w:val="center"/>
          </w:tcPr>
          <w:p>
            <w:pPr>
              <w:spacing w:line="280" w:lineRule="atLeast"/>
              <w:ind w:firstLine="67"/>
              <w:jc w:val="center"/>
              <w:rPr>
                <w:rFonts w:hint="eastAsia"/>
                <w:sz w:val="21"/>
                <w:szCs w:val="21"/>
              </w:rPr>
            </w:pPr>
            <w:r>
              <w:rPr>
                <w:rFonts w:hint="eastAsia"/>
                <w:sz w:val="21"/>
                <w:szCs w:val="21"/>
              </w:rPr>
              <w:t>334.92</w:t>
            </w:r>
          </w:p>
        </w:tc>
        <w:tc>
          <w:tcPr>
            <w:tcW w:w="1161" w:type="dxa"/>
            <w:shd w:val="clear" w:color="auto" w:fill="auto"/>
            <w:vAlign w:val="center"/>
          </w:tcPr>
          <w:p>
            <w:pPr>
              <w:spacing w:line="280" w:lineRule="atLeast"/>
              <w:ind w:firstLine="67"/>
              <w:jc w:val="center"/>
              <w:rPr>
                <w:sz w:val="21"/>
                <w:szCs w:val="21"/>
              </w:rPr>
            </w:pPr>
            <w:r>
              <w:rPr>
                <w:rFonts w:hint="eastAsia"/>
                <w:sz w:val="21"/>
                <w:szCs w:val="21"/>
              </w:rPr>
              <w:t>261.37</w:t>
            </w:r>
          </w:p>
        </w:tc>
        <w:tc>
          <w:tcPr>
            <w:tcW w:w="1161" w:type="dxa"/>
            <w:shd w:val="clear" w:color="auto" w:fill="auto"/>
            <w:vAlign w:val="center"/>
          </w:tcPr>
          <w:p>
            <w:pPr>
              <w:spacing w:line="280" w:lineRule="atLeast"/>
              <w:ind w:firstLine="67"/>
              <w:jc w:val="center"/>
              <w:rPr>
                <w:sz w:val="21"/>
                <w:szCs w:val="21"/>
              </w:rPr>
            </w:pPr>
            <w:r>
              <w:rPr>
                <w:rFonts w:hint="eastAsia"/>
                <w:sz w:val="21"/>
                <w:szCs w:val="21"/>
              </w:rPr>
              <w:t>-73.55</w:t>
            </w:r>
          </w:p>
        </w:tc>
        <w:tc>
          <w:tcPr>
            <w:tcW w:w="1161" w:type="dxa"/>
            <w:shd w:val="clear" w:color="auto" w:fill="auto"/>
            <w:vAlign w:val="center"/>
          </w:tcPr>
          <w:p>
            <w:pPr>
              <w:spacing w:line="280" w:lineRule="atLeast"/>
              <w:ind w:firstLine="67"/>
              <w:jc w:val="center"/>
              <w:rPr>
                <w:sz w:val="21"/>
                <w:szCs w:val="21"/>
              </w:rPr>
            </w:pPr>
            <w:r>
              <w:rPr>
                <w:rFonts w:hint="eastAsia"/>
                <w:sz w:val="21"/>
                <w:szCs w:val="21"/>
              </w:rPr>
              <w:t xml:space="preserve">-22.0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60" w:type="dxa"/>
            <w:vMerge w:val="continue"/>
            <w:shd w:val="clear" w:color="auto" w:fill="auto"/>
            <w:vAlign w:val="center"/>
          </w:tcPr>
          <w:p>
            <w:pPr>
              <w:spacing w:line="280" w:lineRule="atLeast"/>
              <w:ind w:firstLine="67"/>
              <w:jc w:val="center"/>
              <w:rPr>
                <w:sz w:val="21"/>
                <w:szCs w:val="21"/>
              </w:rPr>
            </w:pPr>
          </w:p>
        </w:tc>
        <w:tc>
          <w:tcPr>
            <w:tcW w:w="1160" w:type="dxa"/>
            <w:shd w:val="clear" w:color="auto" w:fill="auto"/>
            <w:vAlign w:val="center"/>
          </w:tcPr>
          <w:p>
            <w:pPr>
              <w:spacing w:line="280" w:lineRule="atLeast"/>
              <w:ind w:firstLine="67"/>
              <w:jc w:val="center"/>
              <w:rPr>
                <w:sz w:val="21"/>
                <w:szCs w:val="21"/>
              </w:rPr>
            </w:pPr>
            <w:r>
              <w:rPr>
                <w:sz w:val="21"/>
                <w:szCs w:val="21"/>
              </w:rPr>
              <w:t>SO</w:t>
            </w:r>
            <w:r>
              <w:rPr>
                <w:sz w:val="21"/>
                <w:szCs w:val="21"/>
                <w:vertAlign w:val="subscript"/>
              </w:rPr>
              <w:t>2</w:t>
            </w:r>
          </w:p>
        </w:tc>
        <w:tc>
          <w:tcPr>
            <w:tcW w:w="1161" w:type="dxa"/>
            <w:shd w:val="clear" w:color="auto" w:fill="auto"/>
            <w:vAlign w:val="center"/>
          </w:tcPr>
          <w:p>
            <w:pPr>
              <w:spacing w:line="280" w:lineRule="atLeast"/>
              <w:ind w:firstLine="67"/>
              <w:jc w:val="center"/>
              <w:rPr>
                <w:rFonts w:hint="eastAsia"/>
                <w:sz w:val="21"/>
                <w:szCs w:val="21"/>
              </w:rPr>
            </w:pPr>
            <w:r>
              <w:rPr>
                <w:rFonts w:hint="eastAsia"/>
                <w:sz w:val="21"/>
                <w:szCs w:val="21"/>
              </w:rPr>
              <w:t>1013.11</w:t>
            </w:r>
          </w:p>
        </w:tc>
        <w:tc>
          <w:tcPr>
            <w:tcW w:w="1161" w:type="dxa"/>
            <w:shd w:val="clear" w:color="auto" w:fill="auto"/>
            <w:vAlign w:val="center"/>
          </w:tcPr>
          <w:p>
            <w:pPr>
              <w:spacing w:line="280" w:lineRule="atLeast"/>
              <w:ind w:firstLine="67"/>
              <w:jc w:val="center"/>
              <w:rPr>
                <w:rFonts w:hint="eastAsia"/>
                <w:sz w:val="21"/>
                <w:szCs w:val="21"/>
              </w:rPr>
            </w:pPr>
            <w:r>
              <w:rPr>
                <w:rFonts w:hint="eastAsia"/>
                <w:sz w:val="21"/>
                <w:szCs w:val="21"/>
              </w:rPr>
              <w:t>216.44</w:t>
            </w:r>
          </w:p>
        </w:tc>
        <w:tc>
          <w:tcPr>
            <w:tcW w:w="1161" w:type="dxa"/>
            <w:shd w:val="clear" w:color="auto" w:fill="auto"/>
            <w:vAlign w:val="center"/>
          </w:tcPr>
          <w:p>
            <w:pPr>
              <w:spacing w:line="280" w:lineRule="atLeast"/>
              <w:ind w:firstLine="67"/>
              <w:jc w:val="center"/>
              <w:rPr>
                <w:rFonts w:hint="eastAsia"/>
                <w:sz w:val="21"/>
                <w:szCs w:val="21"/>
              </w:rPr>
            </w:pPr>
            <w:r>
              <w:rPr>
                <w:rFonts w:hint="eastAsia"/>
                <w:sz w:val="21"/>
                <w:szCs w:val="21"/>
              </w:rPr>
              <w:t>1013.11</w:t>
            </w:r>
          </w:p>
        </w:tc>
        <w:tc>
          <w:tcPr>
            <w:tcW w:w="1161" w:type="dxa"/>
            <w:shd w:val="clear" w:color="auto" w:fill="auto"/>
            <w:vAlign w:val="center"/>
          </w:tcPr>
          <w:p>
            <w:pPr>
              <w:spacing w:line="280" w:lineRule="atLeast"/>
              <w:ind w:firstLine="67"/>
              <w:jc w:val="center"/>
              <w:rPr>
                <w:rFonts w:hint="eastAsia"/>
                <w:sz w:val="21"/>
                <w:szCs w:val="21"/>
              </w:rPr>
            </w:pPr>
            <w:r>
              <w:rPr>
                <w:rFonts w:hint="eastAsia"/>
                <w:sz w:val="21"/>
                <w:szCs w:val="21"/>
              </w:rPr>
              <w:t>216.44</w:t>
            </w:r>
          </w:p>
        </w:tc>
        <w:tc>
          <w:tcPr>
            <w:tcW w:w="1161" w:type="dxa"/>
            <w:shd w:val="clear" w:color="auto" w:fill="auto"/>
            <w:vAlign w:val="center"/>
          </w:tcPr>
          <w:p>
            <w:pPr>
              <w:spacing w:line="280" w:lineRule="atLeast"/>
              <w:ind w:firstLine="67"/>
              <w:jc w:val="center"/>
              <w:rPr>
                <w:sz w:val="21"/>
                <w:szCs w:val="21"/>
              </w:rPr>
            </w:pPr>
            <w:r>
              <w:rPr>
                <w:rFonts w:hint="eastAsia"/>
                <w:sz w:val="21"/>
                <w:szCs w:val="21"/>
              </w:rPr>
              <w:t>-796.67</w:t>
            </w:r>
          </w:p>
        </w:tc>
        <w:tc>
          <w:tcPr>
            <w:tcW w:w="1161" w:type="dxa"/>
            <w:shd w:val="clear" w:color="auto" w:fill="auto"/>
            <w:vAlign w:val="center"/>
          </w:tcPr>
          <w:p>
            <w:pPr>
              <w:spacing w:line="280" w:lineRule="atLeast"/>
              <w:ind w:firstLine="67"/>
              <w:jc w:val="center"/>
              <w:rPr>
                <w:sz w:val="21"/>
                <w:szCs w:val="21"/>
              </w:rPr>
            </w:pPr>
            <w:r>
              <w:rPr>
                <w:rFonts w:hint="eastAsia"/>
                <w:sz w:val="21"/>
                <w:szCs w:val="21"/>
              </w:rPr>
              <w:t xml:space="preserve">-78.6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60" w:type="dxa"/>
            <w:vMerge w:val="continue"/>
            <w:shd w:val="clear" w:color="auto" w:fill="auto"/>
            <w:vAlign w:val="center"/>
          </w:tcPr>
          <w:p>
            <w:pPr>
              <w:spacing w:line="280" w:lineRule="atLeast"/>
              <w:ind w:firstLine="67"/>
              <w:jc w:val="center"/>
              <w:rPr>
                <w:sz w:val="21"/>
                <w:szCs w:val="21"/>
              </w:rPr>
            </w:pPr>
          </w:p>
        </w:tc>
        <w:tc>
          <w:tcPr>
            <w:tcW w:w="1160" w:type="dxa"/>
            <w:shd w:val="clear" w:color="auto" w:fill="auto"/>
            <w:vAlign w:val="center"/>
          </w:tcPr>
          <w:p>
            <w:pPr>
              <w:spacing w:line="280" w:lineRule="atLeast"/>
              <w:ind w:firstLine="67"/>
              <w:jc w:val="center"/>
              <w:rPr>
                <w:sz w:val="21"/>
                <w:szCs w:val="21"/>
              </w:rPr>
            </w:pPr>
            <w:r>
              <w:rPr>
                <w:sz w:val="21"/>
                <w:szCs w:val="21"/>
              </w:rPr>
              <w:t>NOx</w:t>
            </w:r>
          </w:p>
        </w:tc>
        <w:tc>
          <w:tcPr>
            <w:tcW w:w="1161" w:type="dxa"/>
            <w:shd w:val="clear" w:color="auto" w:fill="auto"/>
            <w:vAlign w:val="center"/>
          </w:tcPr>
          <w:p>
            <w:pPr>
              <w:spacing w:line="280" w:lineRule="atLeast"/>
              <w:ind w:firstLine="67"/>
              <w:jc w:val="center"/>
              <w:rPr>
                <w:rFonts w:hint="eastAsia"/>
                <w:sz w:val="21"/>
                <w:szCs w:val="21"/>
              </w:rPr>
            </w:pPr>
            <w:r>
              <w:rPr>
                <w:rFonts w:hint="eastAsia"/>
                <w:sz w:val="21"/>
                <w:szCs w:val="21"/>
              </w:rPr>
              <w:t>952.34</w:t>
            </w:r>
          </w:p>
        </w:tc>
        <w:tc>
          <w:tcPr>
            <w:tcW w:w="1161" w:type="dxa"/>
            <w:shd w:val="clear" w:color="auto" w:fill="auto"/>
            <w:vAlign w:val="center"/>
          </w:tcPr>
          <w:p>
            <w:pPr>
              <w:spacing w:line="280" w:lineRule="atLeast"/>
              <w:ind w:firstLine="67"/>
              <w:jc w:val="center"/>
              <w:rPr>
                <w:rFonts w:hint="eastAsia"/>
                <w:sz w:val="21"/>
                <w:szCs w:val="21"/>
              </w:rPr>
            </w:pPr>
            <w:r>
              <w:rPr>
                <w:rFonts w:hint="eastAsia"/>
                <w:sz w:val="21"/>
                <w:szCs w:val="21"/>
              </w:rPr>
              <w:t>1799.88</w:t>
            </w:r>
          </w:p>
        </w:tc>
        <w:tc>
          <w:tcPr>
            <w:tcW w:w="1161" w:type="dxa"/>
            <w:shd w:val="clear" w:color="auto" w:fill="auto"/>
            <w:vAlign w:val="center"/>
          </w:tcPr>
          <w:p>
            <w:pPr>
              <w:spacing w:line="280" w:lineRule="atLeast"/>
              <w:ind w:firstLine="67"/>
              <w:jc w:val="center"/>
              <w:rPr>
                <w:rFonts w:hint="eastAsia"/>
                <w:sz w:val="21"/>
                <w:szCs w:val="21"/>
              </w:rPr>
            </w:pPr>
            <w:r>
              <w:rPr>
                <w:rFonts w:hint="eastAsia"/>
                <w:sz w:val="21"/>
                <w:szCs w:val="21"/>
              </w:rPr>
              <w:t>952.34</w:t>
            </w:r>
          </w:p>
        </w:tc>
        <w:tc>
          <w:tcPr>
            <w:tcW w:w="1161" w:type="dxa"/>
            <w:shd w:val="clear" w:color="auto" w:fill="auto"/>
            <w:vAlign w:val="center"/>
          </w:tcPr>
          <w:p>
            <w:pPr>
              <w:spacing w:line="280" w:lineRule="atLeast"/>
              <w:ind w:firstLine="67"/>
              <w:jc w:val="center"/>
              <w:rPr>
                <w:rFonts w:hint="eastAsia"/>
                <w:sz w:val="21"/>
                <w:szCs w:val="21"/>
              </w:rPr>
            </w:pPr>
            <w:r>
              <w:rPr>
                <w:rFonts w:hint="eastAsia"/>
                <w:sz w:val="21"/>
                <w:szCs w:val="21"/>
              </w:rPr>
              <w:t>1799.88</w:t>
            </w:r>
          </w:p>
        </w:tc>
        <w:tc>
          <w:tcPr>
            <w:tcW w:w="1161" w:type="dxa"/>
            <w:shd w:val="clear" w:color="auto" w:fill="auto"/>
            <w:vAlign w:val="center"/>
          </w:tcPr>
          <w:p>
            <w:pPr>
              <w:spacing w:line="280" w:lineRule="atLeast"/>
              <w:ind w:firstLine="67"/>
              <w:jc w:val="center"/>
              <w:rPr>
                <w:sz w:val="21"/>
                <w:szCs w:val="21"/>
              </w:rPr>
            </w:pPr>
            <w:r>
              <w:rPr>
                <w:rFonts w:hint="eastAsia"/>
                <w:sz w:val="21"/>
                <w:szCs w:val="21"/>
              </w:rPr>
              <w:t>847.54</w:t>
            </w:r>
          </w:p>
        </w:tc>
        <w:tc>
          <w:tcPr>
            <w:tcW w:w="1161" w:type="dxa"/>
            <w:shd w:val="clear" w:color="auto" w:fill="auto"/>
            <w:vAlign w:val="center"/>
          </w:tcPr>
          <w:p>
            <w:pPr>
              <w:spacing w:line="280" w:lineRule="atLeast"/>
              <w:ind w:firstLine="67"/>
              <w:jc w:val="center"/>
              <w:rPr>
                <w:sz w:val="21"/>
                <w:szCs w:val="21"/>
              </w:rPr>
            </w:pPr>
            <w:r>
              <w:rPr>
                <w:rFonts w:hint="eastAsia"/>
                <w:sz w:val="21"/>
                <w:szCs w:val="21"/>
              </w:rPr>
              <w:t xml:space="preserve">89.0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60" w:type="dxa"/>
            <w:vMerge w:val="continue"/>
            <w:shd w:val="clear" w:color="auto" w:fill="auto"/>
            <w:vAlign w:val="center"/>
          </w:tcPr>
          <w:p>
            <w:pPr>
              <w:spacing w:line="280" w:lineRule="atLeast"/>
              <w:ind w:firstLine="67"/>
              <w:jc w:val="center"/>
              <w:rPr>
                <w:sz w:val="21"/>
                <w:szCs w:val="21"/>
              </w:rPr>
            </w:pPr>
          </w:p>
        </w:tc>
        <w:tc>
          <w:tcPr>
            <w:tcW w:w="1160" w:type="dxa"/>
            <w:shd w:val="clear" w:color="auto" w:fill="auto"/>
            <w:vAlign w:val="center"/>
          </w:tcPr>
          <w:p>
            <w:pPr>
              <w:spacing w:line="280" w:lineRule="atLeast"/>
              <w:ind w:firstLine="67"/>
              <w:jc w:val="center"/>
              <w:rPr>
                <w:rFonts w:hint="eastAsia"/>
                <w:sz w:val="21"/>
                <w:szCs w:val="21"/>
              </w:rPr>
            </w:pPr>
            <w:r>
              <w:rPr>
                <w:rFonts w:hint="eastAsia"/>
                <w:sz w:val="21"/>
                <w:szCs w:val="21"/>
              </w:rPr>
              <w:t>无组织排放粉尘</w:t>
            </w:r>
          </w:p>
        </w:tc>
        <w:tc>
          <w:tcPr>
            <w:tcW w:w="1161" w:type="dxa"/>
            <w:shd w:val="clear" w:color="auto" w:fill="auto"/>
            <w:vAlign w:val="center"/>
          </w:tcPr>
          <w:p>
            <w:pPr>
              <w:spacing w:line="280" w:lineRule="atLeast"/>
              <w:ind w:firstLine="67"/>
              <w:jc w:val="center"/>
              <w:rPr>
                <w:rFonts w:hint="eastAsia"/>
                <w:sz w:val="21"/>
                <w:szCs w:val="21"/>
              </w:rPr>
            </w:pPr>
            <w:r>
              <w:rPr>
                <w:rFonts w:hint="eastAsia"/>
                <w:sz w:val="21"/>
                <w:szCs w:val="21"/>
              </w:rPr>
              <w:t>438.61</w:t>
            </w:r>
          </w:p>
        </w:tc>
        <w:tc>
          <w:tcPr>
            <w:tcW w:w="1161" w:type="dxa"/>
            <w:shd w:val="clear" w:color="auto" w:fill="auto"/>
            <w:vAlign w:val="center"/>
          </w:tcPr>
          <w:p>
            <w:pPr>
              <w:spacing w:line="280" w:lineRule="atLeast"/>
              <w:ind w:firstLine="67"/>
              <w:jc w:val="center"/>
              <w:rPr>
                <w:rFonts w:hint="eastAsia"/>
                <w:sz w:val="21"/>
                <w:szCs w:val="21"/>
              </w:rPr>
            </w:pPr>
            <w:r>
              <w:rPr>
                <w:rFonts w:hint="eastAsia"/>
                <w:sz w:val="21"/>
                <w:szCs w:val="21"/>
              </w:rPr>
              <w:t>28.73</w:t>
            </w:r>
          </w:p>
        </w:tc>
        <w:tc>
          <w:tcPr>
            <w:tcW w:w="1161" w:type="dxa"/>
            <w:shd w:val="clear" w:color="auto" w:fill="auto"/>
            <w:vAlign w:val="center"/>
          </w:tcPr>
          <w:p>
            <w:pPr>
              <w:spacing w:line="280" w:lineRule="atLeast"/>
              <w:ind w:firstLine="67"/>
              <w:jc w:val="center"/>
              <w:rPr>
                <w:rFonts w:hint="eastAsia"/>
                <w:sz w:val="21"/>
                <w:szCs w:val="21"/>
              </w:rPr>
            </w:pPr>
            <w:r>
              <w:rPr>
                <w:rFonts w:hint="eastAsia"/>
                <w:sz w:val="21"/>
                <w:szCs w:val="21"/>
              </w:rPr>
              <w:t>438.61</w:t>
            </w:r>
          </w:p>
        </w:tc>
        <w:tc>
          <w:tcPr>
            <w:tcW w:w="1161" w:type="dxa"/>
            <w:shd w:val="clear" w:color="auto" w:fill="auto"/>
            <w:vAlign w:val="center"/>
          </w:tcPr>
          <w:p>
            <w:pPr>
              <w:spacing w:line="280" w:lineRule="atLeast"/>
              <w:ind w:firstLine="67"/>
              <w:jc w:val="center"/>
              <w:rPr>
                <w:rFonts w:hint="eastAsia"/>
                <w:sz w:val="21"/>
                <w:szCs w:val="21"/>
              </w:rPr>
            </w:pPr>
            <w:r>
              <w:rPr>
                <w:rFonts w:hint="eastAsia"/>
                <w:sz w:val="21"/>
                <w:szCs w:val="21"/>
              </w:rPr>
              <w:t>28.73</w:t>
            </w:r>
          </w:p>
        </w:tc>
        <w:tc>
          <w:tcPr>
            <w:tcW w:w="1161" w:type="dxa"/>
            <w:shd w:val="clear" w:color="auto" w:fill="auto"/>
            <w:vAlign w:val="center"/>
          </w:tcPr>
          <w:p>
            <w:pPr>
              <w:spacing w:line="280" w:lineRule="atLeast"/>
              <w:ind w:firstLine="67"/>
              <w:jc w:val="center"/>
              <w:rPr>
                <w:sz w:val="21"/>
                <w:szCs w:val="21"/>
              </w:rPr>
            </w:pPr>
            <w:r>
              <w:rPr>
                <w:rFonts w:hint="eastAsia"/>
                <w:sz w:val="21"/>
                <w:szCs w:val="21"/>
              </w:rPr>
              <w:t>-409.88</w:t>
            </w:r>
          </w:p>
        </w:tc>
        <w:tc>
          <w:tcPr>
            <w:tcW w:w="1161" w:type="dxa"/>
            <w:shd w:val="clear" w:color="auto" w:fill="auto"/>
            <w:vAlign w:val="center"/>
          </w:tcPr>
          <w:p>
            <w:pPr>
              <w:spacing w:line="280" w:lineRule="atLeast"/>
              <w:ind w:firstLine="67"/>
              <w:jc w:val="center"/>
              <w:rPr>
                <w:sz w:val="21"/>
                <w:szCs w:val="21"/>
              </w:rPr>
            </w:pPr>
            <w:r>
              <w:rPr>
                <w:rFonts w:hint="eastAsia"/>
                <w:sz w:val="21"/>
                <w:szCs w:val="21"/>
              </w:rPr>
              <w:t xml:space="preserve">-93.4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60" w:type="dxa"/>
            <w:vMerge w:val="restart"/>
            <w:shd w:val="clear" w:color="auto" w:fill="auto"/>
            <w:vAlign w:val="center"/>
          </w:tcPr>
          <w:p>
            <w:pPr>
              <w:spacing w:line="280" w:lineRule="atLeast"/>
              <w:ind w:firstLine="67"/>
              <w:jc w:val="center"/>
              <w:rPr>
                <w:sz w:val="21"/>
                <w:szCs w:val="21"/>
              </w:rPr>
            </w:pPr>
            <w:r>
              <w:rPr>
                <w:rFonts w:hint="eastAsia"/>
                <w:sz w:val="21"/>
                <w:szCs w:val="21"/>
              </w:rPr>
              <w:t>水污染物</w:t>
            </w:r>
          </w:p>
        </w:tc>
        <w:tc>
          <w:tcPr>
            <w:tcW w:w="1160" w:type="dxa"/>
            <w:shd w:val="clear" w:color="auto" w:fill="auto"/>
            <w:vAlign w:val="center"/>
          </w:tcPr>
          <w:p>
            <w:pPr>
              <w:spacing w:line="280" w:lineRule="atLeast"/>
              <w:ind w:firstLine="67"/>
              <w:jc w:val="center"/>
              <w:rPr>
                <w:sz w:val="21"/>
                <w:szCs w:val="21"/>
              </w:rPr>
            </w:pPr>
            <w:r>
              <w:rPr>
                <w:sz w:val="21"/>
                <w:szCs w:val="21"/>
              </w:rPr>
              <w:t>COD</w:t>
            </w:r>
          </w:p>
        </w:tc>
        <w:tc>
          <w:tcPr>
            <w:tcW w:w="1161" w:type="dxa"/>
            <w:shd w:val="clear" w:color="auto" w:fill="auto"/>
            <w:vAlign w:val="center"/>
          </w:tcPr>
          <w:p>
            <w:pPr>
              <w:spacing w:line="280" w:lineRule="atLeast"/>
              <w:ind w:firstLine="67"/>
              <w:jc w:val="center"/>
              <w:rPr>
                <w:rFonts w:hint="eastAsia"/>
                <w:sz w:val="21"/>
                <w:szCs w:val="21"/>
              </w:rPr>
            </w:pPr>
            <w:r>
              <w:rPr>
                <w:rFonts w:hint="eastAsia"/>
                <w:sz w:val="21"/>
                <w:szCs w:val="21"/>
              </w:rPr>
              <w:t>2.19</w:t>
            </w:r>
          </w:p>
        </w:tc>
        <w:tc>
          <w:tcPr>
            <w:tcW w:w="1161" w:type="dxa"/>
            <w:shd w:val="clear" w:color="auto" w:fill="auto"/>
            <w:vAlign w:val="center"/>
          </w:tcPr>
          <w:p>
            <w:pPr>
              <w:jc w:val="center"/>
              <w:rPr>
                <w:rFonts w:ascii="宋体" w:hAnsi="宋体" w:cs="宋体"/>
                <w:sz w:val="21"/>
                <w:szCs w:val="21"/>
              </w:rPr>
            </w:pPr>
            <w:r>
              <w:rPr>
                <w:rFonts w:hint="eastAsia"/>
                <w:sz w:val="21"/>
                <w:szCs w:val="21"/>
              </w:rPr>
              <w:t>1.63</w:t>
            </w:r>
          </w:p>
        </w:tc>
        <w:tc>
          <w:tcPr>
            <w:tcW w:w="1161" w:type="dxa"/>
            <w:shd w:val="clear" w:color="auto" w:fill="auto"/>
            <w:vAlign w:val="center"/>
          </w:tcPr>
          <w:p>
            <w:pPr>
              <w:spacing w:line="280" w:lineRule="atLeast"/>
              <w:ind w:firstLine="67"/>
              <w:jc w:val="center"/>
              <w:rPr>
                <w:rFonts w:hint="eastAsia"/>
                <w:sz w:val="21"/>
                <w:szCs w:val="21"/>
              </w:rPr>
            </w:pPr>
            <w:r>
              <w:rPr>
                <w:rFonts w:hint="eastAsia"/>
                <w:sz w:val="21"/>
                <w:szCs w:val="21"/>
              </w:rPr>
              <w:t>2.19</w:t>
            </w:r>
          </w:p>
        </w:tc>
        <w:tc>
          <w:tcPr>
            <w:tcW w:w="1161" w:type="dxa"/>
            <w:shd w:val="clear" w:color="auto" w:fill="auto"/>
            <w:vAlign w:val="center"/>
          </w:tcPr>
          <w:p>
            <w:pPr>
              <w:jc w:val="center"/>
              <w:rPr>
                <w:rFonts w:ascii="宋体" w:hAnsi="宋体" w:cs="宋体"/>
                <w:sz w:val="21"/>
                <w:szCs w:val="21"/>
              </w:rPr>
            </w:pPr>
            <w:r>
              <w:rPr>
                <w:rFonts w:hint="eastAsia"/>
                <w:sz w:val="21"/>
                <w:szCs w:val="21"/>
              </w:rPr>
              <w:t>1.63</w:t>
            </w:r>
          </w:p>
        </w:tc>
        <w:tc>
          <w:tcPr>
            <w:tcW w:w="1161" w:type="dxa"/>
            <w:shd w:val="clear" w:color="auto" w:fill="auto"/>
            <w:vAlign w:val="center"/>
          </w:tcPr>
          <w:p>
            <w:pPr>
              <w:jc w:val="center"/>
              <w:rPr>
                <w:rFonts w:ascii="宋体" w:hAnsi="宋体" w:cs="宋体"/>
                <w:sz w:val="21"/>
                <w:szCs w:val="21"/>
              </w:rPr>
            </w:pPr>
            <w:r>
              <w:rPr>
                <w:rFonts w:hint="eastAsia"/>
                <w:sz w:val="21"/>
                <w:szCs w:val="21"/>
              </w:rPr>
              <w:t>-0.56</w:t>
            </w:r>
          </w:p>
        </w:tc>
        <w:tc>
          <w:tcPr>
            <w:tcW w:w="1161" w:type="dxa"/>
            <w:shd w:val="clear" w:color="auto" w:fill="auto"/>
            <w:vAlign w:val="center"/>
          </w:tcPr>
          <w:p>
            <w:pPr>
              <w:jc w:val="center"/>
              <w:rPr>
                <w:rFonts w:ascii="宋体" w:hAnsi="宋体" w:cs="宋体"/>
                <w:sz w:val="21"/>
                <w:szCs w:val="21"/>
              </w:rPr>
            </w:pPr>
            <w:r>
              <w:rPr>
                <w:rFonts w:hint="eastAsia"/>
                <w:sz w:val="21"/>
                <w:szCs w:val="21"/>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60" w:type="dxa"/>
            <w:vMerge w:val="continue"/>
            <w:shd w:val="clear" w:color="auto" w:fill="auto"/>
            <w:vAlign w:val="center"/>
          </w:tcPr>
          <w:p>
            <w:pPr>
              <w:spacing w:line="280" w:lineRule="atLeast"/>
              <w:ind w:firstLine="67"/>
              <w:jc w:val="center"/>
              <w:rPr>
                <w:sz w:val="21"/>
                <w:szCs w:val="21"/>
              </w:rPr>
            </w:pPr>
          </w:p>
        </w:tc>
        <w:tc>
          <w:tcPr>
            <w:tcW w:w="1160" w:type="dxa"/>
            <w:shd w:val="clear" w:color="auto" w:fill="auto"/>
            <w:vAlign w:val="center"/>
          </w:tcPr>
          <w:p>
            <w:pPr>
              <w:spacing w:line="280" w:lineRule="atLeast"/>
              <w:ind w:firstLine="67"/>
              <w:jc w:val="center"/>
              <w:rPr>
                <w:sz w:val="21"/>
                <w:szCs w:val="21"/>
              </w:rPr>
            </w:pPr>
            <w:r>
              <w:rPr>
                <w:sz w:val="21"/>
                <w:szCs w:val="21"/>
              </w:rPr>
              <w:t>NH</w:t>
            </w:r>
            <w:r>
              <w:rPr>
                <w:sz w:val="21"/>
                <w:szCs w:val="21"/>
                <w:vertAlign w:val="subscript"/>
              </w:rPr>
              <w:t>3</w:t>
            </w:r>
            <w:r>
              <w:rPr>
                <w:sz w:val="21"/>
                <w:szCs w:val="21"/>
              </w:rPr>
              <w:t>-N</w:t>
            </w:r>
          </w:p>
        </w:tc>
        <w:tc>
          <w:tcPr>
            <w:tcW w:w="1161" w:type="dxa"/>
            <w:shd w:val="clear" w:color="auto" w:fill="auto"/>
            <w:vAlign w:val="center"/>
          </w:tcPr>
          <w:p>
            <w:pPr>
              <w:spacing w:line="280" w:lineRule="atLeast"/>
              <w:ind w:firstLine="67"/>
              <w:jc w:val="center"/>
              <w:rPr>
                <w:rFonts w:hint="eastAsia"/>
                <w:sz w:val="21"/>
                <w:szCs w:val="21"/>
              </w:rPr>
            </w:pPr>
            <w:r>
              <w:rPr>
                <w:rFonts w:hint="eastAsia"/>
                <w:sz w:val="21"/>
                <w:szCs w:val="21"/>
              </w:rPr>
              <w:t>0.22</w:t>
            </w:r>
          </w:p>
        </w:tc>
        <w:tc>
          <w:tcPr>
            <w:tcW w:w="1161" w:type="dxa"/>
            <w:shd w:val="clear" w:color="auto" w:fill="auto"/>
            <w:vAlign w:val="center"/>
          </w:tcPr>
          <w:p>
            <w:pPr>
              <w:jc w:val="center"/>
              <w:rPr>
                <w:rFonts w:ascii="宋体" w:hAnsi="宋体" w:cs="宋体"/>
                <w:sz w:val="21"/>
                <w:szCs w:val="21"/>
              </w:rPr>
            </w:pPr>
            <w:r>
              <w:rPr>
                <w:rFonts w:hint="eastAsia"/>
                <w:sz w:val="21"/>
                <w:szCs w:val="21"/>
              </w:rPr>
              <w:t>0.11</w:t>
            </w:r>
          </w:p>
        </w:tc>
        <w:tc>
          <w:tcPr>
            <w:tcW w:w="1161" w:type="dxa"/>
            <w:shd w:val="clear" w:color="auto" w:fill="auto"/>
            <w:vAlign w:val="center"/>
          </w:tcPr>
          <w:p>
            <w:pPr>
              <w:spacing w:line="280" w:lineRule="atLeast"/>
              <w:ind w:firstLine="67"/>
              <w:jc w:val="center"/>
              <w:rPr>
                <w:rFonts w:hint="eastAsia"/>
                <w:sz w:val="21"/>
                <w:szCs w:val="21"/>
              </w:rPr>
            </w:pPr>
            <w:r>
              <w:rPr>
                <w:rFonts w:hint="eastAsia"/>
                <w:sz w:val="21"/>
                <w:szCs w:val="21"/>
              </w:rPr>
              <w:t>0.22</w:t>
            </w:r>
          </w:p>
        </w:tc>
        <w:tc>
          <w:tcPr>
            <w:tcW w:w="1161" w:type="dxa"/>
            <w:shd w:val="clear" w:color="auto" w:fill="auto"/>
            <w:vAlign w:val="center"/>
          </w:tcPr>
          <w:p>
            <w:pPr>
              <w:jc w:val="center"/>
              <w:rPr>
                <w:rFonts w:ascii="宋体" w:hAnsi="宋体" w:cs="宋体"/>
                <w:sz w:val="21"/>
                <w:szCs w:val="21"/>
              </w:rPr>
            </w:pPr>
            <w:r>
              <w:rPr>
                <w:rFonts w:hint="eastAsia"/>
                <w:sz w:val="21"/>
                <w:szCs w:val="21"/>
              </w:rPr>
              <w:t>0.11</w:t>
            </w:r>
          </w:p>
        </w:tc>
        <w:tc>
          <w:tcPr>
            <w:tcW w:w="1161" w:type="dxa"/>
            <w:shd w:val="clear" w:color="auto" w:fill="auto"/>
            <w:vAlign w:val="center"/>
          </w:tcPr>
          <w:p>
            <w:pPr>
              <w:jc w:val="center"/>
              <w:rPr>
                <w:rFonts w:ascii="宋体" w:hAnsi="宋体" w:cs="宋体"/>
                <w:sz w:val="21"/>
                <w:szCs w:val="21"/>
              </w:rPr>
            </w:pPr>
            <w:r>
              <w:rPr>
                <w:rFonts w:hint="eastAsia"/>
                <w:sz w:val="21"/>
                <w:szCs w:val="21"/>
              </w:rPr>
              <w:t>-0.11</w:t>
            </w:r>
          </w:p>
        </w:tc>
        <w:tc>
          <w:tcPr>
            <w:tcW w:w="1161" w:type="dxa"/>
            <w:shd w:val="clear" w:color="auto" w:fill="auto"/>
            <w:vAlign w:val="center"/>
          </w:tcPr>
          <w:p>
            <w:pPr>
              <w:jc w:val="center"/>
              <w:rPr>
                <w:rFonts w:ascii="宋体" w:hAnsi="宋体" w:cs="宋体"/>
                <w:sz w:val="21"/>
                <w:szCs w:val="21"/>
              </w:rPr>
            </w:pPr>
            <w:r>
              <w:rPr>
                <w:rFonts w:hint="eastAsia"/>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60" w:type="dxa"/>
            <w:vMerge w:val="continue"/>
            <w:shd w:val="clear" w:color="auto" w:fill="auto"/>
            <w:vAlign w:val="center"/>
          </w:tcPr>
          <w:p>
            <w:pPr>
              <w:spacing w:line="280" w:lineRule="atLeast"/>
              <w:ind w:firstLine="67"/>
              <w:jc w:val="center"/>
              <w:rPr>
                <w:sz w:val="21"/>
                <w:szCs w:val="21"/>
              </w:rPr>
            </w:pPr>
          </w:p>
        </w:tc>
        <w:tc>
          <w:tcPr>
            <w:tcW w:w="1160" w:type="dxa"/>
            <w:shd w:val="clear" w:color="auto" w:fill="auto"/>
            <w:vAlign w:val="center"/>
          </w:tcPr>
          <w:p>
            <w:pPr>
              <w:spacing w:line="280" w:lineRule="atLeast"/>
              <w:ind w:firstLine="67"/>
              <w:jc w:val="center"/>
              <w:rPr>
                <w:sz w:val="21"/>
                <w:szCs w:val="21"/>
              </w:rPr>
            </w:pPr>
            <w:r>
              <w:rPr>
                <w:sz w:val="21"/>
                <w:szCs w:val="21"/>
              </w:rPr>
              <w:t>SS</w:t>
            </w:r>
          </w:p>
        </w:tc>
        <w:tc>
          <w:tcPr>
            <w:tcW w:w="1161" w:type="dxa"/>
            <w:shd w:val="clear" w:color="auto" w:fill="auto"/>
            <w:vAlign w:val="center"/>
          </w:tcPr>
          <w:p>
            <w:pPr>
              <w:spacing w:line="280" w:lineRule="atLeast"/>
              <w:ind w:firstLine="67"/>
              <w:jc w:val="center"/>
              <w:rPr>
                <w:rFonts w:hint="eastAsia"/>
                <w:sz w:val="21"/>
                <w:szCs w:val="21"/>
              </w:rPr>
            </w:pPr>
            <w:r>
              <w:rPr>
                <w:rFonts w:hint="eastAsia"/>
                <w:sz w:val="21"/>
                <w:szCs w:val="21"/>
              </w:rPr>
              <w:t>1.1</w:t>
            </w:r>
          </w:p>
        </w:tc>
        <w:tc>
          <w:tcPr>
            <w:tcW w:w="1161" w:type="dxa"/>
            <w:shd w:val="clear" w:color="auto" w:fill="auto"/>
            <w:vAlign w:val="center"/>
          </w:tcPr>
          <w:p>
            <w:pPr>
              <w:jc w:val="center"/>
              <w:rPr>
                <w:rFonts w:ascii="宋体" w:hAnsi="宋体" w:cs="宋体"/>
                <w:sz w:val="21"/>
                <w:szCs w:val="21"/>
              </w:rPr>
            </w:pPr>
            <w:r>
              <w:rPr>
                <w:rFonts w:hint="eastAsia"/>
                <w:sz w:val="21"/>
                <w:szCs w:val="21"/>
              </w:rPr>
              <w:t>0.92</w:t>
            </w:r>
          </w:p>
        </w:tc>
        <w:tc>
          <w:tcPr>
            <w:tcW w:w="1161" w:type="dxa"/>
            <w:shd w:val="clear" w:color="auto" w:fill="auto"/>
            <w:vAlign w:val="center"/>
          </w:tcPr>
          <w:p>
            <w:pPr>
              <w:spacing w:line="280" w:lineRule="atLeast"/>
              <w:ind w:firstLine="67"/>
              <w:jc w:val="center"/>
              <w:rPr>
                <w:rFonts w:hint="eastAsia"/>
                <w:sz w:val="21"/>
                <w:szCs w:val="21"/>
              </w:rPr>
            </w:pPr>
            <w:r>
              <w:rPr>
                <w:rFonts w:hint="eastAsia"/>
                <w:sz w:val="21"/>
                <w:szCs w:val="21"/>
              </w:rPr>
              <w:t>1.1</w:t>
            </w:r>
          </w:p>
        </w:tc>
        <w:tc>
          <w:tcPr>
            <w:tcW w:w="1161" w:type="dxa"/>
            <w:shd w:val="clear" w:color="auto" w:fill="auto"/>
            <w:vAlign w:val="center"/>
          </w:tcPr>
          <w:p>
            <w:pPr>
              <w:jc w:val="center"/>
              <w:rPr>
                <w:rFonts w:ascii="宋体" w:hAnsi="宋体" w:cs="宋体"/>
                <w:sz w:val="21"/>
                <w:szCs w:val="21"/>
              </w:rPr>
            </w:pPr>
            <w:r>
              <w:rPr>
                <w:rFonts w:hint="eastAsia"/>
                <w:sz w:val="21"/>
                <w:szCs w:val="21"/>
              </w:rPr>
              <w:t>0.92</w:t>
            </w:r>
          </w:p>
        </w:tc>
        <w:tc>
          <w:tcPr>
            <w:tcW w:w="1161" w:type="dxa"/>
            <w:shd w:val="clear" w:color="auto" w:fill="auto"/>
            <w:vAlign w:val="center"/>
          </w:tcPr>
          <w:p>
            <w:pPr>
              <w:jc w:val="center"/>
              <w:rPr>
                <w:rFonts w:ascii="宋体" w:hAnsi="宋体" w:cs="宋体"/>
                <w:sz w:val="21"/>
                <w:szCs w:val="21"/>
              </w:rPr>
            </w:pPr>
            <w:r>
              <w:rPr>
                <w:rFonts w:hint="eastAsia"/>
                <w:sz w:val="21"/>
                <w:szCs w:val="21"/>
              </w:rPr>
              <w:t>-0.18</w:t>
            </w:r>
          </w:p>
        </w:tc>
        <w:tc>
          <w:tcPr>
            <w:tcW w:w="1161" w:type="dxa"/>
            <w:shd w:val="clear" w:color="auto" w:fill="auto"/>
            <w:vAlign w:val="center"/>
          </w:tcPr>
          <w:p>
            <w:pPr>
              <w:jc w:val="center"/>
              <w:rPr>
                <w:rFonts w:ascii="宋体" w:hAnsi="宋体" w:cs="宋体"/>
                <w:sz w:val="21"/>
                <w:szCs w:val="21"/>
              </w:rPr>
            </w:pPr>
            <w:r>
              <w:rPr>
                <w:rFonts w:hint="eastAsia"/>
                <w:sz w:val="21"/>
                <w:szCs w:val="21"/>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60" w:type="dxa"/>
            <w:vMerge w:val="restart"/>
            <w:shd w:val="clear" w:color="auto" w:fill="auto"/>
            <w:vAlign w:val="center"/>
          </w:tcPr>
          <w:p>
            <w:pPr>
              <w:spacing w:line="280" w:lineRule="atLeast"/>
              <w:ind w:firstLine="67"/>
              <w:jc w:val="center"/>
              <w:rPr>
                <w:sz w:val="21"/>
                <w:szCs w:val="21"/>
              </w:rPr>
            </w:pPr>
            <w:r>
              <w:rPr>
                <w:rFonts w:hint="eastAsia"/>
                <w:sz w:val="21"/>
                <w:szCs w:val="21"/>
              </w:rPr>
              <w:t>固体废物</w:t>
            </w:r>
          </w:p>
        </w:tc>
        <w:tc>
          <w:tcPr>
            <w:tcW w:w="1160" w:type="dxa"/>
            <w:shd w:val="clear" w:color="auto" w:fill="auto"/>
            <w:vAlign w:val="center"/>
          </w:tcPr>
          <w:p>
            <w:pPr>
              <w:spacing w:line="280" w:lineRule="atLeast"/>
              <w:ind w:firstLine="67"/>
              <w:jc w:val="center"/>
              <w:rPr>
                <w:sz w:val="21"/>
                <w:szCs w:val="21"/>
              </w:rPr>
            </w:pPr>
            <w:r>
              <w:rPr>
                <w:rFonts w:hint="eastAsia"/>
                <w:sz w:val="21"/>
                <w:szCs w:val="21"/>
              </w:rPr>
              <w:t>除尘灰</w:t>
            </w:r>
          </w:p>
        </w:tc>
        <w:tc>
          <w:tcPr>
            <w:tcW w:w="6966" w:type="dxa"/>
            <w:gridSpan w:val="6"/>
            <w:vMerge w:val="restart"/>
            <w:shd w:val="clear" w:color="auto" w:fill="auto"/>
            <w:vAlign w:val="center"/>
          </w:tcPr>
          <w:p>
            <w:pPr>
              <w:spacing w:line="280" w:lineRule="atLeast"/>
              <w:ind w:firstLine="67"/>
              <w:jc w:val="center"/>
              <w:rPr>
                <w:rFonts w:hint="eastAsia"/>
                <w:sz w:val="21"/>
                <w:szCs w:val="21"/>
              </w:rPr>
            </w:pPr>
            <w:r>
              <w:rPr>
                <w:rFonts w:hint="eastAsia"/>
                <w:sz w:val="21"/>
                <w:szCs w:val="21"/>
              </w:rPr>
              <w:t>均返回水泥窑</w:t>
            </w:r>
            <w:r>
              <w:rPr>
                <w:sz w:val="21"/>
                <w:szCs w:val="21"/>
              </w:rPr>
              <w:t>作水泥原料煅烧，不排放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60" w:type="dxa"/>
            <w:vMerge w:val="continue"/>
            <w:shd w:val="clear" w:color="auto" w:fill="auto"/>
            <w:vAlign w:val="center"/>
          </w:tcPr>
          <w:p>
            <w:pPr>
              <w:spacing w:line="280" w:lineRule="atLeast"/>
              <w:ind w:firstLine="67"/>
              <w:jc w:val="center"/>
              <w:rPr>
                <w:sz w:val="21"/>
                <w:szCs w:val="21"/>
              </w:rPr>
            </w:pPr>
          </w:p>
        </w:tc>
        <w:tc>
          <w:tcPr>
            <w:tcW w:w="1160" w:type="dxa"/>
            <w:shd w:val="clear" w:color="auto" w:fill="auto"/>
            <w:vAlign w:val="center"/>
          </w:tcPr>
          <w:p>
            <w:pPr>
              <w:spacing w:line="280" w:lineRule="atLeast"/>
              <w:ind w:firstLine="67"/>
              <w:jc w:val="center"/>
              <w:rPr>
                <w:sz w:val="21"/>
                <w:szCs w:val="21"/>
              </w:rPr>
            </w:pPr>
            <w:r>
              <w:rPr>
                <w:rFonts w:hint="eastAsia"/>
                <w:sz w:val="21"/>
                <w:szCs w:val="21"/>
              </w:rPr>
              <w:t>污水处理站污泥</w:t>
            </w:r>
          </w:p>
        </w:tc>
        <w:tc>
          <w:tcPr>
            <w:tcW w:w="6966" w:type="dxa"/>
            <w:gridSpan w:val="6"/>
            <w:vMerge w:val="continue"/>
            <w:shd w:val="clear" w:color="auto" w:fill="auto"/>
            <w:vAlign w:val="center"/>
          </w:tcPr>
          <w:p>
            <w:pPr>
              <w:spacing w:line="280" w:lineRule="atLeast"/>
              <w:ind w:firstLine="67"/>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60" w:type="dxa"/>
            <w:vMerge w:val="continue"/>
            <w:shd w:val="clear" w:color="auto" w:fill="auto"/>
            <w:vAlign w:val="center"/>
          </w:tcPr>
          <w:p>
            <w:pPr>
              <w:widowControl/>
              <w:jc w:val="left"/>
              <w:rPr>
                <w:rFonts w:ascii="宋体" w:hAnsi="宋体" w:cs="宋体"/>
                <w:kern w:val="0"/>
                <w:sz w:val="21"/>
                <w:szCs w:val="21"/>
              </w:rPr>
            </w:pPr>
          </w:p>
        </w:tc>
        <w:tc>
          <w:tcPr>
            <w:tcW w:w="1160" w:type="dxa"/>
            <w:shd w:val="clear" w:color="auto" w:fill="auto"/>
            <w:vAlign w:val="center"/>
          </w:tcPr>
          <w:p>
            <w:pPr>
              <w:widowControl/>
              <w:jc w:val="center"/>
              <w:rPr>
                <w:rFonts w:ascii="宋体" w:hAnsi="宋体" w:cs="宋体"/>
                <w:kern w:val="0"/>
                <w:sz w:val="21"/>
                <w:szCs w:val="21"/>
              </w:rPr>
            </w:pPr>
            <w:r>
              <w:rPr>
                <w:rFonts w:hint="eastAsia" w:ascii="宋体" w:hAnsi="宋体" w:cs="宋体"/>
                <w:kern w:val="0"/>
                <w:sz w:val="21"/>
                <w:szCs w:val="21"/>
              </w:rPr>
              <w:t>生活垃圾</w:t>
            </w:r>
          </w:p>
        </w:tc>
        <w:tc>
          <w:tcPr>
            <w:tcW w:w="1161" w:type="dxa"/>
            <w:shd w:val="clear" w:color="auto" w:fill="auto"/>
            <w:vAlign w:val="center"/>
          </w:tcPr>
          <w:p>
            <w:pPr>
              <w:widowControl/>
              <w:jc w:val="center"/>
              <w:rPr>
                <w:rFonts w:hint="eastAsia"/>
                <w:kern w:val="0"/>
                <w:sz w:val="21"/>
                <w:szCs w:val="21"/>
              </w:rPr>
            </w:pPr>
            <w:r>
              <w:rPr>
                <w:rFonts w:hint="eastAsia"/>
                <w:kern w:val="0"/>
                <w:sz w:val="21"/>
                <w:szCs w:val="21"/>
              </w:rPr>
              <w:t>39.75</w:t>
            </w:r>
          </w:p>
        </w:tc>
        <w:tc>
          <w:tcPr>
            <w:tcW w:w="1161" w:type="dxa"/>
            <w:shd w:val="clear" w:color="auto" w:fill="auto"/>
            <w:vAlign w:val="center"/>
          </w:tcPr>
          <w:p>
            <w:pPr>
              <w:widowControl/>
              <w:jc w:val="center"/>
              <w:rPr>
                <w:rFonts w:hint="eastAsia"/>
                <w:kern w:val="0"/>
                <w:sz w:val="21"/>
                <w:szCs w:val="21"/>
              </w:rPr>
            </w:pPr>
            <w:r>
              <w:rPr>
                <w:rFonts w:hint="eastAsia"/>
                <w:kern w:val="0"/>
                <w:sz w:val="21"/>
                <w:szCs w:val="21"/>
              </w:rPr>
              <w:t>42.3</w:t>
            </w:r>
          </w:p>
        </w:tc>
        <w:tc>
          <w:tcPr>
            <w:tcW w:w="1161" w:type="dxa"/>
            <w:shd w:val="clear" w:color="auto" w:fill="auto"/>
            <w:vAlign w:val="center"/>
          </w:tcPr>
          <w:p>
            <w:pPr>
              <w:widowControl/>
              <w:jc w:val="center"/>
              <w:rPr>
                <w:rFonts w:hint="eastAsia"/>
                <w:kern w:val="0"/>
                <w:sz w:val="21"/>
                <w:szCs w:val="21"/>
              </w:rPr>
            </w:pPr>
            <w:r>
              <w:rPr>
                <w:rFonts w:hint="eastAsia"/>
                <w:kern w:val="0"/>
                <w:sz w:val="21"/>
                <w:szCs w:val="21"/>
              </w:rPr>
              <w:t>39.75</w:t>
            </w:r>
          </w:p>
        </w:tc>
        <w:tc>
          <w:tcPr>
            <w:tcW w:w="1161" w:type="dxa"/>
            <w:shd w:val="clear" w:color="auto" w:fill="auto"/>
            <w:vAlign w:val="center"/>
          </w:tcPr>
          <w:p>
            <w:pPr>
              <w:widowControl/>
              <w:jc w:val="center"/>
              <w:rPr>
                <w:rFonts w:hint="eastAsia"/>
                <w:kern w:val="0"/>
                <w:sz w:val="21"/>
                <w:szCs w:val="21"/>
              </w:rPr>
            </w:pPr>
            <w:r>
              <w:rPr>
                <w:rFonts w:hint="eastAsia"/>
                <w:kern w:val="0"/>
                <w:sz w:val="21"/>
                <w:szCs w:val="21"/>
              </w:rPr>
              <w:t>42.3</w:t>
            </w:r>
          </w:p>
        </w:tc>
        <w:tc>
          <w:tcPr>
            <w:tcW w:w="1161" w:type="dxa"/>
            <w:shd w:val="clear" w:color="auto" w:fill="auto"/>
            <w:vAlign w:val="center"/>
          </w:tcPr>
          <w:p>
            <w:pPr>
              <w:widowControl/>
              <w:jc w:val="center"/>
              <w:rPr>
                <w:rFonts w:hint="eastAsia"/>
                <w:kern w:val="0"/>
                <w:sz w:val="21"/>
                <w:szCs w:val="21"/>
              </w:rPr>
            </w:pPr>
            <w:r>
              <w:rPr>
                <w:rFonts w:hint="eastAsia"/>
                <w:kern w:val="0"/>
                <w:sz w:val="21"/>
                <w:szCs w:val="21"/>
              </w:rPr>
              <w:t>2.55</w:t>
            </w:r>
          </w:p>
        </w:tc>
        <w:tc>
          <w:tcPr>
            <w:tcW w:w="1161" w:type="dxa"/>
            <w:shd w:val="clear" w:color="auto" w:fill="auto"/>
            <w:vAlign w:val="center"/>
          </w:tcPr>
          <w:p>
            <w:pPr>
              <w:jc w:val="center"/>
              <w:rPr>
                <w:rFonts w:hint="eastAsia" w:ascii="宋体" w:hAnsi="宋体" w:cs="宋体"/>
                <w:sz w:val="21"/>
                <w:szCs w:val="21"/>
              </w:rPr>
            </w:pPr>
            <w:r>
              <w:rPr>
                <w:rFonts w:hint="eastAsia" w:ascii="宋体" w:hAnsi="宋体" w:cs="宋体"/>
                <w:sz w:val="21"/>
                <w:szCs w:val="21"/>
              </w:rPr>
              <w:t>6.4</w:t>
            </w:r>
          </w:p>
        </w:tc>
      </w:tr>
    </w:tbl>
    <w:p>
      <w:pPr>
        <w:spacing w:line="360" w:lineRule="auto"/>
        <w:ind w:firstLine="388" w:firstLineChars="200"/>
        <w:outlineLvl w:val="2"/>
        <w:rPr>
          <w:rFonts w:hint="eastAsia"/>
          <w:spacing w:val="-8"/>
        </w:rPr>
      </w:pPr>
      <w:r>
        <w:rPr>
          <w:rFonts w:hint="eastAsia"/>
          <w:spacing w:val="-8"/>
        </w:rPr>
        <w:t>从表3-17可以看出，技改项目投产后，青鹏煤业有限公司水泥厂的污染物除废气</w:t>
      </w:r>
      <w:r>
        <w:rPr>
          <w:spacing w:val="-8"/>
        </w:rPr>
        <w:t>NOx</w:t>
      </w:r>
      <w:r>
        <w:rPr>
          <w:rFonts w:hint="eastAsia"/>
          <w:spacing w:val="-8"/>
        </w:rPr>
        <w:t>和生活垃圾有一定增加外，其余污染物排放量均有较大程度的削减，特别是粉尘的无组织排放量削减率达到了93.4%，这将在很大程度上改善厂区周边的大气环境。</w:t>
      </w:r>
    </w:p>
    <w:p>
      <w:pPr>
        <w:spacing w:line="360" w:lineRule="auto"/>
        <w:outlineLvl w:val="2"/>
        <w:rPr>
          <w:rFonts w:hint="eastAsia"/>
          <w:b/>
          <w:bCs/>
          <w:szCs w:val="20"/>
        </w:rPr>
      </w:pPr>
      <w:r>
        <w:rPr>
          <w:rFonts w:hint="eastAsia"/>
          <w:b/>
          <w:bCs/>
          <w:szCs w:val="20"/>
        </w:rPr>
        <w:t>3.4</w:t>
      </w:r>
      <w:r>
        <w:rPr>
          <w:b/>
          <w:bCs/>
          <w:szCs w:val="20"/>
        </w:rPr>
        <w:t>非正常排放分析</w:t>
      </w:r>
      <w:bookmarkEnd w:id="178"/>
      <w:bookmarkEnd w:id="179"/>
      <w:bookmarkEnd w:id="180"/>
      <w:bookmarkEnd w:id="181"/>
      <w:bookmarkEnd w:id="182"/>
    </w:p>
    <w:p>
      <w:pPr>
        <w:spacing w:line="360" w:lineRule="auto"/>
        <w:ind w:firstLine="420"/>
        <w:rPr>
          <w:rFonts w:hint="eastAsia"/>
        </w:rPr>
      </w:pPr>
      <w:r>
        <w:rPr>
          <w:rFonts w:hint="eastAsia"/>
          <w:spacing w:val="-8"/>
        </w:rPr>
        <w:t>从环境保护的角度分析，水泥生产的非正常工况主要表现为</w:t>
      </w:r>
      <w:r>
        <w:rPr>
          <w:rFonts w:hint="eastAsia"/>
        </w:rPr>
        <w:t>治理设施效率下降，造成</w:t>
      </w:r>
      <w:r>
        <w:rPr>
          <w:rFonts w:hint="eastAsia"/>
          <w:spacing w:val="-8"/>
        </w:rPr>
        <w:t>污染物的非</w:t>
      </w:r>
      <w:r>
        <w:rPr>
          <w:rFonts w:hint="eastAsia"/>
        </w:rPr>
        <w:t>正常排放，即污染物的事故排放。根据现有水泥厂的类比分析，一般情况下，废气治理设施出现风险的概率较高，其频率可达每年1~2次。</w:t>
      </w:r>
    </w:p>
    <w:p>
      <w:pPr>
        <w:spacing w:line="360" w:lineRule="auto"/>
        <w:ind w:firstLine="420" w:firstLineChars="200"/>
        <w:rPr>
          <w:rFonts w:hint="eastAsia"/>
        </w:rPr>
      </w:pPr>
      <w:r>
        <w:rPr>
          <w:rFonts w:hint="eastAsia"/>
        </w:rPr>
        <w:t>对技改项目而言，大气污染物的事故排放主要是除尘设施出现故障，从而引起烟粉尘大量排放到环境空气中，易造成较为严重的环境污染。</w:t>
      </w:r>
    </w:p>
    <w:p>
      <w:pPr>
        <w:spacing w:line="360" w:lineRule="auto"/>
        <w:outlineLvl w:val="2"/>
        <w:rPr>
          <w:rFonts w:hint="eastAsia"/>
          <w:b/>
          <w:bCs/>
          <w:szCs w:val="20"/>
        </w:rPr>
      </w:pPr>
      <w:r>
        <w:rPr>
          <w:rFonts w:hint="eastAsia"/>
          <w:b/>
          <w:bCs/>
          <w:szCs w:val="20"/>
        </w:rPr>
        <w:t>3.4.1 非正常工况事故原因分析</w:t>
      </w:r>
    </w:p>
    <w:p>
      <w:pPr>
        <w:spacing w:line="360" w:lineRule="auto"/>
        <w:ind w:firstLine="420" w:firstLineChars="200"/>
        <w:rPr>
          <w:rFonts w:hint="eastAsia"/>
        </w:rPr>
      </w:pPr>
      <w:r>
        <w:rPr>
          <w:rFonts w:hint="eastAsia"/>
        </w:rPr>
        <w:t>一个袋收尘器由几十或上百条滤袋组成，袋收尘器中滤袋损坏会使除尘效率降低，从概率统计分析可知，除尘滤袋越多，单个滤袋损坏的几率越小，而几个滤袋同时损坏的几率更小，而所有滤袋同时损坏的几率几乎为零，另外考虑到对袋收尘器的维护检查，更换破损滤袋，袋收尘器事故性排放效率下降一般不会超过5％，出现更高比例的滤袋破损概率非常小。</w:t>
      </w:r>
    </w:p>
    <w:p>
      <w:pPr>
        <w:spacing w:line="360" w:lineRule="auto"/>
        <w:ind w:firstLine="420" w:firstLineChars="200"/>
        <w:rPr>
          <w:rFonts w:hint="eastAsia"/>
        </w:rPr>
      </w:pPr>
      <w:r>
        <w:rPr>
          <w:rFonts w:hint="eastAsia"/>
        </w:rPr>
        <w:t>煤粉制备袋式除尘器的除尘效率下降时，由于粉尘入口浓度大，较之其它设备袋式除尘器损坏危害更严重，应注意特别。</w:t>
      </w:r>
    </w:p>
    <w:p>
      <w:pPr>
        <w:spacing w:line="360" w:lineRule="auto"/>
        <w:outlineLvl w:val="2"/>
        <w:rPr>
          <w:rFonts w:hint="eastAsia"/>
          <w:b/>
          <w:bCs/>
          <w:szCs w:val="20"/>
        </w:rPr>
      </w:pPr>
      <w:r>
        <w:rPr>
          <w:rFonts w:hint="eastAsia"/>
          <w:b/>
          <w:bCs/>
          <w:szCs w:val="20"/>
        </w:rPr>
        <w:t>3.4.2非正常工况的污染源分析</w:t>
      </w:r>
    </w:p>
    <w:p>
      <w:pPr>
        <w:spacing w:line="360" w:lineRule="auto"/>
        <w:ind w:firstLine="420" w:firstLineChars="200"/>
        <w:rPr>
          <w:rFonts w:hint="eastAsia" w:ascii="宋体" w:hAnsi="宋体"/>
        </w:rPr>
      </w:pPr>
      <w:r>
        <w:rPr>
          <w:rFonts w:hint="eastAsia"/>
        </w:rPr>
        <w:t>技改项目生产中</w:t>
      </w:r>
      <w:r>
        <w:rPr>
          <w:rFonts w:hint="eastAsia" w:ascii="宋体" w:hAnsi="宋体"/>
        </w:rPr>
        <w:t>所有除尘系统同时出现故障不运行的概率几乎为零，故不予考虑。</w:t>
      </w:r>
    </w:p>
    <w:p>
      <w:pPr>
        <w:spacing w:line="360" w:lineRule="auto"/>
        <w:ind w:firstLine="420" w:firstLineChars="200"/>
        <w:rPr>
          <w:rFonts w:hint="eastAsia" w:ascii="宋体" w:hAnsi="宋体"/>
        </w:rPr>
      </w:pPr>
      <w:r>
        <w:rPr>
          <w:rFonts w:hint="eastAsia" w:ascii="宋体" w:hAnsi="宋体"/>
        </w:rPr>
        <w:t>由于窑尾、窑头、煤磨、水泥磨烟（粉）尘排放量占其总排放量的比例很高（90%以上），所以非正常排放主要考虑窑尾、窑头、煤磨、水泥磨除尘器效率下降所产生的非正常排放。</w:t>
      </w:r>
    </w:p>
    <w:p>
      <w:pPr>
        <w:spacing w:line="360" w:lineRule="auto"/>
        <w:ind w:firstLine="420" w:firstLineChars="200"/>
        <w:rPr>
          <w:rFonts w:hint="eastAsia" w:ascii="宋体" w:hAnsi="宋体"/>
          <w:snapToGrid w:val="0"/>
          <w:kern w:val="0"/>
        </w:rPr>
      </w:pPr>
      <w:r>
        <w:rPr>
          <w:rFonts w:hint="eastAsia" w:ascii="宋体" w:hAnsi="宋体"/>
        </w:rPr>
        <w:t>本评价估算最为严重的非正常排放源强，即窑尾、窑头、煤磨、煤磨、水泥磨</w:t>
      </w:r>
      <w:r>
        <w:rPr>
          <w:rFonts w:hint="eastAsia" w:cs="宋体"/>
          <w:kern w:val="0"/>
        </w:rPr>
        <w:t>高效</w:t>
      </w:r>
      <w:r>
        <w:rPr>
          <w:snapToGrid w:val="0"/>
          <w:kern w:val="0"/>
        </w:rPr>
        <w:t>脉冲袋收尘器</w:t>
      </w:r>
      <w:r>
        <w:rPr>
          <w:rFonts w:hint="eastAsia" w:ascii="宋体" w:hAnsi="宋体"/>
          <w:snapToGrid w:val="0"/>
          <w:kern w:val="0"/>
        </w:rPr>
        <w:t>除尘效率由99.62%--99.64%下降至95％时，</w:t>
      </w:r>
      <w:r>
        <w:rPr>
          <w:rFonts w:hint="eastAsia" w:ascii="宋体" w:hAnsi="宋体"/>
        </w:rPr>
        <w:t>烟（粉）尘排放量，详见表3-18</w:t>
      </w:r>
      <w:r>
        <w:rPr>
          <w:rFonts w:hint="eastAsia" w:ascii="宋体" w:hAnsi="宋体"/>
          <w:snapToGrid w:val="0"/>
          <w:kern w:val="0"/>
        </w:rPr>
        <w:t>。</w:t>
      </w:r>
    </w:p>
    <w:p>
      <w:pPr>
        <w:spacing w:line="480" w:lineRule="exact"/>
        <w:ind w:firstLine="422" w:firstLineChars="200"/>
        <w:jc w:val="center"/>
        <w:rPr>
          <w:rFonts w:hint="eastAsia" w:ascii="宋体" w:hAnsi="宋体"/>
          <w:b/>
        </w:rPr>
      </w:pPr>
    </w:p>
    <w:p>
      <w:pPr>
        <w:spacing w:line="480" w:lineRule="exact"/>
        <w:ind w:firstLine="422" w:firstLineChars="200"/>
        <w:jc w:val="center"/>
        <w:rPr>
          <w:rFonts w:hint="eastAsia" w:ascii="宋体" w:hAnsi="宋体"/>
          <w:b/>
        </w:rPr>
      </w:pPr>
    </w:p>
    <w:p>
      <w:pPr>
        <w:spacing w:line="480" w:lineRule="exact"/>
        <w:ind w:firstLine="422" w:firstLineChars="200"/>
        <w:jc w:val="center"/>
        <w:rPr>
          <w:rFonts w:hint="eastAsia" w:ascii="宋体" w:hAnsi="宋体"/>
          <w:b/>
        </w:rPr>
      </w:pPr>
    </w:p>
    <w:p>
      <w:pPr>
        <w:spacing w:line="480" w:lineRule="exact"/>
        <w:ind w:firstLine="422" w:firstLineChars="200"/>
        <w:jc w:val="center"/>
        <w:rPr>
          <w:rFonts w:hint="eastAsia" w:ascii="宋体" w:hAnsi="宋体"/>
          <w:b/>
        </w:rPr>
      </w:pPr>
    </w:p>
    <w:p>
      <w:pPr>
        <w:spacing w:line="480" w:lineRule="exact"/>
        <w:ind w:firstLine="422" w:firstLineChars="200"/>
        <w:jc w:val="center"/>
        <w:rPr>
          <w:rFonts w:hint="eastAsia" w:ascii="宋体" w:hAnsi="宋体"/>
          <w:b/>
        </w:rPr>
      </w:pPr>
    </w:p>
    <w:p>
      <w:pPr>
        <w:spacing w:line="480" w:lineRule="exact"/>
        <w:ind w:firstLine="422" w:firstLineChars="200"/>
        <w:jc w:val="center"/>
        <w:rPr>
          <w:rFonts w:hint="eastAsia" w:ascii="宋体" w:hAnsi="宋体"/>
          <w:b/>
        </w:rPr>
      </w:pPr>
    </w:p>
    <w:p>
      <w:pPr>
        <w:spacing w:line="480" w:lineRule="exact"/>
        <w:ind w:firstLine="422" w:firstLineChars="200"/>
        <w:jc w:val="center"/>
        <w:rPr>
          <w:rFonts w:hint="eastAsia" w:ascii="宋体" w:hAnsi="宋体"/>
          <w:b/>
        </w:rPr>
      </w:pPr>
      <w:r>
        <w:rPr>
          <w:rFonts w:hint="eastAsia" w:ascii="宋体" w:hAnsi="宋体"/>
          <w:b/>
        </w:rPr>
        <w:t>表3-18   非正常工况下烟尘、粉尘排放量</w:t>
      </w:r>
    </w:p>
    <w:tbl>
      <w:tblPr>
        <w:tblStyle w:val="21"/>
        <w:tblW w:w="87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929"/>
        <w:gridCol w:w="1300"/>
        <w:gridCol w:w="1056"/>
        <w:gridCol w:w="1161"/>
        <w:gridCol w:w="953"/>
        <w:gridCol w:w="944"/>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588" w:type="dxa"/>
            <w:vMerge w:val="restart"/>
            <w:vAlign w:val="center"/>
          </w:tcPr>
          <w:p>
            <w:pPr>
              <w:snapToGrid w:val="0"/>
              <w:spacing w:line="360" w:lineRule="exact"/>
              <w:jc w:val="center"/>
              <w:rPr>
                <w:rFonts w:ascii="宋体" w:hAnsi="宋体"/>
                <w:snapToGrid w:val="0"/>
                <w:kern w:val="0"/>
                <w:sz w:val="18"/>
                <w:szCs w:val="18"/>
              </w:rPr>
            </w:pPr>
            <w:r>
              <w:rPr>
                <w:rFonts w:ascii="宋体" w:hAnsi="宋体"/>
                <w:snapToGrid w:val="0"/>
                <w:kern w:val="0"/>
                <w:sz w:val="18"/>
                <w:szCs w:val="18"/>
              </w:rPr>
              <w:t>序号</w:t>
            </w:r>
          </w:p>
        </w:tc>
        <w:tc>
          <w:tcPr>
            <w:tcW w:w="1929" w:type="dxa"/>
            <w:vMerge w:val="restart"/>
            <w:vAlign w:val="center"/>
          </w:tcPr>
          <w:p>
            <w:pPr>
              <w:pStyle w:val="12"/>
              <w:tabs>
                <w:tab w:val="clear" w:pos="4153"/>
                <w:tab w:val="clear" w:pos="8306"/>
              </w:tabs>
              <w:spacing w:line="360" w:lineRule="exact"/>
              <w:jc w:val="center"/>
              <w:rPr>
                <w:rFonts w:ascii="宋体" w:hAnsi="宋体"/>
                <w:snapToGrid w:val="0"/>
                <w:kern w:val="0"/>
              </w:rPr>
            </w:pPr>
            <w:r>
              <w:rPr>
                <w:rFonts w:hint="eastAsia" w:ascii="宋体" w:hAnsi="宋体"/>
                <w:snapToGrid w:val="0"/>
                <w:kern w:val="0"/>
              </w:rPr>
              <w:t>污染源</w:t>
            </w:r>
          </w:p>
        </w:tc>
        <w:tc>
          <w:tcPr>
            <w:tcW w:w="1300" w:type="dxa"/>
            <w:vMerge w:val="restart"/>
            <w:vAlign w:val="center"/>
          </w:tcPr>
          <w:p>
            <w:pPr>
              <w:snapToGrid w:val="0"/>
              <w:spacing w:line="360" w:lineRule="exact"/>
              <w:jc w:val="center"/>
              <w:rPr>
                <w:rFonts w:hint="eastAsia" w:ascii="宋体" w:hAnsi="宋体"/>
                <w:snapToGrid w:val="0"/>
                <w:kern w:val="0"/>
                <w:sz w:val="18"/>
                <w:szCs w:val="18"/>
              </w:rPr>
            </w:pPr>
            <w:r>
              <w:rPr>
                <w:rFonts w:hint="eastAsia" w:ascii="宋体" w:hAnsi="宋体"/>
                <w:snapToGrid w:val="0"/>
                <w:kern w:val="0"/>
                <w:sz w:val="18"/>
                <w:szCs w:val="18"/>
              </w:rPr>
              <w:t>烟</w:t>
            </w:r>
            <w:r>
              <w:rPr>
                <w:rFonts w:ascii="宋体" w:hAnsi="宋体"/>
                <w:snapToGrid w:val="0"/>
                <w:kern w:val="0"/>
                <w:sz w:val="18"/>
                <w:szCs w:val="18"/>
              </w:rPr>
              <w:t>气量</w:t>
            </w:r>
          </w:p>
          <w:p>
            <w:pPr>
              <w:snapToGrid w:val="0"/>
              <w:spacing w:line="360" w:lineRule="exact"/>
              <w:jc w:val="center"/>
              <w:rPr>
                <w:rFonts w:ascii="宋体" w:hAnsi="宋体"/>
                <w:snapToGrid w:val="0"/>
                <w:kern w:val="0"/>
                <w:sz w:val="18"/>
                <w:szCs w:val="18"/>
              </w:rPr>
            </w:pPr>
            <w:r>
              <w:rPr>
                <w:rFonts w:ascii="宋体" w:hAnsi="宋体"/>
                <w:snapToGrid w:val="0"/>
                <w:kern w:val="0"/>
                <w:sz w:val="18"/>
                <w:szCs w:val="18"/>
              </w:rPr>
              <w:t>m</w:t>
            </w:r>
            <w:r>
              <w:rPr>
                <w:rFonts w:ascii="宋体" w:hAnsi="宋体"/>
                <w:snapToGrid w:val="0"/>
                <w:kern w:val="0"/>
                <w:sz w:val="18"/>
                <w:szCs w:val="18"/>
                <w:vertAlign w:val="superscript"/>
              </w:rPr>
              <w:t>3</w:t>
            </w:r>
            <w:r>
              <w:rPr>
                <w:rFonts w:ascii="宋体" w:hAnsi="宋体"/>
                <w:snapToGrid w:val="0"/>
                <w:kern w:val="0"/>
                <w:sz w:val="18"/>
                <w:szCs w:val="18"/>
              </w:rPr>
              <w:t>/h</w:t>
            </w:r>
          </w:p>
        </w:tc>
        <w:tc>
          <w:tcPr>
            <w:tcW w:w="1056" w:type="dxa"/>
            <w:vMerge w:val="restart"/>
            <w:vAlign w:val="center"/>
          </w:tcPr>
          <w:p>
            <w:pPr>
              <w:snapToGrid w:val="0"/>
              <w:spacing w:line="360" w:lineRule="exact"/>
              <w:jc w:val="center"/>
              <w:rPr>
                <w:rFonts w:ascii="宋体" w:hAnsi="宋体"/>
                <w:snapToGrid w:val="0"/>
                <w:kern w:val="0"/>
                <w:sz w:val="18"/>
                <w:szCs w:val="18"/>
              </w:rPr>
            </w:pPr>
            <w:r>
              <w:rPr>
                <w:rFonts w:ascii="宋体" w:hAnsi="宋体"/>
                <w:snapToGrid w:val="0"/>
                <w:kern w:val="0"/>
                <w:sz w:val="18"/>
                <w:szCs w:val="18"/>
              </w:rPr>
              <w:t>产生量Kg/h</w:t>
            </w:r>
          </w:p>
        </w:tc>
        <w:tc>
          <w:tcPr>
            <w:tcW w:w="1161" w:type="dxa"/>
            <w:vMerge w:val="restart"/>
            <w:vAlign w:val="center"/>
          </w:tcPr>
          <w:p>
            <w:pPr>
              <w:spacing w:line="480" w:lineRule="exact"/>
              <w:jc w:val="center"/>
              <w:rPr>
                <w:rFonts w:ascii="宋体" w:hAnsi="宋体"/>
                <w:snapToGrid w:val="0"/>
                <w:kern w:val="0"/>
                <w:sz w:val="18"/>
                <w:szCs w:val="18"/>
              </w:rPr>
            </w:pPr>
            <w:r>
              <w:rPr>
                <w:rFonts w:ascii="宋体" w:hAnsi="宋体"/>
                <w:snapToGrid w:val="0"/>
                <w:kern w:val="0"/>
                <w:sz w:val="18"/>
                <w:szCs w:val="18"/>
              </w:rPr>
              <w:t>排放量Kg/h</w:t>
            </w:r>
          </w:p>
        </w:tc>
        <w:tc>
          <w:tcPr>
            <w:tcW w:w="2724" w:type="dxa"/>
            <w:gridSpan w:val="3"/>
            <w:vAlign w:val="center"/>
          </w:tcPr>
          <w:p>
            <w:pPr>
              <w:spacing w:line="480" w:lineRule="exact"/>
              <w:jc w:val="center"/>
              <w:rPr>
                <w:rFonts w:ascii="宋体" w:hAnsi="宋体"/>
                <w:snapToGrid w:val="0"/>
                <w:kern w:val="0"/>
                <w:sz w:val="18"/>
                <w:szCs w:val="18"/>
              </w:rPr>
            </w:pPr>
            <w:r>
              <w:rPr>
                <w:rFonts w:ascii="宋体" w:hAnsi="宋体"/>
                <w:snapToGrid w:val="0"/>
                <w:kern w:val="0"/>
                <w:sz w:val="18"/>
                <w:szCs w:val="18"/>
              </w:rPr>
              <w:t>排气筒参数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588" w:type="dxa"/>
            <w:vMerge w:val="continue"/>
            <w:vAlign w:val="center"/>
          </w:tcPr>
          <w:p>
            <w:pPr>
              <w:snapToGrid w:val="0"/>
              <w:spacing w:line="360" w:lineRule="exact"/>
              <w:ind w:firstLine="572"/>
              <w:jc w:val="center"/>
              <w:rPr>
                <w:rFonts w:ascii="宋体" w:hAnsi="宋体"/>
                <w:snapToGrid w:val="0"/>
                <w:kern w:val="0"/>
                <w:sz w:val="18"/>
                <w:szCs w:val="18"/>
              </w:rPr>
            </w:pPr>
          </w:p>
        </w:tc>
        <w:tc>
          <w:tcPr>
            <w:tcW w:w="1929" w:type="dxa"/>
            <w:vMerge w:val="continue"/>
            <w:vAlign w:val="center"/>
          </w:tcPr>
          <w:p>
            <w:pPr>
              <w:pStyle w:val="12"/>
              <w:tabs>
                <w:tab w:val="clear" w:pos="4153"/>
                <w:tab w:val="clear" w:pos="8306"/>
              </w:tabs>
              <w:spacing w:line="360" w:lineRule="exact"/>
              <w:ind w:firstLine="546"/>
              <w:jc w:val="center"/>
              <w:rPr>
                <w:rFonts w:ascii="宋体" w:hAnsi="宋体"/>
                <w:snapToGrid w:val="0"/>
                <w:kern w:val="0"/>
              </w:rPr>
            </w:pPr>
          </w:p>
        </w:tc>
        <w:tc>
          <w:tcPr>
            <w:tcW w:w="1300" w:type="dxa"/>
            <w:vMerge w:val="continue"/>
            <w:vAlign w:val="center"/>
          </w:tcPr>
          <w:p>
            <w:pPr>
              <w:snapToGrid w:val="0"/>
              <w:spacing w:line="360" w:lineRule="exact"/>
              <w:ind w:firstLine="572"/>
              <w:jc w:val="center"/>
              <w:rPr>
                <w:rFonts w:ascii="宋体" w:hAnsi="宋体"/>
                <w:snapToGrid w:val="0"/>
                <w:kern w:val="0"/>
                <w:sz w:val="18"/>
                <w:szCs w:val="18"/>
              </w:rPr>
            </w:pPr>
          </w:p>
        </w:tc>
        <w:tc>
          <w:tcPr>
            <w:tcW w:w="1056" w:type="dxa"/>
            <w:vMerge w:val="continue"/>
            <w:vAlign w:val="center"/>
          </w:tcPr>
          <w:p>
            <w:pPr>
              <w:snapToGrid w:val="0"/>
              <w:spacing w:line="360" w:lineRule="exact"/>
              <w:ind w:firstLine="572"/>
              <w:jc w:val="center"/>
              <w:rPr>
                <w:rFonts w:ascii="宋体" w:hAnsi="宋体"/>
                <w:snapToGrid w:val="0"/>
                <w:kern w:val="0"/>
                <w:sz w:val="18"/>
                <w:szCs w:val="18"/>
              </w:rPr>
            </w:pPr>
          </w:p>
        </w:tc>
        <w:tc>
          <w:tcPr>
            <w:tcW w:w="1161" w:type="dxa"/>
            <w:vMerge w:val="continue"/>
            <w:vAlign w:val="center"/>
          </w:tcPr>
          <w:p>
            <w:pPr>
              <w:spacing w:line="480" w:lineRule="exact"/>
              <w:ind w:firstLine="572"/>
              <w:jc w:val="center"/>
              <w:rPr>
                <w:rFonts w:ascii="宋体" w:hAnsi="宋体"/>
                <w:snapToGrid w:val="0"/>
                <w:kern w:val="0"/>
                <w:sz w:val="18"/>
                <w:szCs w:val="18"/>
              </w:rPr>
            </w:pPr>
          </w:p>
        </w:tc>
        <w:tc>
          <w:tcPr>
            <w:tcW w:w="953" w:type="dxa"/>
            <w:vAlign w:val="center"/>
          </w:tcPr>
          <w:p>
            <w:pPr>
              <w:spacing w:line="480" w:lineRule="exact"/>
              <w:jc w:val="center"/>
              <w:rPr>
                <w:rFonts w:ascii="宋体" w:hAnsi="宋体"/>
                <w:snapToGrid w:val="0"/>
                <w:kern w:val="0"/>
                <w:sz w:val="18"/>
                <w:szCs w:val="18"/>
              </w:rPr>
            </w:pPr>
            <w:r>
              <w:rPr>
                <w:rFonts w:ascii="宋体" w:hAnsi="宋体"/>
                <w:snapToGrid w:val="0"/>
                <w:kern w:val="0"/>
                <w:sz w:val="18"/>
                <w:szCs w:val="18"/>
              </w:rPr>
              <w:t>高度(m)</w:t>
            </w:r>
          </w:p>
        </w:tc>
        <w:tc>
          <w:tcPr>
            <w:tcW w:w="944" w:type="dxa"/>
            <w:vAlign w:val="center"/>
          </w:tcPr>
          <w:p>
            <w:pPr>
              <w:spacing w:line="480" w:lineRule="exact"/>
              <w:jc w:val="center"/>
              <w:rPr>
                <w:rFonts w:ascii="宋体" w:hAnsi="宋体"/>
                <w:snapToGrid w:val="0"/>
                <w:kern w:val="0"/>
                <w:sz w:val="18"/>
                <w:szCs w:val="18"/>
              </w:rPr>
            </w:pPr>
            <w:r>
              <w:rPr>
                <w:rFonts w:ascii="宋体" w:hAnsi="宋体"/>
                <w:snapToGrid w:val="0"/>
                <w:kern w:val="0"/>
                <w:sz w:val="18"/>
                <w:szCs w:val="18"/>
              </w:rPr>
              <w:t>直径(m)</w:t>
            </w:r>
          </w:p>
        </w:tc>
        <w:tc>
          <w:tcPr>
            <w:tcW w:w="827" w:type="dxa"/>
            <w:vAlign w:val="center"/>
          </w:tcPr>
          <w:p>
            <w:pPr>
              <w:spacing w:line="480" w:lineRule="exact"/>
              <w:jc w:val="center"/>
              <w:rPr>
                <w:rFonts w:hint="eastAsia" w:ascii="宋体" w:hAnsi="宋体"/>
                <w:snapToGrid w:val="0"/>
                <w:kern w:val="0"/>
                <w:sz w:val="18"/>
                <w:szCs w:val="18"/>
              </w:rPr>
            </w:pPr>
            <w:r>
              <w:rPr>
                <w:rFonts w:ascii="宋体" w:hAnsi="宋体"/>
                <w:snapToGrid w:val="0"/>
                <w:kern w:val="0"/>
                <w:sz w:val="18"/>
                <w:szCs w:val="18"/>
              </w:rPr>
              <w:t>温度</w:t>
            </w:r>
          </w:p>
          <w:p>
            <w:pPr>
              <w:spacing w:line="480" w:lineRule="exact"/>
              <w:jc w:val="center"/>
              <w:rPr>
                <w:rFonts w:ascii="宋体" w:hAnsi="宋体"/>
                <w:snapToGrid w:val="0"/>
                <w:kern w:val="0"/>
                <w:sz w:val="18"/>
                <w:szCs w:val="18"/>
              </w:rPr>
            </w:pPr>
            <w:r>
              <w:rPr>
                <w:rFonts w:ascii="宋体" w:hAnsi="宋体"/>
                <w:snapToGrid w:val="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8" w:type="dxa"/>
            <w:vAlign w:val="center"/>
          </w:tcPr>
          <w:p>
            <w:pPr>
              <w:snapToGrid w:val="0"/>
              <w:spacing w:line="320" w:lineRule="exact"/>
              <w:jc w:val="center"/>
              <w:rPr>
                <w:rFonts w:hint="eastAsia" w:ascii="宋体" w:hAnsi="宋体"/>
                <w:sz w:val="18"/>
                <w:szCs w:val="18"/>
              </w:rPr>
            </w:pPr>
            <w:r>
              <w:rPr>
                <w:rFonts w:hint="eastAsia" w:ascii="宋体" w:hAnsi="宋体"/>
                <w:sz w:val="18"/>
                <w:szCs w:val="18"/>
              </w:rPr>
              <w:t>1</w:t>
            </w:r>
          </w:p>
        </w:tc>
        <w:tc>
          <w:tcPr>
            <w:tcW w:w="1929" w:type="dxa"/>
            <w:vAlign w:val="center"/>
          </w:tcPr>
          <w:p>
            <w:pPr>
              <w:autoSpaceDE w:val="0"/>
              <w:autoSpaceDN w:val="0"/>
              <w:snapToGrid w:val="0"/>
              <w:spacing w:line="320" w:lineRule="exact"/>
              <w:jc w:val="center"/>
              <w:rPr>
                <w:rFonts w:hint="eastAsia" w:ascii="宋体" w:hAnsi="宋体"/>
                <w:sz w:val="18"/>
                <w:szCs w:val="18"/>
              </w:rPr>
            </w:pPr>
            <w:r>
              <w:rPr>
                <w:rFonts w:ascii="宋体" w:hAnsi="宋体"/>
                <w:snapToGrid w:val="0"/>
                <w:sz w:val="18"/>
                <w:szCs w:val="18"/>
              </w:rPr>
              <w:t>窑</w:t>
            </w:r>
            <w:r>
              <w:rPr>
                <w:rFonts w:hint="eastAsia" w:ascii="宋体" w:hAnsi="宋体"/>
                <w:snapToGrid w:val="0"/>
                <w:sz w:val="18"/>
                <w:szCs w:val="18"/>
              </w:rPr>
              <w:t>尾</w:t>
            </w:r>
            <w:r>
              <w:rPr>
                <w:rFonts w:ascii="宋体" w:hAnsi="宋体"/>
                <w:snapToGrid w:val="0"/>
                <w:sz w:val="18"/>
                <w:szCs w:val="18"/>
              </w:rPr>
              <w:t>废气</w:t>
            </w:r>
            <w:r>
              <w:rPr>
                <w:rFonts w:hint="eastAsia" w:ascii="宋体" w:hAnsi="宋体"/>
                <w:snapToGrid w:val="0"/>
                <w:sz w:val="18"/>
                <w:szCs w:val="18"/>
              </w:rPr>
              <w:t>处理</w:t>
            </w:r>
          </w:p>
        </w:tc>
        <w:tc>
          <w:tcPr>
            <w:tcW w:w="1300" w:type="dxa"/>
            <w:vAlign w:val="center"/>
          </w:tcPr>
          <w:p>
            <w:pPr>
              <w:snapToGrid w:val="0"/>
              <w:spacing w:line="320" w:lineRule="exact"/>
              <w:jc w:val="center"/>
              <w:rPr>
                <w:rFonts w:hint="eastAsia" w:ascii="宋体" w:hAnsi="宋体"/>
                <w:sz w:val="18"/>
                <w:szCs w:val="18"/>
              </w:rPr>
            </w:pPr>
            <w:r>
              <w:rPr>
                <w:rFonts w:hint="eastAsia"/>
                <w:sz w:val="18"/>
                <w:szCs w:val="18"/>
              </w:rPr>
              <w:t>345600</w:t>
            </w:r>
          </w:p>
        </w:tc>
        <w:tc>
          <w:tcPr>
            <w:tcW w:w="1056" w:type="dxa"/>
            <w:vAlign w:val="center"/>
          </w:tcPr>
          <w:p>
            <w:pPr>
              <w:spacing w:line="200" w:lineRule="exact"/>
              <w:jc w:val="center"/>
              <w:rPr>
                <w:rFonts w:hint="eastAsia"/>
                <w:sz w:val="18"/>
                <w:szCs w:val="18"/>
              </w:rPr>
            </w:pPr>
            <w:r>
              <w:rPr>
                <w:rFonts w:hint="eastAsia"/>
                <w:sz w:val="18"/>
                <w:szCs w:val="18"/>
              </w:rPr>
              <w:t>10368</w:t>
            </w:r>
          </w:p>
        </w:tc>
        <w:tc>
          <w:tcPr>
            <w:tcW w:w="1161" w:type="dxa"/>
            <w:vAlign w:val="center"/>
          </w:tcPr>
          <w:p>
            <w:pPr>
              <w:spacing w:line="200" w:lineRule="exact"/>
              <w:jc w:val="center"/>
              <w:rPr>
                <w:sz w:val="18"/>
                <w:szCs w:val="18"/>
              </w:rPr>
            </w:pPr>
            <w:r>
              <w:rPr>
                <w:rFonts w:hint="eastAsia"/>
                <w:sz w:val="18"/>
                <w:szCs w:val="18"/>
              </w:rPr>
              <w:t>518.4</w:t>
            </w:r>
          </w:p>
        </w:tc>
        <w:tc>
          <w:tcPr>
            <w:tcW w:w="953" w:type="dxa"/>
            <w:vAlign w:val="center"/>
          </w:tcPr>
          <w:p>
            <w:pPr>
              <w:snapToGrid w:val="0"/>
              <w:spacing w:line="320" w:lineRule="exact"/>
              <w:jc w:val="center"/>
              <w:rPr>
                <w:rFonts w:hint="eastAsia" w:ascii="宋体" w:hAnsi="宋体"/>
                <w:snapToGrid w:val="0"/>
                <w:kern w:val="0"/>
                <w:sz w:val="18"/>
                <w:szCs w:val="18"/>
              </w:rPr>
            </w:pPr>
            <w:r>
              <w:rPr>
                <w:rFonts w:hint="eastAsia" w:ascii="宋体" w:hAnsi="宋体"/>
                <w:snapToGrid w:val="0"/>
                <w:kern w:val="0"/>
                <w:sz w:val="18"/>
                <w:szCs w:val="18"/>
              </w:rPr>
              <w:t>110</w:t>
            </w:r>
          </w:p>
        </w:tc>
        <w:tc>
          <w:tcPr>
            <w:tcW w:w="944" w:type="dxa"/>
            <w:vAlign w:val="center"/>
          </w:tcPr>
          <w:p>
            <w:pPr>
              <w:snapToGrid w:val="0"/>
              <w:spacing w:line="360" w:lineRule="exact"/>
              <w:jc w:val="center"/>
              <w:rPr>
                <w:rFonts w:hint="eastAsia" w:ascii="宋体" w:hAnsi="宋体"/>
                <w:snapToGrid w:val="0"/>
                <w:kern w:val="0"/>
                <w:sz w:val="18"/>
                <w:szCs w:val="18"/>
              </w:rPr>
            </w:pPr>
            <w:r>
              <w:rPr>
                <w:rFonts w:hint="eastAsia" w:ascii="宋体" w:hAnsi="宋体"/>
                <w:snapToGrid w:val="0"/>
                <w:kern w:val="0"/>
                <w:sz w:val="18"/>
                <w:szCs w:val="18"/>
              </w:rPr>
              <w:t>3</w:t>
            </w:r>
          </w:p>
        </w:tc>
        <w:tc>
          <w:tcPr>
            <w:tcW w:w="827" w:type="dxa"/>
            <w:vAlign w:val="center"/>
          </w:tcPr>
          <w:p>
            <w:pPr>
              <w:snapToGrid w:val="0"/>
              <w:spacing w:line="360" w:lineRule="exact"/>
              <w:jc w:val="center"/>
              <w:rPr>
                <w:rFonts w:hint="eastAsia" w:ascii="宋体" w:hAnsi="宋体"/>
                <w:snapToGrid w:val="0"/>
                <w:kern w:val="0"/>
                <w:sz w:val="18"/>
                <w:szCs w:val="18"/>
              </w:rPr>
            </w:pPr>
            <w:r>
              <w:rPr>
                <w:rFonts w:hint="eastAsia" w:ascii="宋体" w:hAnsi="宋体"/>
                <w:snapToGrid w:val="0"/>
                <w:kern w:val="0"/>
                <w:sz w:val="18"/>
                <w:szCs w:val="1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8" w:type="dxa"/>
            <w:vAlign w:val="center"/>
          </w:tcPr>
          <w:p>
            <w:pPr>
              <w:snapToGrid w:val="0"/>
              <w:spacing w:line="320" w:lineRule="exact"/>
              <w:jc w:val="center"/>
              <w:rPr>
                <w:rFonts w:hint="eastAsia" w:ascii="宋体" w:hAnsi="宋体"/>
                <w:sz w:val="18"/>
                <w:szCs w:val="18"/>
              </w:rPr>
            </w:pPr>
            <w:r>
              <w:rPr>
                <w:rFonts w:hint="eastAsia" w:ascii="宋体" w:hAnsi="宋体"/>
                <w:sz w:val="18"/>
                <w:szCs w:val="18"/>
              </w:rPr>
              <w:t>2</w:t>
            </w:r>
          </w:p>
        </w:tc>
        <w:tc>
          <w:tcPr>
            <w:tcW w:w="1929" w:type="dxa"/>
            <w:vAlign w:val="center"/>
          </w:tcPr>
          <w:p>
            <w:pPr>
              <w:autoSpaceDE w:val="0"/>
              <w:autoSpaceDN w:val="0"/>
              <w:adjustRightInd w:val="0"/>
              <w:snapToGrid w:val="0"/>
              <w:spacing w:line="320" w:lineRule="exact"/>
              <w:ind w:left="105" w:leftChars="50"/>
              <w:jc w:val="center"/>
              <w:rPr>
                <w:rFonts w:hint="eastAsia" w:ascii="宋体" w:hAnsi="宋体"/>
                <w:snapToGrid w:val="0"/>
                <w:sz w:val="18"/>
                <w:szCs w:val="18"/>
              </w:rPr>
            </w:pPr>
            <w:r>
              <w:rPr>
                <w:rFonts w:hint="eastAsia" w:ascii="宋体" w:hAnsi="宋体"/>
                <w:snapToGrid w:val="0"/>
                <w:sz w:val="18"/>
                <w:szCs w:val="18"/>
              </w:rPr>
              <w:t>窑头废气</w:t>
            </w:r>
          </w:p>
        </w:tc>
        <w:tc>
          <w:tcPr>
            <w:tcW w:w="1300" w:type="dxa"/>
            <w:vAlign w:val="center"/>
          </w:tcPr>
          <w:p>
            <w:pPr>
              <w:snapToGrid w:val="0"/>
              <w:spacing w:line="320" w:lineRule="exact"/>
              <w:jc w:val="center"/>
              <w:rPr>
                <w:rFonts w:hint="eastAsia" w:ascii="宋体" w:hAnsi="宋体"/>
                <w:sz w:val="18"/>
                <w:szCs w:val="18"/>
              </w:rPr>
            </w:pPr>
            <w:r>
              <w:rPr>
                <w:rFonts w:hint="eastAsia"/>
                <w:sz w:val="18"/>
                <w:szCs w:val="18"/>
              </w:rPr>
              <w:t>280000</w:t>
            </w:r>
          </w:p>
        </w:tc>
        <w:tc>
          <w:tcPr>
            <w:tcW w:w="1056" w:type="dxa"/>
            <w:vAlign w:val="center"/>
          </w:tcPr>
          <w:p>
            <w:pPr>
              <w:spacing w:line="200" w:lineRule="exact"/>
              <w:jc w:val="center"/>
              <w:rPr>
                <w:rFonts w:hint="eastAsia"/>
                <w:sz w:val="18"/>
                <w:szCs w:val="18"/>
              </w:rPr>
            </w:pPr>
            <w:r>
              <w:rPr>
                <w:rFonts w:hint="eastAsia"/>
                <w:sz w:val="18"/>
                <w:szCs w:val="18"/>
              </w:rPr>
              <w:t>13440</w:t>
            </w:r>
          </w:p>
        </w:tc>
        <w:tc>
          <w:tcPr>
            <w:tcW w:w="1161" w:type="dxa"/>
            <w:vAlign w:val="center"/>
          </w:tcPr>
          <w:p>
            <w:pPr>
              <w:spacing w:line="200" w:lineRule="exact"/>
              <w:jc w:val="center"/>
              <w:rPr>
                <w:sz w:val="18"/>
                <w:szCs w:val="18"/>
              </w:rPr>
            </w:pPr>
            <w:r>
              <w:rPr>
                <w:rFonts w:hint="eastAsia"/>
                <w:sz w:val="18"/>
                <w:szCs w:val="18"/>
              </w:rPr>
              <w:t>672</w:t>
            </w:r>
          </w:p>
        </w:tc>
        <w:tc>
          <w:tcPr>
            <w:tcW w:w="953" w:type="dxa"/>
            <w:vAlign w:val="center"/>
          </w:tcPr>
          <w:p>
            <w:pPr>
              <w:snapToGrid w:val="0"/>
              <w:spacing w:line="320" w:lineRule="exact"/>
              <w:jc w:val="center"/>
              <w:rPr>
                <w:rFonts w:hint="eastAsia" w:ascii="宋体" w:hAnsi="宋体"/>
                <w:snapToGrid w:val="0"/>
                <w:kern w:val="0"/>
                <w:sz w:val="18"/>
                <w:szCs w:val="18"/>
              </w:rPr>
            </w:pPr>
            <w:r>
              <w:rPr>
                <w:rFonts w:hint="eastAsia" w:ascii="宋体" w:hAnsi="宋体"/>
                <w:snapToGrid w:val="0"/>
                <w:kern w:val="0"/>
                <w:sz w:val="18"/>
                <w:szCs w:val="18"/>
              </w:rPr>
              <w:t>40</w:t>
            </w:r>
          </w:p>
        </w:tc>
        <w:tc>
          <w:tcPr>
            <w:tcW w:w="944" w:type="dxa"/>
            <w:vAlign w:val="center"/>
          </w:tcPr>
          <w:p>
            <w:pPr>
              <w:snapToGrid w:val="0"/>
              <w:spacing w:line="360" w:lineRule="exact"/>
              <w:jc w:val="center"/>
              <w:rPr>
                <w:rFonts w:hint="eastAsia" w:ascii="宋体" w:hAnsi="宋体"/>
                <w:snapToGrid w:val="0"/>
                <w:kern w:val="0"/>
                <w:sz w:val="18"/>
                <w:szCs w:val="18"/>
              </w:rPr>
            </w:pPr>
            <w:r>
              <w:rPr>
                <w:rFonts w:hint="eastAsia" w:ascii="宋体" w:hAnsi="宋体"/>
                <w:snapToGrid w:val="0"/>
                <w:kern w:val="0"/>
                <w:sz w:val="18"/>
                <w:szCs w:val="18"/>
              </w:rPr>
              <w:t>2.5</w:t>
            </w:r>
          </w:p>
        </w:tc>
        <w:tc>
          <w:tcPr>
            <w:tcW w:w="827" w:type="dxa"/>
            <w:vAlign w:val="center"/>
          </w:tcPr>
          <w:p>
            <w:pPr>
              <w:snapToGrid w:val="0"/>
              <w:spacing w:line="360" w:lineRule="exact"/>
              <w:jc w:val="center"/>
              <w:rPr>
                <w:rFonts w:hint="eastAsia" w:ascii="宋体" w:hAnsi="宋体"/>
                <w:snapToGrid w:val="0"/>
                <w:kern w:val="0"/>
                <w:sz w:val="18"/>
                <w:szCs w:val="18"/>
              </w:rPr>
            </w:pPr>
            <w:r>
              <w:rPr>
                <w:rFonts w:hint="eastAsia" w:ascii="宋体" w:hAnsi="宋体"/>
                <w:snapToGrid w:val="0"/>
                <w:kern w:val="0"/>
                <w:sz w:val="18"/>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8" w:type="dxa"/>
            <w:vAlign w:val="center"/>
          </w:tcPr>
          <w:p>
            <w:pPr>
              <w:snapToGrid w:val="0"/>
              <w:spacing w:line="320" w:lineRule="exact"/>
              <w:jc w:val="center"/>
              <w:rPr>
                <w:rFonts w:hint="eastAsia" w:ascii="宋体" w:hAnsi="宋体"/>
                <w:sz w:val="18"/>
                <w:szCs w:val="18"/>
              </w:rPr>
            </w:pPr>
            <w:r>
              <w:rPr>
                <w:rFonts w:hint="eastAsia" w:ascii="宋体" w:hAnsi="宋体"/>
                <w:sz w:val="18"/>
                <w:szCs w:val="18"/>
              </w:rPr>
              <w:t>3</w:t>
            </w:r>
          </w:p>
        </w:tc>
        <w:tc>
          <w:tcPr>
            <w:tcW w:w="1929" w:type="dxa"/>
            <w:vAlign w:val="center"/>
          </w:tcPr>
          <w:p>
            <w:pPr>
              <w:spacing w:line="200" w:lineRule="exact"/>
              <w:jc w:val="center"/>
              <w:rPr>
                <w:rFonts w:hint="eastAsia"/>
                <w:sz w:val="18"/>
                <w:szCs w:val="18"/>
              </w:rPr>
            </w:pPr>
            <w:r>
              <w:rPr>
                <w:rFonts w:hint="eastAsia"/>
                <w:sz w:val="18"/>
                <w:szCs w:val="18"/>
              </w:rPr>
              <w:t>煤粉制备</w:t>
            </w:r>
          </w:p>
        </w:tc>
        <w:tc>
          <w:tcPr>
            <w:tcW w:w="1300" w:type="dxa"/>
            <w:vAlign w:val="center"/>
          </w:tcPr>
          <w:p>
            <w:pPr>
              <w:spacing w:line="200" w:lineRule="exact"/>
              <w:jc w:val="center"/>
              <w:rPr>
                <w:rFonts w:hint="eastAsia"/>
                <w:sz w:val="18"/>
                <w:szCs w:val="18"/>
                <w:lang w:val="de-DE"/>
              </w:rPr>
            </w:pPr>
            <w:r>
              <w:rPr>
                <w:rFonts w:hint="eastAsia"/>
                <w:sz w:val="18"/>
                <w:szCs w:val="18"/>
              </w:rPr>
              <w:t>42000</w:t>
            </w:r>
          </w:p>
        </w:tc>
        <w:tc>
          <w:tcPr>
            <w:tcW w:w="1056" w:type="dxa"/>
            <w:vAlign w:val="center"/>
          </w:tcPr>
          <w:p>
            <w:pPr>
              <w:spacing w:line="200" w:lineRule="exact"/>
              <w:jc w:val="center"/>
              <w:rPr>
                <w:rFonts w:hint="eastAsia"/>
                <w:sz w:val="18"/>
                <w:szCs w:val="18"/>
              </w:rPr>
            </w:pPr>
            <w:r>
              <w:rPr>
                <w:rFonts w:hint="eastAsia"/>
                <w:sz w:val="18"/>
                <w:szCs w:val="18"/>
              </w:rPr>
              <w:t>1176</w:t>
            </w:r>
          </w:p>
        </w:tc>
        <w:tc>
          <w:tcPr>
            <w:tcW w:w="1161" w:type="dxa"/>
            <w:vAlign w:val="center"/>
          </w:tcPr>
          <w:p>
            <w:pPr>
              <w:spacing w:line="200" w:lineRule="exact"/>
              <w:jc w:val="center"/>
              <w:rPr>
                <w:sz w:val="18"/>
                <w:szCs w:val="18"/>
              </w:rPr>
            </w:pPr>
            <w:r>
              <w:rPr>
                <w:rFonts w:hint="eastAsia"/>
                <w:sz w:val="18"/>
                <w:szCs w:val="18"/>
              </w:rPr>
              <w:t>58.8</w:t>
            </w:r>
          </w:p>
        </w:tc>
        <w:tc>
          <w:tcPr>
            <w:tcW w:w="953" w:type="dxa"/>
            <w:vAlign w:val="center"/>
          </w:tcPr>
          <w:p>
            <w:pPr>
              <w:snapToGrid w:val="0"/>
              <w:spacing w:line="320" w:lineRule="exact"/>
              <w:jc w:val="center"/>
              <w:rPr>
                <w:rFonts w:hint="eastAsia" w:ascii="宋体" w:hAnsi="宋体"/>
                <w:snapToGrid w:val="0"/>
                <w:kern w:val="0"/>
                <w:sz w:val="18"/>
                <w:szCs w:val="18"/>
              </w:rPr>
            </w:pPr>
            <w:r>
              <w:rPr>
                <w:rFonts w:hint="eastAsia" w:ascii="宋体" w:hAnsi="宋体"/>
                <w:snapToGrid w:val="0"/>
                <w:kern w:val="0"/>
                <w:sz w:val="18"/>
                <w:szCs w:val="18"/>
              </w:rPr>
              <w:t>40</w:t>
            </w:r>
          </w:p>
        </w:tc>
        <w:tc>
          <w:tcPr>
            <w:tcW w:w="944" w:type="dxa"/>
            <w:vAlign w:val="center"/>
          </w:tcPr>
          <w:p>
            <w:pPr>
              <w:snapToGrid w:val="0"/>
              <w:spacing w:line="360" w:lineRule="exact"/>
              <w:jc w:val="center"/>
              <w:rPr>
                <w:rFonts w:hint="eastAsia" w:ascii="宋体" w:hAnsi="宋体"/>
                <w:snapToGrid w:val="0"/>
                <w:kern w:val="0"/>
                <w:sz w:val="18"/>
                <w:szCs w:val="18"/>
              </w:rPr>
            </w:pPr>
            <w:r>
              <w:rPr>
                <w:rFonts w:hint="eastAsia" w:ascii="宋体" w:hAnsi="宋体"/>
                <w:snapToGrid w:val="0"/>
                <w:kern w:val="0"/>
                <w:sz w:val="18"/>
                <w:szCs w:val="18"/>
              </w:rPr>
              <w:t>0.8</w:t>
            </w:r>
          </w:p>
        </w:tc>
        <w:tc>
          <w:tcPr>
            <w:tcW w:w="827" w:type="dxa"/>
            <w:vAlign w:val="center"/>
          </w:tcPr>
          <w:p>
            <w:pPr>
              <w:snapToGrid w:val="0"/>
              <w:spacing w:line="360" w:lineRule="exact"/>
              <w:jc w:val="center"/>
              <w:rPr>
                <w:rFonts w:hint="eastAsia" w:ascii="宋体" w:hAnsi="宋体"/>
                <w:snapToGrid w:val="0"/>
                <w:kern w:val="0"/>
                <w:sz w:val="18"/>
                <w:szCs w:val="18"/>
              </w:rPr>
            </w:pPr>
            <w:r>
              <w:rPr>
                <w:rFonts w:hint="eastAsia" w:ascii="宋体" w:hAnsi="宋体"/>
                <w:snapToGrid w:val="0"/>
                <w:kern w:val="0"/>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8" w:type="dxa"/>
            <w:vAlign w:val="center"/>
          </w:tcPr>
          <w:p>
            <w:pPr>
              <w:snapToGrid w:val="0"/>
              <w:spacing w:line="320" w:lineRule="exact"/>
              <w:jc w:val="center"/>
              <w:rPr>
                <w:rFonts w:hint="eastAsia" w:ascii="宋体" w:hAnsi="宋体"/>
                <w:sz w:val="18"/>
                <w:szCs w:val="18"/>
              </w:rPr>
            </w:pPr>
            <w:r>
              <w:rPr>
                <w:rFonts w:hint="eastAsia" w:ascii="宋体" w:hAnsi="宋体"/>
                <w:sz w:val="18"/>
                <w:szCs w:val="18"/>
              </w:rPr>
              <w:t>4</w:t>
            </w:r>
          </w:p>
        </w:tc>
        <w:tc>
          <w:tcPr>
            <w:tcW w:w="1929" w:type="dxa"/>
            <w:vAlign w:val="center"/>
          </w:tcPr>
          <w:p>
            <w:pPr>
              <w:snapToGrid w:val="0"/>
              <w:spacing w:line="320" w:lineRule="exact"/>
              <w:jc w:val="center"/>
              <w:rPr>
                <w:rFonts w:ascii="宋体" w:hAnsi="宋体"/>
                <w:snapToGrid w:val="0"/>
                <w:sz w:val="18"/>
                <w:szCs w:val="18"/>
              </w:rPr>
            </w:pPr>
            <w:r>
              <w:rPr>
                <w:rFonts w:ascii="宋体" w:hAnsi="宋体"/>
                <w:snapToGrid w:val="0"/>
                <w:sz w:val="18"/>
                <w:szCs w:val="18"/>
              </w:rPr>
              <w:t>水泥粉磨</w:t>
            </w:r>
          </w:p>
        </w:tc>
        <w:tc>
          <w:tcPr>
            <w:tcW w:w="1300" w:type="dxa"/>
            <w:vAlign w:val="center"/>
          </w:tcPr>
          <w:p>
            <w:pPr>
              <w:jc w:val="center"/>
              <w:rPr>
                <w:rFonts w:hint="eastAsia"/>
                <w:sz w:val="20"/>
              </w:rPr>
            </w:pPr>
            <w:r>
              <w:rPr>
                <w:rFonts w:hint="eastAsia"/>
                <w:sz w:val="18"/>
                <w:szCs w:val="18"/>
              </w:rPr>
              <w:t>210000</w:t>
            </w:r>
          </w:p>
        </w:tc>
        <w:tc>
          <w:tcPr>
            <w:tcW w:w="1056" w:type="dxa"/>
            <w:vAlign w:val="center"/>
          </w:tcPr>
          <w:p>
            <w:pPr>
              <w:spacing w:line="200" w:lineRule="exact"/>
              <w:jc w:val="center"/>
              <w:rPr>
                <w:rFonts w:hint="eastAsia"/>
                <w:sz w:val="18"/>
                <w:szCs w:val="18"/>
              </w:rPr>
            </w:pPr>
            <w:r>
              <w:rPr>
                <w:rFonts w:hint="eastAsia"/>
                <w:sz w:val="18"/>
                <w:szCs w:val="18"/>
              </w:rPr>
              <w:t>5880</w:t>
            </w:r>
          </w:p>
        </w:tc>
        <w:tc>
          <w:tcPr>
            <w:tcW w:w="1161" w:type="dxa"/>
            <w:vAlign w:val="center"/>
          </w:tcPr>
          <w:p>
            <w:pPr>
              <w:spacing w:line="200" w:lineRule="exact"/>
              <w:jc w:val="center"/>
              <w:rPr>
                <w:sz w:val="18"/>
                <w:szCs w:val="18"/>
              </w:rPr>
            </w:pPr>
            <w:r>
              <w:rPr>
                <w:rFonts w:hint="eastAsia"/>
                <w:sz w:val="18"/>
                <w:szCs w:val="18"/>
              </w:rPr>
              <w:t>294</w:t>
            </w:r>
          </w:p>
        </w:tc>
        <w:tc>
          <w:tcPr>
            <w:tcW w:w="953" w:type="dxa"/>
            <w:vAlign w:val="center"/>
          </w:tcPr>
          <w:p>
            <w:pPr>
              <w:snapToGrid w:val="0"/>
              <w:spacing w:line="320" w:lineRule="exact"/>
              <w:jc w:val="center"/>
              <w:rPr>
                <w:rFonts w:hint="eastAsia" w:ascii="宋体" w:hAnsi="宋体"/>
                <w:snapToGrid w:val="0"/>
                <w:kern w:val="0"/>
                <w:sz w:val="18"/>
                <w:szCs w:val="18"/>
              </w:rPr>
            </w:pPr>
            <w:r>
              <w:rPr>
                <w:rFonts w:hint="eastAsia" w:ascii="宋体" w:hAnsi="宋体"/>
                <w:snapToGrid w:val="0"/>
                <w:kern w:val="0"/>
                <w:sz w:val="18"/>
                <w:szCs w:val="18"/>
              </w:rPr>
              <w:t>40</w:t>
            </w:r>
          </w:p>
        </w:tc>
        <w:tc>
          <w:tcPr>
            <w:tcW w:w="944" w:type="dxa"/>
            <w:vAlign w:val="center"/>
          </w:tcPr>
          <w:p>
            <w:pPr>
              <w:snapToGrid w:val="0"/>
              <w:spacing w:line="360" w:lineRule="exact"/>
              <w:jc w:val="center"/>
              <w:rPr>
                <w:rFonts w:hint="eastAsia" w:ascii="宋体" w:hAnsi="宋体"/>
                <w:snapToGrid w:val="0"/>
                <w:kern w:val="0"/>
                <w:sz w:val="18"/>
                <w:szCs w:val="18"/>
              </w:rPr>
            </w:pPr>
            <w:r>
              <w:rPr>
                <w:rFonts w:hint="eastAsia" w:ascii="宋体" w:hAnsi="宋体"/>
                <w:snapToGrid w:val="0"/>
                <w:kern w:val="0"/>
                <w:sz w:val="18"/>
                <w:szCs w:val="18"/>
              </w:rPr>
              <w:t>1.2</w:t>
            </w:r>
          </w:p>
        </w:tc>
        <w:tc>
          <w:tcPr>
            <w:tcW w:w="827" w:type="dxa"/>
            <w:vAlign w:val="center"/>
          </w:tcPr>
          <w:p>
            <w:pPr>
              <w:snapToGrid w:val="0"/>
              <w:spacing w:line="360" w:lineRule="exact"/>
              <w:jc w:val="center"/>
              <w:rPr>
                <w:rFonts w:hint="eastAsia" w:ascii="宋体" w:hAnsi="宋体"/>
                <w:snapToGrid w:val="0"/>
                <w:kern w:val="0"/>
                <w:sz w:val="18"/>
                <w:szCs w:val="18"/>
              </w:rPr>
            </w:pPr>
            <w:r>
              <w:rPr>
                <w:rFonts w:hint="eastAsia" w:ascii="宋体" w:hAnsi="宋体"/>
                <w:snapToGrid w:val="0"/>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17" w:type="dxa"/>
            <w:gridSpan w:val="2"/>
            <w:vAlign w:val="center"/>
          </w:tcPr>
          <w:p>
            <w:pPr>
              <w:snapToGrid w:val="0"/>
              <w:spacing w:line="360" w:lineRule="exact"/>
              <w:jc w:val="center"/>
              <w:rPr>
                <w:rFonts w:hint="eastAsia" w:ascii="宋体" w:hAnsi="宋体"/>
                <w:snapToGrid w:val="0"/>
                <w:sz w:val="18"/>
                <w:szCs w:val="18"/>
              </w:rPr>
            </w:pPr>
            <w:r>
              <w:rPr>
                <w:rFonts w:hint="eastAsia" w:ascii="宋体" w:hAnsi="宋体"/>
                <w:snapToGrid w:val="0"/>
                <w:sz w:val="18"/>
                <w:szCs w:val="18"/>
              </w:rPr>
              <w:t>合计</w:t>
            </w:r>
          </w:p>
        </w:tc>
        <w:tc>
          <w:tcPr>
            <w:tcW w:w="1300" w:type="dxa"/>
            <w:vAlign w:val="center"/>
          </w:tcPr>
          <w:p>
            <w:pPr>
              <w:spacing w:line="200" w:lineRule="exact"/>
              <w:jc w:val="center"/>
              <w:rPr>
                <w:sz w:val="18"/>
                <w:szCs w:val="18"/>
              </w:rPr>
            </w:pPr>
            <w:r>
              <w:rPr>
                <w:rFonts w:hint="eastAsia"/>
                <w:sz w:val="18"/>
                <w:szCs w:val="18"/>
              </w:rPr>
              <w:t>877600</w:t>
            </w:r>
          </w:p>
        </w:tc>
        <w:tc>
          <w:tcPr>
            <w:tcW w:w="1056" w:type="dxa"/>
            <w:vAlign w:val="center"/>
          </w:tcPr>
          <w:p>
            <w:pPr>
              <w:spacing w:line="200" w:lineRule="exact"/>
              <w:jc w:val="center"/>
              <w:rPr>
                <w:sz w:val="18"/>
                <w:szCs w:val="18"/>
              </w:rPr>
            </w:pPr>
            <w:r>
              <w:rPr>
                <w:rFonts w:hint="eastAsia"/>
                <w:sz w:val="18"/>
                <w:szCs w:val="18"/>
              </w:rPr>
              <w:t>30864</w:t>
            </w:r>
          </w:p>
        </w:tc>
        <w:tc>
          <w:tcPr>
            <w:tcW w:w="1161" w:type="dxa"/>
            <w:vAlign w:val="center"/>
          </w:tcPr>
          <w:p>
            <w:pPr>
              <w:spacing w:line="200" w:lineRule="exact"/>
              <w:jc w:val="center"/>
              <w:rPr>
                <w:rFonts w:ascii="宋体" w:hAnsi="宋体" w:cs="宋体"/>
              </w:rPr>
            </w:pPr>
            <w:r>
              <w:rPr>
                <w:rFonts w:hint="eastAsia"/>
                <w:sz w:val="18"/>
                <w:szCs w:val="18"/>
              </w:rPr>
              <w:t>1543.2</w:t>
            </w:r>
          </w:p>
        </w:tc>
        <w:tc>
          <w:tcPr>
            <w:tcW w:w="953" w:type="dxa"/>
            <w:vAlign w:val="center"/>
          </w:tcPr>
          <w:p>
            <w:pPr>
              <w:jc w:val="center"/>
              <w:rPr>
                <w:rFonts w:hint="eastAsia" w:ascii="宋体" w:hAnsi="宋体" w:cs="宋体"/>
                <w:sz w:val="18"/>
                <w:szCs w:val="18"/>
              </w:rPr>
            </w:pPr>
            <w:r>
              <w:rPr>
                <w:rFonts w:hint="eastAsia" w:ascii="宋体" w:hAnsi="宋体" w:cs="宋体"/>
                <w:sz w:val="18"/>
                <w:szCs w:val="18"/>
              </w:rPr>
              <w:t>/</w:t>
            </w:r>
          </w:p>
        </w:tc>
        <w:tc>
          <w:tcPr>
            <w:tcW w:w="944" w:type="dxa"/>
            <w:vAlign w:val="center"/>
          </w:tcPr>
          <w:p>
            <w:pPr>
              <w:snapToGrid w:val="0"/>
              <w:spacing w:line="360" w:lineRule="exact"/>
              <w:jc w:val="center"/>
              <w:rPr>
                <w:rFonts w:hint="eastAsia" w:ascii="宋体" w:hAnsi="宋体"/>
                <w:snapToGrid w:val="0"/>
                <w:kern w:val="0"/>
                <w:sz w:val="18"/>
                <w:szCs w:val="18"/>
              </w:rPr>
            </w:pPr>
            <w:r>
              <w:rPr>
                <w:rFonts w:hint="eastAsia" w:ascii="宋体" w:hAnsi="宋体"/>
                <w:snapToGrid w:val="0"/>
                <w:kern w:val="0"/>
                <w:sz w:val="18"/>
                <w:szCs w:val="18"/>
              </w:rPr>
              <w:t>/</w:t>
            </w:r>
          </w:p>
        </w:tc>
        <w:tc>
          <w:tcPr>
            <w:tcW w:w="827" w:type="dxa"/>
            <w:vAlign w:val="center"/>
          </w:tcPr>
          <w:p>
            <w:pPr>
              <w:snapToGrid w:val="0"/>
              <w:spacing w:line="360" w:lineRule="exact"/>
              <w:jc w:val="center"/>
              <w:rPr>
                <w:rFonts w:hint="eastAsia" w:ascii="宋体" w:hAnsi="宋体"/>
                <w:snapToGrid w:val="0"/>
                <w:kern w:val="0"/>
                <w:sz w:val="18"/>
                <w:szCs w:val="18"/>
              </w:rPr>
            </w:pPr>
            <w:r>
              <w:rPr>
                <w:rFonts w:hint="eastAsia" w:ascii="宋体" w:hAnsi="宋体"/>
                <w:snapToGrid w:val="0"/>
                <w:kern w:val="0"/>
                <w:sz w:val="18"/>
                <w:szCs w:val="18"/>
              </w:rPr>
              <w:t>/</w:t>
            </w:r>
          </w:p>
        </w:tc>
      </w:tr>
    </w:tbl>
    <w:p>
      <w:pPr>
        <w:spacing w:line="480" w:lineRule="exact"/>
        <w:ind w:firstLine="422" w:firstLineChars="200"/>
        <w:jc w:val="center"/>
        <w:rPr>
          <w:rFonts w:hint="eastAsia" w:ascii="宋体" w:hAnsi="宋体"/>
          <w:b/>
        </w:rPr>
      </w:pPr>
    </w:p>
    <w:p>
      <w:pPr>
        <w:spacing w:line="480" w:lineRule="exact"/>
        <w:ind w:firstLine="422" w:firstLineChars="200"/>
        <w:jc w:val="center"/>
        <w:rPr>
          <w:rFonts w:hint="eastAsia" w:ascii="宋体" w:hAnsi="宋体"/>
          <w:b/>
        </w:rPr>
      </w:pPr>
    </w:p>
    <w:p>
      <w:pPr>
        <w:widowControl/>
        <w:spacing w:line="460" w:lineRule="exact"/>
        <w:ind w:firstLine="420" w:firstLineChars="200"/>
        <w:sectPr>
          <w:pgSz w:w="11906" w:h="16838"/>
          <w:pgMar w:top="1134" w:right="1418" w:bottom="1134" w:left="1418" w:header="851" w:footer="992" w:gutter="0"/>
          <w:paperSrc w:first="20070" w:other="20070"/>
          <w:cols w:space="425" w:num="1"/>
          <w:titlePg/>
          <w:docGrid w:linePitch="312" w:charSpace="0"/>
        </w:sectPr>
      </w:pPr>
    </w:p>
    <w:p>
      <w:pPr>
        <w:pStyle w:val="11"/>
        <w:ind w:left="0" w:firstLine="0" w:firstLineChars="0"/>
        <w:outlineLvl w:val="0"/>
        <w:rPr>
          <w:rFonts w:hint="eastAsia"/>
          <w:b/>
          <w:szCs w:val="28"/>
        </w:rPr>
      </w:pPr>
      <w:bookmarkStart w:id="183" w:name="_Toc175479803"/>
      <w:bookmarkStart w:id="184" w:name="_Toc276372231"/>
      <w:bookmarkStart w:id="185" w:name="_Toc189814148"/>
      <w:bookmarkStart w:id="186" w:name="_Toc473281506"/>
      <w:r>
        <w:rPr>
          <w:rFonts w:hint="eastAsia"/>
          <w:b/>
          <w:szCs w:val="28"/>
        </w:rPr>
        <w:t>4清洁生产与循环经济分析</w:t>
      </w:r>
      <w:bookmarkEnd w:id="183"/>
      <w:bookmarkEnd w:id="184"/>
      <w:bookmarkEnd w:id="185"/>
      <w:bookmarkEnd w:id="186"/>
    </w:p>
    <w:p>
      <w:pPr>
        <w:widowControl/>
        <w:spacing w:line="360" w:lineRule="auto"/>
        <w:jc w:val="left"/>
        <w:outlineLvl w:val="1"/>
        <w:rPr>
          <w:rFonts w:hint="eastAsia"/>
          <w:b/>
        </w:rPr>
      </w:pPr>
      <w:bookmarkStart w:id="187" w:name="_Toc189814149"/>
      <w:bookmarkStart w:id="188" w:name="_Toc473281507"/>
      <w:bookmarkStart w:id="189" w:name="_Toc276372232"/>
      <w:bookmarkStart w:id="190" w:name="_Toc175479804"/>
      <w:r>
        <w:rPr>
          <w:rFonts w:hint="eastAsia"/>
          <w:b/>
        </w:rPr>
        <w:t>4.1清洁生产</w:t>
      </w:r>
      <w:bookmarkEnd w:id="187"/>
      <w:bookmarkEnd w:id="188"/>
      <w:bookmarkEnd w:id="189"/>
      <w:bookmarkEnd w:id="190"/>
    </w:p>
    <w:p>
      <w:pPr>
        <w:widowControl/>
        <w:spacing w:line="360" w:lineRule="auto"/>
        <w:jc w:val="left"/>
        <w:outlineLvl w:val="2"/>
        <w:rPr>
          <w:rFonts w:hint="eastAsia"/>
          <w:b/>
        </w:rPr>
      </w:pPr>
      <w:bookmarkStart w:id="191" w:name="_Toc129763716"/>
      <w:bookmarkStart w:id="192" w:name="_Toc165607360"/>
      <w:r>
        <w:rPr>
          <w:rFonts w:hint="eastAsia"/>
          <w:b/>
        </w:rPr>
        <w:t>4.1.1工艺技术先进性分析</w:t>
      </w:r>
      <w:bookmarkEnd w:id="191"/>
      <w:bookmarkEnd w:id="192"/>
    </w:p>
    <w:p>
      <w:pPr>
        <w:snapToGrid w:val="0"/>
        <w:spacing w:line="360" w:lineRule="auto"/>
        <w:ind w:firstLine="420" w:firstLineChars="200"/>
        <w:rPr>
          <w:rFonts w:hint="eastAsia"/>
        </w:rPr>
      </w:pPr>
      <w:r>
        <w:rPr>
          <w:rFonts w:hint="eastAsia"/>
        </w:rPr>
        <w:t>水泥生产工艺立窑工艺、湿法窑工艺、干法中空窑工艺和新型干法旋窑工艺，其中立窑、湿法窑和干法中空窑工艺技术</w:t>
      </w:r>
      <w:r>
        <w:t>劳动生产率低，能耗高，粉尘污染严重</w:t>
      </w:r>
      <w:r>
        <w:rPr>
          <w:rFonts w:hint="eastAsia"/>
        </w:rPr>
        <w:t>、</w:t>
      </w:r>
      <w:r>
        <w:t>水泥品种单一，</w:t>
      </w:r>
      <w:r>
        <w:rPr>
          <w:rFonts w:hint="eastAsia"/>
        </w:rPr>
        <w:t>已属国家淘汰的水泥生产工艺；新型干法旋窑工艺属国家鼓励的水泥生产工艺。</w:t>
      </w:r>
    </w:p>
    <w:p>
      <w:pPr>
        <w:snapToGrid w:val="0"/>
        <w:spacing w:line="360" w:lineRule="auto"/>
        <w:ind w:firstLine="420" w:firstLineChars="200"/>
        <w:rPr>
          <w:rFonts w:hint="eastAsia"/>
        </w:rPr>
      </w:pPr>
      <w:r>
        <w:rPr>
          <w:rFonts w:hint="eastAsia"/>
        </w:rPr>
        <w:t>技改项目选择利用</w:t>
      </w:r>
      <w:r>
        <w:rPr>
          <w:rFonts w:ascii="宋体" w:hAnsi="宋体"/>
        </w:rPr>
        <w:t>石灰石、</w:t>
      </w:r>
      <w:r>
        <w:rPr>
          <w:rFonts w:hint="eastAsia" w:ascii="宋体" w:hAnsi="宋体"/>
        </w:rPr>
        <w:t>煤矸石、</w:t>
      </w:r>
      <w:r>
        <w:rPr>
          <w:rFonts w:ascii="宋体" w:hAnsi="宋体"/>
        </w:rPr>
        <w:t>砂岩</w:t>
      </w:r>
      <w:r>
        <w:rPr>
          <w:rFonts w:hint="eastAsia" w:ascii="宋体" w:hAnsi="宋体"/>
        </w:rPr>
        <w:t>、硫酸渣、石膏、高炉渣</w:t>
      </w:r>
      <w:r>
        <w:rPr>
          <w:rFonts w:hint="eastAsia"/>
        </w:rPr>
        <w:t>作原料生产水泥的工艺技术，水泥生产采用新型干法——窑外预分解熟料生产工艺技术，其中</w:t>
      </w:r>
      <w:r>
        <w:t>石灰质原料主要采用石灰石</w:t>
      </w:r>
      <w:r>
        <w:rPr>
          <w:rFonts w:hint="eastAsia"/>
        </w:rPr>
        <w:t>，</w:t>
      </w:r>
      <w:r>
        <w:t>铝质原料采用</w:t>
      </w:r>
      <w:r>
        <w:rPr>
          <w:rFonts w:hint="eastAsia"/>
        </w:rPr>
        <w:t>煤矸石，硅</w:t>
      </w:r>
      <w:r>
        <w:t>质</w:t>
      </w:r>
      <w:r>
        <w:rPr>
          <w:rFonts w:hint="eastAsia"/>
        </w:rPr>
        <w:t>校正</w:t>
      </w:r>
      <w:r>
        <w:t>原料采用</w:t>
      </w:r>
      <w:r>
        <w:rPr>
          <w:rFonts w:hint="eastAsia"/>
        </w:rPr>
        <w:t>砂岩，</w:t>
      </w:r>
      <w:r>
        <w:rPr>
          <w:rFonts w:ascii="宋体" w:hAnsi="宋体"/>
        </w:rPr>
        <w:t>铁质校正原料</w:t>
      </w:r>
      <w:r>
        <w:rPr>
          <w:rFonts w:hint="eastAsia" w:ascii="宋体" w:hAnsi="宋体"/>
        </w:rPr>
        <w:t>采用硫酸渣，混合材料采用废弃的石膏、高炉渣</w:t>
      </w:r>
      <w:r>
        <w:rPr>
          <w:rFonts w:hint="eastAsia"/>
        </w:rPr>
        <w:t>。</w:t>
      </w:r>
    </w:p>
    <w:p>
      <w:pPr>
        <w:snapToGrid w:val="0"/>
        <w:spacing w:line="360" w:lineRule="auto"/>
        <w:ind w:firstLine="420" w:firstLineChars="200"/>
        <w:rPr>
          <w:rFonts w:hint="eastAsia"/>
        </w:rPr>
      </w:pPr>
      <w:r>
        <w:rPr>
          <w:rFonts w:hint="eastAsia"/>
        </w:rPr>
        <w:t>因此，技改项目选用的水泥生产工艺技术符合国家鼓励的水泥生产工艺，尽可能利用了</w:t>
      </w:r>
      <w:r>
        <w:rPr>
          <w:rFonts w:hint="eastAsia" w:ascii="宋体" w:hAnsi="宋体"/>
        </w:rPr>
        <w:t>燃煤电厂的固体废物</w:t>
      </w:r>
      <w:r>
        <w:rPr>
          <w:rFonts w:hint="eastAsia"/>
        </w:rPr>
        <w:t>，体现了废物综合利用的循环经济精神，属于国内领先水平</w:t>
      </w:r>
      <w:r>
        <w:rPr>
          <w:rFonts w:hint="eastAsia" w:ascii="宋体" w:hAnsi="宋体"/>
        </w:rPr>
        <w:t>。</w:t>
      </w:r>
    </w:p>
    <w:p>
      <w:pPr>
        <w:widowControl/>
        <w:spacing w:line="360" w:lineRule="auto"/>
        <w:jc w:val="left"/>
        <w:outlineLvl w:val="2"/>
        <w:rPr>
          <w:rFonts w:hint="eastAsia"/>
          <w:b/>
        </w:rPr>
      </w:pPr>
      <w:bookmarkStart w:id="193" w:name="_Toc165607363"/>
      <w:r>
        <w:rPr>
          <w:rFonts w:hint="eastAsia"/>
          <w:b/>
        </w:rPr>
        <w:t>4.1.2资源和能源</w:t>
      </w:r>
      <w:bookmarkEnd w:id="193"/>
      <w:r>
        <w:rPr>
          <w:rFonts w:hint="eastAsia"/>
          <w:b/>
        </w:rPr>
        <w:t>合理利用</w:t>
      </w:r>
    </w:p>
    <w:p>
      <w:pPr>
        <w:snapToGrid w:val="0"/>
        <w:spacing w:line="360" w:lineRule="auto"/>
        <w:ind w:firstLine="420" w:firstLineChars="200"/>
        <w:rPr>
          <w:rFonts w:ascii="宋体" w:hAnsi="宋体"/>
        </w:rPr>
      </w:pPr>
      <w:r>
        <w:rPr>
          <w:rFonts w:hint="eastAsia" w:ascii="宋体" w:hAnsi="宋体"/>
        </w:rPr>
        <w:t>(1)</w:t>
      </w:r>
      <w:r>
        <w:rPr>
          <w:rFonts w:ascii="宋体" w:hAnsi="宋体"/>
        </w:rPr>
        <w:t xml:space="preserve"> 热能的合理利用</w:t>
      </w:r>
    </w:p>
    <w:p>
      <w:pPr>
        <w:snapToGrid w:val="0"/>
        <w:spacing w:line="360" w:lineRule="auto"/>
        <w:ind w:firstLine="420" w:firstLineChars="200"/>
        <w:rPr>
          <w:rFonts w:ascii="宋体" w:hAnsi="宋体"/>
        </w:rPr>
      </w:pPr>
      <w:r>
        <w:rPr>
          <w:rFonts w:hint="eastAsia" w:ascii="宋体" w:hAnsi="宋体"/>
        </w:rPr>
        <w:t>①</w:t>
      </w:r>
      <w:r>
        <w:rPr>
          <w:rFonts w:ascii="宋体" w:hAnsi="宋体"/>
        </w:rPr>
        <w:t>采用新型高效低阻旋风预热分解系统</w:t>
      </w:r>
    </w:p>
    <w:p>
      <w:pPr>
        <w:snapToGrid w:val="0"/>
        <w:spacing w:line="360" w:lineRule="auto"/>
        <w:ind w:firstLine="420" w:firstLineChars="200"/>
        <w:rPr>
          <w:rFonts w:ascii="宋体" w:hAnsi="宋体"/>
        </w:rPr>
      </w:pPr>
      <w:r>
        <w:rPr>
          <w:rFonts w:ascii="宋体" w:hAnsi="宋体"/>
        </w:rPr>
        <w:t>生料预热分解拟采用具有先进水平的CDC五级旋风预热分解系统，具有热耗低、热效率高、系统阻力小、电耗省等特点。可节省烧成煤耗和高温风机电耗。</w:t>
      </w:r>
    </w:p>
    <w:p>
      <w:pPr>
        <w:snapToGrid w:val="0"/>
        <w:spacing w:line="360" w:lineRule="auto"/>
        <w:ind w:firstLine="420" w:firstLineChars="200"/>
        <w:rPr>
          <w:rFonts w:ascii="宋体" w:hAnsi="宋体"/>
        </w:rPr>
      </w:pPr>
      <w:r>
        <w:rPr>
          <w:rFonts w:hint="eastAsia" w:ascii="宋体" w:hAnsi="宋体"/>
        </w:rPr>
        <w:t>②</w:t>
      </w:r>
      <w:r>
        <w:rPr>
          <w:rFonts w:ascii="宋体" w:hAnsi="宋体"/>
        </w:rPr>
        <w:t xml:space="preserve"> 加强系统和设备的密封</w:t>
      </w:r>
    </w:p>
    <w:p>
      <w:pPr>
        <w:snapToGrid w:val="0"/>
        <w:spacing w:line="360" w:lineRule="auto"/>
        <w:ind w:firstLine="420" w:firstLineChars="200"/>
        <w:rPr>
          <w:rFonts w:ascii="宋体" w:hAnsi="宋体"/>
        </w:rPr>
      </w:pPr>
      <w:r>
        <w:rPr>
          <w:rFonts w:ascii="宋体" w:hAnsi="宋体"/>
        </w:rPr>
        <w:t>系统或设备漏风会降低系统温度，增加燃料的消耗，特别是窑系统更为重要。同时还要搞好安装工作，保证安装质量，做好设备的维护和检修，才能使系统保持良好的运行状态。</w:t>
      </w:r>
    </w:p>
    <w:p>
      <w:pPr>
        <w:snapToGrid w:val="0"/>
        <w:spacing w:line="360" w:lineRule="auto"/>
        <w:ind w:firstLine="420" w:firstLineChars="200"/>
        <w:rPr>
          <w:rFonts w:ascii="宋体" w:hAnsi="宋体"/>
        </w:rPr>
      </w:pPr>
      <w:r>
        <w:rPr>
          <w:rFonts w:hint="eastAsia" w:ascii="宋体" w:hAnsi="宋体"/>
        </w:rPr>
        <w:t>③</w:t>
      </w:r>
      <w:r>
        <w:rPr>
          <w:rFonts w:ascii="宋体" w:hAnsi="宋体"/>
        </w:rPr>
        <w:t xml:space="preserve"> 采用多通道煤粉燃烧器</w:t>
      </w:r>
    </w:p>
    <w:p>
      <w:pPr>
        <w:snapToGrid w:val="0"/>
        <w:spacing w:line="360" w:lineRule="auto"/>
        <w:ind w:firstLine="420" w:firstLineChars="200"/>
        <w:rPr>
          <w:rFonts w:ascii="宋体" w:hAnsi="宋体"/>
        </w:rPr>
      </w:pPr>
      <w:r>
        <w:rPr>
          <w:rFonts w:ascii="宋体" w:hAnsi="宋体"/>
        </w:rPr>
        <w:t>熟料烧成采用新型多通道喷煤管，使风煤充分混合，有效利用二次风，减少一次风用量，方便地调节和控制火焰，保证燃料的完全燃烧，可有效地降低热耗。</w:t>
      </w:r>
    </w:p>
    <w:p>
      <w:pPr>
        <w:snapToGrid w:val="0"/>
        <w:spacing w:line="360" w:lineRule="auto"/>
        <w:ind w:firstLine="420" w:firstLineChars="200"/>
        <w:rPr>
          <w:rFonts w:ascii="宋体" w:hAnsi="宋体"/>
        </w:rPr>
      </w:pPr>
      <w:r>
        <w:rPr>
          <w:rFonts w:hint="eastAsia" w:ascii="宋体" w:hAnsi="宋体"/>
        </w:rPr>
        <w:t>④</w:t>
      </w:r>
      <w:r>
        <w:rPr>
          <w:rFonts w:ascii="宋体" w:hAnsi="宋体"/>
        </w:rPr>
        <w:t>采用空气梁篦冷机</w:t>
      </w:r>
    </w:p>
    <w:p>
      <w:pPr>
        <w:snapToGrid w:val="0"/>
        <w:spacing w:line="360" w:lineRule="auto"/>
        <w:ind w:firstLine="420" w:firstLineChars="200"/>
        <w:rPr>
          <w:rFonts w:ascii="宋体" w:hAnsi="宋体"/>
        </w:rPr>
      </w:pPr>
      <w:r>
        <w:rPr>
          <w:rFonts w:ascii="宋体" w:hAnsi="宋体"/>
        </w:rPr>
        <w:t>熟料冷却采用新型第三代空气梁篦冷机，较之第二代篦冷机其热效率约提高10%左右，可提高二次风温和三次风温，减少单位熟料用风量，节省热耗和电耗。</w:t>
      </w:r>
    </w:p>
    <w:p>
      <w:pPr>
        <w:snapToGrid w:val="0"/>
        <w:spacing w:line="360" w:lineRule="auto"/>
        <w:ind w:firstLine="420" w:firstLineChars="200"/>
        <w:rPr>
          <w:rFonts w:ascii="宋体" w:hAnsi="宋体"/>
        </w:rPr>
      </w:pPr>
      <w:r>
        <w:rPr>
          <w:rFonts w:hint="eastAsia" w:ascii="宋体" w:hAnsi="宋体"/>
        </w:rPr>
        <w:t>⑤</w:t>
      </w:r>
      <w:r>
        <w:rPr>
          <w:rFonts w:ascii="宋体" w:hAnsi="宋体"/>
        </w:rPr>
        <w:t>充分利用废气余热作烘干热源</w:t>
      </w:r>
    </w:p>
    <w:p>
      <w:pPr>
        <w:snapToGrid w:val="0"/>
        <w:spacing w:line="360" w:lineRule="auto"/>
        <w:ind w:firstLine="420" w:firstLineChars="200"/>
        <w:rPr>
          <w:rFonts w:hint="eastAsia" w:ascii="宋体" w:hAnsi="宋体"/>
        </w:rPr>
      </w:pPr>
      <w:r>
        <w:rPr>
          <w:rFonts w:ascii="宋体" w:hAnsi="宋体"/>
        </w:rPr>
        <w:t>生料磨煤磨均利用窑系统的废气作烘干热源，充分利用了余热,不但省去了独立的原料烘干系统,减少了建设投资,每年还可节约大量的烘干用煤</w:t>
      </w:r>
      <w:r>
        <w:rPr>
          <w:rFonts w:hint="eastAsia" w:ascii="宋体" w:hAnsi="宋体"/>
        </w:rPr>
        <w:t>。</w:t>
      </w:r>
    </w:p>
    <w:p>
      <w:pPr>
        <w:snapToGrid w:val="0"/>
        <w:spacing w:line="360" w:lineRule="auto"/>
        <w:ind w:firstLine="420" w:firstLineChars="200"/>
        <w:rPr>
          <w:rFonts w:ascii="宋体" w:hAnsi="宋体"/>
        </w:rPr>
      </w:pPr>
      <w:r>
        <w:rPr>
          <w:rFonts w:hint="eastAsia" w:ascii="宋体" w:hAnsi="宋体"/>
        </w:rPr>
        <w:t>⑥</w:t>
      </w:r>
      <w:r>
        <w:rPr>
          <w:rFonts w:ascii="宋体" w:hAnsi="宋体"/>
        </w:rPr>
        <w:t>采用优质耐火和绝热材料</w:t>
      </w:r>
    </w:p>
    <w:p>
      <w:pPr>
        <w:snapToGrid w:val="0"/>
        <w:spacing w:line="360" w:lineRule="auto"/>
        <w:ind w:firstLine="420" w:firstLineChars="200"/>
        <w:rPr>
          <w:rFonts w:ascii="宋体" w:hAnsi="宋体"/>
        </w:rPr>
      </w:pPr>
      <w:r>
        <w:rPr>
          <w:rFonts w:ascii="宋体" w:hAnsi="宋体"/>
        </w:rPr>
        <w:t>设备及管道的表面散热在热损失中占有一定比例，采用优质的耐火绝热材料，合理设计绝热保温层，可减少表面散热损失，提高设备运转率。</w:t>
      </w:r>
    </w:p>
    <w:p>
      <w:pPr>
        <w:snapToGrid w:val="0"/>
        <w:spacing w:line="360" w:lineRule="auto"/>
        <w:ind w:firstLine="420" w:firstLineChars="200"/>
        <w:rPr>
          <w:rFonts w:ascii="宋体" w:hAnsi="宋体"/>
        </w:rPr>
      </w:pPr>
      <w:r>
        <w:rPr>
          <w:rFonts w:hint="eastAsia" w:ascii="宋体" w:hAnsi="宋体"/>
        </w:rPr>
        <w:t>⑦</w:t>
      </w:r>
      <w:r>
        <w:rPr>
          <w:rFonts w:ascii="宋体" w:hAnsi="宋体"/>
        </w:rPr>
        <w:t>建纯低温余热发电厂，装机容量4.5MW，年供电量为2479万KWh左右，可满足提供水泥用电的1/4需要，节约电费900万元以上。</w:t>
      </w:r>
    </w:p>
    <w:p>
      <w:pPr>
        <w:snapToGrid w:val="0"/>
        <w:spacing w:line="360" w:lineRule="auto"/>
        <w:ind w:firstLine="420" w:firstLineChars="200"/>
        <w:rPr>
          <w:rFonts w:hint="eastAsia" w:ascii="宋体" w:hAnsi="宋体"/>
        </w:rPr>
      </w:pPr>
      <w:r>
        <w:rPr>
          <w:rFonts w:hint="eastAsia" w:ascii="宋体" w:hAnsi="宋体"/>
        </w:rPr>
        <w:t>（2）电能的节约</w:t>
      </w:r>
    </w:p>
    <w:p>
      <w:pPr>
        <w:snapToGrid w:val="0"/>
        <w:spacing w:line="360" w:lineRule="auto"/>
        <w:ind w:firstLine="420" w:firstLineChars="200"/>
        <w:rPr>
          <w:rFonts w:ascii="宋体" w:hAnsi="宋体"/>
        </w:rPr>
      </w:pPr>
      <w:r>
        <w:rPr>
          <w:rFonts w:ascii="宋体" w:hAnsi="宋体"/>
        </w:rPr>
        <w:t>为提高电能的利用效率，节约用电，本</w:t>
      </w:r>
      <w:r>
        <w:rPr>
          <w:rFonts w:hint="eastAsia" w:ascii="宋体" w:hAnsi="宋体"/>
        </w:rPr>
        <w:t>技改项目</w:t>
      </w:r>
      <w:r>
        <w:rPr>
          <w:rFonts w:ascii="宋体" w:hAnsi="宋体"/>
        </w:rPr>
        <w:t>拟采用如下节电措施：</w:t>
      </w:r>
    </w:p>
    <w:p>
      <w:pPr>
        <w:snapToGrid w:val="0"/>
        <w:spacing w:line="360" w:lineRule="auto"/>
        <w:ind w:firstLine="420" w:firstLineChars="200"/>
        <w:rPr>
          <w:rFonts w:ascii="宋体" w:hAnsi="宋体"/>
        </w:rPr>
      </w:pPr>
      <w:r>
        <w:rPr>
          <w:rFonts w:hint="eastAsia" w:ascii="宋体" w:hAnsi="宋体"/>
        </w:rPr>
        <w:t>①</w:t>
      </w:r>
      <w:r>
        <w:rPr>
          <w:rFonts w:ascii="宋体" w:hAnsi="宋体"/>
        </w:rPr>
        <w:t>在保证入窑生料均化和稳定的前提下，生料均化及储存系统采用伊宝型连续式多股流均化库，其均化电耗为0.42kwh/t，比CF型连续式控制流均化库少0.30kwh/t。</w:t>
      </w:r>
    </w:p>
    <w:p>
      <w:pPr>
        <w:snapToGrid w:val="0"/>
        <w:spacing w:line="360" w:lineRule="auto"/>
        <w:ind w:firstLine="420" w:firstLineChars="200"/>
        <w:rPr>
          <w:rFonts w:ascii="宋体" w:hAnsi="宋体"/>
        </w:rPr>
      </w:pPr>
      <w:r>
        <w:rPr>
          <w:rFonts w:hint="eastAsia" w:ascii="宋体" w:hAnsi="宋体"/>
        </w:rPr>
        <w:t>②</w:t>
      </w:r>
      <w:r>
        <w:rPr>
          <w:rFonts w:ascii="宋体" w:hAnsi="宋体"/>
        </w:rPr>
        <w:t xml:space="preserve"> 选用节能型设备</w:t>
      </w:r>
    </w:p>
    <w:p>
      <w:pPr>
        <w:snapToGrid w:val="0"/>
        <w:spacing w:line="360" w:lineRule="auto"/>
        <w:ind w:firstLine="420" w:firstLineChars="200"/>
        <w:rPr>
          <w:rFonts w:ascii="宋体" w:hAnsi="宋体"/>
        </w:rPr>
      </w:pPr>
      <w:r>
        <w:rPr>
          <w:rFonts w:ascii="宋体" w:hAnsi="宋体"/>
        </w:rPr>
        <w:t>设计中选用了低阻高效型五级旋风预热器、高效选粉机、链式输送机、空气梁篦冷机和S9系列节能型变压器等节能设备，此外尽可能缩短物料输送距离，尽量采用机械输送，合理确定输送能力，可有效地节省电耗。</w:t>
      </w:r>
    </w:p>
    <w:p>
      <w:pPr>
        <w:adjustRightInd w:val="0"/>
        <w:snapToGrid w:val="0"/>
        <w:spacing w:line="360" w:lineRule="auto"/>
        <w:ind w:firstLine="625" w:firstLineChars="298"/>
        <w:rPr>
          <w:rFonts w:ascii="宋体" w:hAnsi="宋体"/>
        </w:rPr>
      </w:pPr>
      <w:r>
        <w:rPr>
          <w:rFonts w:hint="eastAsia" w:ascii="宋体" w:hAnsi="宋体"/>
        </w:rPr>
        <w:t>③</w:t>
      </w:r>
      <w:r>
        <w:rPr>
          <w:rFonts w:ascii="宋体" w:hAnsi="宋体"/>
        </w:rPr>
        <w:t>选择节能调速方式</w:t>
      </w:r>
    </w:p>
    <w:p>
      <w:pPr>
        <w:adjustRightInd w:val="0"/>
        <w:snapToGrid w:val="0"/>
        <w:spacing w:line="360" w:lineRule="auto"/>
        <w:ind w:firstLine="625" w:firstLineChars="298"/>
        <w:rPr>
          <w:rFonts w:ascii="宋体" w:hAnsi="宋体"/>
        </w:rPr>
      </w:pPr>
      <w:r>
        <w:rPr>
          <w:rFonts w:ascii="宋体" w:hAnsi="宋体"/>
        </w:rPr>
        <w:t>对于需调速的设备尽量采用变频调速的方式，风机则尽量少用阀门调节流量，减少能量的无功损耗。可节省电耗约20%。</w:t>
      </w:r>
    </w:p>
    <w:p>
      <w:pPr>
        <w:adjustRightInd w:val="0"/>
        <w:snapToGrid w:val="0"/>
        <w:spacing w:line="360" w:lineRule="auto"/>
        <w:ind w:firstLine="625" w:firstLineChars="298"/>
        <w:rPr>
          <w:rFonts w:ascii="宋体" w:hAnsi="宋体"/>
        </w:rPr>
      </w:pPr>
      <w:r>
        <w:rPr>
          <w:rFonts w:hint="eastAsia" w:ascii="宋体" w:hAnsi="宋体"/>
        </w:rPr>
        <w:t>④</w:t>
      </w:r>
      <w:r>
        <w:rPr>
          <w:rFonts w:ascii="宋体" w:hAnsi="宋体"/>
        </w:rPr>
        <w:t xml:space="preserve"> 静电电容器补偿</w:t>
      </w:r>
    </w:p>
    <w:p>
      <w:pPr>
        <w:adjustRightInd w:val="0"/>
        <w:snapToGrid w:val="0"/>
        <w:spacing w:line="360" w:lineRule="auto"/>
        <w:ind w:firstLine="625" w:firstLineChars="298"/>
        <w:rPr>
          <w:rFonts w:ascii="宋体" w:hAnsi="宋体"/>
        </w:rPr>
      </w:pPr>
      <w:r>
        <w:rPr>
          <w:rFonts w:ascii="宋体" w:hAnsi="宋体"/>
        </w:rPr>
        <w:t>对配电室采取静电电容器补偿，以减少无功损耗；对大功率异步电动机用静电电容器补偿，提高设备的功率因数，实现节电效果。距离远的低压用电设备设二次配电点，尽量缩短配电线路，减少电能损耗。</w:t>
      </w:r>
    </w:p>
    <w:p>
      <w:pPr>
        <w:adjustRightInd w:val="0"/>
        <w:snapToGrid w:val="0"/>
        <w:spacing w:line="360" w:lineRule="auto"/>
        <w:ind w:firstLine="625" w:firstLineChars="298"/>
        <w:rPr>
          <w:rFonts w:ascii="宋体" w:hAnsi="宋体"/>
        </w:rPr>
      </w:pPr>
      <w:r>
        <w:rPr>
          <w:rFonts w:hint="eastAsia" w:ascii="宋体" w:hAnsi="宋体"/>
        </w:rPr>
        <w:t>⑤</w:t>
      </w:r>
      <w:r>
        <w:rPr>
          <w:rFonts w:ascii="宋体" w:hAnsi="宋体"/>
        </w:rPr>
        <w:t>采用液体变阻起动器</w:t>
      </w:r>
    </w:p>
    <w:p>
      <w:pPr>
        <w:adjustRightInd w:val="0"/>
        <w:snapToGrid w:val="0"/>
        <w:spacing w:line="360" w:lineRule="auto"/>
        <w:ind w:firstLine="625" w:firstLineChars="298"/>
        <w:rPr>
          <w:rFonts w:ascii="宋体" w:hAnsi="宋体"/>
        </w:rPr>
      </w:pPr>
      <w:r>
        <w:rPr>
          <w:rFonts w:ascii="宋体" w:hAnsi="宋体"/>
        </w:rPr>
        <w:t xml:space="preserve"> 对于大型绕线式电动机，采用液体变阻起动器起动，可减小起动电流，起到节电的作用。</w:t>
      </w:r>
    </w:p>
    <w:p>
      <w:pPr>
        <w:adjustRightInd w:val="0"/>
        <w:snapToGrid w:val="0"/>
        <w:spacing w:line="360" w:lineRule="auto"/>
        <w:ind w:firstLine="625" w:firstLineChars="298"/>
        <w:rPr>
          <w:rFonts w:ascii="宋体" w:hAnsi="宋体"/>
        </w:rPr>
      </w:pPr>
      <w:r>
        <w:rPr>
          <w:rFonts w:hint="eastAsia" w:ascii="宋体" w:hAnsi="宋体"/>
        </w:rPr>
        <w:t>⑥</w:t>
      </w:r>
      <w:r>
        <w:rPr>
          <w:rFonts w:ascii="宋体" w:hAnsi="宋体"/>
        </w:rPr>
        <w:t xml:space="preserve"> 选用节能灯具</w:t>
      </w:r>
    </w:p>
    <w:p>
      <w:pPr>
        <w:snapToGrid w:val="0"/>
        <w:spacing w:line="360" w:lineRule="auto"/>
        <w:ind w:firstLine="482"/>
        <w:rPr>
          <w:rFonts w:hint="eastAsia" w:ascii="宋体" w:hAnsi="宋体"/>
        </w:rPr>
      </w:pPr>
      <w:r>
        <w:rPr>
          <w:rFonts w:ascii="宋体" w:hAnsi="宋体"/>
        </w:rPr>
        <w:t>在照明系统设计时，采用高效节能型金属卤化物灯具，可节省电能。</w:t>
      </w:r>
    </w:p>
    <w:p>
      <w:pPr>
        <w:snapToGrid w:val="0"/>
        <w:spacing w:line="360" w:lineRule="auto"/>
        <w:ind w:firstLine="482"/>
        <w:rPr>
          <w:rFonts w:hint="eastAsia" w:ascii="宋体" w:hAnsi="宋体"/>
        </w:rPr>
      </w:pPr>
      <w:r>
        <w:rPr>
          <w:rFonts w:hint="eastAsia" w:ascii="宋体" w:hAnsi="宋体"/>
        </w:rPr>
        <w:t>（3）资源的综合利用</w:t>
      </w:r>
    </w:p>
    <w:p>
      <w:pPr>
        <w:adjustRightInd w:val="0"/>
        <w:snapToGrid w:val="0"/>
        <w:spacing w:line="360" w:lineRule="auto"/>
        <w:ind w:firstLine="478" w:firstLineChars="228"/>
        <w:rPr>
          <w:rFonts w:ascii="宋体" w:hAnsi="宋体"/>
        </w:rPr>
      </w:pPr>
      <w:r>
        <w:rPr>
          <w:rFonts w:ascii="宋体" w:hAnsi="宋体"/>
        </w:rPr>
        <w:t>本</w:t>
      </w:r>
      <w:r>
        <w:rPr>
          <w:rFonts w:hint="eastAsia" w:ascii="宋体" w:hAnsi="宋体"/>
        </w:rPr>
        <w:t>技改</w:t>
      </w:r>
      <w:r>
        <w:rPr>
          <w:rFonts w:ascii="宋体" w:hAnsi="宋体"/>
        </w:rPr>
        <w:t>项目为资源综合利用项目，重庆永荣青鹏煤业有限公司煤炭开采由于优质原煤煤层极薄，开采地质条件变化难控，随原煤开采夹带的煤矸石量很多，大量的煤矸石可以作为辅助材料用于生料配料和水泥配料，炉渣可以作为混合材用于水泥配料，化工废物硫酸渣可用于生料配料。经测算，本</w:t>
      </w:r>
      <w:r>
        <w:rPr>
          <w:rFonts w:hint="eastAsia" w:ascii="宋体" w:hAnsi="宋体"/>
        </w:rPr>
        <w:t>技改</w:t>
      </w:r>
      <w:r>
        <w:rPr>
          <w:rFonts w:ascii="宋体" w:hAnsi="宋体"/>
        </w:rPr>
        <w:t>项目投产后年消耗固体废物数量如下：</w:t>
      </w:r>
    </w:p>
    <w:p>
      <w:pPr>
        <w:adjustRightInd w:val="0"/>
        <w:snapToGrid w:val="0"/>
        <w:spacing w:line="360" w:lineRule="auto"/>
        <w:ind w:firstLine="478" w:firstLineChars="228"/>
        <w:rPr>
          <w:rFonts w:ascii="宋体" w:hAnsi="宋体"/>
        </w:rPr>
      </w:pPr>
      <w:r>
        <w:rPr>
          <w:rFonts w:ascii="宋体" w:hAnsi="宋体"/>
        </w:rPr>
        <w:t>煤矸石：9.2万吨；</w:t>
      </w:r>
    </w:p>
    <w:p>
      <w:pPr>
        <w:adjustRightInd w:val="0"/>
        <w:snapToGrid w:val="0"/>
        <w:spacing w:line="360" w:lineRule="auto"/>
        <w:ind w:firstLine="478" w:firstLineChars="228"/>
        <w:rPr>
          <w:rFonts w:ascii="宋体" w:hAnsi="宋体"/>
        </w:rPr>
      </w:pPr>
      <w:r>
        <w:rPr>
          <w:rFonts w:ascii="宋体" w:hAnsi="宋体"/>
        </w:rPr>
        <w:t>硫酸渣：1.6万吨；</w:t>
      </w:r>
    </w:p>
    <w:p>
      <w:pPr>
        <w:adjustRightInd w:val="0"/>
        <w:snapToGrid w:val="0"/>
        <w:spacing w:line="360" w:lineRule="auto"/>
        <w:ind w:firstLine="478" w:firstLineChars="228"/>
        <w:rPr>
          <w:rFonts w:hint="eastAsia" w:ascii="宋体" w:hAnsi="宋体"/>
        </w:rPr>
      </w:pPr>
      <w:r>
        <w:rPr>
          <w:rFonts w:ascii="宋体" w:hAnsi="宋体"/>
        </w:rPr>
        <w:t>炉渣：19万吨。</w:t>
      </w:r>
    </w:p>
    <w:p>
      <w:pPr>
        <w:adjustRightInd w:val="0"/>
        <w:snapToGrid w:val="0"/>
        <w:spacing w:line="360" w:lineRule="auto"/>
        <w:ind w:firstLine="478" w:firstLineChars="228"/>
        <w:rPr>
          <w:rFonts w:ascii="宋体" w:hAnsi="宋体"/>
        </w:rPr>
      </w:pPr>
      <w:r>
        <w:rPr>
          <w:rFonts w:hint="eastAsia" w:ascii="宋体" w:hAnsi="宋体"/>
        </w:rPr>
        <w:t>（4）</w:t>
      </w:r>
      <w:r>
        <w:rPr>
          <w:rFonts w:ascii="宋体" w:hAnsi="宋体"/>
        </w:rPr>
        <w:t>节能效果</w:t>
      </w:r>
    </w:p>
    <w:p>
      <w:pPr>
        <w:adjustRightInd w:val="0"/>
        <w:snapToGrid w:val="0"/>
        <w:spacing w:line="360" w:lineRule="auto"/>
        <w:ind w:firstLine="420" w:firstLineChars="200"/>
        <w:rPr>
          <w:rFonts w:ascii="宋体" w:hAnsi="宋体"/>
        </w:rPr>
      </w:pPr>
      <w:r>
        <w:rPr>
          <w:rFonts w:ascii="宋体" w:hAnsi="宋体"/>
        </w:rPr>
        <w:t>本</w:t>
      </w:r>
      <w:r>
        <w:rPr>
          <w:rFonts w:hint="eastAsia" w:ascii="宋体" w:hAnsi="宋体"/>
        </w:rPr>
        <w:t>技改</w:t>
      </w:r>
      <w:r>
        <w:rPr>
          <w:rFonts w:ascii="宋体" w:hAnsi="宋体"/>
        </w:rPr>
        <w:t>项目为用新型干法技术淘汰立窑的技术改造项目，特别是配套纯低温余热发电时技术，经改造后节能效果十分显著。</w:t>
      </w:r>
    </w:p>
    <w:p>
      <w:pPr>
        <w:autoSpaceDE w:val="0"/>
        <w:autoSpaceDN w:val="0"/>
        <w:adjustRightInd w:val="0"/>
        <w:snapToGrid w:val="0"/>
        <w:spacing w:line="360" w:lineRule="auto"/>
        <w:ind w:firstLine="420" w:firstLineChars="200"/>
        <w:rPr>
          <w:rFonts w:ascii="宋体" w:hAnsi="宋体"/>
        </w:rPr>
      </w:pPr>
      <w:r>
        <w:rPr>
          <w:rFonts w:ascii="宋体" w:hAnsi="宋体"/>
        </w:rPr>
        <w:t>据测算，公司现立窑生产线吨熟料综合煤耗高达150千克标煤，而新型干法生产线吨熟料综合煤耗为10</w:t>
      </w:r>
      <w:r>
        <w:rPr>
          <w:rFonts w:hint="eastAsia" w:ascii="宋体" w:hAnsi="宋体"/>
        </w:rPr>
        <w:t>7</w:t>
      </w:r>
      <w:r>
        <w:rPr>
          <w:rFonts w:ascii="宋体" w:hAnsi="宋体"/>
        </w:rPr>
        <w:t>千克标煤。同样的生产规模，采用新型干法工艺每吨熟料可节约</w:t>
      </w:r>
      <w:r>
        <w:rPr>
          <w:rFonts w:hint="eastAsia" w:ascii="宋体" w:hAnsi="宋体"/>
        </w:rPr>
        <w:t>43</w:t>
      </w:r>
      <w:r>
        <w:rPr>
          <w:rFonts w:ascii="宋体" w:hAnsi="宋体"/>
        </w:rPr>
        <w:t>千克标煤。原立窑生产线熟料产量为45万吨，年消耗标煤</w:t>
      </w:r>
      <w:r>
        <w:rPr>
          <w:rFonts w:hint="eastAsia" w:ascii="宋体" w:hAnsi="宋体"/>
        </w:rPr>
        <w:t>6.8</w:t>
      </w:r>
      <w:r>
        <w:rPr>
          <w:rFonts w:ascii="宋体" w:hAnsi="宋体"/>
        </w:rPr>
        <w:t>万吨，而本</w:t>
      </w:r>
      <w:r>
        <w:rPr>
          <w:rFonts w:hint="eastAsia" w:ascii="宋体" w:hAnsi="宋体"/>
        </w:rPr>
        <w:t>技改</w:t>
      </w:r>
      <w:r>
        <w:rPr>
          <w:rFonts w:ascii="宋体" w:hAnsi="宋体"/>
        </w:rPr>
        <w:t>项目</w:t>
      </w:r>
      <w:r>
        <w:rPr>
          <w:rFonts w:hint="eastAsia" w:ascii="宋体" w:hAnsi="宋体"/>
        </w:rPr>
        <w:t>实施</w:t>
      </w:r>
      <w:r>
        <w:rPr>
          <w:rFonts w:ascii="宋体" w:hAnsi="宋体"/>
        </w:rPr>
        <w:t>后熟料产量达77.5万吨，年消耗标煤</w:t>
      </w:r>
      <w:r>
        <w:rPr>
          <w:rFonts w:hint="eastAsia" w:ascii="宋体" w:hAnsi="宋体"/>
        </w:rPr>
        <w:t>8.3</w:t>
      </w:r>
      <w:r>
        <w:rPr>
          <w:rFonts w:ascii="宋体" w:hAnsi="宋体"/>
        </w:rPr>
        <w:t>万吨，同时本</w:t>
      </w:r>
      <w:r>
        <w:rPr>
          <w:rFonts w:hint="eastAsia" w:ascii="宋体" w:hAnsi="宋体"/>
        </w:rPr>
        <w:t>技改</w:t>
      </w:r>
      <w:r>
        <w:rPr>
          <w:rFonts w:ascii="宋体" w:hAnsi="宋体"/>
        </w:rPr>
        <w:t>项目配套建设纯低温余热发电工程，年发电量达到2479万KWh，全部用于水泥生产线用电，占全厂电耗量1/4，年节约标煤1.8万吨（按小火电计算）。因此项目完成后，产品产量提高40万吨，而社会煤耗却减少0.</w:t>
      </w:r>
      <w:r>
        <w:rPr>
          <w:rFonts w:hint="eastAsia" w:ascii="宋体" w:hAnsi="宋体"/>
        </w:rPr>
        <w:t>3</w:t>
      </w:r>
      <w:r>
        <w:rPr>
          <w:rFonts w:ascii="宋体" w:hAnsi="宋体"/>
        </w:rPr>
        <w:t>万吨，真正实现了节能增效的效果。</w:t>
      </w:r>
    </w:p>
    <w:p>
      <w:pPr>
        <w:spacing w:line="360" w:lineRule="auto"/>
        <w:rPr>
          <w:rFonts w:hint="eastAsia"/>
          <w:b/>
        </w:rPr>
      </w:pPr>
      <w:r>
        <w:rPr>
          <w:rFonts w:hint="eastAsia"/>
          <w:b/>
        </w:rPr>
        <w:t>4.1.3 清洁生产指标评价</w:t>
      </w:r>
    </w:p>
    <w:p>
      <w:pPr>
        <w:autoSpaceDE w:val="0"/>
        <w:autoSpaceDN w:val="0"/>
        <w:adjustRightInd w:val="0"/>
        <w:snapToGrid w:val="0"/>
        <w:spacing w:line="360" w:lineRule="auto"/>
        <w:ind w:firstLine="420" w:firstLineChars="200"/>
        <w:rPr>
          <w:rFonts w:ascii="宋体" w:hAnsi="宋体"/>
        </w:rPr>
      </w:pPr>
      <w:r>
        <w:rPr>
          <w:rFonts w:hint="eastAsia" w:ascii="宋体" w:hAnsi="宋体"/>
        </w:rPr>
        <w:t>（1）</w:t>
      </w:r>
      <w:r>
        <w:rPr>
          <w:rFonts w:ascii="宋体" w:hAnsi="宋体"/>
        </w:rPr>
        <w:t xml:space="preserve"> 生产工艺装备</w:t>
      </w:r>
    </w:p>
    <w:p>
      <w:pPr>
        <w:autoSpaceDE w:val="0"/>
        <w:autoSpaceDN w:val="0"/>
        <w:adjustRightInd w:val="0"/>
        <w:snapToGrid w:val="0"/>
        <w:spacing w:line="360" w:lineRule="auto"/>
        <w:ind w:firstLine="420" w:firstLineChars="200"/>
        <w:rPr>
          <w:rFonts w:hint="eastAsia" w:ascii="宋体" w:hAnsi="宋体"/>
        </w:rPr>
      </w:pPr>
      <w:r>
        <w:rPr>
          <w:rFonts w:ascii="宋体" w:hAnsi="宋体"/>
        </w:rPr>
        <w:t xml:space="preserve">对照《清洁生产标准 </w:t>
      </w:r>
      <w:r>
        <w:rPr>
          <w:rFonts w:hint="eastAsia" w:ascii="宋体" w:hAnsi="宋体"/>
        </w:rPr>
        <w:t>水泥工</w:t>
      </w:r>
      <w:r>
        <w:rPr>
          <w:rFonts w:ascii="宋体" w:hAnsi="宋体"/>
        </w:rPr>
        <w:t>业》</w:t>
      </w:r>
      <w:bookmarkStart w:id="194" w:name="OLE_LINK7"/>
      <w:r>
        <w:rPr>
          <w:rFonts w:ascii="宋体" w:hAnsi="宋体"/>
        </w:rPr>
        <w:t>HJ</w:t>
      </w:r>
      <w:r>
        <w:rPr>
          <w:rFonts w:hint="eastAsia" w:ascii="宋体" w:hAnsi="宋体"/>
        </w:rPr>
        <w:t xml:space="preserve"> 467</w:t>
      </w:r>
      <w:r>
        <w:rPr>
          <w:rFonts w:ascii="宋体" w:hAnsi="宋体"/>
        </w:rPr>
        <w:t>－200</w:t>
      </w:r>
      <w:r>
        <w:rPr>
          <w:rFonts w:hint="eastAsia" w:ascii="宋体" w:hAnsi="宋体"/>
        </w:rPr>
        <w:t>9</w:t>
      </w:r>
      <w:bookmarkEnd w:id="194"/>
      <w:r>
        <w:rPr>
          <w:rFonts w:ascii="宋体" w:hAnsi="宋体"/>
        </w:rPr>
        <w:t>，</w:t>
      </w:r>
      <w:r>
        <w:rPr>
          <w:rFonts w:hint="eastAsia" w:ascii="宋体" w:hAnsi="宋体"/>
        </w:rPr>
        <w:t>技改项目</w:t>
      </w:r>
      <w:r>
        <w:rPr>
          <w:rFonts w:ascii="宋体" w:hAnsi="宋体"/>
        </w:rPr>
        <w:t>的生产工艺装备清洁生产水平分析见表</w:t>
      </w:r>
      <w:r>
        <w:rPr>
          <w:rFonts w:hint="eastAsia" w:ascii="宋体" w:hAnsi="宋体"/>
        </w:rPr>
        <w:t>4</w:t>
      </w:r>
      <w:r>
        <w:rPr>
          <w:rFonts w:ascii="宋体" w:hAnsi="宋体"/>
        </w:rPr>
        <w:t>－1。</w:t>
      </w:r>
    </w:p>
    <w:p>
      <w:pPr>
        <w:autoSpaceDE w:val="0"/>
        <w:autoSpaceDN w:val="0"/>
        <w:adjustRightInd w:val="0"/>
        <w:snapToGrid w:val="0"/>
        <w:spacing w:line="360" w:lineRule="auto"/>
        <w:ind w:firstLine="420" w:firstLineChars="200"/>
        <w:rPr>
          <w:rFonts w:hint="eastAsia" w:ascii="宋体" w:hAnsi="宋体"/>
        </w:rPr>
      </w:pPr>
      <w:r>
        <w:rPr>
          <w:rFonts w:ascii="宋体" w:hAnsi="宋体"/>
        </w:rPr>
        <w:t>由表</w:t>
      </w:r>
      <w:r>
        <w:rPr>
          <w:rFonts w:hint="eastAsia" w:ascii="宋体" w:hAnsi="宋体"/>
        </w:rPr>
        <w:t>4</w:t>
      </w:r>
      <w:r>
        <w:rPr>
          <w:rFonts w:ascii="宋体" w:hAnsi="宋体"/>
        </w:rPr>
        <w:t>－1可知，</w:t>
      </w:r>
      <w:r>
        <w:rPr>
          <w:rFonts w:hint="eastAsia" w:ascii="宋体" w:hAnsi="宋体"/>
        </w:rPr>
        <w:t>技改项目</w:t>
      </w:r>
      <w:r>
        <w:rPr>
          <w:rFonts w:ascii="宋体" w:hAnsi="宋体"/>
        </w:rPr>
        <w:t>工艺与装备的清洁生产水平</w:t>
      </w:r>
      <w:r>
        <w:rPr>
          <w:rFonts w:hint="eastAsia" w:ascii="宋体" w:hAnsi="宋体"/>
        </w:rPr>
        <w:t>除了水泥熟料生产线规模为二级标准外，其余指标达到一级标准，说明拟建</w:t>
      </w:r>
      <w:r>
        <w:rPr>
          <w:rFonts w:ascii="宋体" w:hAnsi="宋体"/>
        </w:rPr>
        <w:t>工程的工艺与装备水平</w:t>
      </w:r>
      <w:r>
        <w:rPr>
          <w:rFonts w:hint="eastAsia" w:ascii="宋体" w:hAnsi="宋体"/>
        </w:rPr>
        <w:t>总体</w:t>
      </w:r>
      <w:r>
        <w:rPr>
          <w:rFonts w:ascii="宋体" w:hAnsi="宋体"/>
        </w:rPr>
        <w:t>较高。</w:t>
      </w:r>
    </w:p>
    <w:p>
      <w:pPr>
        <w:autoSpaceDE w:val="0"/>
        <w:autoSpaceDN w:val="0"/>
        <w:adjustRightInd w:val="0"/>
        <w:snapToGrid w:val="0"/>
        <w:spacing w:line="348" w:lineRule="auto"/>
        <w:ind w:firstLine="422" w:firstLineChars="200"/>
        <w:jc w:val="center"/>
        <w:rPr>
          <w:rFonts w:hint="eastAsia" w:hAnsi="宋体"/>
          <w:b/>
          <w:kern w:val="28"/>
        </w:rPr>
      </w:pPr>
    </w:p>
    <w:p>
      <w:pPr>
        <w:autoSpaceDE w:val="0"/>
        <w:autoSpaceDN w:val="0"/>
        <w:adjustRightInd w:val="0"/>
        <w:snapToGrid w:val="0"/>
        <w:spacing w:line="348" w:lineRule="auto"/>
        <w:ind w:firstLine="422" w:firstLineChars="200"/>
        <w:jc w:val="center"/>
        <w:rPr>
          <w:rFonts w:hint="eastAsia" w:hAnsi="宋体"/>
          <w:b/>
          <w:kern w:val="28"/>
        </w:rPr>
      </w:pPr>
    </w:p>
    <w:p>
      <w:pPr>
        <w:autoSpaceDE w:val="0"/>
        <w:autoSpaceDN w:val="0"/>
        <w:adjustRightInd w:val="0"/>
        <w:snapToGrid w:val="0"/>
        <w:spacing w:line="348" w:lineRule="auto"/>
        <w:ind w:firstLine="422" w:firstLineChars="200"/>
        <w:jc w:val="center"/>
        <w:rPr>
          <w:rFonts w:hint="eastAsia" w:hAnsi="宋体"/>
          <w:b/>
          <w:kern w:val="28"/>
        </w:rPr>
      </w:pPr>
    </w:p>
    <w:p>
      <w:pPr>
        <w:autoSpaceDE w:val="0"/>
        <w:autoSpaceDN w:val="0"/>
        <w:adjustRightInd w:val="0"/>
        <w:snapToGrid w:val="0"/>
        <w:spacing w:line="348" w:lineRule="auto"/>
        <w:ind w:firstLine="422" w:firstLineChars="200"/>
        <w:jc w:val="center"/>
        <w:rPr>
          <w:rFonts w:hint="eastAsia" w:hAnsi="宋体"/>
          <w:b/>
          <w:kern w:val="28"/>
        </w:rPr>
      </w:pPr>
    </w:p>
    <w:p>
      <w:pPr>
        <w:autoSpaceDE w:val="0"/>
        <w:autoSpaceDN w:val="0"/>
        <w:adjustRightInd w:val="0"/>
        <w:snapToGrid w:val="0"/>
        <w:spacing w:line="348" w:lineRule="auto"/>
        <w:ind w:firstLine="422" w:firstLineChars="200"/>
        <w:jc w:val="center"/>
        <w:rPr>
          <w:rFonts w:hint="eastAsia" w:hAnsi="宋体"/>
          <w:b/>
          <w:kern w:val="28"/>
        </w:rPr>
      </w:pPr>
    </w:p>
    <w:p>
      <w:pPr>
        <w:autoSpaceDE w:val="0"/>
        <w:autoSpaceDN w:val="0"/>
        <w:adjustRightInd w:val="0"/>
        <w:snapToGrid w:val="0"/>
        <w:spacing w:line="348" w:lineRule="auto"/>
        <w:ind w:firstLine="422" w:firstLineChars="200"/>
        <w:jc w:val="center"/>
        <w:rPr>
          <w:rFonts w:hint="eastAsia" w:hAnsi="宋体"/>
          <w:b/>
          <w:kern w:val="28"/>
        </w:rPr>
      </w:pPr>
    </w:p>
    <w:p>
      <w:pPr>
        <w:autoSpaceDE w:val="0"/>
        <w:autoSpaceDN w:val="0"/>
        <w:adjustRightInd w:val="0"/>
        <w:snapToGrid w:val="0"/>
        <w:spacing w:line="348" w:lineRule="auto"/>
        <w:ind w:firstLine="422" w:firstLineChars="200"/>
        <w:jc w:val="center"/>
        <w:rPr>
          <w:rFonts w:hint="eastAsia" w:hAnsi="宋体"/>
          <w:b/>
          <w:kern w:val="28"/>
        </w:rPr>
      </w:pPr>
    </w:p>
    <w:p>
      <w:pPr>
        <w:autoSpaceDE w:val="0"/>
        <w:autoSpaceDN w:val="0"/>
        <w:adjustRightInd w:val="0"/>
        <w:snapToGrid w:val="0"/>
        <w:spacing w:line="348" w:lineRule="auto"/>
        <w:ind w:firstLine="422" w:firstLineChars="200"/>
        <w:jc w:val="center"/>
        <w:rPr>
          <w:rFonts w:hint="eastAsia" w:hAnsi="宋体"/>
          <w:b/>
          <w:kern w:val="28"/>
        </w:rPr>
      </w:pPr>
    </w:p>
    <w:p>
      <w:pPr>
        <w:autoSpaceDE w:val="0"/>
        <w:autoSpaceDN w:val="0"/>
        <w:adjustRightInd w:val="0"/>
        <w:snapToGrid w:val="0"/>
        <w:spacing w:line="348" w:lineRule="auto"/>
        <w:ind w:firstLine="422" w:firstLineChars="200"/>
        <w:jc w:val="center"/>
        <w:rPr>
          <w:rFonts w:hint="eastAsia" w:hAnsi="宋体"/>
          <w:b/>
          <w:kern w:val="28"/>
        </w:rPr>
      </w:pPr>
    </w:p>
    <w:p>
      <w:pPr>
        <w:autoSpaceDE w:val="0"/>
        <w:autoSpaceDN w:val="0"/>
        <w:adjustRightInd w:val="0"/>
        <w:snapToGrid w:val="0"/>
        <w:spacing w:line="348" w:lineRule="auto"/>
        <w:ind w:firstLine="422" w:firstLineChars="200"/>
        <w:jc w:val="center"/>
        <w:rPr>
          <w:rFonts w:hint="eastAsia" w:hAnsi="宋体"/>
          <w:b/>
          <w:kern w:val="28"/>
        </w:rPr>
      </w:pPr>
    </w:p>
    <w:p>
      <w:pPr>
        <w:autoSpaceDE w:val="0"/>
        <w:autoSpaceDN w:val="0"/>
        <w:adjustRightInd w:val="0"/>
        <w:snapToGrid w:val="0"/>
        <w:spacing w:line="348" w:lineRule="auto"/>
        <w:ind w:firstLine="422" w:firstLineChars="200"/>
        <w:jc w:val="center"/>
        <w:rPr>
          <w:rFonts w:hint="eastAsia" w:hAnsi="宋体"/>
          <w:b/>
          <w:kern w:val="28"/>
        </w:rPr>
      </w:pPr>
    </w:p>
    <w:p>
      <w:pPr>
        <w:autoSpaceDE w:val="0"/>
        <w:autoSpaceDN w:val="0"/>
        <w:adjustRightInd w:val="0"/>
        <w:snapToGrid w:val="0"/>
        <w:spacing w:line="348" w:lineRule="auto"/>
        <w:ind w:firstLine="422" w:firstLineChars="200"/>
        <w:jc w:val="center"/>
        <w:rPr>
          <w:rFonts w:hint="eastAsia" w:hAnsi="宋体"/>
          <w:b/>
          <w:kern w:val="28"/>
        </w:rPr>
      </w:pPr>
    </w:p>
    <w:p>
      <w:pPr>
        <w:autoSpaceDE w:val="0"/>
        <w:autoSpaceDN w:val="0"/>
        <w:adjustRightInd w:val="0"/>
        <w:snapToGrid w:val="0"/>
        <w:spacing w:line="348" w:lineRule="auto"/>
        <w:ind w:firstLine="422" w:firstLineChars="200"/>
        <w:jc w:val="center"/>
        <w:rPr>
          <w:b/>
          <w:kern w:val="0"/>
        </w:rPr>
      </w:pPr>
      <w:r>
        <w:rPr>
          <w:rFonts w:hAnsi="宋体"/>
          <w:b/>
          <w:kern w:val="28"/>
        </w:rPr>
        <w:t>表</w:t>
      </w:r>
      <w:r>
        <w:rPr>
          <w:rFonts w:hint="eastAsia" w:hAnsi="宋体"/>
          <w:b/>
          <w:kern w:val="28"/>
        </w:rPr>
        <w:t>4</w:t>
      </w:r>
      <w:r>
        <w:rPr>
          <w:rFonts w:hAnsi="宋体"/>
          <w:b/>
          <w:kern w:val="28"/>
        </w:rPr>
        <w:t>－1  生产工艺装备与清洁生产标准对照评价</w:t>
      </w:r>
    </w:p>
    <w:tbl>
      <w:tblPr>
        <w:tblStyle w:val="23"/>
        <w:tblW w:w="9769"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45"/>
        <w:gridCol w:w="717"/>
        <w:gridCol w:w="1840"/>
        <w:gridCol w:w="1514"/>
        <w:gridCol w:w="1885"/>
        <w:gridCol w:w="16"/>
        <w:gridCol w:w="1463"/>
        <w:gridCol w:w="16"/>
        <w:gridCol w:w="1163"/>
        <w:gridCol w:w="1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447" w:hRule="atLeast"/>
          <w:jc w:val="center"/>
        </w:trPr>
        <w:tc>
          <w:tcPr>
            <w:tcW w:w="1862" w:type="dxa"/>
            <w:gridSpan w:val="2"/>
            <w:tcBorders>
              <w:bottom w:val="single" w:color="000000" w:sz="12" w:space="0"/>
            </w:tcBorders>
            <w:shd w:val="clear" w:color="auto" w:fill="auto"/>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清洁生产指标</w:t>
            </w:r>
          </w:p>
        </w:tc>
        <w:tc>
          <w:tcPr>
            <w:tcW w:w="1840" w:type="dxa"/>
            <w:tcBorders>
              <w:bottom w:val="single" w:color="000000" w:sz="12" w:space="0"/>
            </w:tcBorders>
            <w:shd w:val="clear" w:color="auto" w:fill="auto"/>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一级</w:t>
            </w:r>
          </w:p>
        </w:tc>
        <w:tc>
          <w:tcPr>
            <w:tcW w:w="1514" w:type="dxa"/>
            <w:tcBorders>
              <w:bottom w:val="single" w:color="000000" w:sz="12" w:space="0"/>
            </w:tcBorders>
            <w:shd w:val="clear" w:color="auto" w:fill="auto"/>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二级</w:t>
            </w:r>
          </w:p>
        </w:tc>
        <w:tc>
          <w:tcPr>
            <w:tcW w:w="1901" w:type="dxa"/>
            <w:gridSpan w:val="2"/>
            <w:tcBorders>
              <w:bottom w:val="single" w:color="000000" w:sz="12" w:space="0"/>
              <w:right w:val="single" w:color="auto" w:sz="6" w:space="0"/>
            </w:tcBorders>
            <w:shd w:val="clear" w:color="auto" w:fill="auto"/>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三级</w:t>
            </w:r>
          </w:p>
        </w:tc>
        <w:tc>
          <w:tcPr>
            <w:tcW w:w="1479" w:type="dxa"/>
            <w:gridSpan w:val="2"/>
            <w:tcBorders>
              <w:left w:val="single" w:color="auto" w:sz="6" w:space="0"/>
              <w:bottom w:val="single" w:color="000000" w:sz="12" w:space="0"/>
            </w:tcBorders>
            <w:shd w:val="clear" w:color="auto" w:fill="auto"/>
            <w:vAlign w:val="center"/>
          </w:tcPr>
          <w:p>
            <w:pPr>
              <w:widowControl/>
              <w:adjustRightInd w:val="0"/>
              <w:snapToGrid w:val="0"/>
              <w:spacing w:after="60" w:line="240" w:lineRule="atLeast"/>
              <w:ind w:firstLine="360"/>
              <w:jc w:val="center"/>
              <w:rPr>
                <w:rFonts w:hint="eastAsia"/>
                <w:kern w:val="0"/>
                <w:sz w:val="18"/>
                <w:szCs w:val="18"/>
              </w:rPr>
            </w:pPr>
            <w:r>
              <w:rPr>
                <w:rFonts w:hint="eastAsia"/>
                <w:kern w:val="0"/>
                <w:sz w:val="18"/>
                <w:szCs w:val="18"/>
              </w:rPr>
              <w:t>技改项目</w:t>
            </w:r>
          </w:p>
        </w:tc>
        <w:tc>
          <w:tcPr>
            <w:tcW w:w="1173" w:type="dxa"/>
            <w:gridSpan w:val="2"/>
            <w:tcBorders>
              <w:bottom w:val="single" w:color="000000" w:sz="12" w:space="0"/>
            </w:tcBorders>
            <w:shd w:val="clear" w:color="auto" w:fill="auto"/>
            <w:vAlign w:val="center"/>
          </w:tcPr>
          <w:p>
            <w:pPr>
              <w:adjustRightInd w:val="0"/>
              <w:snapToGrid w:val="0"/>
              <w:spacing w:after="60" w:line="240" w:lineRule="atLeast"/>
              <w:rPr>
                <w:rFonts w:hint="eastAsia"/>
                <w:kern w:val="0"/>
                <w:sz w:val="18"/>
                <w:szCs w:val="18"/>
              </w:rPr>
            </w:pPr>
            <w:r>
              <w:rPr>
                <w:rFonts w:hint="eastAsia" w:hAnsi="宋体"/>
                <w:kern w:val="0"/>
                <w:sz w:val="18"/>
                <w:szCs w:val="18"/>
              </w:rPr>
              <w:t>技改项目清洁生产指标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00" w:hRule="atLeast"/>
          <w:jc w:val="center"/>
        </w:trPr>
        <w:tc>
          <w:tcPr>
            <w:tcW w:w="1862" w:type="dxa"/>
            <w:gridSpan w:val="2"/>
            <w:shd w:val="clear" w:color="auto" w:fill="auto"/>
            <w:vAlign w:val="center"/>
          </w:tcPr>
          <w:p>
            <w:pPr>
              <w:widowControl/>
              <w:adjustRightInd w:val="0"/>
              <w:snapToGrid w:val="0"/>
              <w:spacing w:after="60" w:line="240" w:lineRule="atLeast"/>
              <w:ind w:firstLine="360"/>
              <w:rPr>
                <w:rFonts w:hint="eastAsia"/>
                <w:kern w:val="0"/>
                <w:sz w:val="18"/>
                <w:szCs w:val="18"/>
              </w:rPr>
            </w:pPr>
            <w:r>
              <w:rPr>
                <w:kern w:val="0"/>
                <w:sz w:val="18"/>
                <w:szCs w:val="18"/>
              </w:rPr>
              <w:t>1</w:t>
            </w:r>
            <w:r>
              <w:rPr>
                <w:rFonts w:hAnsi="宋体"/>
                <w:kern w:val="0"/>
                <w:sz w:val="18"/>
                <w:szCs w:val="18"/>
              </w:rPr>
              <w:t>.</w:t>
            </w:r>
            <w:r>
              <w:rPr>
                <w:rFonts w:hint="eastAsia" w:hAnsi="宋体"/>
                <w:kern w:val="0"/>
                <w:sz w:val="18"/>
                <w:szCs w:val="18"/>
              </w:rPr>
              <w:t>水泥</w:t>
            </w:r>
            <w:r>
              <w:rPr>
                <w:rFonts w:hAnsi="宋体"/>
                <w:kern w:val="0"/>
                <w:sz w:val="18"/>
                <w:szCs w:val="18"/>
              </w:rPr>
              <w:t>熟料生产</w:t>
            </w:r>
            <w:r>
              <w:rPr>
                <w:rFonts w:hint="eastAsia" w:hAnsi="宋体"/>
                <w:kern w:val="0"/>
                <w:sz w:val="18"/>
                <w:szCs w:val="18"/>
              </w:rPr>
              <w:t>线规模</w:t>
            </w:r>
          </w:p>
        </w:tc>
        <w:tc>
          <w:tcPr>
            <w:tcW w:w="1840" w:type="dxa"/>
            <w:shd w:val="clear" w:color="auto" w:fill="auto"/>
            <w:vAlign w:val="center"/>
          </w:tcPr>
          <w:p>
            <w:pPr>
              <w:widowControl/>
              <w:adjustRightInd w:val="0"/>
              <w:snapToGrid w:val="0"/>
              <w:spacing w:after="60" w:line="240" w:lineRule="atLeast"/>
              <w:ind w:firstLine="360"/>
              <w:jc w:val="center"/>
              <w:rPr>
                <w:rFonts w:hint="eastAsia"/>
                <w:kern w:val="0"/>
                <w:sz w:val="18"/>
                <w:szCs w:val="18"/>
              </w:rPr>
            </w:pPr>
            <w:r>
              <w:rPr>
                <w:rFonts w:ascii="宋体" w:hAnsi="宋体"/>
                <w:kern w:val="0"/>
                <w:sz w:val="18"/>
                <w:szCs w:val="18"/>
              </w:rPr>
              <w:t>≥</w:t>
            </w:r>
            <w:r>
              <w:rPr>
                <w:rFonts w:hint="eastAsia"/>
                <w:kern w:val="0"/>
                <w:sz w:val="18"/>
                <w:szCs w:val="18"/>
              </w:rPr>
              <w:t xml:space="preserve">4000 </w:t>
            </w:r>
            <w:r>
              <w:rPr>
                <w:rFonts w:hint="eastAsia" w:hAnsi="宋体"/>
                <w:kern w:val="0"/>
                <w:sz w:val="18"/>
                <w:szCs w:val="18"/>
              </w:rPr>
              <w:t>t/d</w:t>
            </w:r>
          </w:p>
        </w:tc>
        <w:tc>
          <w:tcPr>
            <w:tcW w:w="3415" w:type="dxa"/>
            <w:gridSpan w:val="3"/>
            <w:shd w:val="clear" w:color="auto" w:fill="auto"/>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w:t>
            </w:r>
            <w:r>
              <w:rPr>
                <w:rFonts w:hint="eastAsia"/>
                <w:kern w:val="0"/>
                <w:sz w:val="18"/>
                <w:szCs w:val="18"/>
              </w:rPr>
              <w:t xml:space="preserve">2000 </w:t>
            </w:r>
            <w:r>
              <w:rPr>
                <w:rFonts w:hint="eastAsia" w:hAnsi="宋体"/>
                <w:kern w:val="0"/>
                <w:sz w:val="18"/>
                <w:szCs w:val="18"/>
              </w:rPr>
              <w:t>t/d</w:t>
            </w:r>
          </w:p>
        </w:tc>
        <w:tc>
          <w:tcPr>
            <w:tcW w:w="1479" w:type="dxa"/>
            <w:gridSpan w:val="2"/>
            <w:shd w:val="clear" w:color="auto" w:fill="auto"/>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hint="eastAsia" w:ascii="宋体" w:hAnsi="宋体"/>
                <w:kern w:val="0"/>
                <w:sz w:val="18"/>
                <w:szCs w:val="18"/>
              </w:rPr>
              <w:t>2500</w:t>
            </w:r>
            <w:r>
              <w:rPr>
                <w:rFonts w:hint="eastAsia"/>
                <w:kern w:val="0"/>
                <w:sz w:val="18"/>
                <w:szCs w:val="18"/>
              </w:rPr>
              <w:t xml:space="preserve"> </w:t>
            </w:r>
            <w:r>
              <w:rPr>
                <w:rFonts w:hint="eastAsia" w:hAnsi="宋体"/>
                <w:kern w:val="0"/>
                <w:sz w:val="18"/>
                <w:szCs w:val="18"/>
              </w:rPr>
              <w:t>t/d</w:t>
            </w:r>
          </w:p>
        </w:tc>
        <w:tc>
          <w:tcPr>
            <w:tcW w:w="1173" w:type="dxa"/>
            <w:gridSpan w:val="2"/>
            <w:shd w:val="clear" w:color="auto" w:fill="auto"/>
            <w:vAlign w:val="center"/>
          </w:tcPr>
          <w:p>
            <w:pPr>
              <w:widowControl/>
              <w:adjustRightInd w:val="0"/>
              <w:snapToGrid w:val="0"/>
              <w:spacing w:after="60" w:line="240" w:lineRule="atLeast"/>
              <w:ind w:firstLine="360"/>
              <w:jc w:val="center"/>
              <w:rPr>
                <w:rFonts w:hint="eastAsia"/>
                <w:kern w:val="0"/>
                <w:sz w:val="18"/>
                <w:szCs w:val="18"/>
              </w:rPr>
            </w:pPr>
            <w:r>
              <w:rPr>
                <w:rFonts w:hint="eastAsia"/>
                <w:kern w:val="0"/>
                <w:sz w:val="18"/>
                <w:szCs w:val="18"/>
              </w:rPr>
              <w:t>二</w:t>
            </w:r>
            <w:r>
              <w:rPr>
                <w:kern w:val="0"/>
                <w:sz w:val="18"/>
                <w:szCs w:val="18"/>
              </w:rPr>
              <w:t>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00" w:hRule="atLeast"/>
          <w:jc w:val="center"/>
        </w:trPr>
        <w:tc>
          <w:tcPr>
            <w:tcW w:w="1862" w:type="dxa"/>
            <w:gridSpan w:val="2"/>
            <w:shd w:val="clear" w:color="auto" w:fill="auto"/>
            <w:vAlign w:val="center"/>
          </w:tcPr>
          <w:p>
            <w:pPr>
              <w:autoSpaceDE w:val="0"/>
              <w:autoSpaceDN w:val="0"/>
              <w:adjustRightInd w:val="0"/>
              <w:spacing w:after="60"/>
              <w:rPr>
                <w:rFonts w:hint="eastAsia" w:ascii="宋体" w:cs="宋体"/>
                <w:kern w:val="0"/>
                <w:sz w:val="20"/>
                <w:szCs w:val="20"/>
              </w:rPr>
            </w:pPr>
            <w:r>
              <w:rPr>
                <w:rFonts w:hint="eastAsia"/>
                <w:kern w:val="0"/>
                <w:sz w:val="18"/>
                <w:szCs w:val="18"/>
              </w:rPr>
              <w:t>2.水泥</w:t>
            </w:r>
            <w:r>
              <w:rPr>
                <w:rFonts w:hint="eastAsia" w:ascii="宋体" w:cs="宋体"/>
                <w:kern w:val="0"/>
                <w:sz w:val="18"/>
                <w:szCs w:val="18"/>
              </w:rPr>
              <w:t>粉磨站规模</w:t>
            </w:r>
          </w:p>
        </w:tc>
        <w:tc>
          <w:tcPr>
            <w:tcW w:w="1840" w:type="dxa"/>
            <w:shd w:val="clear" w:color="auto" w:fill="auto"/>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ascii="宋体" w:hAnsi="宋体"/>
                <w:kern w:val="0"/>
                <w:sz w:val="18"/>
                <w:szCs w:val="18"/>
              </w:rPr>
              <w:t>≥</w:t>
            </w:r>
            <w:r>
              <w:rPr>
                <w:rFonts w:hint="eastAsia" w:ascii="宋体" w:hAnsi="宋体"/>
                <w:kern w:val="0"/>
                <w:sz w:val="18"/>
                <w:szCs w:val="18"/>
              </w:rPr>
              <w:t>100</w:t>
            </w:r>
            <w:r>
              <w:rPr>
                <w:rFonts w:hint="eastAsia" w:ascii="宋体" w:cs="宋体"/>
                <w:kern w:val="0"/>
                <w:sz w:val="18"/>
                <w:szCs w:val="18"/>
              </w:rPr>
              <w:t>万</w:t>
            </w:r>
            <w:r>
              <w:rPr>
                <w:kern w:val="0"/>
                <w:sz w:val="18"/>
                <w:szCs w:val="18"/>
              </w:rPr>
              <w:t>t/a</w:t>
            </w:r>
          </w:p>
        </w:tc>
        <w:tc>
          <w:tcPr>
            <w:tcW w:w="1514" w:type="dxa"/>
            <w:shd w:val="clear" w:color="auto" w:fill="auto"/>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ascii="宋体" w:hAnsi="宋体"/>
                <w:kern w:val="0"/>
                <w:sz w:val="18"/>
                <w:szCs w:val="18"/>
              </w:rPr>
              <w:t>≥</w:t>
            </w:r>
            <w:r>
              <w:rPr>
                <w:rFonts w:hint="eastAsia" w:ascii="宋体" w:hAnsi="宋体"/>
                <w:kern w:val="0"/>
                <w:sz w:val="18"/>
                <w:szCs w:val="18"/>
              </w:rPr>
              <w:t>60</w:t>
            </w:r>
            <w:r>
              <w:rPr>
                <w:rFonts w:hint="eastAsia" w:ascii="宋体" w:cs="宋体"/>
                <w:kern w:val="0"/>
                <w:sz w:val="18"/>
                <w:szCs w:val="18"/>
              </w:rPr>
              <w:t>万</w:t>
            </w:r>
            <w:r>
              <w:rPr>
                <w:kern w:val="0"/>
                <w:sz w:val="18"/>
                <w:szCs w:val="18"/>
              </w:rPr>
              <w:t>t/a</w:t>
            </w:r>
          </w:p>
        </w:tc>
        <w:tc>
          <w:tcPr>
            <w:tcW w:w="1901" w:type="dxa"/>
            <w:gridSpan w:val="2"/>
            <w:tcBorders>
              <w:right w:val="single" w:color="auto" w:sz="6" w:space="0"/>
            </w:tcBorders>
            <w:shd w:val="clear" w:color="auto" w:fill="auto"/>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ascii="宋体" w:hAnsi="宋体"/>
                <w:kern w:val="0"/>
                <w:sz w:val="18"/>
                <w:szCs w:val="18"/>
              </w:rPr>
              <w:t>≥</w:t>
            </w:r>
            <w:r>
              <w:rPr>
                <w:rFonts w:hint="eastAsia" w:ascii="宋体" w:hAnsi="宋体"/>
                <w:kern w:val="0"/>
                <w:sz w:val="18"/>
                <w:szCs w:val="18"/>
              </w:rPr>
              <w:t>40</w:t>
            </w:r>
            <w:r>
              <w:rPr>
                <w:rFonts w:hint="eastAsia" w:ascii="宋体" w:cs="宋体"/>
                <w:kern w:val="0"/>
                <w:sz w:val="18"/>
                <w:szCs w:val="18"/>
              </w:rPr>
              <w:t>万</w:t>
            </w:r>
            <w:r>
              <w:rPr>
                <w:kern w:val="0"/>
                <w:sz w:val="18"/>
                <w:szCs w:val="18"/>
              </w:rPr>
              <w:t>t/a</w:t>
            </w:r>
          </w:p>
        </w:tc>
        <w:tc>
          <w:tcPr>
            <w:tcW w:w="1479" w:type="dxa"/>
            <w:gridSpan w:val="2"/>
            <w:tcBorders>
              <w:left w:val="single" w:color="auto" w:sz="6" w:space="0"/>
            </w:tcBorders>
            <w:shd w:val="clear" w:color="auto" w:fill="auto"/>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hint="eastAsia" w:ascii="宋体" w:hAnsi="宋体"/>
                <w:kern w:val="0"/>
                <w:sz w:val="18"/>
                <w:szCs w:val="18"/>
              </w:rPr>
              <w:t>100</w:t>
            </w:r>
            <w:r>
              <w:rPr>
                <w:rFonts w:hint="eastAsia" w:ascii="宋体" w:cs="宋体"/>
                <w:kern w:val="0"/>
                <w:sz w:val="18"/>
                <w:szCs w:val="18"/>
              </w:rPr>
              <w:t>万</w:t>
            </w:r>
            <w:r>
              <w:rPr>
                <w:kern w:val="0"/>
                <w:sz w:val="18"/>
                <w:szCs w:val="18"/>
              </w:rPr>
              <w:t>t/a</w:t>
            </w:r>
          </w:p>
        </w:tc>
        <w:tc>
          <w:tcPr>
            <w:tcW w:w="1173" w:type="dxa"/>
            <w:gridSpan w:val="2"/>
            <w:shd w:val="clear" w:color="auto" w:fill="auto"/>
            <w:vAlign w:val="center"/>
          </w:tcPr>
          <w:p>
            <w:pPr>
              <w:widowControl/>
              <w:adjustRightInd w:val="0"/>
              <w:snapToGrid w:val="0"/>
              <w:spacing w:after="60" w:line="240" w:lineRule="atLeast"/>
              <w:ind w:firstLine="360"/>
              <w:jc w:val="center"/>
              <w:rPr>
                <w:rFonts w:hint="eastAsia"/>
                <w:kern w:val="0"/>
                <w:sz w:val="18"/>
                <w:szCs w:val="18"/>
              </w:rPr>
            </w:pPr>
            <w:r>
              <w:rPr>
                <w:kern w:val="0"/>
                <w:sz w:val="18"/>
                <w:szCs w:val="18"/>
              </w:rPr>
              <w:t>一级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0" w:type="dxa"/>
          <w:trHeight w:val="454" w:hRule="atLeast"/>
          <w:jc w:val="center"/>
        </w:trPr>
        <w:tc>
          <w:tcPr>
            <w:tcW w:w="1862" w:type="dxa"/>
            <w:gridSpan w:val="2"/>
            <w:shd w:val="clear" w:color="auto" w:fill="auto"/>
            <w:vAlign w:val="center"/>
          </w:tcPr>
          <w:p>
            <w:pPr>
              <w:widowControl/>
              <w:adjustRightInd w:val="0"/>
              <w:snapToGrid w:val="0"/>
              <w:spacing w:after="60" w:line="240" w:lineRule="atLeast"/>
              <w:ind w:firstLine="360"/>
              <w:jc w:val="center"/>
              <w:rPr>
                <w:kern w:val="0"/>
                <w:sz w:val="18"/>
                <w:szCs w:val="18"/>
              </w:rPr>
            </w:pPr>
            <w:r>
              <w:rPr>
                <w:rFonts w:hint="eastAsia"/>
                <w:kern w:val="0"/>
                <w:sz w:val="18"/>
                <w:szCs w:val="18"/>
              </w:rPr>
              <w:t>3</w:t>
            </w:r>
            <w:r>
              <w:rPr>
                <w:kern w:val="0"/>
                <w:sz w:val="18"/>
                <w:szCs w:val="18"/>
              </w:rPr>
              <w:t>.</w:t>
            </w:r>
            <w:r>
              <w:rPr>
                <w:rFonts w:hint="eastAsia" w:hAnsi="宋体"/>
                <w:kern w:val="0"/>
                <w:sz w:val="18"/>
                <w:szCs w:val="18"/>
              </w:rPr>
              <w:t>窑系统</w:t>
            </w:r>
          </w:p>
        </w:tc>
        <w:tc>
          <w:tcPr>
            <w:tcW w:w="3354" w:type="dxa"/>
            <w:gridSpan w:val="2"/>
            <w:tcBorders>
              <w:right w:val="single" w:color="auto" w:sz="6" w:space="0"/>
            </w:tcBorders>
            <w:shd w:val="clear" w:color="auto" w:fill="auto"/>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窑外分解新型干法窑，袋收尘或电收尘</w:t>
            </w:r>
          </w:p>
        </w:tc>
        <w:tc>
          <w:tcPr>
            <w:tcW w:w="1885" w:type="dxa"/>
            <w:tcBorders>
              <w:right w:val="single" w:color="auto" w:sz="6" w:space="0"/>
            </w:tcBorders>
            <w:shd w:val="clear" w:color="auto" w:fill="auto"/>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窑外分解新型干法窑及产业政策允许的其他窑，袋收尘或电收尘</w:t>
            </w:r>
          </w:p>
        </w:tc>
        <w:tc>
          <w:tcPr>
            <w:tcW w:w="1479" w:type="dxa"/>
            <w:gridSpan w:val="2"/>
            <w:tcBorders>
              <w:left w:val="single" w:color="auto" w:sz="6" w:space="0"/>
            </w:tcBorders>
            <w:shd w:val="clear" w:color="auto" w:fill="auto"/>
            <w:vAlign w:val="center"/>
          </w:tcPr>
          <w:p>
            <w:pPr>
              <w:autoSpaceDE w:val="0"/>
              <w:autoSpaceDN w:val="0"/>
              <w:adjustRightInd w:val="0"/>
              <w:snapToGrid w:val="0"/>
              <w:spacing w:after="60" w:line="240" w:lineRule="atLeast"/>
              <w:ind w:firstLine="360"/>
              <w:jc w:val="center"/>
              <w:rPr>
                <w:rFonts w:hint="eastAsia"/>
                <w:kern w:val="0"/>
                <w:sz w:val="18"/>
                <w:szCs w:val="18"/>
              </w:rPr>
            </w:pPr>
            <w:r>
              <w:rPr>
                <w:rFonts w:hint="eastAsia" w:ascii="宋体" w:cs="宋体"/>
                <w:kern w:val="0"/>
                <w:sz w:val="18"/>
                <w:szCs w:val="18"/>
              </w:rPr>
              <w:t>窑外分解新型干法窑，袋收尘</w:t>
            </w:r>
          </w:p>
        </w:tc>
        <w:tc>
          <w:tcPr>
            <w:tcW w:w="1179" w:type="dxa"/>
            <w:gridSpan w:val="2"/>
            <w:shd w:val="clear" w:color="auto" w:fill="auto"/>
            <w:vAlign w:val="center"/>
          </w:tcPr>
          <w:p>
            <w:pPr>
              <w:widowControl/>
              <w:adjustRightInd w:val="0"/>
              <w:snapToGrid w:val="0"/>
              <w:spacing w:after="60" w:line="240" w:lineRule="atLeast"/>
              <w:ind w:firstLine="360"/>
              <w:jc w:val="center"/>
              <w:rPr>
                <w:rFonts w:hint="eastAsia"/>
                <w:kern w:val="0"/>
                <w:sz w:val="18"/>
                <w:szCs w:val="18"/>
              </w:rPr>
            </w:pPr>
            <w:r>
              <w:rPr>
                <w:rFonts w:hint="eastAsia"/>
                <w:kern w:val="0"/>
                <w:sz w:val="18"/>
                <w:szCs w:val="18"/>
              </w:rPr>
              <w:t>一级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98" w:hRule="atLeast"/>
          <w:jc w:val="center"/>
        </w:trPr>
        <w:tc>
          <w:tcPr>
            <w:tcW w:w="1862" w:type="dxa"/>
            <w:gridSpan w:val="2"/>
            <w:shd w:val="clear" w:color="auto" w:fill="auto"/>
            <w:vAlign w:val="center"/>
          </w:tcPr>
          <w:p>
            <w:pPr>
              <w:autoSpaceDE w:val="0"/>
              <w:autoSpaceDN w:val="0"/>
              <w:adjustRightInd w:val="0"/>
              <w:spacing w:after="60"/>
              <w:ind w:firstLine="400"/>
              <w:jc w:val="center"/>
              <w:rPr>
                <w:rFonts w:hint="eastAsia" w:ascii="宋体" w:cs="宋体"/>
                <w:kern w:val="0"/>
                <w:sz w:val="20"/>
                <w:szCs w:val="20"/>
              </w:rPr>
            </w:pPr>
            <w:r>
              <w:rPr>
                <w:rFonts w:hint="eastAsia" w:ascii="宋体" w:cs="宋体"/>
                <w:kern w:val="0"/>
                <w:sz w:val="20"/>
                <w:szCs w:val="20"/>
              </w:rPr>
              <w:t>4.</w:t>
            </w:r>
            <w:r>
              <w:rPr>
                <w:rFonts w:hint="eastAsia" w:ascii="宋体" w:cs="宋体"/>
                <w:kern w:val="0"/>
                <w:sz w:val="18"/>
                <w:szCs w:val="18"/>
              </w:rPr>
              <w:t>生料粉磨系统</w:t>
            </w:r>
          </w:p>
        </w:tc>
        <w:tc>
          <w:tcPr>
            <w:tcW w:w="1840" w:type="dxa"/>
            <w:shd w:val="clear" w:color="auto" w:fill="auto"/>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立式磨，袋收尘或电收尘</w:t>
            </w:r>
          </w:p>
        </w:tc>
        <w:tc>
          <w:tcPr>
            <w:tcW w:w="1514" w:type="dxa"/>
            <w:shd w:val="clear" w:color="auto" w:fill="auto"/>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hint="eastAsia" w:ascii="宋体" w:cs="宋体"/>
                <w:kern w:val="0"/>
                <w:sz w:val="18"/>
                <w:szCs w:val="18"/>
              </w:rPr>
              <w:t>磨机直径≥</w:t>
            </w:r>
            <w:r>
              <w:rPr>
                <w:kern w:val="0"/>
                <w:sz w:val="18"/>
                <w:szCs w:val="18"/>
              </w:rPr>
              <w:t>4.6m</w:t>
            </w:r>
            <w:r>
              <w:rPr>
                <w:rFonts w:hint="eastAsia" w:ascii="宋体" w:cs="宋体"/>
                <w:kern w:val="0"/>
                <w:sz w:val="18"/>
                <w:szCs w:val="18"/>
              </w:rPr>
              <w:t>圈流球磨机，袋收尘或电收尘</w:t>
            </w:r>
          </w:p>
        </w:tc>
        <w:tc>
          <w:tcPr>
            <w:tcW w:w="1901" w:type="dxa"/>
            <w:gridSpan w:val="2"/>
            <w:tcBorders>
              <w:right w:val="single" w:color="auto" w:sz="6" w:space="0"/>
            </w:tcBorders>
            <w:shd w:val="clear" w:color="auto" w:fill="auto"/>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产业政策允许的其他磨机，袋收尘或电收尘</w:t>
            </w:r>
          </w:p>
        </w:tc>
        <w:tc>
          <w:tcPr>
            <w:tcW w:w="1479" w:type="dxa"/>
            <w:gridSpan w:val="2"/>
            <w:tcBorders>
              <w:left w:val="single" w:color="auto" w:sz="6" w:space="0"/>
            </w:tcBorders>
            <w:shd w:val="clear" w:color="auto" w:fill="auto"/>
            <w:vAlign w:val="center"/>
          </w:tcPr>
          <w:p>
            <w:pPr>
              <w:autoSpaceDE w:val="0"/>
              <w:autoSpaceDN w:val="0"/>
              <w:adjustRightInd w:val="0"/>
              <w:spacing w:after="60"/>
              <w:ind w:firstLine="400"/>
              <w:jc w:val="center"/>
              <w:rPr>
                <w:rFonts w:hint="eastAsia" w:ascii="宋体" w:cs="宋体"/>
                <w:kern w:val="0"/>
                <w:sz w:val="20"/>
                <w:szCs w:val="20"/>
              </w:rPr>
            </w:pPr>
            <w:r>
              <w:rPr>
                <w:rFonts w:hint="eastAsia" w:ascii="宋体" w:cs="宋体"/>
                <w:kern w:val="0"/>
                <w:sz w:val="18"/>
                <w:szCs w:val="18"/>
              </w:rPr>
              <w:t>立式磨，袋收尘</w:t>
            </w:r>
          </w:p>
        </w:tc>
        <w:tc>
          <w:tcPr>
            <w:tcW w:w="1173" w:type="dxa"/>
            <w:gridSpan w:val="2"/>
            <w:shd w:val="clear" w:color="auto" w:fill="auto"/>
            <w:vAlign w:val="center"/>
          </w:tcPr>
          <w:p>
            <w:pPr>
              <w:widowControl/>
              <w:adjustRightInd w:val="0"/>
              <w:snapToGrid w:val="0"/>
              <w:spacing w:after="60" w:line="240" w:lineRule="atLeast"/>
              <w:ind w:firstLine="360"/>
              <w:jc w:val="center"/>
              <w:rPr>
                <w:rFonts w:hint="eastAsia"/>
                <w:kern w:val="0"/>
                <w:sz w:val="18"/>
                <w:szCs w:val="18"/>
              </w:rPr>
            </w:pPr>
            <w:r>
              <w:rPr>
                <w:rFonts w:hint="eastAsia"/>
                <w:kern w:val="0"/>
                <w:sz w:val="18"/>
                <w:szCs w:val="18"/>
              </w:rPr>
              <w:t>一级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0" w:type="dxa"/>
          <w:trHeight w:val="300" w:hRule="atLeast"/>
          <w:jc w:val="center"/>
        </w:trPr>
        <w:tc>
          <w:tcPr>
            <w:tcW w:w="1862" w:type="dxa"/>
            <w:gridSpan w:val="2"/>
            <w:shd w:val="clear" w:color="auto" w:fill="auto"/>
            <w:vAlign w:val="center"/>
          </w:tcPr>
          <w:p>
            <w:pPr>
              <w:autoSpaceDE w:val="0"/>
              <w:autoSpaceDN w:val="0"/>
              <w:adjustRightInd w:val="0"/>
              <w:spacing w:after="60"/>
              <w:ind w:firstLine="400"/>
              <w:jc w:val="center"/>
              <w:rPr>
                <w:rFonts w:hint="eastAsia" w:ascii="宋体" w:cs="宋体"/>
                <w:kern w:val="0"/>
                <w:sz w:val="20"/>
                <w:szCs w:val="20"/>
              </w:rPr>
            </w:pPr>
            <w:r>
              <w:rPr>
                <w:rFonts w:hint="eastAsia" w:ascii="宋体" w:cs="宋体"/>
                <w:kern w:val="0"/>
                <w:sz w:val="20"/>
                <w:szCs w:val="20"/>
              </w:rPr>
              <w:t>5.</w:t>
            </w:r>
            <w:r>
              <w:rPr>
                <w:rFonts w:hint="eastAsia" w:ascii="宋体" w:cs="宋体"/>
                <w:kern w:val="0"/>
                <w:sz w:val="18"/>
                <w:szCs w:val="18"/>
              </w:rPr>
              <w:t>煤粉制备系统</w:t>
            </w:r>
          </w:p>
        </w:tc>
        <w:tc>
          <w:tcPr>
            <w:tcW w:w="5239" w:type="dxa"/>
            <w:gridSpan w:val="3"/>
            <w:shd w:val="clear" w:color="auto" w:fill="auto"/>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hint="eastAsia" w:ascii="宋体" w:cs="宋体"/>
                <w:kern w:val="0"/>
                <w:sz w:val="18"/>
                <w:szCs w:val="18"/>
              </w:rPr>
              <w:t>立式磨或风扫磨，袋收尘或电收尘</w:t>
            </w:r>
          </w:p>
        </w:tc>
        <w:tc>
          <w:tcPr>
            <w:tcW w:w="1479" w:type="dxa"/>
            <w:gridSpan w:val="2"/>
            <w:shd w:val="clear" w:color="auto" w:fill="auto"/>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hint="eastAsia" w:ascii="宋体" w:cs="宋体"/>
                <w:kern w:val="0"/>
                <w:sz w:val="18"/>
                <w:szCs w:val="18"/>
              </w:rPr>
              <w:t>立式磨，袋收尘</w:t>
            </w:r>
          </w:p>
        </w:tc>
        <w:tc>
          <w:tcPr>
            <w:tcW w:w="1179" w:type="dxa"/>
            <w:gridSpan w:val="2"/>
            <w:shd w:val="clear" w:color="auto" w:fill="auto"/>
            <w:vAlign w:val="center"/>
          </w:tcPr>
          <w:p>
            <w:pPr>
              <w:widowControl/>
              <w:adjustRightInd w:val="0"/>
              <w:snapToGrid w:val="0"/>
              <w:spacing w:after="60" w:line="240" w:lineRule="atLeast"/>
              <w:ind w:firstLine="360"/>
              <w:jc w:val="center"/>
              <w:rPr>
                <w:rFonts w:hint="eastAsia"/>
                <w:kern w:val="0"/>
                <w:sz w:val="18"/>
                <w:szCs w:val="18"/>
              </w:rPr>
            </w:pPr>
            <w:r>
              <w:rPr>
                <w:rFonts w:hint="eastAsia"/>
                <w:kern w:val="0"/>
                <w:sz w:val="18"/>
                <w:szCs w:val="18"/>
              </w:rPr>
              <w:t>一级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1205" w:hRule="atLeast"/>
          <w:jc w:val="center"/>
        </w:trPr>
        <w:tc>
          <w:tcPr>
            <w:tcW w:w="1862" w:type="dxa"/>
            <w:gridSpan w:val="2"/>
            <w:shd w:val="clear" w:color="auto" w:fill="auto"/>
            <w:vAlign w:val="center"/>
          </w:tcPr>
          <w:p>
            <w:pPr>
              <w:autoSpaceDE w:val="0"/>
              <w:autoSpaceDN w:val="0"/>
              <w:adjustRightInd w:val="0"/>
              <w:spacing w:after="60"/>
              <w:ind w:firstLine="400"/>
              <w:jc w:val="center"/>
              <w:rPr>
                <w:rFonts w:hint="eastAsia" w:ascii="宋体" w:cs="宋体"/>
                <w:kern w:val="0"/>
                <w:sz w:val="20"/>
                <w:szCs w:val="20"/>
              </w:rPr>
            </w:pPr>
            <w:r>
              <w:rPr>
                <w:rFonts w:hint="eastAsia" w:ascii="宋体" w:cs="宋体"/>
                <w:kern w:val="0"/>
                <w:sz w:val="20"/>
                <w:szCs w:val="20"/>
              </w:rPr>
              <w:t>6.</w:t>
            </w:r>
            <w:r>
              <w:rPr>
                <w:rFonts w:hint="eastAsia" w:ascii="宋体" w:cs="宋体"/>
                <w:kern w:val="0"/>
                <w:sz w:val="18"/>
                <w:szCs w:val="18"/>
              </w:rPr>
              <w:t>水泥粉磨系统</w:t>
            </w:r>
          </w:p>
        </w:tc>
        <w:tc>
          <w:tcPr>
            <w:tcW w:w="1840" w:type="dxa"/>
            <w:shd w:val="clear" w:color="auto" w:fill="auto"/>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磨机直径≥</w:t>
            </w:r>
            <w:r>
              <w:rPr>
                <w:kern w:val="0"/>
                <w:sz w:val="18"/>
                <w:szCs w:val="18"/>
              </w:rPr>
              <w:t xml:space="preserve">4.2m </w:t>
            </w:r>
            <w:r>
              <w:rPr>
                <w:rFonts w:hint="eastAsia" w:ascii="宋体" w:cs="宋体"/>
                <w:kern w:val="0"/>
                <w:sz w:val="18"/>
                <w:szCs w:val="18"/>
              </w:rPr>
              <w:t>辊压机与球磨机组合的粉磨系统或立式磨，袋收尘</w:t>
            </w:r>
          </w:p>
        </w:tc>
        <w:tc>
          <w:tcPr>
            <w:tcW w:w="1514" w:type="dxa"/>
            <w:shd w:val="clear" w:color="auto" w:fill="auto"/>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hint="eastAsia" w:ascii="宋体" w:cs="宋体"/>
                <w:kern w:val="0"/>
                <w:sz w:val="18"/>
                <w:szCs w:val="18"/>
              </w:rPr>
              <w:t>磨机直径≥</w:t>
            </w:r>
            <w:r>
              <w:rPr>
                <w:kern w:val="0"/>
                <w:sz w:val="18"/>
                <w:szCs w:val="18"/>
              </w:rPr>
              <w:t>3.8m</w:t>
            </w:r>
            <w:r>
              <w:rPr>
                <w:rFonts w:hint="eastAsia" w:ascii="宋体" w:cs="宋体"/>
                <w:kern w:val="0"/>
                <w:sz w:val="18"/>
                <w:szCs w:val="18"/>
              </w:rPr>
              <w:t>，辊压机与球磨机组合的粉磨系统或带高效选粉机的圈流球磨机，袋收尘</w:t>
            </w:r>
          </w:p>
        </w:tc>
        <w:tc>
          <w:tcPr>
            <w:tcW w:w="1901" w:type="dxa"/>
            <w:gridSpan w:val="2"/>
            <w:tcBorders>
              <w:right w:val="single" w:color="auto" w:sz="6" w:space="0"/>
            </w:tcBorders>
            <w:shd w:val="clear" w:color="auto" w:fill="auto"/>
            <w:vAlign w:val="center"/>
          </w:tcPr>
          <w:p>
            <w:pPr>
              <w:widowControl/>
              <w:adjustRightInd w:val="0"/>
              <w:snapToGrid w:val="0"/>
              <w:spacing w:after="60" w:line="240" w:lineRule="atLeast"/>
              <w:ind w:firstLine="360"/>
              <w:jc w:val="center"/>
              <w:rPr>
                <w:rFonts w:hint="eastAsia" w:ascii="宋体" w:hAnsi="宋体"/>
                <w:kern w:val="0"/>
                <w:sz w:val="18"/>
                <w:szCs w:val="18"/>
              </w:rPr>
            </w:pPr>
            <w:r>
              <w:rPr>
                <w:kern w:val="0"/>
                <w:sz w:val="18"/>
                <w:szCs w:val="18"/>
              </w:rPr>
              <w:t>2.6</w:t>
            </w:r>
            <w:r>
              <w:rPr>
                <w:rFonts w:hint="eastAsia" w:ascii="宋体" w:cs="宋体"/>
                <w:kern w:val="0"/>
                <w:sz w:val="18"/>
                <w:szCs w:val="18"/>
              </w:rPr>
              <w:t>≤磨机直径＜3</w:t>
            </w:r>
            <w:r>
              <w:rPr>
                <w:kern w:val="0"/>
                <w:sz w:val="18"/>
                <w:szCs w:val="18"/>
              </w:rPr>
              <w:t>.8m</w:t>
            </w:r>
            <w:r>
              <w:rPr>
                <w:rFonts w:hint="eastAsia" w:ascii="宋体" w:cs="宋体"/>
                <w:kern w:val="0"/>
                <w:sz w:val="18"/>
                <w:szCs w:val="18"/>
              </w:rPr>
              <w:t>，圈流球磨机或高细磨，袋收尘</w:t>
            </w:r>
          </w:p>
        </w:tc>
        <w:tc>
          <w:tcPr>
            <w:tcW w:w="1479" w:type="dxa"/>
            <w:gridSpan w:val="2"/>
            <w:tcBorders>
              <w:left w:val="single" w:color="auto" w:sz="6" w:space="0"/>
            </w:tcBorders>
            <w:shd w:val="clear" w:color="auto" w:fill="auto"/>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hint="eastAsia" w:ascii="宋体" w:hAnsi="宋体"/>
                <w:kern w:val="0"/>
                <w:sz w:val="18"/>
                <w:szCs w:val="18"/>
              </w:rPr>
              <w:t>Φ4.2m×13m水泥磨，袋除尘</w:t>
            </w:r>
          </w:p>
        </w:tc>
        <w:tc>
          <w:tcPr>
            <w:tcW w:w="1173" w:type="dxa"/>
            <w:gridSpan w:val="2"/>
            <w:shd w:val="clear" w:color="auto" w:fill="auto"/>
            <w:vAlign w:val="center"/>
          </w:tcPr>
          <w:p>
            <w:pPr>
              <w:widowControl/>
              <w:adjustRightInd w:val="0"/>
              <w:snapToGrid w:val="0"/>
              <w:spacing w:after="60" w:line="240" w:lineRule="atLeast"/>
              <w:ind w:firstLine="360"/>
              <w:jc w:val="center"/>
              <w:rPr>
                <w:rFonts w:hint="eastAsia"/>
                <w:kern w:val="0"/>
                <w:sz w:val="18"/>
                <w:szCs w:val="18"/>
              </w:rPr>
            </w:pPr>
            <w:r>
              <w:rPr>
                <w:rFonts w:hint="eastAsia"/>
                <w:kern w:val="0"/>
                <w:sz w:val="18"/>
                <w:szCs w:val="18"/>
              </w:rPr>
              <w:t>一级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121" w:hRule="atLeast"/>
          <w:jc w:val="center"/>
        </w:trPr>
        <w:tc>
          <w:tcPr>
            <w:tcW w:w="1862" w:type="dxa"/>
            <w:gridSpan w:val="2"/>
            <w:shd w:val="clear" w:color="auto" w:fill="auto"/>
            <w:vAlign w:val="center"/>
          </w:tcPr>
          <w:p>
            <w:pPr>
              <w:autoSpaceDE w:val="0"/>
              <w:autoSpaceDN w:val="0"/>
              <w:adjustRightInd w:val="0"/>
              <w:spacing w:after="60"/>
              <w:ind w:firstLine="400"/>
              <w:jc w:val="center"/>
              <w:rPr>
                <w:rFonts w:hint="eastAsia" w:ascii="宋体" w:cs="宋体"/>
                <w:kern w:val="0"/>
                <w:sz w:val="20"/>
                <w:szCs w:val="20"/>
              </w:rPr>
            </w:pPr>
            <w:r>
              <w:rPr>
                <w:rFonts w:hint="eastAsia" w:ascii="宋体" w:cs="宋体"/>
                <w:kern w:val="0"/>
                <w:sz w:val="20"/>
                <w:szCs w:val="20"/>
              </w:rPr>
              <w:t>7.</w:t>
            </w:r>
            <w:r>
              <w:rPr>
                <w:rFonts w:hint="eastAsia" w:ascii="宋体" w:cs="宋体"/>
                <w:kern w:val="0"/>
                <w:sz w:val="18"/>
                <w:szCs w:val="18"/>
              </w:rPr>
              <w:t>动力配置</w:t>
            </w:r>
          </w:p>
        </w:tc>
        <w:tc>
          <w:tcPr>
            <w:tcW w:w="1840" w:type="dxa"/>
            <w:shd w:val="clear" w:color="auto" w:fill="auto"/>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高、低压变频</w:t>
            </w:r>
          </w:p>
        </w:tc>
        <w:tc>
          <w:tcPr>
            <w:tcW w:w="3415" w:type="dxa"/>
            <w:gridSpan w:val="3"/>
            <w:shd w:val="clear" w:color="auto" w:fill="auto"/>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暂波调整或滤波调整或水电阻调整</w:t>
            </w:r>
          </w:p>
        </w:tc>
        <w:tc>
          <w:tcPr>
            <w:tcW w:w="1479" w:type="dxa"/>
            <w:gridSpan w:val="2"/>
            <w:shd w:val="clear" w:color="auto" w:fill="auto"/>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高、低压变频</w:t>
            </w:r>
          </w:p>
        </w:tc>
        <w:tc>
          <w:tcPr>
            <w:tcW w:w="1173" w:type="dxa"/>
            <w:gridSpan w:val="2"/>
            <w:shd w:val="clear" w:color="auto" w:fill="auto"/>
            <w:vAlign w:val="center"/>
          </w:tcPr>
          <w:p>
            <w:pPr>
              <w:widowControl/>
              <w:adjustRightInd w:val="0"/>
              <w:snapToGrid w:val="0"/>
              <w:spacing w:after="60" w:line="240" w:lineRule="atLeast"/>
              <w:ind w:firstLine="360"/>
              <w:jc w:val="center"/>
              <w:rPr>
                <w:rFonts w:hint="eastAsia"/>
                <w:kern w:val="0"/>
                <w:sz w:val="18"/>
                <w:szCs w:val="18"/>
              </w:rPr>
            </w:pPr>
            <w:r>
              <w:rPr>
                <w:rFonts w:hint="eastAsia"/>
                <w:kern w:val="0"/>
                <w:sz w:val="18"/>
                <w:szCs w:val="18"/>
              </w:rPr>
              <w:t>一级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0" w:type="dxa"/>
          <w:trHeight w:val="300" w:hRule="atLeast"/>
          <w:jc w:val="center"/>
        </w:trPr>
        <w:tc>
          <w:tcPr>
            <w:tcW w:w="1862" w:type="dxa"/>
            <w:gridSpan w:val="2"/>
            <w:shd w:val="clear" w:color="auto" w:fill="auto"/>
            <w:vAlign w:val="center"/>
          </w:tcPr>
          <w:p>
            <w:pPr>
              <w:autoSpaceDE w:val="0"/>
              <w:autoSpaceDN w:val="0"/>
              <w:adjustRightInd w:val="0"/>
              <w:spacing w:after="60"/>
              <w:ind w:firstLine="400"/>
              <w:jc w:val="center"/>
              <w:rPr>
                <w:rFonts w:hint="eastAsia" w:ascii="宋体" w:cs="宋体"/>
                <w:kern w:val="0"/>
                <w:sz w:val="20"/>
                <w:szCs w:val="20"/>
              </w:rPr>
            </w:pPr>
            <w:r>
              <w:rPr>
                <w:rFonts w:hint="eastAsia" w:ascii="宋体" w:cs="宋体"/>
                <w:kern w:val="0"/>
                <w:sz w:val="20"/>
                <w:szCs w:val="20"/>
              </w:rPr>
              <w:t>8.</w:t>
            </w:r>
            <w:r>
              <w:rPr>
                <w:rFonts w:hint="eastAsia" w:ascii="宋体" w:cs="宋体"/>
                <w:kern w:val="0"/>
                <w:sz w:val="18"/>
                <w:szCs w:val="18"/>
              </w:rPr>
              <w:t>生产过程控制水平</w:t>
            </w:r>
          </w:p>
        </w:tc>
        <w:tc>
          <w:tcPr>
            <w:tcW w:w="3354" w:type="dxa"/>
            <w:gridSpan w:val="2"/>
            <w:tcBorders>
              <w:right w:val="single" w:color="auto" w:sz="6" w:space="0"/>
            </w:tcBorders>
            <w:shd w:val="clear" w:color="auto" w:fill="auto"/>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采用现场总线或</w:t>
            </w:r>
            <w:r>
              <w:rPr>
                <w:kern w:val="0"/>
                <w:sz w:val="18"/>
                <w:szCs w:val="18"/>
              </w:rPr>
              <w:t xml:space="preserve">DCS </w:t>
            </w:r>
            <w:r>
              <w:rPr>
                <w:rFonts w:hint="eastAsia" w:ascii="宋体" w:cs="宋体"/>
                <w:kern w:val="0"/>
                <w:sz w:val="18"/>
                <w:szCs w:val="18"/>
              </w:rPr>
              <w:t>或</w:t>
            </w:r>
            <w:r>
              <w:rPr>
                <w:kern w:val="0"/>
                <w:sz w:val="18"/>
                <w:szCs w:val="18"/>
              </w:rPr>
              <w:t xml:space="preserve">PLC </w:t>
            </w:r>
            <w:r>
              <w:rPr>
                <w:rFonts w:hint="eastAsia" w:ascii="宋体" w:cs="宋体"/>
                <w:kern w:val="0"/>
                <w:sz w:val="18"/>
                <w:szCs w:val="18"/>
              </w:rPr>
              <w:t>控制系统、生料质量控制系统、生产管理信息分析系统，窑头、窑尾安装大气污染物连续监测装置</w:t>
            </w:r>
          </w:p>
        </w:tc>
        <w:tc>
          <w:tcPr>
            <w:tcW w:w="1885" w:type="dxa"/>
            <w:tcBorders>
              <w:right w:val="single" w:color="auto" w:sz="6" w:space="0"/>
            </w:tcBorders>
            <w:shd w:val="clear" w:color="auto" w:fill="auto"/>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采用了</w:t>
            </w:r>
            <w:r>
              <w:rPr>
                <w:kern w:val="0"/>
                <w:sz w:val="18"/>
                <w:szCs w:val="18"/>
              </w:rPr>
              <w:t xml:space="preserve">DCS </w:t>
            </w:r>
            <w:r>
              <w:rPr>
                <w:rFonts w:hint="eastAsia" w:ascii="宋体" w:cs="宋体"/>
                <w:kern w:val="0"/>
                <w:sz w:val="18"/>
                <w:szCs w:val="18"/>
              </w:rPr>
              <w:t>或</w:t>
            </w:r>
            <w:r>
              <w:rPr>
                <w:kern w:val="0"/>
                <w:sz w:val="18"/>
                <w:szCs w:val="18"/>
              </w:rPr>
              <w:t>PLC</w:t>
            </w:r>
            <w:r>
              <w:rPr>
                <w:rFonts w:hint="eastAsia" w:ascii="宋体" w:cs="宋体"/>
                <w:kern w:val="0"/>
                <w:sz w:val="18"/>
                <w:szCs w:val="18"/>
              </w:rPr>
              <w:t>操作控制系统</w:t>
            </w:r>
          </w:p>
        </w:tc>
        <w:tc>
          <w:tcPr>
            <w:tcW w:w="1479" w:type="dxa"/>
            <w:gridSpan w:val="2"/>
            <w:tcBorders>
              <w:left w:val="single" w:color="auto" w:sz="6" w:space="0"/>
            </w:tcBorders>
            <w:shd w:val="clear" w:color="auto" w:fill="auto"/>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hint="eastAsia" w:ascii="宋体" w:cs="宋体"/>
                <w:kern w:val="0"/>
                <w:sz w:val="18"/>
                <w:szCs w:val="18"/>
              </w:rPr>
              <w:t>采用</w:t>
            </w:r>
            <w:r>
              <w:rPr>
                <w:kern w:val="0"/>
                <w:sz w:val="18"/>
                <w:szCs w:val="18"/>
              </w:rPr>
              <w:t>DCS</w:t>
            </w:r>
            <w:r>
              <w:rPr>
                <w:rFonts w:hint="eastAsia" w:ascii="宋体" w:cs="宋体"/>
                <w:kern w:val="0"/>
                <w:sz w:val="18"/>
                <w:szCs w:val="18"/>
              </w:rPr>
              <w:t>控制系统、生料质量控制系统、生产管理信息分析系统，窑头、窑尾安装大气污染物连续监测装置</w:t>
            </w:r>
          </w:p>
        </w:tc>
        <w:tc>
          <w:tcPr>
            <w:tcW w:w="1179" w:type="dxa"/>
            <w:gridSpan w:val="2"/>
            <w:shd w:val="clear" w:color="auto" w:fill="auto"/>
            <w:vAlign w:val="center"/>
          </w:tcPr>
          <w:p>
            <w:pPr>
              <w:widowControl/>
              <w:adjustRightInd w:val="0"/>
              <w:snapToGrid w:val="0"/>
              <w:spacing w:after="60" w:line="240" w:lineRule="atLeast"/>
              <w:ind w:firstLine="360"/>
              <w:jc w:val="center"/>
              <w:rPr>
                <w:rFonts w:hint="eastAsia"/>
                <w:kern w:val="0"/>
                <w:sz w:val="18"/>
                <w:szCs w:val="18"/>
              </w:rPr>
            </w:pPr>
            <w:r>
              <w:rPr>
                <w:rFonts w:hint="eastAsia"/>
                <w:kern w:val="0"/>
                <w:sz w:val="18"/>
                <w:szCs w:val="18"/>
              </w:rPr>
              <w:t>一级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0" w:type="dxa"/>
          <w:trHeight w:val="755" w:hRule="atLeast"/>
          <w:jc w:val="center"/>
        </w:trPr>
        <w:tc>
          <w:tcPr>
            <w:tcW w:w="1862" w:type="dxa"/>
            <w:gridSpan w:val="2"/>
            <w:shd w:val="clear" w:color="auto" w:fill="auto"/>
            <w:vAlign w:val="center"/>
          </w:tcPr>
          <w:p>
            <w:pPr>
              <w:autoSpaceDE w:val="0"/>
              <w:autoSpaceDN w:val="0"/>
              <w:adjustRightInd w:val="0"/>
              <w:spacing w:after="60"/>
              <w:ind w:firstLine="400"/>
              <w:jc w:val="center"/>
              <w:rPr>
                <w:rFonts w:hint="eastAsia" w:ascii="宋体" w:cs="宋体"/>
                <w:kern w:val="0"/>
                <w:sz w:val="20"/>
                <w:szCs w:val="20"/>
              </w:rPr>
            </w:pPr>
            <w:r>
              <w:rPr>
                <w:rFonts w:hint="eastAsia" w:ascii="宋体" w:cs="宋体"/>
                <w:kern w:val="0"/>
                <w:sz w:val="20"/>
                <w:szCs w:val="20"/>
              </w:rPr>
              <w:t>9.</w:t>
            </w:r>
            <w:r>
              <w:rPr>
                <w:rFonts w:hint="eastAsia" w:ascii="宋体" w:cs="宋体"/>
                <w:kern w:val="0"/>
                <w:sz w:val="18"/>
                <w:szCs w:val="18"/>
              </w:rPr>
              <w:t>收尘设备同步运转率</w:t>
            </w:r>
          </w:p>
        </w:tc>
        <w:tc>
          <w:tcPr>
            <w:tcW w:w="5239" w:type="dxa"/>
            <w:gridSpan w:val="3"/>
            <w:shd w:val="clear" w:color="auto" w:fill="auto"/>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hint="eastAsia" w:ascii="宋体" w:hAnsi="宋体"/>
                <w:kern w:val="0"/>
                <w:sz w:val="18"/>
                <w:szCs w:val="18"/>
              </w:rPr>
              <w:t>100%</w:t>
            </w:r>
          </w:p>
        </w:tc>
        <w:tc>
          <w:tcPr>
            <w:tcW w:w="1479" w:type="dxa"/>
            <w:gridSpan w:val="2"/>
            <w:shd w:val="clear" w:color="auto" w:fill="auto"/>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hint="eastAsia" w:ascii="宋体" w:hAnsi="宋体"/>
                <w:kern w:val="0"/>
                <w:sz w:val="18"/>
                <w:szCs w:val="18"/>
              </w:rPr>
              <w:t>100%</w:t>
            </w:r>
          </w:p>
        </w:tc>
        <w:tc>
          <w:tcPr>
            <w:tcW w:w="1179" w:type="dxa"/>
            <w:gridSpan w:val="2"/>
            <w:shd w:val="clear" w:color="auto" w:fill="auto"/>
            <w:vAlign w:val="center"/>
          </w:tcPr>
          <w:p>
            <w:pPr>
              <w:widowControl/>
              <w:adjustRightInd w:val="0"/>
              <w:snapToGrid w:val="0"/>
              <w:spacing w:after="60" w:line="240" w:lineRule="atLeast"/>
              <w:ind w:firstLine="360"/>
              <w:jc w:val="center"/>
              <w:rPr>
                <w:rFonts w:hint="eastAsia"/>
                <w:kern w:val="0"/>
                <w:sz w:val="18"/>
                <w:szCs w:val="18"/>
              </w:rPr>
            </w:pPr>
            <w:r>
              <w:rPr>
                <w:rFonts w:hint="eastAsia"/>
                <w:kern w:val="0"/>
                <w:sz w:val="18"/>
                <w:szCs w:val="18"/>
              </w:rPr>
              <w:t>一级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0" w:type="dxa"/>
          <w:trHeight w:val="102" w:hRule="atLeast"/>
          <w:jc w:val="center"/>
        </w:trPr>
        <w:tc>
          <w:tcPr>
            <w:tcW w:w="1145" w:type="dxa"/>
            <w:vMerge w:val="restart"/>
            <w:shd w:val="clear" w:color="auto" w:fill="auto"/>
            <w:vAlign w:val="center"/>
          </w:tcPr>
          <w:p>
            <w:pPr>
              <w:autoSpaceDE w:val="0"/>
              <w:autoSpaceDN w:val="0"/>
              <w:adjustRightInd w:val="0"/>
              <w:spacing w:after="60"/>
              <w:rPr>
                <w:rFonts w:hint="eastAsia" w:ascii="宋体" w:cs="宋体"/>
                <w:kern w:val="0"/>
                <w:sz w:val="18"/>
                <w:szCs w:val="18"/>
              </w:rPr>
            </w:pPr>
            <w:r>
              <w:rPr>
                <w:rFonts w:hint="eastAsia" w:ascii="宋体" w:cs="宋体"/>
                <w:kern w:val="0"/>
                <w:sz w:val="18"/>
                <w:szCs w:val="18"/>
              </w:rPr>
              <w:t>10.包装（袋装水泥）</w:t>
            </w:r>
          </w:p>
        </w:tc>
        <w:tc>
          <w:tcPr>
            <w:tcW w:w="717" w:type="dxa"/>
            <w:tcBorders>
              <w:right w:val="single" w:color="auto" w:sz="4" w:space="0"/>
            </w:tcBorders>
            <w:shd w:val="clear" w:color="auto" w:fill="auto"/>
            <w:vAlign w:val="center"/>
          </w:tcPr>
          <w:p>
            <w:pPr>
              <w:widowControl/>
              <w:adjustRightInd w:val="0"/>
              <w:snapToGrid w:val="0"/>
              <w:spacing w:after="60" w:line="240" w:lineRule="atLeast"/>
              <w:rPr>
                <w:rFonts w:hint="eastAsia" w:ascii="宋体" w:hAnsi="宋体"/>
                <w:kern w:val="0"/>
                <w:sz w:val="18"/>
                <w:szCs w:val="18"/>
              </w:rPr>
            </w:pPr>
            <w:r>
              <w:rPr>
                <w:rFonts w:hint="eastAsia" w:ascii="宋体" w:hAnsi="宋体"/>
                <w:kern w:val="0"/>
                <w:sz w:val="18"/>
                <w:szCs w:val="18"/>
              </w:rPr>
              <w:t>包装方式</w:t>
            </w:r>
          </w:p>
        </w:tc>
        <w:tc>
          <w:tcPr>
            <w:tcW w:w="3354" w:type="dxa"/>
            <w:gridSpan w:val="2"/>
            <w:tcBorders>
              <w:left w:val="single" w:color="auto" w:sz="4" w:space="0"/>
              <w:right w:val="single" w:color="auto" w:sz="4" w:space="0"/>
            </w:tcBorders>
            <w:shd w:val="clear" w:color="auto" w:fill="auto"/>
            <w:vAlign w:val="center"/>
          </w:tcPr>
          <w:p>
            <w:pPr>
              <w:widowControl/>
              <w:adjustRightInd w:val="0"/>
              <w:snapToGrid w:val="0"/>
              <w:spacing w:after="60" w:line="240" w:lineRule="atLeast"/>
              <w:jc w:val="center"/>
              <w:rPr>
                <w:rFonts w:hint="eastAsia" w:ascii="宋体" w:hAnsi="宋体"/>
                <w:kern w:val="0"/>
                <w:sz w:val="18"/>
                <w:szCs w:val="18"/>
              </w:rPr>
            </w:pPr>
            <w:r>
              <w:rPr>
                <w:rFonts w:hint="eastAsia" w:ascii="宋体" w:hAnsi="宋体"/>
                <w:kern w:val="0"/>
                <w:sz w:val="18"/>
                <w:szCs w:val="18"/>
              </w:rPr>
              <w:t>机械化、袋收尘</w:t>
            </w:r>
          </w:p>
        </w:tc>
        <w:tc>
          <w:tcPr>
            <w:tcW w:w="1885" w:type="dxa"/>
            <w:tcBorders>
              <w:left w:val="single" w:color="auto" w:sz="4" w:space="0"/>
            </w:tcBorders>
            <w:shd w:val="clear" w:color="auto" w:fill="auto"/>
            <w:vAlign w:val="center"/>
          </w:tcPr>
          <w:p>
            <w:pPr>
              <w:widowControl/>
              <w:adjustRightInd w:val="0"/>
              <w:snapToGrid w:val="0"/>
              <w:spacing w:after="60" w:line="240" w:lineRule="atLeast"/>
              <w:jc w:val="center"/>
              <w:rPr>
                <w:rFonts w:hint="eastAsia" w:ascii="宋体" w:hAnsi="宋体"/>
                <w:kern w:val="0"/>
                <w:sz w:val="18"/>
                <w:szCs w:val="18"/>
              </w:rPr>
            </w:pPr>
            <w:r>
              <w:rPr>
                <w:rFonts w:hint="eastAsia" w:ascii="宋体" w:hAnsi="宋体"/>
                <w:kern w:val="0"/>
                <w:sz w:val="18"/>
                <w:szCs w:val="18"/>
              </w:rPr>
              <w:t>半机械化，袋收尘</w:t>
            </w:r>
          </w:p>
        </w:tc>
        <w:tc>
          <w:tcPr>
            <w:tcW w:w="1479" w:type="dxa"/>
            <w:gridSpan w:val="2"/>
            <w:shd w:val="clear" w:color="auto" w:fill="auto"/>
            <w:vAlign w:val="center"/>
          </w:tcPr>
          <w:p>
            <w:pPr>
              <w:widowControl/>
              <w:adjustRightInd w:val="0"/>
              <w:snapToGrid w:val="0"/>
              <w:spacing w:after="60" w:line="240" w:lineRule="atLeast"/>
              <w:rPr>
                <w:rFonts w:hint="eastAsia" w:ascii="宋体" w:hAnsi="宋体"/>
                <w:kern w:val="0"/>
                <w:sz w:val="18"/>
                <w:szCs w:val="18"/>
              </w:rPr>
            </w:pPr>
            <w:r>
              <w:rPr>
                <w:rFonts w:hint="eastAsia" w:ascii="宋体" w:hAnsi="宋体"/>
                <w:kern w:val="0"/>
                <w:sz w:val="18"/>
                <w:szCs w:val="18"/>
              </w:rPr>
              <w:t>机械化、袋收尘</w:t>
            </w:r>
          </w:p>
        </w:tc>
        <w:tc>
          <w:tcPr>
            <w:tcW w:w="1179" w:type="dxa"/>
            <w:gridSpan w:val="2"/>
            <w:shd w:val="clear" w:color="auto" w:fill="auto"/>
            <w:vAlign w:val="center"/>
          </w:tcPr>
          <w:p>
            <w:pPr>
              <w:widowControl/>
              <w:adjustRightInd w:val="0"/>
              <w:snapToGrid w:val="0"/>
              <w:spacing w:after="60" w:line="240" w:lineRule="atLeast"/>
              <w:ind w:firstLine="360"/>
              <w:jc w:val="center"/>
              <w:rPr>
                <w:rFonts w:hint="eastAsia"/>
                <w:kern w:val="0"/>
                <w:sz w:val="18"/>
                <w:szCs w:val="18"/>
              </w:rPr>
            </w:pPr>
            <w:r>
              <w:rPr>
                <w:rFonts w:hint="eastAsia"/>
                <w:kern w:val="0"/>
                <w:sz w:val="18"/>
                <w:szCs w:val="18"/>
              </w:rPr>
              <w:t>一级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0" w:type="dxa"/>
          <w:trHeight w:val="102" w:hRule="atLeast"/>
          <w:jc w:val="center"/>
        </w:trPr>
        <w:tc>
          <w:tcPr>
            <w:tcW w:w="1145" w:type="dxa"/>
            <w:vMerge w:val="continue"/>
            <w:shd w:val="clear" w:color="auto" w:fill="auto"/>
            <w:vAlign w:val="center"/>
          </w:tcPr>
          <w:p>
            <w:pPr>
              <w:autoSpaceDE w:val="0"/>
              <w:autoSpaceDN w:val="0"/>
              <w:adjustRightInd w:val="0"/>
              <w:spacing w:after="60"/>
              <w:ind w:firstLine="400"/>
              <w:jc w:val="center"/>
              <w:rPr>
                <w:rFonts w:hint="eastAsia" w:ascii="宋体" w:cs="宋体"/>
                <w:kern w:val="0"/>
                <w:sz w:val="18"/>
                <w:szCs w:val="18"/>
              </w:rPr>
            </w:pPr>
          </w:p>
        </w:tc>
        <w:tc>
          <w:tcPr>
            <w:tcW w:w="717" w:type="dxa"/>
            <w:tcBorders>
              <w:right w:val="single" w:color="auto" w:sz="4" w:space="0"/>
            </w:tcBorders>
            <w:shd w:val="clear" w:color="auto" w:fill="auto"/>
            <w:vAlign w:val="center"/>
          </w:tcPr>
          <w:p>
            <w:pPr>
              <w:widowControl/>
              <w:adjustRightInd w:val="0"/>
              <w:snapToGrid w:val="0"/>
              <w:spacing w:after="60" w:line="240" w:lineRule="atLeast"/>
              <w:rPr>
                <w:rFonts w:hint="eastAsia" w:ascii="宋体" w:hAnsi="宋体"/>
                <w:kern w:val="0"/>
                <w:sz w:val="18"/>
                <w:szCs w:val="18"/>
              </w:rPr>
            </w:pPr>
            <w:r>
              <w:rPr>
                <w:rFonts w:hint="eastAsia" w:ascii="宋体" w:hAnsi="宋体"/>
                <w:kern w:val="0"/>
                <w:sz w:val="18"/>
                <w:szCs w:val="18"/>
              </w:rPr>
              <w:t>破包率/%</w:t>
            </w:r>
          </w:p>
        </w:tc>
        <w:tc>
          <w:tcPr>
            <w:tcW w:w="1840" w:type="dxa"/>
            <w:tcBorders>
              <w:left w:val="single" w:color="auto" w:sz="4" w:space="0"/>
              <w:right w:val="single" w:color="auto" w:sz="4" w:space="0"/>
            </w:tcBorders>
            <w:shd w:val="clear" w:color="auto" w:fill="auto"/>
            <w:vAlign w:val="center"/>
          </w:tcPr>
          <w:p>
            <w:pPr>
              <w:widowControl/>
              <w:adjustRightInd w:val="0"/>
              <w:snapToGrid w:val="0"/>
              <w:spacing w:after="60" w:line="240" w:lineRule="atLeast"/>
              <w:jc w:val="center"/>
              <w:rPr>
                <w:rFonts w:hint="eastAsia" w:ascii="宋体" w:hAnsi="宋体"/>
                <w:kern w:val="0"/>
                <w:sz w:val="18"/>
                <w:szCs w:val="18"/>
              </w:rPr>
            </w:pPr>
            <w:r>
              <w:rPr>
                <w:rFonts w:hint="eastAsia" w:ascii="宋体" w:cs="宋体"/>
                <w:kern w:val="0"/>
                <w:sz w:val="18"/>
                <w:szCs w:val="18"/>
              </w:rPr>
              <w:t>≤</w:t>
            </w:r>
            <w:r>
              <w:rPr>
                <w:rFonts w:ascii="宋体" w:cs="宋体"/>
                <w:kern w:val="0"/>
                <w:sz w:val="18"/>
                <w:szCs w:val="18"/>
              </w:rPr>
              <w:t xml:space="preserve"> 1</w:t>
            </w:r>
          </w:p>
        </w:tc>
        <w:tc>
          <w:tcPr>
            <w:tcW w:w="1514" w:type="dxa"/>
            <w:tcBorders>
              <w:left w:val="single" w:color="auto" w:sz="4" w:space="0"/>
              <w:right w:val="single" w:color="auto" w:sz="4" w:space="0"/>
            </w:tcBorders>
            <w:shd w:val="clear" w:color="auto" w:fill="auto"/>
            <w:vAlign w:val="center"/>
          </w:tcPr>
          <w:p>
            <w:pPr>
              <w:widowControl/>
              <w:adjustRightInd w:val="0"/>
              <w:snapToGrid w:val="0"/>
              <w:spacing w:after="60" w:line="240" w:lineRule="atLeast"/>
              <w:jc w:val="center"/>
              <w:rPr>
                <w:rFonts w:hint="eastAsia" w:ascii="宋体" w:hAnsi="宋体"/>
                <w:kern w:val="0"/>
                <w:sz w:val="18"/>
                <w:szCs w:val="18"/>
              </w:rPr>
            </w:pPr>
            <w:r>
              <w:rPr>
                <w:rFonts w:hint="eastAsia" w:ascii="宋体" w:cs="宋体"/>
                <w:kern w:val="0"/>
                <w:sz w:val="18"/>
                <w:szCs w:val="18"/>
              </w:rPr>
              <w:t>≤2</w:t>
            </w:r>
          </w:p>
        </w:tc>
        <w:tc>
          <w:tcPr>
            <w:tcW w:w="1885" w:type="dxa"/>
            <w:tcBorders>
              <w:left w:val="single" w:color="auto" w:sz="4" w:space="0"/>
            </w:tcBorders>
            <w:shd w:val="clear" w:color="auto" w:fill="auto"/>
            <w:vAlign w:val="center"/>
          </w:tcPr>
          <w:p>
            <w:pPr>
              <w:widowControl/>
              <w:adjustRightInd w:val="0"/>
              <w:snapToGrid w:val="0"/>
              <w:spacing w:after="60" w:line="240" w:lineRule="atLeast"/>
              <w:jc w:val="center"/>
              <w:rPr>
                <w:rFonts w:hint="eastAsia" w:ascii="宋体" w:hAnsi="宋体"/>
                <w:kern w:val="0"/>
                <w:sz w:val="18"/>
                <w:szCs w:val="18"/>
              </w:rPr>
            </w:pPr>
            <w:r>
              <w:rPr>
                <w:rFonts w:hint="eastAsia" w:ascii="宋体" w:cs="宋体"/>
                <w:kern w:val="0"/>
                <w:sz w:val="18"/>
                <w:szCs w:val="18"/>
              </w:rPr>
              <w:t>≤3</w:t>
            </w:r>
          </w:p>
        </w:tc>
        <w:tc>
          <w:tcPr>
            <w:tcW w:w="1479" w:type="dxa"/>
            <w:gridSpan w:val="2"/>
            <w:shd w:val="clear" w:color="auto" w:fill="auto"/>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hint="eastAsia" w:ascii="宋体" w:cs="宋体"/>
                <w:kern w:val="0"/>
                <w:sz w:val="18"/>
                <w:szCs w:val="18"/>
              </w:rPr>
              <w:t>≤</w:t>
            </w:r>
            <w:r>
              <w:rPr>
                <w:rFonts w:ascii="宋体" w:cs="宋体"/>
                <w:kern w:val="0"/>
                <w:sz w:val="18"/>
                <w:szCs w:val="18"/>
              </w:rPr>
              <w:t xml:space="preserve"> 1</w:t>
            </w:r>
          </w:p>
        </w:tc>
        <w:tc>
          <w:tcPr>
            <w:tcW w:w="1179" w:type="dxa"/>
            <w:gridSpan w:val="2"/>
            <w:shd w:val="clear" w:color="auto" w:fill="auto"/>
            <w:vAlign w:val="center"/>
          </w:tcPr>
          <w:p>
            <w:pPr>
              <w:widowControl/>
              <w:adjustRightInd w:val="0"/>
              <w:snapToGrid w:val="0"/>
              <w:spacing w:after="60" w:line="240" w:lineRule="atLeast"/>
              <w:ind w:firstLine="360"/>
              <w:jc w:val="center"/>
              <w:rPr>
                <w:rFonts w:hint="eastAsia"/>
                <w:kern w:val="0"/>
                <w:sz w:val="18"/>
                <w:szCs w:val="18"/>
              </w:rPr>
            </w:pPr>
            <w:r>
              <w:rPr>
                <w:rFonts w:hint="eastAsia"/>
                <w:kern w:val="0"/>
                <w:sz w:val="18"/>
                <w:szCs w:val="18"/>
              </w:rPr>
              <w:t>一级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gridAfter w:val="1"/>
          <w:wAfter w:w="10" w:type="dxa"/>
          <w:trHeight w:val="977" w:hRule="atLeast"/>
          <w:jc w:val="center"/>
        </w:trPr>
        <w:tc>
          <w:tcPr>
            <w:tcW w:w="1862" w:type="dxa"/>
            <w:gridSpan w:val="2"/>
            <w:shd w:val="clear" w:color="auto" w:fill="auto"/>
            <w:vAlign w:val="center"/>
          </w:tcPr>
          <w:p>
            <w:pPr>
              <w:autoSpaceDE w:val="0"/>
              <w:autoSpaceDN w:val="0"/>
              <w:adjustRightInd w:val="0"/>
              <w:spacing w:after="60"/>
              <w:ind w:firstLine="400"/>
              <w:jc w:val="center"/>
              <w:rPr>
                <w:rFonts w:hint="eastAsia" w:ascii="宋体" w:cs="宋体"/>
                <w:kern w:val="0"/>
                <w:sz w:val="20"/>
                <w:szCs w:val="20"/>
              </w:rPr>
            </w:pPr>
            <w:r>
              <w:rPr>
                <w:rFonts w:hint="eastAsia" w:ascii="宋体" w:cs="宋体"/>
                <w:kern w:val="0"/>
                <w:sz w:val="20"/>
                <w:szCs w:val="20"/>
              </w:rPr>
              <w:t>11.装卸及运输</w:t>
            </w:r>
          </w:p>
        </w:tc>
        <w:tc>
          <w:tcPr>
            <w:tcW w:w="3354" w:type="dxa"/>
            <w:gridSpan w:val="2"/>
            <w:tcBorders>
              <w:right w:val="single" w:color="auto" w:sz="6" w:space="0"/>
            </w:tcBorders>
            <w:shd w:val="clear" w:color="auto" w:fill="auto"/>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机械化装卸与输送；装卸过程采取有效措施防止扬尘；运输中全部封闭或覆盖。散装采用专用散装罐车（包括火车及汽车）运输</w:t>
            </w:r>
          </w:p>
        </w:tc>
        <w:tc>
          <w:tcPr>
            <w:tcW w:w="1885" w:type="dxa"/>
            <w:tcBorders>
              <w:right w:val="single" w:color="auto" w:sz="6" w:space="0"/>
            </w:tcBorders>
            <w:shd w:val="clear" w:color="auto" w:fill="auto"/>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半机械化或人工装卸与输送；装卸过程应采取有效措施防止扬尘；运输中全部封闭或覆盖。散装应采用专用散装罐车（包括火车及汽车）运输</w:t>
            </w:r>
          </w:p>
        </w:tc>
        <w:tc>
          <w:tcPr>
            <w:tcW w:w="1479" w:type="dxa"/>
            <w:gridSpan w:val="2"/>
            <w:tcBorders>
              <w:left w:val="single" w:color="auto" w:sz="6" w:space="0"/>
            </w:tcBorders>
            <w:shd w:val="clear" w:color="auto" w:fill="auto"/>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hint="eastAsia" w:ascii="宋体" w:cs="宋体"/>
                <w:kern w:val="0"/>
                <w:sz w:val="18"/>
                <w:szCs w:val="18"/>
              </w:rPr>
              <w:t>机械化装卸与输送；装卸过程采取措施防止扬尘；运输中全部封闭或散装罐车运输</w:t>
            </w:r>
          </w:p>
        </w:tc>
        <w:tc>
          <w:tcPr>
            <w:tcW w:w="1179" w:type="dxa"/>
            <w:gridSpan w:val="2"/>
            <w:shd w:val="clear" w:color="auto" w:fill="auto"/>
            <w:vAlign w:val="center"/>
          </w:tcPr>
          <w:p>
            <w:pPr>
              <w:widowControl/>
              <w:adjustRightInd w:val="0"/>
              <w:snapToGrid w:val="0"/>
              <w:spacing w:after="60" w:line="240" w:lineRule="atLeast"/>
              <w:ind w:firstLine="360"/>
              <w:jc w:val="center"/>
              <w:rPr>
                <w:rFonts w:hint="eastAsia"/>
                <w:kern w:val="0"/>
                <w:sz w:val="18"/>
                <w:szCs w:val="18"/>
              </w:rPr>
            </w:pPr>
            <w:r>
              <w:rPr>
                <w:rFonts w:hint="eastAsia"/>
                <w:kern w:val="0"/>
                <w:sz w:val="18"/>
                <w:szCs w:val="18"/>
              </w:rPr>
              <w:t>一级</w:t>
            </w:r>
          </w:p>
        </w:tc>
      </w:tr>
    </w:tbl>
    <w:p>
      <w:pPr>
        <w:pStyle w:val="9"/>
        <w:spacing w:line="360" w:lineRule="auto"/>
        <w:ind w:firstLine="480" w:firstLineChars="200"/>
        <w:rPr>
          <w:rFonts w:hint="eastAsia" w:ascii="Times New Roman" w:hAnsi="Times New Roman"/>
          <w:sz w:val="24"/>
          <w:szCs w:val="24"/>
        </w:rPr>
      </w:pPr>
    </w:p>
    <w:p>
      <w:pPr>
        <w:autoSpaceDE w:val="0"/>
        <w:autoSpaceDN w:val="0"/>
        <w:adjustRightInd w:val="0"/>
        <w:snapToGrid w:val="0"/>
        <w:spacing w:line="348" w:lineRule="auto"/>
        <w:ind w:firstLine="420" w:firstLineChars="200"/>
        <w:jc w:val="left"/>
        <w:rPr>
          <w:rFonts w:hint="eastAsia" w:ascii="宋体" w:hAnsi="宋体"/>
        </w:rPr>
      </w:pPr>
    </w:p>
    <w:p>
      <w:pPr>
        <w:autoSpaceDE w:val="0"/>
        <w:autoSpaceDN w:val="0"/>
        <w:adjustRightInd w:val="0"/>
        <w:snapToGrid w:val="0"/>
        <w:spacing w:line="348" w:lineRule="auto"/>
        <w:ind w:firstLine="420" w:firstLineChars="200"/>
        <w:jc w:val="left"/>
        <w:rPr>
          <w:rFonts w:hint="eastAsia" w:ascii="宋体" w:hAnsi="宋体"/>
        </w:rPr>
      </w:pPr>
    </w:p>
    <w:p>
      <w:pPr>
        <w:autoSpaceDE w:val="0"/>
        <w:autoSpaceDN w:val="0"/>
        <w:adjustRightInd w:val="0"/>
        <w:snapToGrid w:val="0"/>
        <w:spacing w:line="348" w:lineRule="auto"/>
        <w:ind w:firstLine="420" w:firstLineChars="200"/>
        <w:jc w:val="left"/>
        <w:rPr>
          <w:rFonts w:ascii="宋体" w:hAnsi="宋体"/>
        </w:rPr>
      </w:pPr>
      <w:r>
        <w:rPr>
          <w:rFonts w:hint="eastAsia" w:ascii="宋体" w:hAnsi="宋体"/>
        </w:rPr>
        <w:t>（2）资源能源利用指标</w:t>
      </w:r>
    </w:p>
    <w:p>
      <w:pPr>
        <w:autoSpaceDE w:val="0"/>
        <w:autoSpaceDN w:val="0"/>
        <w:adjustRightInd w:val="0"/>
        <w:snapToGrid w:val="0"/>
        <w:spacing w:line="348" w:lineRule="auto"/>
        <w:ind w:firstLine="420" w:firstLineChars="200"/>
        <w:rPr>
          <w:rFonts w:hint="eastAsia" w:ascii="宋体" w:hAnsi="宋体"/>
        </w:rPr>
      </w:pPr>
      <w:r>
        <w:rPr>
          <w:rFonts w:hint="eastAsia" w:ascii="宋体" w:hAnsi="宋体"/>
        </w:rPr>
        <w:t>技改项目</w:t>
      </w:r>
      <w:r>
        <w:rPr>
          <w:rFonts w:ascii="宋体" w:hAnsi="宋体"/>
        </w:rPr>
        <w:t xml:space="preserve">资源能源利用指标与《清洁生产标准 </w:t>
      </w:r>
      <w:r>
        <w:rPr>
          <w:rFonts w:hint="eastAsia" w:ascii="宋体" w:hAnsi="宋体"/>
        </w:rPr>
        <w:t>水泥工</w:t>
      </w:r>
      <w:r>
        <w:rPr>
          <w:rFonts w:ascii="宋体" w:hAnsi="宋体"/>
        </w:rPr>
        <w:t>业》HJ</w:t>
      </w:r>
      <w:r>
        <w:rPr>
          <w:rFonts w:hint="eastAsia" w:ascii="宋体" w:hAnsi="宋体"/>
        </w:rPr>
        <w:t xml:space="preserve"> 467</w:t>
      </w:r>
      <w:r>
        <w:rPr>
          <w:rFonts w:ascii="宋体" w:hAnsi="宋体"/>
        </w:rPr>
        <w:t>－200</w:t>
      </w:r>
      <w:r>
        <w:rPr>
          <w:rFonts w:hint="eastAsia" w:ascii="宋体" w:hAnsi="宋体"/>
        </w:rPr>
        <w:t>9</w:t>
      </w:r>
      <w:r>
        <w:rPr>
          <w:rFonts w:ascii="宋体" w:hAnsi="宋体"/>
        </w:rPr>
        <w:t>的比较结果见表</w:t>
      </w:r>
      <w:r>
        <w:rPr>
          <w:rFonts w:hint="eastAsia" w:ascii="宋体" w:hAnsi="宋体"/>
        </w:rPr>
        <w:t>4</w:t>
      </w:r>
      <w:r>
        <w:rPr>
          <w:rFonts w:ascii="宋体" w:hAnsi="宋体"/>
        </w:rPr>
        <w:t>－2。</w:t>
      </w:r>
    </w:p>
    <w:p>
      <w:pPr>
        <w:autoSpaceDE w:val="0"/>
        <w:autoSpaceDN w:val="0"/>
        <w:adjustRightInd w:val="0"/>
        <w:snapToGrid w:val="0"/>
        <w:spacing w:line="348" w:lineRule="auto"/>
        <w:ind w:leftChars="-2" w:hanging="4" w:hangingChars="2"/>
        <w:jc w:val="center"/>
        <w:rPr>
          <w:rFonts w:hint="eastAsia" w:hAnsi="宋体"/>
          <w:b/>
          <w:kern w:val="28"/>
        </w:rPr>
      </w:pPr>
      <w:r>
        <w:rPr>
          <w:rFonts w:hAnsi="宋体"/>
          <w:b/>
          <w:kern w:val="28"/>
        </w:rPr>
        <w:t>表</w:t>
      </w:r>
      <w:r>
        <w:rPr>
          <w:rFonts w:hint="eastAsia" w:hAnsi="宋体"/>
          <w:b/>
          <w:kern w:val="28"/>
        </w:rPr>
        <w:t>4</w:t>
      </w:r>
      <w:r>
        <w:rPr>
          <w:rFonts w:hAnsi="宋体"/>
          <w:b/>
          <w:kern w:val="28"/>
        </w:rPr>
        <w:t>－</w:t>
      </w:r>
      <w:r>
        <w:rPr>
          <w:rFonts w:hint="eastAsia" w:hAnsi="宋体"/>
          <w:b/>
          <w:kern w:val="28"/>
        </w:rPr>
        <w:t>2  资源能源</w:t>
      </w:r>
      <w:r>
        <w:rPr>
          <w:rFonts w:hAnsi="宋体"/>
          <w:b/>
          <w:kern w:val="28"/>
        </w:rPr>
        <w:t>指标与清洁生产标准对照评价</w:t>
      </w:r>
    </w:p>
    <w:tbl>
      <w:tblPr>
        <w:tblStyle w:val="23"/>
        <w:tblW w:w="8833"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3357"/>
        <w:gridCol w:w="1313"/>
        <w:gridCol w:w="1313"/>
        <w:gridCol w:w="1313"/>
        <w:gridCol w:w="153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67" w:hRule="atLeast"/>
          <w:jc w:val="center"/>
        </w:trPr>
        <w:tc>
          <w:tcPr>
            <w:tcW w:w="3357" w:type="dxa"/>
            <w:tcBorders>
              <w:bottom w:val="single" w:color="000000" w:sz="12" w:space="0"/>
            </w:tcBorders>
            <w:shd w:val="clear" w:color="auto" w:fill="auto"/>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清洁生产指标</w:t>
            </w:r>
          </w:p>
        </w:tc>
        <w:tc>
          <w:tcPr>
            <w:tcW w:w="1313" w:type="dxa"/>
            <w:tcBorders>
              <w:bottom w:val="single" w:color="000000" w:sz="12" w:space="0"/>
            </w:tcBorders>
            <w:shd w:val="clear" w:color="auto" w:fill="auto"/>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一级</w:t>
            </w:r>
          </w:p>
        </w:tc>
        <w:tc>
          <w:tcPr>
            <w:tcW w:w="1313" w:type="dxa"/>
            <w:tcBorders>
              <w:bottom w:val="single" w:color="000000" w:sz="12" w:space="0"/>
              <w:right w:val="single" w:color="auto" w:sz="6" w:space="0"/>
            </w:tcBorders>
            <w:shd w:val="clear" w:color="auto" w:fill="auto"/>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二级</w:t>
            </w:r>
          </w:p>
        </w:tc>
        <w:tc>
          <w:tcPr>
            <w:tcW w:w="1313" w:type="dxa"/>
            <w:tcBorders>
              <w:left w:val="single" w:color="auto" w:sz="6" w:space="0"/>
              <w:bottom w:val="single" w:color="000000" w:sz="12" w:space="0"/>
            </w:tcBorders>
            <w:shd w:val="clear" w:color="auto" w:fill="auto"/>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三级</w:t>
            </w:r>
          </w:p>
        </w:tc>
        <w:tc>
          <w:tcPr>
            <w:tcW w:w="1537" w:type="dxa"/>
            <w:tcBorders>
              <w:bottom w:val="single" w:color="000000" w:sz="12" w:space="0"/>
            </w:tcBorders>
            <w:shd w:val="clear" w:color="auto" w:fill="auto"/>
            <w:vAlign w:val="center"/>
          </w:tcPr>
          <w:p>
            <w:pPr>
              <w:adjustRightInd w:val="0"/>
              <w:snapToGrid w:val="0"/>
              <w:spacing w:after="60" w:line="240" w:lineRule="atLeast"/>
              <w:ind w:firstLine="360"/>
              <w:jc w:val="center"/>
              <w:rPr>
                <w:rFonts w:hint="eastAsia"/>
                <w:kern w:val="0"/>
                <w:sz w:val="18"/>
                <w:szCs w:val="18"/>
              </w:rPr>
            </w:pPr>
            <w:r>
              <w:rPr>
                <w:rFonts w:hint="eastAsia" w:hAnsi="宋体"/>
                <w:kern w:val="0"/>
                <w:sz w:val="18"/>
                <w:szCs w:val="18"/>
              </w:rPr>
              <w:t>技改项目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95" w:hRule="atLeast"/>
          <w:jc w:val="center"/>
        </w:trPr>
        <w:tc>
          <w:tcPr>
            <w:tcW w:w="3357" w:type="dxa"/>
            <w:shd w:val="clear" w:color="auto" w:fill="auto"/>
            <w:vAlign w:val="center"/>
          </w:tcPr>
          <w:p>
            <w:pPr>
              <w:widowControl/>
              <w:adjustRightInd w:val="0"/>
              <w:snapToGrid w:val="0"/>
              <w:spacing w:after="60" w:line="240" w:lineRule="atLeast"/>
              <w:ind w:firstLine="360"/>
              <w:jc w:val="center"/>
              <w:rPr>
                <w:kern w:val="0"/>
                <w:sz w:val="18"/>
                <w:szCs w:val="18"/>
              </w:rPr>
            </w:pPr>
            <w:r>
              <w:rPr>
                <w:kern w:val="0"/>
                <w:sz w:val="18"/>
                <w:szCs w:val="18"/>
              </w:rPr>
              <w:t>1.</w:t>
            </w:r>
            <w:r>
              <w:rPr>
                <w:rFonts w:hAnsi="宋体"/>
                <w:kern w:val="0"/>
                <w:sz w:val="18"/>
                <w:szCs w:val="18"/>
              </w:rPr>
              <w:t>可比熟料综合煤耗（折标煤）</w:t>
            </w:r>
            <w:r>
              <w:rPr>
                <w:kern w:val="0"/>
                <w:sz w:val="18"/>
                <w:szCs w:val="18"/>
              </w:rPr>
              <w:t>/(kg/t)</w:t>
            </w:r>
          </w:p>
        </w:tc>
        <w:tc>
          <w:tcPr>
            <w:tcW w:w="1313" w:type="dxa"/>
            <w:shd w:val="clear" w:color="auto" w:fill="auto"/>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sz w:val="18"/>
                <w:szCs w:val="18"/>
              </w:rPr>
              <w:t>≤</w:t>
            </w:r>
            <w:r>
              <w:rPr>
                <w:rFonts w:ascii="宋体" w:hAnsi="宋体"/>
                <w:kern w:val="0"/>
                <w:sz w:val="18"/>
                <w:szCs w:val="18"/>
              </w:rPr>
              <w:t>106</w:t>
            </w:r>
          </w:p>
        </w:tc>
        <w:tc>
          <w:tcPr>
            <w:tcW w:w="1313" w:type="dxa"/>
            <w:tcBorders>
              <w:right w:val="single" w:color="auto" w:sz="6" w:space="0"/>
            </w:tcBorders>
            <w:shd w:val="clear" w:color="auto" w:fill="auto"/>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sz w:val="18"/>
                <w:szCs w:val="18"/>
              </w:rPr>
              <w:t>≤</w:t>
            </w:r>
            <w:r>
              <w:rPr>
                <w:rFonts w:ascii="宋体" w:hAnsi="宋体"/>
                <w:kern w:val="0"/>
                <w:sz w:val="18"/>
                <w:szCs w:val="18"/>
              </w:rPr>
              <w:t>115</w:t>
            </w:r>
          </w:p>
        </w:tc>
        <w:tc>
          <w:tcPr>
            <w:tcW w:w="1313" w:type="dxa"/>
            <w:tcBorders>
              <w:left w:val="single" w:color="auto" w:sz="6" w:space="0"/>
            </w:tcBorders>
            <w:shd w:val="clear" w:color="auto" w:fill="auto"/>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sz w:val="18"/>
                <w:szCs w:val="18"/>
              </w:rPr>
              <w:t>≤</w:t>
            </w:r>
            <w:r>
              <w:rPr>
                <w:rFonts w:ascii="宋体" w:hAnsi="宋体"/>
                <w:kern w:val="0"/>
                <w:sz w:val="18"/>
                <w:szCs w:val="18"/>
              </w:rPr>
              <w:t>120</w:t>
            </w:r>
          </w:p>
        </w:tc>
        <w:tc>
          <w:tcPr>
            <w:tcW w:w="1537" w:type="dxa"/>
            <w:shd w:val="clear" w:color="auto" w:fill="auto"/>
            <w:vAlign w:val="center"/>
          </w:tcPr>
          <w:p>
            <w:pPr>
              <w:widowControl/>
              <w:adjustRightInd w:val="0"/>
              <w:snapToGrid w:val="0"/>
              <w:spacing w:after="60" w:line="240" w:lineRule="atLeast"/>
              <w:ind w:firstLine="360"/>
              <w:jc w:val="center"/>
              <w:rPr>
                <w:kern w:val="0"/>
                <w:sz w:val="18"/>
                <w:szCs w:val="18"/>
              </w:rPr>
            </w:pPr>
            <w:r>
              <w:rPr>
                <w:rFonts w:hint="eastAsia"/>
                <w:kern w:val="0"/>
                <w:sz w:val="18"/>
                <w:szCs w:val="18"/>
              </w:rPr>
              <w:t>107</w:t>
            </w:r>
            <w:r>
              <w:rPr>
                <w:kern w:val="0"/>
                <w:sz w:val="18"/>
                <w:szCs w:val="18"/>
              </w:rPr>
              <w:t>(</w:t>
            </w:r>
            <w:r>
              <w:rPr>
                <w:rFonts w:hint="eastAsia" w:hAnsi="宋体"/>
                <w:kern w:val="0"/>
                <w:sz w:val="18"/>
                <w:szCs w:val="18"/>
              </w:rPr>
              <w:t>二</w:t>
            </w:r>
            <w:r>
              <w:rPr>
                <w:rFonts w:hAnsi="宋体"/>
                <w:kern w:val="0"/>
                <w:sz w:val="18"/>
                <w:szCs w:val="18"/>
              </w:rPr>
              <w:t>级</w:t>
            </w:r>
            <w:r>
              <w:rPr>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3357" w:type="dxa"/>
            <w:shd w:val="clear" w:color="auto" w:fill="auto"/>
            <w:vAlign w:val="center"/>
          </w:tcPr>
          <w:p>
            <w:pPr>
              <w:widowControl/>
              <w:adjustRightInd w:val="0"/>
              <w:snapToGrid w:val="0"/>
              <w:spacing w:after="60" w:line="240" w:lineRule="atLeast"/>
              <w:ind w:firstLine="360"/>
              <w:jc w:val="center"/>
              <w:rPr>
                <w:kern w:val="0"/>
                <w:sz w:val="18"/>
                <w:szCs w:val="18"/>
              </w:rPr>
            </w:pPr>
            <w:r>
              <w:rPr>
                <w:kern w:val="0"/>
                <w:sz w:val="18"/>
                <w:szCs w:val="18"/>
              </w:rPr>
              <w:t xml:space="preserve">2. </w:t>
            </w:r>
            <w:r>
              <w:rPr>
                <w:rFonts w:hAnsi="宋体"/>
                <w:kern w:val="0"/>
                <w:sz w:val="18"/>
                <w:szCs w:val="18"/>
              </w:rPr>
              <w:t>可比熟料综合能耗（折标煤）</w:t>
            </w:r>
            <w:r>
              <w:rPr>
                <w:kern w:val="0"/>
                <w:sz w:val="18"/>
                <w:szCs w:val="18"/>
              </w:rPr>
              <w:t>/(kg/t)</w:t>
            </w:r>
          </w:p>
        </w:tc>
        <w:tc>
          <w:tcPr>
            <w:tcW w:w="1313" w:type="dxa"/>
            <w:shd w:val="clear" w:color="auto" w:fill="auto"/>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sz w:val="18"/>
                <w:szCs w:val="18"/>
              </w:rPr>
              <w:t>≤</w:t>
            </w:r>
            <w:r>
              <w:rPr>
                <w:rFonts w:ascii="宋体" w:hAnsi="宋体"/>
                <w:kern w:val="0"/>
                <w:sz w:val="18"/>
                <w:szCs w:val="18"/>
              </w:rPr>
              <w:t>114</w:t>
            </w:r>
          </w:p>
        </w:tc>
        <w:tc>
          <w:tcPr>
            <w:tcW w:w="1313" w:type="dxa"/>
            <w:tcBorders>
              <w:right w:val="single" w:color="auto" w:sz="6" w:space="0"/>
            </w:tcBorders>
            <w:shd w:val="clear" w:color="auto" w:fill="auto"/>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sz w:val="18"/>
                <w:szCs w:val="18"/>
              </w:rPr>
              <w:t>≤</w:t>
            </w:r>
            <w:r>
              <w:rPr>
                <w:rFonts w:ascii="宋体" w:hAnsi="宋体"/>
                <w:kern w:val="0"/>
                <w:sz w:val="18"/>
                <w:szCs w:val="18"/>
              </w:rPr>
              <w:t>123</w:t>
            </w:r>
          </w:p>
        </w:tc>
        <w:tc>
          <w:tcPr>
            <w:tcW w:w="1313" w:type="dxa"/>
            <w:tcBorders>
              <w:left w:val="single" w:color="auto" w:sz="6" w:space="0"/>
            </w:tcBorders>
            <w:shd w:val="clear" w:color="auto" w:fill="auto"/>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sz w:val="18"/>
                <w:szCs w:val="18"/>
              </w:rPr>
              <w:t>≤134</w:t>
            </w:r>
          </w:p>
        </w:tc>
        <w:tc>
          <w:tcPr>
            <w:tcW w:w="1537" w:type="dxa"/>
            <w:shd w:val="clear" w:color="auto" w:fill="auto"/>
            <w:vAlign w:val="center"/>
          </w:tcPr>
          <w:p>
            <w:pPr>
              <w:widowControl/>
              <w:adjustRightInd w:val="0"/>
              <w:snapToGrid w:val="0"/>
              <w:spacing w:after="60" w:line="240" w:lineRule="atLeast"/>
              <w:ind w:firstLine="360"/>
              <w:jc w:val="center"/>
              <w:rPr>
                <w:kern w:val="0"/>
                <w:sz w:val="18"/>
                <w:szCs w:val="18"/>
              </w:rPr>
            </w:pPr>
            <w:r>
              <w:rPr>
                <w:rFonts w:hint="eastAsia"/>
                <w:kern w:val="0"/>
                <w:sz w:val="18"/>
                <w:szCs w:val="18"/>
              </w:rPr>
              <w:t>115</w:t>
            </w:r>
            <w:r>
              <w:rPr>
                <w:kern w:val="0"/>
                <w:sz w:val="18"/>
                <w:szCs w:val="18"/>
              </w:rPr>
              <w:t>(</w:t>
            </w:r>
            <w:r>
              <w:rPr>
                <w:rFonts w:hint="eastAsia" w:hAnsi="宋体"/>
                <w:kern w:val="0"/>
                <w:sz w:val="18"/>
                <w:szCs w:val="18"/>
              </w:rPr>
              <w:t>二</w:t>
            </w:r>
            <w:r>
              <w:rPr>
                <w:rFonts w:hAnsi="宋体"/>
                <w:kern w:val="0"/>
                <w:sz w:val="18"/>
                <w:szCs w:val="18"/>
              </w:rPr>
              <w:t>级</w:t>
            </w:r>
            <w:r>
              <w:rPr>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3357" w:type="dxa"/>
            <w:shd w:val="clear" w:color="auto" w:fill="auto"/>
            <w:vAlign w:val="center"/>
          </w:tcPr>
          <w:p>
            <w:pPr>
              <w:adjustRightInd w:val="0"/>
              <w:snapToGrid w:val="0"/>
              <w:spacing w:after="60" w:line="240" w:lineRule="atLeast"/>
              <w:ind w:firstLine="360"/>
              <w:jc w:val="center"/>
              <w:rPr>
                <w:sz w:val="18"/>
                <w:szCs w:val="18"/>
              </w:rPr>
            </w:pPr>
            <w:r>
              <w:rPr>
                <w:sz w:val="18"/>
                <w:szCs w:val="18"/>
              </w:rPr>
              <w:t>3.</w:t>
            </w:r>
            <w:r>
              <w:rPr>
                <w:rFonts w:hAnsi="宋体"/>
                <w:kern w:val="0"/>
                <w:sz w:val="18"/>
                <w:szCs w:val="18"/>
              </w:rPr>
              <w:t>可比水泥综合能耗（折标煤）</w:t>
            </w:r>
            <w:r>
              <w:rPr>
                <w:kern w:val="0"/>
                <w:sz w:val="18"/>
                <w:szCs w:val="18"/>
              </w:rPr>
              <w:t>/(kg/t)</w:t>
            </w:r>
          </w:p>
        </w:tc>
        <w:tc>
          <w:tcPr>
            <w:tcW w:w="1313" w:type="dxa"/>
            <w:shd w:val="clear" w:color="auto" w:fill="auto"/>
            <w:vAlign w:val="center"/>
          </w:tcPr>
          <w:p>
            <w:pPr>
              <w:adjustRightInd w:val="0"/>
              <w:snapToGrid w:val="0"/>
              <w:spacing w:after="60" w:line="240" w:lineRule="atLeast"/>
              <w:ind w:firstLine="360"/>
              <w:jc w:val="center"/>
              <w:rPr>
                <w:rFonts w:ascii="宋体" w:hAnsi="宋体"/>
                <w:sz w:val="18"/>
                <w:szCs w:val="18"/>
              </w:rPr>
            </w:pPr>
            <w:r>
              <w:rPr>
                <w:rFonts w:ascii="宋体" w:hAnsi="宋体"/>
                <w:sz w:val="18"/>
                <w:szCs w:val="18"/>
              </w:rPr>
              <w:t>≤93</w:t>
            </w:r>
          </w:p>
        </w:tc>
        <w:tc>
          <w:tcPr>
            <w:tcW w:w="1313" w:type="dxa"/>
            <w:tcBorders>
              <w:right w:val="single" w:color="auto" w:sz="6" w:space="0"/>
            </w:tcBorders>
            <w:shd w:val="clear" w:color="auto" w:fill="auto"/>
            <w:vAlign w:val="center"/>
          </w:tcPr>
          <w:p>
            <w:pPr>
              <w:adjustRightInd w:val="0"/>
              <w:snapToGrid w:val="0"/>
              <w:spacing w:after="60" w:line="240" w:lineRule="atLeast"/>
              <w:ind w:firstLine="360"/>
              <w:jc w:val="center"/>
              <w:rPr>
                <w:rFonts w:ascii="宋体" w:hAnsi="宋体"/>
                <w:sz w:val="18"/>
                <w:szCs w:val="18"/>
              </w:rPr>
            </w:pPr>
            <w:r>
              <w:rPr>
                <w:rFonts w:ascii="宋体" w:hAnsi="宋体"/>
                <w:sz w:val="18"/>
                <w:szCs w:val="18"/>
              </w:rPr>
              <w:t>≤100</w:t>
            </w:r>
          </w:p>
        </w:tc>
        <w:tc>
          <w:tcPr>
            <w:tcW w:w="1313" w:type="dxa"/>
            <w:tcBorders>
              <w:left w:val="single" w:color="auto" w:sz="6" w:space="0"/>
            </w:tcBorders>
            <w:shd w:val="clear" w:color="auto" w:fill="auto"/>
            <w:vAlign w:val="center"/>
          </w:tcPr>
          <w:p>
            <w:pPr>
              <w:adjustRightInd w:val="0"/>
              <w:snapToGrid w:val="0"/>
              <w:spacing w:after="60" w:line="240" w:lineRule="atLeast"/>
              <w:ind w:firstLine="360"/>
              <w:jc w:val="center"/>
              <w:rPr>
                <w:rFonts w:ascii="宋体" w:hAnsi="宋体"/>
                <w:sz w:val="18"/>
                <w:szCs w:val="18"/>
              </w:rPr>
            </w:pPr>
            <w:r>
              <w:rPr>
                <w:rFonts w:ascii="宋体" w:hAnsi="宋体"/>
                <w:sz w:val="18"/>
                <w:szCs w:val="18"/>
              </w:rPr>
              <w:t>≤110</w:t>
            </w:r>
          </w:p>
        </w:tc>
        <w:tc>
          <w:tcPr>
            <w:tcW w:w="1537" w:type="dxa"/>
            <w:shd w:val="clear" w:color="auto" w:fill="auto"/>
            <w:vAlign w:val="center"/>
          </w:tcPr>
          <w:p>
            <w:pPr>
              <w:adjustRightInd w:val="0"/>
              <w:snapToGrid w:val="0"/>
              <w:spacing w:after="60" w:line="240" w:lineRule="atLeast"/>
              <w:ind w:firstLine="360"/>
              <w:jc w:val="center"/>
              <w:rPr>
                <w:sz w:val="18"/>
                <w:szCs w:val="18"/>
              </w:rPr>
            </w:pPr>
            <w:r>
              <w:rPr>
                <w:rFonts w:hint="eastAsia"/>
                <w:sz w:val="18"/>
                <w:szCs w:val="18"/>
              </w:rPr>
              <w:t>95</w:t>
            </w:r>
            <w:r>
              <w:rPr>
                <w:kern w:val="0"/>
                <w:sz w:val="18"/>
                <w:szCs w:val="18"/>
              </w:rPr>
              <w:t>(</w:t>
            </w:r>
            <w:r>
              <w:rPr>
                <w:rFonts w:hint="eastAsia" w:hAnsi="宋体"/>
                <w:kern w:val="0"/>
                <w:sz w:val="18"/>
                <w:szCs w:val="18"/>
              </w:rPr>
              <w:t>二</w:t>
            </w:r>
            <w:r>
              <w:rPr>
                <w:rFonts w:hAnsi="宋体"/>
                <w:kern w:val="0"/>
                <w:sz w:val="18"/>
                <w:szCs w:val="18"/>
              </w:rPr>
              <w:t>级</w:t>
            </w:r>
            <w:r>
              <w:rPr>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136" w:hRule="atLeast"/>
          <w:jc w:val="center"/>
        </w:trPr>
        <w:tc>
          <w:tcPr>
            <w:tcW w:w="3357" w:type="dxa"/>
            <w:shd w:val="clear" w:color="auto" w:fill="auto"/>
            <w:vAlign w:val="center"/>
          </w:tcPr>
          <w:p>
            <w:pPr>
              <w:adjustRightInd w:val="0"/>
              <w:snapToGrid w:val="0"/>
              <w:spacing w:after="60" w:line="240" w:lineRule="atLeast"/>
              <w:ind w:firstLine="360"/>
              <w:jc w:val="center"/>
              <w:rPr>
                <w:sz w:val="18"/>
                <w:szCs w:val="18"/>
              </w:rPr>
            </w:pPr>
            <w:r>
              <w:rPr>
                <w:sz w:val="18"/>
                <w:szCs w:val="18"/>
              </w:rPr>
              <w:t>4.</w:t>
            </w:r>
            <w:r>
              <w:rPr>
                <w:rFonts w:hAnsi="宋体"/>
                <w:kern w:val="0"/>
                <w:sz w:val="18"/>
                <w:szCs w:val="18"/>
              </w:rPr>
              <w:t>可比熟料综合电耗</w:t>
            </w:r>
            <w:r>
              <w:rPr>
                <w:kern w:val="0"/>
                <w:sz w:val="18"/>
                <w:szCs w:val="18"/>
              </w:rPr>
              <w:t>/[(kW•h)/t]</w:t>
            </w:r>
          </w:p>
        </w:tc>
        <w:tc>
          <w:tcPr>
            <w:tcW w:w="1313" w:type="dxa"/>
            <w:shd w:val="clear" w:color="auto" w:fill="auto"/>
            <w:vAlign w:val="center"/>
          </w:tcPr>
          <w:p>
            <w:pPr>
              <w:adjustRightInd w:val="0"/>
              <w:snapToGrid w:val="0"/>
              <w:spacing w:after="60" w:line="240" w:lineRule="atLeast"/>
              <w:ind w:firstLine="360"/>
              <w:jc w:val="center"/>
              <w:rPr>
                <w:rFonts w:ascii="宋体" w:hAnsi="宋体"/>
                <w:sz w:val="18"/>
                <w:szCs w:val="18"/>
              </w:rPr>
            </w:pPr>
            <w:r>
              <w:rPr>
                <w:rFonts w:ascii="宋体" w:hAnsi="宋体"/>
                <w:sz w:val="18"/>
                <w:szCs w:val="18"/>
              </w:rPr>
              <w:t>≤62</w:t>
            </w:r>
          </w:p>
        </w:tc>
        <w:tc>
          <w:tcPr>
            <w:tcW w:w="1313" w:type="dxa"/>
            <w:shd w:val="clear" w:color="auto" w:fill="auto"/>
            <w:vAlign w:val="center"/>
          </w:tcPr>
          <w:p>
            <w:pPr>
              <w:adjustRightInd w:val="0"/>
              <w:snapToGrid w:val="0"/>
              <w:spacing w:after="60" w:line="240" w:lineRule="atLeast"/>
              <w:ind w:firstLine="360"/>
              <w:jc w:val="center"/>
              <w:rPr>
                <w:rFonts w:ascii="宋体" w:hAnsi="宋体"/>
                <w:sz w:val="18"/>
                <w:szCs w:val="18"/>
              </w:rPr>
            </w:pPr>
            <w:r>
              <w:rPr>
                <w:rFonts w:ascii="宋体" w:hAnsi="宋体"/>
                <w:sz w:val="18"/>
                <w:szCs w:val="18"/>
              </w:rPr>
              <w:t>≤65</w:t>
            </w:r>
          </w:p>
        </w:tc>
        <w:tc>
          <w:tcPr>
            <w:tcW w:w="1313" w:type="dxa"/>
            <w:shd w:val="clear" w:color="auto" w:fill="auto"/>
            <w:vAlign w:val="center"/>
          </w:tcPr>
          <w:p>
            <w:pPr>
              <w:adjustRightInd w:val="0"/>
              <w:snapToGrid w:val="0"/>
              <w:spacing w:after="60" w:line="240" w:lineRule="atLeast"/>
              <w:ind w:firstLine="360"/>
              <w:jc w:val="center"/>
              <w:rPr>
                <w:rFonts w:ascii="宋体" w:hAnsi="宋体"/>
                <w:sz w:val="18"/>
                <w:szCs w:val="18"/>
              </w:rPr>
            </w:pPr>
            <w:r>
              <w:rPr>
                <w:rFonts w:ascii="宋体" w:hAnsi="宋体"/>
                <w:sz w:val="18"/>
                <w:szCs w:val="18"/>
              </w:rPr>
              <w:t>≤73</w:t>
            </w:r>
          </w:p>
        </w:tc>
        <w:tc>
          <w:tcPr>
            <w:tcW w:w="1537" w:type="dxa"/>
            <w:shd w:val="clear" w:color="auto" w:fill="auto"/>
            <w:vAlign w:val="center"/>
          </w:tcPr>
          <w:p>
            <w:pPr>
              <w:adjustRightInd w:val="0"/>
              <w:snapToGrid w:val="0"/>
              <w:spacing w:after="60" w:line="240" w:lineRule="atLeast"/>
              <w:ind w:firstLine="360"/>
              <w:jc w:val="center"/>
              <w:rPr>
                <w:sz w:val="18"/>
                <w:szCs w:val="18"/>
              </w:rPr>
            </w:pPr>
            <w:r>
              <w:rPr>
                <w:rFonts w:hint="eastAsia"/>
                <w:sz w:val="18"/>
                <w:szCs w:val="18"/>
              </w:rPr>
              <w:t>57.8</w:t>
            </w:r>
            <w:r>
              <w:rPr>
                <w:kern w:val="0"/>
                <w:sz w:val="18"/>
                <w:szCs w:val="18"/>
              </w:rPr>
              <w:t>(</w:t>
            </w:r>
            <w:r>
              <w:rPr>
                <w:rFonts w:hint="eastAsia" w:hAnsi="宋体"/>
                <w:kern w:val="0"/>
                <w:sz w:val="18"/>
                <w:szCs w:val="18"/>
              </w:rPr>
              <w:t>一</w:t>
            </w:r>
            <w:r>
              <w:rPr>
                <w:rFonts w:hAnsi="宋体"/>
                <w:kern w:val="0"/>
                <w:sz w:val="18"/>
                <w:szCs w:val="18"/>
              </w:rPr>
              <w:t>级</w:t>
            </w:r>
            <w:r>
              <w:rPr>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3357" w:type="dxa"/>
            <w:shd w:val="clear" w:color="auto" w:fill="auto"/>
            <w:vAlign w:val="center"/>
          </w:tcPr>
          <w:p>
            <w:pPr>
              <w:widowControl/>
              <w:adjustRightInd w:val="0"/>
              <w:snapToGrid w:val="0"/>
              <w:spacing w:after="60" w:line="240" w:lineRule="atLeast"/>
              <w:ind w:firstLine="360"/>
              <w:jc w:val="center"/>
              <w:rPr>
                <w:kern w:val="0"/>
                <w:sz w:val="18"/>
                <w:szCs w:val="18"/>
              </w:rPr>
            </w:pPr>
            <w:r>
              <w:rPr>
                <w:kern w:val="0"/>
                <w:sz w:val="18"/>
                <w:szCs w:val="18"/>
              </w:rPr>
              <w:t xml:space="preserve">5. </w:t>
            </w:r>
            <w:r>
              <w:rPr>
                <w:rFonts w:hAnsi="宋体"/>
                <w:kern w:val="0"/>
                <w:sz w:val="18"/>
                <w:szCs w:val="18"/>
              </w:rPr>
              <w:t>可比水泥综合电耗</w:t>
            </w:r>
            <w:r>
              <w:rPr>
                <w:kern w:val="0"/>
                <w:sz w:val="18"/>
                <w:szCs w:val="18"/>
              </w:rPr>
              <w:t>/[(kW•h)/t]</w:t>
            </w:r>
          </w:p>
        </w:tc>
        <w:tc>
          <w:tcPr>
            <w:tcW w:w="1313" w:type="dxa"/>
            <w:shd w:val="clear" w:color="auto" w:fill="auto"/>
            <w:vAlign w:val="center"/>
          </w:tcPr>
          <w:p>
            <w:pPr>
              <w:adjustRightInd w:val="0"/>
              <w:snapToGrid w:val="0"/>
              <w:spacing w:after="60" w:line="240" w:lineRule="atLeast"/>
              <w:ind w:firstLine="360"/>
              <w:jc w:val="center"/>
              <w:rPr>
                <w:rFonts w:ascii="宋体" w:hAnsi="宋体"/>
                <w:sz w:val="18"/>
                <w:szCs w:val="18"/>
              </w:rPr>
            </w:pPr>
            <w:r>
              <w:rPr>
                <w:rFonts w:ascii="宋体" w:hAnsi="宋体"/>
                <w:sz w:val="18"/>
                <w:szCs w:val="18"/>
              </w:rPr>
              <w:t>≤90</w:t>
            </w:r>
          </w:p>
        </w:tc>
        <w:tc>
          <w:tcPr>
            <w:tcW w:w="1313" w:type="dxa"/>
            <w:shd w:val="clear" w:color="auto" w:fill="auto"/>
            <w:vAlign w:val="center"/>
          </w:tcPr>
          <w:p>
            <w:pPr>
              <w:adjustRightInd w:val="0"/>
              <w:snapToGrid w:val="0"/>
              <w:spacing w:after="60" w:line="240" w:lineRule="atLeast"/>
              <w:ind w:firstLine="360"/>
              <w:jc w:val="center"/>
              <w:rPr>
                <w:rFonts w:ascii="宋体" w:hAnsi="宋体"/>
                <w:sz w:val="18"/>
                <w:szCs w:val="18"/>
              </w:rPr>
            </w:pPr>
            <w:r>
              <w:rPr>
                <w:rFonts w:ascii="宋体" w:hAnsi="宋体"/>
                <w:sz w:val="18"/>
                <w:szCs w:val="18"/>
              </w:rPr>
              <w:t>≤100</w:t>
            </w:r>
          </w:p>
        </w:tc>
        <w:tc>
          <w:tcPr>
            <w:tcW w:w="1313" w:type="dxa"/>
            <w:shd w:val="clear" w:color="auto" w:fill="auto"/>
            <w:vAlign w:val="center"/>
          </w:tcPr>
          <w:p>
            <w:pPr>
              <w:adjustRightInd w:val="0"/>
              <w:snapToGrid w:val="0"/>
              <w:spacing w:after="60" w:line="240" w:lineRule="atLeast"/>
              <w:ind w:firstLine="360"/>
              <w:jc w:val="center"/>
              <w:rPr>
                <w:rFonts w:ascii="宋体" w:hAnsi="宋体"/>
                <w:sz w:val="18"/>
                <w:szCs w:val="18"/>
              </w:rPr>
            </w:pPr>
            <w:r>
              <w:rPr>
                <w:rFonts w:ascii="宋体" w:hAnsi="宋体"/>
                <w:sz w:val="18"/>
                <w:szCs w:val="18"/>
              </w:rPr>
              <w:t>≤115</w:t>
            </w:r>
          </w:p>
        </w:tc>
        <w:tc>
          <w:tcPr>
            <w:tcW w:w="1537" w:type="dxa"/>
            <w:shd w:val="clear" w:color="auto" w:fill="auto"/>
            <w:vAlign w:val="center"/>
          </w:tcPr>
          <w:p>
            <w:pPr>
              <w:widowControl/>
              <w:adjustRightInd w:val="0"/>
              <w:snapToGrid w:val="0"/>
              <w:spacing w:after="60" w:line="240" w:lineRule="atLeast"/>
              <w:ind w:firstLine="360"/>
              <w:jc w:val="center"/>
              <w:rPr>
                <w:kern w:val="0"/>
                <w:sz w:val="18"/>
                <w:szCs w:val="18"/>
              </w:rPr>
            </w:pPr>
            <w:r>
              <w:rPr>
                <w:rFonts w:hint="eastAsia"/>
                <w:kern w:val="0"/>
                <w:sz w:val="18"/>
                <w:szCs w:val="18"/>
              </w:rPr>
              <w:t>91</w:t>
            </w:r>
            <w:r>
              <w:rPr>
                <w:kern w:val="0"/>
                <w:sz w:val="18"/>
                <w:szCs w:val="18"/>
              </w:rPr>
              <w:t>(</w:t>
            </w:r>
            <w:r>
              <w:rPr>
                <w:rFonts w:hint="eastAsia" w:hAnsi="宋体"/>
                <w:kern w:val="0"/>
                <w:sz w:val="18"/>
                <w:szCs w:val="18"/>
              </w:rPr>
              <w:t>二</w:t>
            </w:r>
            <w:r>
              <w:rPr>
                <w:rFonts w:hAnsi="宋体"/>
                <w:kern w:val="0"/>
                <w:sz w:val="18"/>
                <w:szCs w:val="18"/>
              </w:rPr>
              <w:t>级</w:t>
            </w:r>
            <w:r>
              <w:rPr>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3357" w:type="dxa"/>
            <w:shd w:val="clear" w:color="auto" w:fill="auto"/>
            <w:vAlign w:val="center"/>
          </w:tcPr>
          <w:p>
            <w:pPr>
              <w:widowControl/>
              <w:adjustRightInd w:val="0"/>
              <w:snapToGrid w:val="0"/>
              <w:spacing w:after="60" w:line="240" w:lineRule="atLeast"/>
              <w:ind w:firstLine="360"/>
              <w:jc w:val="center"/>
              <w:rPr>
                <w:kern w:val="0"/>
                <w:sz w:val="18"/>
                <w:szCs w:val="18"/>
              </w:rPr>
            </w:pPr>
            <w:r>
              <w:rPr>
                <w:kern w:val="0"/>
                <w:sz w:val="18"/>
                <w:szCs w:val="18"/>
              </w:rPr>
              <w:t>6.</w:t>
            </w:r>
            <w:r>
              <w:rPr>
                <w:rFonts w:hAnsi="宋体"/>
                <w:kern w:val="0"/>
                <w:sz w:val="18"/>
                <w:szCs w:val="18"/>
              </w:rPr>
              <w:t>单位熟料新鲜水用量</w:t>
            </w:r>
            <w:r>
              <w:rPr>
                <w:kern w:val="0"/>
                <w:sz w:val="18"/>
                <w:szCs w:val="18"/>
              </w:rPr>
              <w:t>/(t/t)</w:t>
            </w:r>
          </w:p>
        </w:tc>
        <w:tc>
          <w:tcPr>
            <w:tcW w:w="1313" w:type="dxa"/>
            <w:shd w:val="clear" w:color="auto" w:fill="auto"/>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≤0.3</w:t>
            </w:r>
          </w:p>
        </w:tc>
        <w:tc>
          <w:tcPr>
            <w:tcW w:w="1313" w:type="dxa"/>
            <w:shd w:val="clear" w:color="auto" w:fill="auto"/>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≤0.5</w:t>
            </w:r>
          </w:p>
        </w:tc>
        <w:tc>
          <w:tcPr>
            <w:tcW w:w="1313" w:type="dxa"/>
            <w:shd w:val="clear" w:color="auto" w:fill="auto"/>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≤0.75</w:t>
            </w:r>
          </w:p>
        </w:tc>
        <w:tc>
          <w:tcPr>
            <w:tcW w:w="1537" w:type="dxa"/>
            <w:shd w:val="clear" w:color="auto" w:fill="auto"/>
            <w:vAlign w:val="center"/>
          </w:tcPr>
          <w:p>
            <w:pPr>
              <w:widowControl/>
              <w:adjustRightInd w:val="0"/>
              <w:snapToGrid w:val="0"/>
              <w:spacing w:after="60" w:line="240" w:lineRule="atLeast"/>
              <w:ind w:firstLine="360"/>
              <w:jc w:val="center"/>
              <w:rPr>
                <w:kern w:val="0"/>
                <w:sz w:val="18"/>
                <w:szCs w:val="18"/>
              </w:rPr>
            </w:pPr>
            <w:r>
              <w:rPr>
                <w:kern w:val="0"/>
                <w:sz w:val="18"/>
                <w:szCs w:val="18"/>
              </w:rPr>
              <w:t>0.</w:t>
            </w:r>
            <w:r>
              <w:rPr>
                <w:rFonts w:hint="eastAsia"/>
                <w:kern w:val="0"/>
                <w:sz w:val="18"/>
                <w:szCs w:val="18"/>
              </w:rPr>
              <w:t>29</w:t>
            </w:r>
            <w:r>
              <w:rPr>
                <w:kern w:val="0"/>
                <w:sz w:val="18"/>
                <w:szCs w:val="18"/>
              </w:rPr>
              <w:t>(</w:t>
            </w:r>
            <w:r>
              <w:rPr>
                <w:rFonts w:hint="eastAsia" w:hAnsi="宋体"/>
                <w:kern w:val="0"/>
                <w:sz w:val="18"/>
                <w:szCs w:val="18"/>
              </w:rPr>
              <w:t>一</w:t>
            </w:r>
            <w:r>
              <w:rPr>
                <w:rFonts w:hAnsi="宋体"/>
                <w:kern w:val="0"/>
                <w:sz w:val="18"/>
                <w:szCs w:val="18"/>
              </w:rPr>
              <w:t>级</w:t>
            </w:r>
            <w:r>
              <w:rPr>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3357" w:type="dxa"/>
            <w:shd w:val="clear" w:color="auto" w:fill="auto"/>
            <w:vAlign w:val="center"/>
          </w:tcPr>
          <w:p>
            <w:pPr>
              <w:widowControl/>
              <w:adjustRightInd w:val="0"/>
              <w:snapToGrid w:val="0"/>
              <w:spacing w:after="60" w:line="240" w:lineRule="atLeast"/>
              <w:ind w:firstLine="360"/>
              <w:jc w:val="center"/>
              <w:rPr>
                <w:kern w:val="0"/>
                <w:sz w:val="18"/>
                <w:szCs w:val="18"/>
              </w:rPr>
            </w:pPr>
            <w:r>
              <w:rPr>
                <w:kern w:val="0"/>
                <w:sz w:val="18"/>
                <w:szCs w:val="18"/>
              </w:rPr>
              <w:t>7.</w:t>
            </w:r>
            <w:r>
              <w:rPr>
                <w:rFonts w:hAnsi="宋体"/>
                <w:kern w:val="0"/>
                <w:sz w:val="18"/>
                <w:szCs w:val="18"/>
              </w:rPr>
              <w:t>循环水利用率</w:t>
            </w:r>
            <w:r>
              <w:rPr>
                <w:kern w:val="0"/>
                <w:sz w:val="18"/>
                <w:szCs w:val="18"/>
              </w:rPr>
              <w:t>/%</w:t>
            </w:r>
          </w:p>
        </w:tc>
        <w:tc>
          <w:tcPr>
            <w:tcW w:w="1313" w:type="dxa"/>
            <w:shd w:val="clear" w:color="auto" w:fill="auto"/>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≥95</w:t>
            </w:r>
          </w:p>
        </w:tc>
        <w:tc>
          <w:tcPr>
            <w:tcW w:w="1313" w:type="dxa"/>
            <w:shd w:val="clear" w:color="auto" w:fill="auto"/>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≥90</w:t>
            </w:r>
          </w:p>
        </w:tc>
        <w:tc>
          <w:tcPr>
            <w:tcW w:w="1313" w:type="dxa"/>
            <w:shd w:val="clear" w:color="auto" w:fill="auto"/>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≥85</w:t>
            </w:r>
          </w:p>
        </w:tc>
        <w:tc>
          <w:tcPr>
            <w:tcW w:w="1537" w:type="dxa"/>
            <w:shd w:val="clear" w:color="auto" w:fill="auto"/>
            <w:vAlign w:val="center"/>
          </w:tcPr>
          <w:p>
            <w:pPr>
              <w:widowControl/>
              <w:adjustRightInd w:val="0"/>
              <w:snapToGrid w:val="0"/>
              <w:spacing w:after="60" w:line="240" w:lineRule="atLeast"/>
              <w:ind w:firstLine="360"/>
              <w:jc w:val="center"/>
              <w:rPr>
                <w:kern w:val="0"/>
                <w:sz w:val="18"/>
                <w:szCs w:val="18"/>
              </w:rPr>
            </w:pPr>
            <w:r>
              <w:rPr>
                <w:rFonts w:hint="eastAsia"/>
                <w:kern w:val="0"/>
                <w:sz w:val="18"/>
                <w:szCs w:val="18"/>
              </w:rPr>
              <w:t>96.4</w:t>
            </w:r>
            <w:r>
              <w:rPr>
                <w:kern w:val="0"/>
                <w:sz w:val="18"/>
                <w:szCs w:val="18"/>
              </w:rPr>
              <w:t>(</w:t>
            </w:r>
            <w:r>
              <w:rPr>
                <w:rFonts w:hAnsi="宋体"/>
                <w:kern w:val="0"/>
                <w:sz w:val="18"/>
                <w:szCs w:val="18"/>
              </w:rPr>
              <w:t>一级</w:t>
            </w:r>
            <w:r>
              <w:rPr>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3357" w:type="dxa"/>
            <w:shd w:val="clear" w:color="auto" w:fill="auto"/>
            <w:vAlign w:val="center"/>
          </w:tcPr>
          <w:p>
            <w:pPr>
              <w:widowControl/>
              <w:adjustRightInd w:val="0"/>
              <w:snapToGrid w:val="0"/>
              <w:spacing w:after="60" w:line="240" w:lineRule="atLeast"/>
              <w:ind w:firstLine="360"/>
              <w:jc w:val="center"/>
              <w:rPr>
                <w:kern w:val="0"/>
                <w:sz w:val="18"/>
                <w:szCs w:val="18"/>
              </w:rPr>
            </w:pPr>
            <w:r>
              <w:rPr>
                <w:kern w:val="0"/>
                <w:sz w:val="18"/>
                <w:szCs w:val="18"/>
              </w:rPr>
              <w:t>8.</w:t>
            </w:r>
            <w:r>
              <w:rPr>
                <w:rFonts w:hAnsi="宋体"/>
                <w:kern w:val="0"/>
                <w:sz w:val="18"/>
                <w:szCs w:val="18"/>
              </w:rPr>
              <w:t>水泥散装率</w:t>
            </w:r>
            <w:r>
              <w:rPr>
                <w:kern w:val="0"/>
                <w:sz w:val="18"/>
                <w:szCs w:val="18"/>
              </w:rPr>
              <w:t>/%</w:t>
            </w:r>
          </w:p>
        </w:tc>
        <w:tc>
          <w:tcPr>
            <w:tcW w:w="1313" w:type="dxa"/>
            <w:shd w:val="clear" w:color="auto" w:fill="auto"/>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≥70</w:t>
            </w:r>
          </w:p>
        </w:tc>
        <w:tc>
          <w:tcPr>
            <w:tcW w:w="1313" w:type="dxa"/>
            <w:shd w:val="clear" w:color="auto" w:fill="auto"/>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≥40</w:t>
            </w:r>
          </w:p>
        </w:tc>
        <w:tc>
          <w:tcPr>
            <w:tcW w:w="1313" w:type="dxa"/>
            <w:shd w:val="clear" w:color="auto" w:fill="auto"/>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≥30</w:t>
            </w:r>
          </w:p>
        </w:tc>
        <w:tc>
          <w:tcPr>
            <w:tcW w:w="1537" w:type="dxa"/>
            <w:shd w:val="clear" w:color="auto" w:fill="auto"/>
            <w:vAlign w:val="center"/>
          </w:tcPr>
          <w:p>
            <w:pPr>
              <w:widowControl/>
              <w:adjustRightInd w:val="0"/>
              <w:snapToGrid w:val="0"/>
              <w:spacing w:after="60" w:line="240" w:lineRule="atLeast"/>
              <w:ind w:firstLine="360"/>
              <w:jc w:val="center"/>
              <w:rPr>
                <w:kern w:val="0"/>
                <w:sz w:val="18"/>
                <w:szCs w:val="18"/>
              </w:rPr>
            </w:pPr>
            <w:r>
              <w:rPr>
                <w:kern w:val="0"/>
                <w:sz w:val="18"/>
                <w:szCs w:val="18"/>
              </w:rPr>
              <w:t>70(</w:t>
            </w:r>
            <w:r>
              <w:rPr>
                <w:rFonts w:hAnsi="宋体"/>
                <w:kern w:val="0"/>
                <w:sz w:val="18"/>
                <w:szCs w:val="18"/>
              </w:rPr>
              <w:t>一级</w:t>
            </w:r>
            <w:r>
              <w:rPr>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3357" w:type="dxa"/>
            <w:shd w:val="clear" w:color="auto" w:fill="auto"/>
            <w:vAlign w:val="center"/>
          </w:tcPr>
          <w:p>
            <w:pPr>
              <w:widowControl/>
              <w:adjustRightInd w:val="0"/>
              <w:snapToGrid w:val="0"/>
              <w:spacing w:after="60" w:line="240" w:lineRule="atLeast"/>
              <w:ind w:firstLine="360"/>
              <w:jc w:val="center"/>
              <w:rPr>
                <w:kern w:val="0"/>
                <w:sz w:val="18"/>
                <w:szCs w:val="18"/>
              </w:rPr>
            </w:pPr>
            <w:r>
              <w:rPr>
                <w:kern w:val="0"/>
                <w:sz w:val="18"/>
                <w:szCs w:val="18"/>
              </w:rPr>
              <w:t>9.</w:t>
            </w:r>
            <w:r>
              <w:rPr>
                <w:rFonts w:hAnsi="宋体"/>
                <w:kern w:val="0"/>
                <w:sz w:val="18"/>
                <w:szCs w:val="18"/>
              </w:rPr>
              <w:t>原料配料中使用工业废物</w:t>
            </w:r>
            <w:r>
              <w:rPr>
                <w:kern w:val="0"/>
                <w:sz w:val="18"/>
                <w:szCs w:val="18"/>
              </w:rPr>
              <w:t>/%</w:t>
            </w:r>
          </w:p>
        </w:tc>
        <w:tc>
          <w:tcPr>
            <w:tcW w:w="1313" w:type="dxa"/>
            <w:shd w:val="clear" w:color="auto" w:fill="auto"/>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≥15</w:t>
            </w:r>
          </w:p>
        </w:tc>
        <w:tc>
          <w:tcPr>
            <w:tcW w:w="1313" w:type="dxa"/>
            <w:shd w:val="clear" w:color="auto" w:fill="auto"/>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≥10</w:t>
            </w:r>
          </w:p>
        </w:tc>
        <w:tc>
          <w:tcPr>
            <w:tcW w:w="1313" w:type="dxa"/>
            <w:shd w:val="clear" w:color="auto" w:fill="auto"/>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≥5</w:t>
            </w:r>
          </w:p>
        </w:tc>
        <w:tc>
          <w:tcPr>
            <w:tcW w:w="1537" w:type="dxa"/>
            <w:shd w:val="clear" w:color="auto" w:fill="auto"/>
            <w:vAlign w:val="center"/>
          </w:tcPr>
          <w:p>
            <w:pPr>
              <w:widowControl/>
              <w:adjustRightInd w:val="0"/>
              <w:snapToGrid w:val="0"/>
              <w:spacing w:after="60" w:line="240" w:lineRule="atLeast"/>
              <w:ind w:firstLine="360"/>
              <w:jc w:val="center"/>
              <w:rPr>
                <w:kern w:val="0"/>
                <w:sz w:val="18"/>
                <w:szCs w:val="18"/>
              </w:rPr>
            </w:pPr>
            <w:r>
              <w:rPr>
                <w:rFonts w:hint="eastAsia"/>
                <w:kern w:val="0"/>
                <w:sz w:val="18"/>
                <w:szCs w:val="18"/>
              </w:rPr>
              <w:t>22.67</w:t>
            </w:r>
            <w:r>
              <w:rPr>
                <w:kern w:val="0"/>
                <w:sz w:val="18"/>
                <w:szCs w:val="18"/>
              </w:rPr>
              <w:t>(</w:t>
            </w:r>
            <w:r>
              <w:rPr>
                <w:rFonts w:hint="eastAsia" w:hAnsi="宋体"/>
                <w:kern w:val="0"/>
                <w:sz w:val="18"/>
                <w:szCs w:val="18"/>
              </w:rPr>
              <w:t>一</w:t>
            </w:r>
            <w:r>
              <w:rPr>
                <w:rFonts w:hAnsi="宋体"/>
                <w:kern w:val="0"/>
                <w:sz w:val="18"/>
                <w:szCs w:val="18"/>
              </w:rPr>
              <w:t>级</w:t>
            </w:r>
            <w:r>
              <w:rPr>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3357" w:type="dxa"/>
            <w:shd w:val="clear" w:color="auto" w:fill="auto"/>
            <w:vAlign w:val="center"/>
          </w:tcPr>
          <w:p>
            <w:pPr>
              <w:widowControl/>
              <w:adjustRightInd w:val="0"/>
              <w:snapToGrid w:val="0"/>
              <w:spacing w:after="60" w:line="240" w:lineRule="atLeast"/>
              <w:ind w:firstLine="360"/>
              <w:jc w:val="center"/>
              <w:rPr>
                <w:kern w:val="0"/>
                <w:sz w:val="18"/>
                <w:szCs w:val="18"/>
              </w:rPr>
            </w:pPr>
            <w:r>
              <w:rPr>
                <w:kern w:val="0"/>
                <w:sz w:val="18"/>
                <w:szCs w:val="18"/>
              </w:rPr>
              <w:t>10.</w:t>
            </w:r>
            <w:r>
              <w:rPr>
                <w:rFonts w:hAnsi="宋体"/>
                <w:kern w:val="0"/>
                <w:sz w:val="18"/>
                <w:szCs w:val="18"/>
              </w:rPr>
              <w:t>窑系统废气余热利用率</w:t>
            </w:r>
            <w:r>
              <w:rPr>
                <w:kern w:val="0"/>
                <w:sz w:val="18"/>
                <w:szCs w:val="18"/>
              </w:rPr>
              <w:t>/%</w:t>
            </w:r>
          </w:p>
        </w:tc>
        <w:tc>
          <w:tcPr>
            <w:tcW w:w="1313" w:type="dxa"/>
            <w:shd w:val="clear" w:color="auto" w:fill="auto"/>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≥70</w:t>
            </w:r>
          </w:p>
        </w:tc>
        <w:tc>
          <w:tcPr>
            <w:tcW w:w="1313" w:type="dxa"/>
            <w:shd w:val="clear" w:color="auto" w:fill="auto"/>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≥50</w:t>
            </w:r>
          </w:p>
        </w:tc>
        <w:tc>
          <w:tcPr>
            <w:tcW w:w="1313" w:type="dxa"/>
            <w:shd w:val="clear" w:color="auto" w:fill="auto"/>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≥30</w:t>
            </w:r>
          </w:p>
        </w:tc>
        <w:tc>
          <w:tcPr>
            <w:tcW w:w="1537" w:type="dxa"/>
            <w:shd w:val="clear" w:color="auto" w:fill="auto"/>
            <w:vAlign w:val="center"/>
          </w:tcPr>
          <w:p>
            <w:pPr>
              <w:widowControl/>
              <w:adjustRightInd w:val="0"/>
              <w:snapToGrid w:val="0"/>
              <w:spacing w:after="60" w:line="240" w:lineRule="atLeast"/>
              <w:ind w:firstLine="360"/>
              <w:jc w:val="center"/>
              <w:rPr>
                <w:kern w:val="0"/>
                <w:sz w:val="18"/>
                <w:szCs w:val="18"/>
              </w:rPr>
            </w:pPr>
            <w:r>
              <w:rPr>
                <w:rFonts w:hint="eastAsia"/>
                <w:kern w:val="0"/>
                <w:sz w:val="18"/>
                <w:szCs w:val="18"/>
              </w:rPr>
              <w:t>70</w:t>
            </w:r>
            <w:r>
              <w:rPr>
                <w:kern w:val="0"/>
                <w:sz w:val="18"/>
                <w:szCs w:val="18"/>
              </w:rPr>
              <w:t>(</w:t>
            </w:r>
            <w:r>
              <w:rPr>
                <w:rFonts w:hint="eastAsia" w:hAnsi="宋体"/>
                <w:kern w:val="0"/>
                <w:sz w:val="18"/>
                <w:szCs w:val="18"/>
              </w:rPr>
              <w:t>一</w:t>
            </w:r>
            <w:r>
              <w:rPr>
                <w:rFonts w:hAnsi="宋体"/>
                <w:kern w:val="0"/>
                <w:sz w:val="18"/>
                <w:szCs w:val="18"/>
              </w:rPr>
              <w:t>级</w:t>
            </w:r>
            <w:r>
              <w:rPr>
                <w:kern w:val="0"/>
                <w:sz w:val="18"/>
                <w:szCs w:val="18"/>
              </w:rPr>
              <w:t>)</w:t>
            </w:r>
          </w:p>
        </w:tc>
      </w:tr>
    </w:tbl>
    <w:p>
      <w:pPr>
        <w:autoSpaceDE w:val="0"/>
        <w:autoSpaceDN w:val="0"/>
        <w:adjustRightInd w:val="0"/>
        <w:snapToGrid w:val="0"/>
        <w:spacing w:line="348" w:lineRule="auto"/>
        <w:ind w:firstLine="420" w:firstLineChars="200"/>
        <w:jc w:val="left"/>
        <w:rPr>
          <w:rFonts w:hint="eastAsia" w:ascii="宋体" w:hAnsi="宋体"/>
        </w:rPr>
      </w:pPr>
    </w:p>
    <w:p>
      <w:pPr>
        <w:autoSpaceDE w:val="0"/>
        <w:autoSpaceDN w:val="0"/>
        <w:adjustRightInd w:val="0"/>
        <w:snapToGrid w:val="0"/>
        <w:spacing w:line="348" w:lineRule="auto"/>
        <w:ind w:firstLine="420" w:firstLineChars="200"/>
        <w:jc w:val="left"/>
        <w:rPr>
          <w:rFonts w:hint="eastAsia" w:ascii="宋体" w:hAnsi="宋体"/>
        </w:rPr>
      </w:pPr>
      <w:r>
        <w:rPr>
          <w:rFonts w:ascii="宋体" w:hAnsi="宋体"/>
        </w:rPr>
        <w:t>由表</w:t>
      </w:r>
      <w:r>
        <w:rPr>
          <w:rFonts w:hint="eastAsia" w:ascii="宋体" w:hAnsi="宋体"/>
        </w:rPr>
        <w:t>4</w:t>
      </w:r>
      <w:r>
        <w:rPr>
          <w:rFonts w:ascii="宋体" w:hAnsi="宋体"/>
        </w:rPr>
        <w:t>－</w:t>
      </w:r>
      <w:r>
        <w:rPr>
          <w:rFonts w:hint="eastAsia" w:ascii="宋体" w:hAnsi="宋体"/>
        </w:rPr>
        <w:t>2</w:t>
      </w:r>
      <w:r>
        <w:rPr>
          <w:rFonts w:ascii="宋体" w:hAnsi="宋体"/>
        </w:rPr>
        <w:t>可知，</w:t>
      </w:r>
      <w:r>
        <w:rPr>
          <w:rFonts w:hint="eastAsia" w:ascii="宋体" w:hAnsi="宋体"/>
        </w:rPr>
        <w:t>技改项目可比熟料综合电耗、单位熟料新鲜水用量、循环水利用率、水泥散装率、窑系统废气余热利用率和原料配料中使用工业废物均达到清洁生产</w:t>
      </w:r>
      <w:bookmarkStart w:id="195" w:name="OLE_LINK14"/>
      <w:r>
        <w:rPr>
          <w:rFonts w:hint="eastAsia" w:ascii="宋体" w:hAnsi="宋体"/>
        </w:rPr>
        <w:t>一级标准</w:t>
      </w:r>
      <w:bookmarkEnd w:id="195"/>
      <w:r>
        <w:rPr>
          <w:rFonts w:hint="eastAsia" w:ascii="宋体" w:hAnsi="宋体"/>
        </w:rPr>
        <w:t>，可比熟料综合煤耗、可比熟料综合能耗、可比水泥综合能耗、可比水泥综合电耗均达到清洁生产二级标准，总体资源能源消耗较低。</w:t>
      </w:r>
    </w:p>
    <w:p>
      <w:pPr>
        <w:autoSpaceDE w:val="0"/>
        <w:autoSpaceDN w:val="0"/>
        <w:adjustRightInd w:val="0"/>
        <w:snapToGrid w:val="0"/>
        <w:spacing w:line="348" w:lineRule="auto"/>
        <w:ind w:firstLine="420" w:firstLineChars="200"/>
        <w:jc w:val="left"/>
        <w:rPr>
          <w:rFonts w:ascii="宋体" w:hAnsi="宋体"/>
        </w:rPr>
      </w:pPr>
      <w:r>
        <w:rPr>
          <w:rFonts w:hint="eastAsia" w:ascii="宋体" w:hAnsi="宋体"/>
        </w:rPr>
        <w:t>（3）</w:t>
      </w:r>
      <w:r>
        <w:rPr>
          <w:rFonts w:ascii="宋体" w:hAnsi="宋体"/>
        </w:rPr>
        <w:t>产品指标</w:t>
      </w:r>
    </w:p>
    <w:p>
      <w:pPr>
        <w:autoSpaceDE w:val="0"/>
        <w:autoSpaceDN w:val="0"/>
        <w:adjustRightInd w:val="0"/>
        <w:snapToGrid w:val="0"/>
        <w:spacing w:line="348" w:lineRule="auto"/>
        <w:ind w:firstLine="420" w:firstLineChars="200"/>
        <w:rPr>
          <w:rFonts w:hint="eastAsia" w:ascii="宋体" w:hAnsi="宋体"/>
        </w:rPr>
      </w:pPr>
      <w:r>
        <w:rPr>
          <w:rFonts w:hint="eastAsia" w:ascii="宋体" w:hAnsi="宋体"/>
        </w:rPr>
        <w:t>技改项目产品</w:t>
      </w:r>
      <w:r>
        <w:rPr>
          <w:rFonts w:ascii="宋体" w:hAnsi="宋体"/>
        </w:rPr>
        <w:t xml:space="preserve">指标与《清洁生产标准 </w:t>
      </w:r>
      <w:r>
        <w:rPr>
          <w:rFonts w:hint="eastAsia" w:ascii="宋体" w:hAnsi="宋体"/>
        </w:rPr>
        <w:t>水泥工</w:t>
      </w:r>
      <w:r>
        <w:rPr>
          <w:rFonts w:ascii="宋体" w:hAnsi="宋体"/>
        </w:rPr>
        <w:t>业》HJ</w:t>
      </w:r>
      <w:r>
        <w:rPr>
          <w:rFonts w:hint="eastAsia" w:ascii="宋体" w:hAnsi="宋体"/>
        </w:rPr>
        <w:t xml:space="preserve"> 467</w:t>
      </w:r>
      <w:r>
        <w:rPr>
          <w:rFonts w:ascii="宋体" w:hAnsi="宋体"/>
        </w:rPr>
        <w:t>－200</w:t>
      </w:r>
      <w:r>
        <w:rPr>
          <w:rFonts w:hint="eastAsia" w:ascii="宋体" w:hAnsi="宋体"/>
        </w:rPr>
        <w:t>9</w:t>
      </w:r>
      <w:r>
        <w:rPr>
          <w:rFonts w:ascii="宋体" w:hAnsi="宋体"/>
        </w:rPr>
        <w:t>的比较结果见表</w:t>
      </w:r>
      <w:r>
        <w:rPr>
          <w:rFonts w:hint="eastAsia" w:ascii="宋体" w:hAnsi="宋体"/>
        </w:rPr>
        <w:t>4</w:t>
      </w:r>
      <w:r>
        <w:rPr>
          <w:rFonts w:ascii="宋体" w:hAnsi="宋体"/>
        </w:rPr>
        <w:t>－</w:t>
      </w:r>
      <w:r>
        <w:rPr>
          <w:rFonts w:hint="eastAsia" w:ascii="宋体" w:hAnsi="宋体"/>
        </w:rPr>
        <w:t>3</w:t>
      </w:r>
      <w:r>
        <w:rPr>
          <w:rFonts w:ascii="宋体" w:hAnsi="宋体"/>
        </w:rPr>
        <w:t>。</w:t>
      </w:r>
    </w:p>
    <w:p>
      <w:pPr>
        <w:autoSpaceDE w:val="0"/>
        <w:autoSpaceDN w:val="0"/>
        <w:adjustRightInd w:val="0"/>
        <w:snapToGrid w:val="0"/>
        <w:spacing w:line="348" w:lineRule="auto"/>
        <w:ind w:leftChars="-2" w:hanging="4" w:hangingChars="2"/>
        <w:jc w:val="center"/>
        <w:rPr>
          <w:rFonts w:hint="eastAsia" w:hAnsi="宋体"/>
          <w:b/>
          <w:kern w:val="28"/>
        </w:rPr>
      </w:pPr>
      <w:r>
        <w:rPr>
          <w:rFonts w:hAnsi="宋体"/>
          <w:b/>
          <w:kern w:val="28"/>
        </w:rPr>
        <w:t>表</w:t>
      </w:r>
      <w:r>
        <w:rPr>
          <w:rFonts w:hint="eastAsia" w:hAnsi="宋体"/>
          <w:b/>
          <w:kern w:val="28"/>
        </w:rPr>
        <w:t>4</w:t>
      </w:r>
      <w:r>
        <w:rPr>
          <w:rFonts w:hAnsi="宋体"/>
          <w:b/>
          <w:kern w:val="28"/>
        </w:rPr>
        <w:t>－</w:t>
      </w:r>
      <w:r>
        <w:rPr>
          <w:rFonts w:hint="eastAsia" w:hAnsi="宋体"/>
          <w:b/>
          <w:kern w:val="28"/>
        </w:rPr>
        <w:t>3  产品指标</w:t>
      </w:r>
      <w:r>
        <w:rPr>
          <w:rFonts w:hAnsi="宋体"/>
          <w:b/>
          <w:kern w:val="28"/>
        </w:rPr>
        <w:t>与清洁生产标准对照评价</w:t>
      </w:r>
    </w:p>
    <w:tbl>
      <w:tblPr>
        <w:tblStyle w:val="23"/>
        <w:tblW w:w="8896" w:type="dxa"/>
        <w:jc w:val="center"/>
        <w:tblInd w:w="154"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613"/>
        <w:gridCol w:w="1943"/>
        <w:gridCol w:w="1943"/>
        <w:gridCol w:w="1945"/>
        <w:gridCol w:w="145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493" w:hRule="atLeast"/>
          <w:jc w:val="center"/>
        </w:trPr>
        <w:tc>
          <w:tcPr>
            <w:tcW w:w="1613" w:type="dxa"/>
            <w:tcBorders>
              <w:bottom w:val="single" w:color="000000" w:sz="12" w:space="0"/>
            </w:tcBorders>
            <w:shd w:val="clear" w:color="auto" w:fill="auto"/>
            <w:vAlign w:val="center"/>
          </w:tcPr>
          <w:p>
            <w:pPr>
              <w:widowControl/>
              <w:spacing w:after="60"/>
              <w:ind w:firstLine="360"/>
              <w:jc w:val="center"/>
              <w:rPr>
                <w:rFonts w:ascii="宋体" w:hAnsi="宋体" w:cs="宋体"/>
                <w:kern w:val="0"/>
                <w:sz w:val="18"/>
                <w:szCs w:val="18"/>
              </w:rPr>
            </w:pPr>
            <w:r>
              <w:rPr>
                <w:rFonts w:hint="eastAsia" w:ascii="宋体" w:hAnsi="宋体" w:cs="宋体"/>
                <w:kern w:val="0"/>
                <w:sz w:val="18"/>
                <w:szCs w:val="18"/>
              </w:rPr>
              <w:t>清洁生产指标</w:t>
            </w:r>
          </w:p>
        </w:tc>
        <w:tc>
          <w:tcPr>
            <w:tcW w:w="1943" w:type="dxa"/>
            <w:tcBorders>
              <w:bottom w:val="single" w:color="000000" w:sz="12" w:space="0"/>
            </w:tcBorders>
            <w:shd w:val="clear" w:color="auto" w:fill="auto"/>
            <w:vAlign w:val="center"/>
          </w:tcPr>
          <w:p>
            <w:pPr>
              <w:widowControl/>
              <w:spacing w:after="60"/>
              <w:ind w:firstLine="360"/>
              <w:jc w:val="center"/>
              <w:rPr>
                <w:rFonts w:ascii="宋体" w:hAnsi="宋体" w:cs="宋体"/>
                <w:kern w:val="0"/>
                <w:sz w:val="18"/>
                <w:szCs w:val="18"/>
              </w:rPr>
            </w:pPr>
            <w:r>
              <w:rPr>
                <w:rFonts w:hint="eastAsia" w:ascii="宋体" w:hAnsi="宋体" w:cs="宋体"/>
                <w:kern w:val="0"/>
                <w:sz w:val="18"/>
                <w:szCs w:val="18"/>
              </w:rPr>
              <w:t>一级</w:t>
            </w:r>
          </w:p>
        </w:tc>
        <w:tc>
          <w:tcPr>
            <w:tcW w:w="1943" w:type="dxa"/>
            <w:tcBorders>
              <w:bottom w:val="single" w:color="000000" w:sz="12" w:space="0"/>
            </w:tcBorders>
            <w:shd w:val="clear" w:color="auto" w:fill="auto"/>
            <w:vAlign w:val="center"/>
          </w:tcPr>
          <w:p>
            <w:pPr>
              <w:widowControl/>
              <w:spacing w:after="60"/>
              <w:ind w:firstLine="360"/>
              <w:jc w:val="center"/>
              <w:rPr>
                <w:rFonts w:ascii="宋体" w:hAnsi="宋体" w:cs="宋体"/>
                <w:kern w:val="0"/>
                <w:sz w:val="18"/>
                <w:szCs w:val="18"/>
              </w:rPr>
            </w:pPr>
            <w:r>
              <w:rPr>
                <w:rFonts w:hint="eastAsia" w:ascii="宋体" w:hAnsi="宋体" w:cs="宋体"/>
                <w:kern w:val="0"/>
                <w:sz w:val="18"/>
                <w:szCs w:val="18"/>
              </w:rPr>
              <w:t>二级</w:t>
            </w:r>
          </w:p>
        </w:tc>
        <w:tc>
          <w:tcPr>
            <w:tcW w:w="1945" w:type="dxa"/>
            <w:tcBorders>
              <w:bottom w:val="single" w:color="000000" w:sz="12" w:space="0"/>
            </w:tcBorders>
            <w:shd w:val="clear" w:color="auto" w:fill="auto"/>
            <w:vAlign w:val="center"/>
          </w:tcPr>
          <w:p>
            <w:pPr>
              <w:widowControl/>
              <w:spacing w:after="60"/>
              <w:ind w:firstLine="360"/>
              <w:jc w:val="center"/>
              <w:rPr>
                <w:rFonts w:ascii="宋体" w:hAnsi="宋体" w:cs="宋体"/>
                <w:kern w:val="0"/>
                <w:sz w:val="18"/>
                <w:szCs w:val="18"/>
              </w:rPr>
            </w:pPr>
            <w:r>
              <w:rPr>
                <w:rFonts w:hint="eastAsia" w:ascii="宋体" w:hAnsi="宋体" w:cs="宋体"/>
                <w:kern w:val="0"/>
                <w:sz w:val="18"/>
                <w:szCs w:val="18"/>
              </w:rPr>
              <w:t>三级</w:t>
            </w:r>
          </w:p>
        </w:tc>
        <w:tc>
          <w:tcPr>
            <w:tcW w:w="1452" w:type="dxa"/>
            <w:tcBorders>
              <w:bottom w:val="single" w:color="000000" w:sz="12" w:space="0"/>
            </w:tcBorders>
            <w:shd w:val="clear" w:color="auto" w:fill="auto"/>
            <w:vAlign w:val="center"/>
          </w:tcPr>
          <w:p>
            <w:pPr>
              <w:spacing w:after="60"/>
              <w:ind w:firstLine="360"/>
              <w:jc w:val="center"/>
              <w:rPr>
                <w:rFonts w:ascii="宋体" w:hAnsi="宋体" w:cs="宋体"/>
                <w:kern w:val="0"/>
                <w:sz w:val="18"/>
                <w:szCs w:val="18"/>
              </w:rPr>
            </w:pPr>
            <w:r>
              <w:rPr>
                <w:rFonts w:hint="eastAsia" w:ascii="宋体" w:hAnsi="宋体" w:cs="宋体"/>
                <w:kern w:val="0"/>
                <w:sz w:val="18"/>
                <w:szCs w:val="18"/>
              </w:rPr>
              <w:t>技改项目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25" w:hRule="atLeast"/>
          <w:jc w:val="center"/>
        </w:trPr>
        <w:tc>
          <w:tcPr>
            <w:tcW w:w="1613" w:type="dxa"/>
            <w:shd w:val="clear" w:color="auto" w:fill="auto"/>
            <w:vAlign w:val="center"/>
          </w:tcPr>
          <w:p>
            <w:pPr>
              <w:autoSpaceDE w:val="0"/>
              <w:autoSpaceDN w:val="0"/>
              <w:adjustRightInd w:val="0"/>
              <w:spacing w:after="60"/>
              <w:ind w:firstLine="360"/>
              <w:jc w:val="left"/>
              <w:rPr>
                <w:rFonts w:hint="eastAsia"/>
                <w:kern w:val="0"/>
                <w:sz w:val="20"/>
                <w:szCs w:val="20"/>
              </w:rPr>
            </w:pPr>
            <w:r>
              <w:rPr>
                <w:kern w:val="0"/>
                <w:sz w:val="18"/>
                <w:szCs w:val="18"/>
              </w:rPr>
              <w:t>1</w:t>
            </w:r>
            <w:r>
              <w:rPr>
                <w:rFonts w:hint="eastAsia" w:ascii="宋体" w:cs="宋体"/>
                <w:kern w:val="0"/>
                <w:sz w:val="18"/>
                <w:szCs w:val="18"/>
              </w:rPr>
              <w:t>．质量指标</w:t>
            </w:r>
          </w:p>
        </w:tc>
        <w:tc>
          <w:tcPr>
            <w:tcW w:w="5831" w:type="dxa"/>
            <w:gridSpan w:val="3"/>
            <w:shd w:val="clear" w:color="auto" w:fill="auto"/>
            <w:vAlign w:val="top"/>
          </w:tcPr>
          <w:p>
            <w:pPr>
              <w:autoSpaceDE w:val="0"/>
              <w:autoSpaceDN w:val="0"/>
              <w:adjustRightInd w:val="0"/>
              <w:spacing w:after="60"/>
              <w:ind w:firstLine="360"/>
              <w:jc w:val="left"/>
              <w:rPr>
                <w:kern w:val="0"/>
                <w:sz w:val="18"/>
                <w:szCs w:val="18"/>
              </w:rPr>
            </w:pPr>
            <w:r>
              <w:rPr>
                <w:rFonts w:hint="eastAsia" w:ascii="宋体" w:cs="宋体"/>
                <w:kern w:val="0"/>
                <w:sz w:val="18"/>
                <w:szCs w:val="18"/>
              </w:rPr>
              <w:t>水泥、熟料产品质量应符合</w:t>
            </w:r>
            <w:r>
              <w:rPr>
                <w:kern w:val="0"/>
                <w:sz w:val="18"/>
                <w:szCs w:val="18"/>
              </w:rPr>
              <w:t>GB175</w:t>
            </w:r>
            <w:r>
              <w:rPr>
                <w:rFonts w:hint="eastAsia" w:ascii="宋体" w:cs="宋体"/>
                <w:kern w:val="0"/>
                <w:sz w:val="18"/>
                <w:szCs w:val="18"/>
              </w:rPr>
              <w:t>、</w:t>
            </w:r>
            <w:r>
              <w:rPr>
                <w:kern w:val="0"/>
                <w:sz w:val="18"/>
                <w:szCs w:val="18"/>
              </w:rPr>
              <w:t>GB 13590</w:t>
            </w:r>
            <w:r>
              <w:rPr>
                <w:rFonts w:hint="eastAsia" w:ascii="宋体" w:cs="宋体"/>
                <w:kern w:val="0"/>
                <w:sz w:val="18"/>
                <w:szCs w:val="18"/>
              </w:rPr>
              <w:t>、</w:t>
            </w:r>
            <w:r>
              <w:rPr>
                <w:kern w:val="0"/>
                <w:sz w:val="18"/>
                <w:szCs w:val="18"/>
              </w:rPr>
              <w:t>GB/T 21372</w:t>
            </w:r>
            <w:r>
              <w:rPr>
                <w:rFonts w:hint="eastAsia" w:ascii="宋体" w:cs="宋体"/>
                <w:kern w:val="0"/>
                <w:sz w:val="18"/>
                <w:szCs w:val="18"/>
              </w:rPr>
              <w:t>、</w:t>
            </w:r>
            <w:r>
              <w:rPr>
                <w:kern w:val="0"/>
                <w:sz w:val="18"/>
                <w:szCs w:val="18"/>
              </w:rPr>
              <w:t>JC600</w:t>
            </w:r>
          </w:p>
          <w:p>
            <w:pPr>
              <w:widowControl/>
              <w:spacing w:after="60"/>
              <w:ind w:firstLine="360"/>
              <w:rPr>
                <w:rFonts w:hint="eastAsia" w:ascii="宋体" w:hAnsi="宋体" w:cs="宋体"/>
                <w:spacing w:val="-20"/>
                <w:kern w:val="0"/>
                <w:sz w:val="18"/>
                <w:szCs w:val="18"/>
              </w:rPr>
            </w:pPr>
            <w:r>
              <w:rPr>
                <w:rFonts w:hint="eastAsia" w:ascii="宋体" w:cs="宋体"/>
                <w:kern w:val="0"/>
                <w:sz w:val="18"/>
                <w:szCs w:val="18"/>
              </w:rPr>
              <w:t>和《水泥企业质量管理规程》的有关要求，产品出厂合格率，</w:t>
            </w:r>
            <w:r>
              <w:rPr>
                <w:kern w:val="0"/>
                <w:sz w:val="18"/>
                <w:szCs w:val="18"/>
              </w:rPr>
              <w:t>28</w:t>
            </w:r>
            <w:r>
              <w:rPr>
                <w:rFonts w:hint="eastAsia" w:ascii="宋体" w:cs="宋体"/>
                <w:kern w:val="0"/>
                <w:sz w:val="18"/>
                <w:szCs w:val="18"/>
              </w:rPr>
              <w:t>天抗压富余强度、袋装重量、均匀性等质量指标合格率均应达到</w:t>
            </w:r>
            <w:r>
              <w:rPr>
                <w:kern w:val="0"/>
                <w:sz w:val="18"/>
                <w:szCs w:val="18"/>
              </w:rPr>
              <w:t>100%</w:t>
            </w:r>
          </w:p>
        </w:tc>
        <w:tc>
          <w:tcPr>
            <w:tcW w:w="1452" w:type="dxa"/>
            <w:shd w:val="clear" w:color="auto" w:fill="auto"/>
            <w:vAlign w:val="center"/>
          </w:tcPr>
          <w:p>
            <w:pPr>
              <w:widowControl/>
              <w:spacing w:after="60"/>
              <w:ind w:firstLine="360"/>
              <w:jc w:val="center"/>
              <w:rPr>
                <w:rFonts w:hint="eastAsia" w:ascii="宋体" w:hAnsi="宋体" w:cs="宋体"/>
                <w:kern w:val="0"/>
                <w:sz w:val="18"/>
                <w:szCs w:val="18"/>
              </w:rPr>
            </w:pPr>
            <w:r>
              <w:rPr>
                <w:rFonts w:hint="eastAsia" w:ascii="宋体" w:hAnsi="宋体" w:cs="宋体"/>
                <w:kern w:val="0"/>
                <w:sz w:val="18"/>
                <w:szCs w:val="18"/>
              </w:rPr>
              <w:t>一级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25" w:hRule="atLeast"/>
          <w:jc w:val="center"/>
        </w:trPr>
        <w:tc>
          <w:tcPr>
            <w:tcW w:w="1613" w:type="dxa"/>
            <w:shd w:val="clear" w:color="auto" w:fill="auto"/>
            <w:vAlign w:val="center"/>
          </w:tcPr>
          <w:p>
            <w:pPr>
              <w:autoSpaceDE w:val="0"/>
              <w:autoSpaceDN w:val="0"/>
              <w:adjustRightInd w:val="0"/>
              <w:spacing w:after="60"/>
              <w:ind w:firstLine="360"/>
              <w:jc w:val="left"/>
              <w:rPr>
                <w:rFonts w:hint="eastAsia"/>
                <w:kern w:val="0"/>
                <w:sz w:val="20"/>
                <w:szCs w:val="20"/>
              </w:rPr>
            </w:pPr>
            <w:r>
              <w:rPr>
                <w:kern w:val="0"/>
                <w:sz w:val="18"/>
                <w:szCs w:val="18"/>
              </w:rPr>
              <w:t>2</w:t>
            </w:r>
            <w:r>
              <w:rPr>
                <w:rFonts w:hint="eastAsia" w:ascii="宋体" w:cs="宋体"/>
                <w:kern w:val="0"/>
                <w:sz w:val="18"/>
                <w:szCs w:val="18"/>
              </w:rPr>
              <w:t>．放射性</w:t>
            </w:r>
          </w:p>
        </w:tc>
        <w:tc>
          <w:tcPr>
            <w:tcW w:w="5831" w:type="dxa"/>
            <w:gridSpan w:val="3"/>
            <w:shd w:val="clear" w:color="auto" w:fill="auto"/>
            <w:vAlign w:val="center"/>
          </w:tcPr>
          <w:p>
            <w:pPr>
              <w:autoSpaceDE w:val="0"/>
              <w:autoSpaceDN w:val="0"/>
              <w:adjustRightInd w:val="0"/>
              <w:spacing w:after="60"/>
              <w:ind w:firstLine="360"/>
              <w:jc w:val="left"/>
              <w:rPr>
                <w:rFonts w:ascii="宋体" w:cs="宋体"/>
                <w:kern w:val="0"/>
                <w:sz w:val="18"/>
                <w:szCs w:val="18"/>
              </w:rPr>
            </w:pPr>
            <w:r>
              <w:rPr>
                <w:rFonts w:hint="eastAsia" w:ascii="宋体" w:cs="宋体"/>
                <w:kern w:val="0"/>
                <w:sz w:val="18"/>
                <w:szCs w:val="18"/>
              </w:rPr>
              <w:t>对用于</w:t>
            </w:r>
            <w:r>
              <w:rPr>
                <w:kern w:val="0"/>
                <w:sz w:val="18"/>
                <w:szCs w:val="18"/>
              </w:rPr>
              <w:t xml:space="preserve">I </w:t>
            </w:r>
            <w:r>
              <w:rPr>
                <w:rFonts w:hint="eastAsia" w:ascii="宋体" w:cs="宋体"/>
                <w:kern w:val="0"/>
                <w:sz w:val="18"/>
                <w:szCs w:val="18"/>
              </w:rPr>
              <w:t>类民用建筑主体材料的矿渣硅酸盐水泥、复合硅酸盐水泥</w:t>
            </w:r>
          </w:p>
          <w:p>
            <w:pPr>
              <w:autoSpaceDE w:val="0"/>
              <w:autoSpaceDN w:val="0"/>
              <w:adjustRightInd w:val="0"/>
              <w:spacing w:after="60"/>
              <w:ind w:firstLine="360"/>
              <w:jc w:val="left"/>
              <w:rPr>
                <w:rFonts w:ascii="宋体" w:cs="宋体"/>
                <w:kern w:val="0"/>
                <w:sz w:val="18"/>
                <w:szCs w:val="18"/>
              </w:rPr>
            </w:pPr>
            <w:r>
              <w:rPr>
                <w:rFonts w:hint="eastAsia" w:ascii="宋体" w:cs="宋体"/>
                <w:kern w:val="0"/>
                <w:sz w:val="18"/>
                <w:szCs w:val="18"/>
              </w:rPr>
              <w:t>和钢渣硅酸盐水泥，其产品中天然放射性比活度的内、外照射指数</w:t>
            </w:r>
          </w:p>
          <w:p>
            <w:pPr>
              <w:widowControl/>
              <w:spacing w:after="60"/>
              <w:ind w:firstLine="360"/>
              <w:rPr>
                <w:rFonts w:hint="eastAsia" w:ascii="宋体" w:hAnsi="宋体" w:cs="宋体"/>
                <w:spacing w:val="-20"/>
                <w:kern w:val="0"/>
                <w:sz w:val="18"/>
                <w:szCs w:val="18"/>
              </w:rPr>
            </w:pPr>
            <w:r>
              <w:rPr>
                <w:kern w:val="0"/>
                <w:sz w:val="18"/>
                <w:szCs w:val="18"/>
              </w:rPr>
              <w:t>I</w:t>
            </w:r>
            <w:r>
              <w:rPr>
                <w:kern w:val="0"/>
                <w:sz w:val="16"/>
                <w:szCs w:val="16"/>
              </w:rPr>
              <w:t>Ra</w:t>
            </w:r>
            <w:r>
              <w:rPr>
                <w:rFonts w:hint="eastAsia" w:ascii="宋体" w:cs="宋体"/>
                <w:kern w:val="0"/>
                <w:sz w:val="18"/>
                <w:szCs w:val="18"/>
              </w:rPr>
              <w:t>、</w:t>
            </w:r>
            <w:r>
              <w:rPr>
                <w:kern w:val="0"/>
                <w:sz w:val="18"/>
                <w:szCs w:val="18"/>
              </w:rPr>
              <w:t xml:space="preserve">Ir </w:t>
            </w:r>
            <w:r>
              <w:rPr>
                <w:rFonts w:hint="eastAsia" w:ascii="宋体" w:cs="宋体"/>
                <w:kern w:val="0"/>
                <w:sz w:val="18"/>
                <w:szCs w:val="18"/>
              </w:rPr>
              <w:t>应满足</w:t>
            </w:r>
            <w:r>
              <w:rPr>
                <w:kern w:val="0"/>
                <w:sz w:val="18"/>
                <w:szCs w:val="18"/>
              </w:rPr>
              <w:t xml:space="preserve">GB 6566 </w:t>
            </w:r>
            <w:r>
              <w:rPr>
                <w:rFonts w:hint="eastAsia" w:ascii="宋体" w:cs="宋体"/>
                <w:kern w:val="0"/>
                <w:sz w:val="18"/>
                <w:szCs w:val="18"/>
              </w:rPr>
              <w:t>标准要求</w:t>
            </w:r>
          </w:p>
        </w:tc>
        <w:tc>
          <w:tcPr>
            <w:tcW w:w="1452" w:type="dxa"/>
            <w:shd w:val="clear" w:color="auto" w:fill="auto"/>
            <w:vAlign w:val="center"/>
          </w:tcPr>
          <w:p>
            <w:pPr>
              <w:widowControl/>
              <w:spacing w:after="60"/>
              <w:ind w:firstLine="360"/>
              <w:jc w:val="center"/>
              <w:rPr>
                <w:rFonts w:ascii="宋体" w:hAnsi="宋体" w:cs="宋体"/>
                <w:kern w:val="0"/>
                <w:sz w:val="18"/>
                <w:szCs w:val="18"/>
              </w:rPr>
            </w:pPr>
            <w:r>
              <w:rPr>
                <w:rFonts w:hint="eastAsia" w:ascii="宋体" w:hAnsi="宋体" w:cs="宋体"/>
                <w:kern w:val="0"/>
                <w:sz w:val="18"/>
                <w:szCs w:val="18"/>
              </w:rPr>
              <w:t>一级</w:t>
            </w:r>
          </w:p>
        </w:tc>
      </w:tr>
    </w:tbl>
    <w:p>
      <w:pPr>
        <w:autoSpaceDE w:val="0"/>
        <w:autoSpaceDN w:val="0"/>
        <w:adjustRightInd w:val="0"/>
        <w:snapToGrid w:val="0"/>
        <w:spacing w:line="348" w:lineRule="auto"/>
        <w:ind w:firstLine="420" w:firstLineChars="200"/>
        <w:rPr>
          <w:rFonts w:hint="eastAsia"/>
          <w:kern w:val="0"/>
        </w:rPr>
      </w:pPr>
    </w:p>
    <w:p>
      <w:pPr>
        <w:autoSpaceDE w:val="0"/>
        <w:autoSpaceDN w:val="0"/>
        <w:adjustRightInd w:val="0"/>
        <w:snapToGrid w:val="0"/>
        <w:spacing w:line="348" w:lineRule="auto"/>
        <w:ind w:firstLine="420" w:firstLineChars="200"/>
        <w:rPr>
          <w:rFonts w:hint="eastAsia"/>
          <w:kern w:val="0"/>
        </w:rPr>
      </w:pPr>
      <w:r>
        <w:rPr>
          <w:kern w:val="0"/>
        </w:rPr>
        <w:t>由表</w:t>
      </w:r>
      <w:r>
        <w:rPr>
          <w:rFonts w:hint="eastAsia"/>
          <w:kern w:val="0"/>
        </w:rPr>
        <w:t>4</w:t>
      </w:r>
      <w:r>
        <w:rPr>
          <w:kern w:val="0"/>
        </w:rPr>
        <w:t>－</w:t>
      </w:r>
      <w:r>
        <w:rPr>
          <w:rFonts w:hint="eastAsia"/>
          <w:kern w:val="0"/>
        </w:rPr>
        <w:t>3</w:t>
      </w:r>
      <w:r>
        <w:rPr>
          <w:kern w:val="0"/>
        </w:rPr>
        <w:t>可知，</w:t>
      </w:r>
      <w:r>
        <w:rPr>
          <w:rFonts w:hint="eastAsia"/>
          <w:kern w:val="0"/>
        </w:rPr>
        <w:t>技改项目的产品指标均满足</w:t>
      </w:r>
      <w:r>
        <w:rPr>
          <w:kern w:val="0"/>
        </w:rPr>
        <w:t>清洁生产</w:t>
      </w:r>
      <w:r>
        <w:rPr>
          <w:rFonts w:hint="eastAsia"/>
          <w:kern w:val="0"/>
        </w:rPr>
        <w:t>一级标准的要求</w:t>
      </w:r>
      <w:r>
        <w:rPr>
          <w:kern w:val="0"/>
        </w:rPr>
        <w:t>。</w:t>
      </w:r>
    </w:p>
    <w:p>
      <w:pPr>
        <w:autoSpaceDE w:val="0"/>
        <w:autoSpaceDN w:val="0"/>
        <w:adjustRightInd w:val="0"/>
        <w:snapToGrid w:val="0"/>
        <w:spacing w:line="348" w:lineRule="auto"/>
        <w:ind w:firstLine="420" w:firstLineChars="200"/>
        <w:rPr>
          <w:rFonts w:hint="eastAsia"/>
          <w:kern w:val="0"/>
        </w:rPr>
      </w:pPr>
      <w:r>
        <w:rPr>
          <w:rFonts w:hint="eastAsia"/>
          <w:kern w:val="0"/>
        </w:rPr>
        <w:t>（4）</w:t>
      </w:r>
      <w:r>
        <w:rPr>
          <w:kern w:val="0"/>
        </w:rPr>
        <w:t>污染物产生指标</w:t>
      </w:r>
      <w:r>
        <w:rPr>
          <w:rFonts w:hint="eastAsia"/>
          <w:kern w:val="0"/>
        </w:rPr>
        <w:t>及废物回收利用指标</w:t>
      </w:r>
    </w:p>
    <w:p>
      <w:pPr>
        <w:autoSpaceDE w:val="0"/>
        <w:autoSpaceDN w:val="0"/>
        <w:adjustRightInd w:val="0"/>
        <w:snapToGrid w:val="0"/>
        <w:spacing w:line="348" w:lineRule="auto"/>
        <w:ind w:firstLine="420" w:firstLineChars="200"/>
        <w:rPr>
          <w:kern w:val="0"/>
        </w:rPr>
      </w:pPr>
      <w:r>
        <w:rPr>
          <w:rFonts w:hint="eastAsia"/>
          <w:kern w:val="0"/>
        </w:rPr>
        <w:t>技改项目</w:t>
      </w:r>
      <w:r>
        <w:rPr>
          <w:kern w:val="0"/>
        </w:rPr>
        <w:t>的污染物产生指标</w:t>
      </w:r>
      <w:r>
        <w:rPr>
          <w:rFonts w:hint="eastAsia"/>
          <w:kern w:val="0"/>
        </w:rPr>
        <w:t>、废物回收利用指标</w:t>
      </w:r>
      <w:r>
        <w:rPr>
          <w:kern w:val="0"/>
        </w:rPr>
        <w:t>与《清洁生产标准</w:t>
      </w:r>
      <w:r>
        <w:rPr>
          <w:rFonts w:hint="eastAsia"/>
          <w:kern w:val="0"/>
        </w:rPr>
        <w:t xml:space="preserve"> 水泥工</w:t>
      </w:r>
      <w:r>
        <w:rPr>
          <w:kern w:val="0"/>
        </w:rPr>
        <w:t>业》的比较结果见表</w:t>
      </w:r>
      <w:r>
        <w:rPr>
          <w:rFonts w:hint="eastAsia"/>
          <w:kern w:val="0"/>
        </w:rPr>
        <w:t>4</w:t>
      </w:r>
      <w:r>
        <w:rPr>
          <w:kern w:val="0"/>
        </w:rPr>
        <w:t>－4。</w:t>
      </w:r>
    </w:p>
    <w:p>
      <w:pPr>
        <w:adjustRightInd w:val="0"/>
        <w:snapToGrid w:val="0"/>
        <w:spacing w:line="348" w:lineRule="auto"/>
        <w:jc w:val="center"/>
        <w:rPr>
          <w:rFonts w:hAnsi="宋体"/>
          <w:b/>
          <w:kern w:val="28"/>
        </w:rPr>
      </w:pPr>
      <w:r>
        <w:rPr>
          <w:rFonts w:hint="eastAsia" w:hAnsi="宋体"/>
          <w:b/>
          <w:kern w:val="28"/>
        </w:rPr>
        <w:t>表4</w:t>
      </w:r>
      <w:r>
        <w:rPr>
          <w:rFonts w:hAnsi="宋体"/>
          <w:b/>
          <w:kern w:val="28"/>
        </w:rPr>
        <w:t>－4  污染物产生指标与清洁生产标准对照评价</w:t>
      </w:r>
    </w:p>
    <w:tbl>
      <w:tblPr>
        <w:tblStyle w:val="23"/>
        <w:tblW w:w="9035"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3337"/>
        <w:gridCol w:w="1305"/>
        <w:gridCol w:w="1305"/>
        <w:gridCol w:w="1306"/>
        <w:gridCol w:w="178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6" w:hRule="atLeast"/>
          <w:jc w:val="center"/>
        </w:trPr>
        <w:tc>
          <w:tcPr>
            <w:tcW w:w="3337" w:type="dxa"/>
            <w:tcBorders>
              <w:bottom w:val="single" w:color="000000" w:sz="12" w:space="0"/>
            </w:tcBorders>
            <w:shd w:val="clear" w:color="auto" w:fill="auto"/>
            <w:vAlign w:val="center"/>
          </w:tcPr>
          <w:p>
            <w:pPr>
              <w:widowControl/>
              <w:spacing w:after="60"/>
              <w:ind w:firstLine="480"/>
              <w:jc w:val="center"/>
              <w:rPr>
                <w:kern w:val="0"/>
                <w:szCs w:val="21"/>
              </w:rPr>
            </w:pPr>
            <w:r>
              <w:rPr>
                <w:rFonts w:hAnsi="宋体"/>
                <w:kern w:val="0"/>
                <w:szCs w:val="21"/>
              </w:rPr>
              <w:t>清洁生产指标</w:t>
            </w:r>
          </w:p>
        </w:tc>
        <w:tc>
          <w:tcPr>
            <w:tcW w:w="1305" w:type="dxa"/>
            <w:tcBorders>
              <w:bottom w:val="single" w:color="000000" w:sz="12" w:space="0"/>
              <w:right w:val="single" w:color="auto" w:sz="6" w:space="0"/>
            </w:tcBorders>
            <w:shd w:val="clear" w:color="auto" w:fill="auto"/>
            <w:vAlign w:val="center"/>
          </w:tcPr>
          <w:p>
            <w:pPr>
              <w:widowControl/>
              <w:spacing w:after="60"/>
              <w:ind w:firstLine="480"/>
              <w:jc w:val="center"/>
              <w:rPr>
                <w:kern w:val="0"/>
                <w:szCs w:val="21"/>
              </w:rPr>
            </w:pPr>
            <w:r>
              <w:rPr>
                <w:rFonts w:hAnsi="宋体"/>
                <w:kern w:val="0"/>
                <w:szCs w:val="21"/>
              </w:rPr>
              <w:t>一级</w:t>
            </w:r>
          </w:p>
        </w:tc>
        <w:tc>
          <w:tcPr>
            <w:tcW w:w="1305" w:type="dxa"/>
            <w:tcBorders>
              <w:left w:val="single" w:color="auto" w:sz="6" w:space="0"/>
              <w:bottom w:val="single" w:color="000000" w:sz="12" w:space="0"/>
              <w:right w:val="single" w:color="auto" w:sz="6" w:space="0"/>
            </w:tcBorders>
            <w:shd w:val="clear" w:color="auto" w:fill="auto"/>
            <w:vAlign w:val="center"/>
          </w:tcPr>
          <w:p>
            <w:pPr>
              <w:widowControl/>
              <w:spacing w:after="60"/>
              <w:ind w:firstLine="480"/>
              <w:jc w:val="center"/>
              <w:rPr>
                <w:kern w:val="0"/>
                <w:szCs w:val="21"/>
              </w:rPr>
            </w:pPr>
            <w:r>
              <w:rPr>
                <w:rFonts w:hAnsi="宋体"/>
                <w:kern w:val="0"/>
                <w:szCs w:val="21"/>
              </w:rPr>
              <w:t>二级</w:t>
            </w:r>
          </w:p>
        </w:tc>
        <w:tc>
          <w:tcPr>
            <w:tcW w:w="1306" w:type="dxa"/>
            <w:tcBorders>
              <w:left w:val="single" w:color="auto" w:sz="6" w:space="0"/>
              <w:bottom w:val="single" w:color="000000" w:sz="12" w:space="0"/>
            </w:tcBorders>
            <w:shd w:val="clear" w:color="auto" w:fill="auto"/>
            <w:vAlign w:val="center"/>
          </w:tcPr>
          <w:p>
            <w:pPr>
              <w:widowControl/>
              <w:spacing w:after="60"/>
              <w:ind w:firstLine="480"/>
              <w:jc w:val="center"/>
              <w:rPr>
                <w:kern w:val="0"/>
                <w:szCs w:val="21"/>
              </w:rPr>
            </w:pPr>
            <w:r>
              <w:rPr>
                <w:rFonts w:hAnsi="宋体"/>
                <w:kern w:val="0"/>
                <w:szCs w:val="21"/>
              </w:rPr>
              <w:t>三级</w:t>
            </w:r>
          </w:p>
        </w:tc>
        <w:tc>
          <w:tcPr>
            <w:tcW w:w="1782" w:type="dxa"/>
            <w:tcBorders>
              <w:bottom w:val="single" w:color="000000" w:sz="12" w:space="0"/>
            </w:tcBorders>
            <w:shd w:val="clear" w:color="auto" w:fill="auto"/>
            <w:vAlign w:val="center"/>
          </w:tcPr>
          <w:p>
            <w:pPr>
              <w:spacing w:after="60"/>
              <w:ind w:firstLine="480"/>
              <w:jc w:val="center"/>
              <w:rPr>
                <w:kern w:val="0"/>
                <w:szCs w:val="21"/>
              </w:rPr>
            </w:pPr>
            <w:r>
              <w:rPr>
                <w:rFonts w:hAnsi="宋体"/>
                <w:kern w:val="0"/>
                <w:szCs w:val="21"/>
              </w:rPr>
              <w:t>拟建工程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00" w:hRule="atLeast"/>
          <w:jc w:val="center"/>
        </w:trPr>
        <w:tc>
          <w:tcPr>
            <w:tcW w:w="3337" w:type="dxa"/>
            <w:shd w:val="clear" w:color="auto" w:fill="auto"/>
            <w:vAlign w:val="top"/>
          </w:tcPr>
          <w:p>
            <w:pPr>
              <w:autoSpaceDE w:val="0"/>
              <w:autoSpaceDN w:val="0"/>
              <w:adjustRightInd w:val="0"/>
              <w:spacing w:after="60"/>
              <w:ind w:firstLine="480"/>
              <w:rPr>
                <w:kern w:val="0"/>
                <w:sz w:val="20"/>
                <w:szCs w:val="20"/>
              </w:rPr>
            </w:pPr>
            <w:r>
              <w:rPr>
                <w:kern w:val="0"/>
                <w:szCs w:val="21"/>
              </w:rPr>
              <w:t>1.</w:t>
            </w:r>
            <w:r>
              <w:rPr>
                <w:rFonts w:hint="eastAsia" w:ascii="宋体" w:cs="宋体"/>
                <w:kern w:val="0"/>
                <w:sz w:val="18"/>
                <w:szCs w:val="18"/>
              </w:rPr>
              <w:t>二氧化硫产生量</w:t>
            </w:r>
            <w:r>
              <w:rPr>
                <w:rFonts w:ascii="宋体" w:cs="宋体"/>
                <w:kern w:val="0"/>
                <w:sz w:val="18"/>
                <w:szCs w:val="18"/>
              </w:rPr>
              <w:t xml:space="preserve"> </w:t>
            </w:r>
            <w:r>
              <w:rPr>
                <w:kern w:val="0"/>
                <w:sz w:val="18"/>
                <w:szCs w:val="18"/>
              </w:rPr>
              <w:t>/</w:t>
            </w:r>
            <w:r>
              <w:rPr>
                <w:rFonts w:hint="eastAsia" w:ascii="宋体" w:cs="宋体"/>
                <w:kern w:val="0"/>
                <w:sz w:val="18"/>
                <w:szCs w:val="18"/>
              </w:rPr>
              <w:t>（</w:t>
            </w:r>
            <w:r>
              <w:rPr>
                <w:kern w:val="0"/>
                <w:sz w:val="18"/>
                <w:szCs w:val="18"/>
              </w:rPr>
              <w:t>kg/t</w:t>
            </w:r>
            <w:r>
              <w:rPr>
                <w:rFonts w:hint="eastAsia" w:ascii="宋体" w:cs="宋体"/>
                <w:kern w:val="0"/>
                <w:sz w:val="18"/>
                <w:szCs w:val="18"/>
              </w:rPr>
              <w:t>）</w:t>
            </w:r>
          </w:p>
          <w:p>
            <w:pPr>
              <w:widowControl/>
              <w:spacing w:after="60"/>
              <w:ind w:firstLine="360"/>
              <w:rPr>
                <w:kern w:val="0"/>
                <w:szCs w:val="21"/>
              </w:rPr>
            </w:pPr>
            <w:r>
              <w:rPr>
                <w:rFonts w:hint="eastAsia" w:ascii="宋体" w:cs="宋体"/>
                <w:kern w:val="0"/>
                <w:sz w:val="18"/>
                <w:szCs w:val="18"/>
              </w:rPr>
              <w:t>燃料用煤的全硫量</w:t>
            </w:r>
            <w:r>
              <w:rPr>
                <w:kern w:val="0"/>
                <w:sz w:val="18"/>
                <w:szCs w:val="18"/>
              </w:rPr>
              <w:t>&lt;1.5%</w:t>
            </w:r>
          </w:p>
        </w:tc>
        <w:tc>
          <w:tcPr>
            <w:tcW w:w="1305" w:type="dxa"/>
            <w:tcBorders>
              <w:right w:val="single" w:color="auto" w:sz="6" w:space="0"/>
            </w:tcBorders>
            <w:shd w:val="clear" w:color="auto" w:fill="auto"/>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w:t>
            </w:r>
            <w:r>
              <w:rPr>
                <w:kern w:val="0"/>
                <w:sz w:val="18"/>
                <w:szCs w:val="18"/>
              </w:rPr>
              <w:t>0.</w:t>
            </w:r>
            <w:r>
              <w:rPr>
                <w:rFonts w:hint="eastAsia"/>
                <w:kern w:val="0"/>
                <w:sz w:val="18"/>
                <w:szCs w:val="18"/>
              </w:rPr>
              <w:t>2</w:t>
            </w:r>
            <w:r>
              <w:rPr>
                <w:kern w:val="0"/>
                <w:sz w:val="18"/>
                <w:szCs w:val="18"/>
              </w:rPr>
              <w:t>0</w:t>
            </w:r>
          </w:p>
        </w:tc>
        <w:tc>
          <w:tcPr>
            <w:tcW w:w="2611" w:type="dxa"/>
            <w:gridSpan w:val="2"/>
            <w:shd w:val="clear" w:color="auto" w:fill="auto"/>
            <w:vAlign w:val="center"/>
          </w:tcPr>
          <w:p>
            <w:pPr>
              <w:widowControl/>
              <w:spacing w:after="60"/>
              <w:ind w:firstLine="480"/>
              <w:jc w:val="center"/>
              <w:rPr>
                <w:rFonts w:hint="eastAsia"/>
                <w:kern w:val="0"/>
                <w:sz w:val="21"/>
                <w:szCs w:val="21"/>
              </w:rPr>
            </w:pPr>
            <w:r>
              <w:rPr>
                <w:rFonts w:hint="eastAsia"/>
                <w:kern w:val="0"/>
                <w:sz w:val="21"/>
                <w:szCs w:val="21"/>
              </w:rPr>
              <w:t>≤</w:t>
            </w:r>
            <w:r>
              <w:rPr>
                <w:kern w:val="0"/>
                <w:sz w:val="21"/>
                <w:szCs w:val="21"/>
              </w:rPr>
              <w:t>0.</w:t>
            </w:r>
            <w:r>
              <w:rPr>
                <w:rFonts w:hint="eastAsia"/>
                <w:kern w:val="0"/>
                <w:sz w:val="21"/>
                <w:szCs w:val="21"/>
              </w:rPr>
              <w:t>3</w:t>
            </w:r>
            <w:r>
              <w:rPr>
                <w:kern w:val="0"/>
                <w:sz w:val="21"/>
                <w:szCs w:val="21"/>
              </w:rPr>
              <w:t>0</w:t>
            </w:r>
          </w:p>
        </w:tc>
        <w:tc>
          <w:tcPr>
            <w:tcW w:w="1782" w:type="dxa"/>
            <w:shd w:val="clear" w:color="auto" w:fill="auto"/>
            <w:vAlign w:val="center"/>
          </w:tcPr>
          <w:p>
            <w:pPr>
              <w:widowControl/>
              <w:spacing w:after="60"/>
              <w:rPr>
                <w:kern w:val="0"/>
                <w:sz w:val="21"/>
                <w:szCs w:val="21"/>
              </w:rPr>
            </w:pPr>
            <w:r>
              <w:rPr>
                <w:rFonts w:hint="eastAsia"/>
                <w:kern w:val="0"/>
                <w:sz w:val="21"/>
                <w:szCs w:val="21"/>
              </w:rPr>
              <w:t>0.279</w:t>
            </w:r>
            <w:r>
              <w:rPr>
                <w:kern w:val="0"/>
                <w:sz w:val="21"/>
                <w:szCs w:val="21"/>
              </w:rPr>
              <w:t>（</w:t>
            </w:r>
            <w:r>
              <w:rPr>
                <w:rFonts w:hint="eastAsia"/>
                <w:kern w:val="0"/>
                <w:sz w:val="21"/>
                <w:szCs w:val="21"/>
              </w:rPr>
              <w:t>二</w:t>
            </w:r>
            <w:r>
              <w:rPr>
                <w:kern w:val="0"/>
                <w:sz w:val="21"/>
                <w:szCs w:val="21"/>
              </w:rPr>
              <w:t>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166" w:hRule="atLeast"/>
          <w:jc w:val="center"/>
        </w:trPr>
        <w:tc>
          <w:tcPr>
            <w:tcW w:w="3337" w:type="dxa"/>
            <w:shd w:val="clear" w:color="auto" w:fill="auto"/>
            <w:vAlign w:val="center"/>
          </w:tcPr>
          <w:p>
            <w:pPr>
              <w:widowControl/>
              <w:spacing w:after="60"/>
              <w:ind w:firstLine="480"/>
              <w:jc w:val="center"/>
              <w:rPr>
                <w:kern w:val="0"/>
                <w:szCs w:val="21"/>
              </w:rPr>
            </w:pPr>
            <w:r>
              <w:rPr>
                <w:kern w:val="0"/>
                <w:szCs w:val="21"/>
              </w:rPr>
              <w:t>2.</w:t>
            </w:r>
            <w:r>
              <w:rPr>
                <w:rFonts w:hint="eastAsia" w:ascii="宋体" w:cs="宋体"/>
                <w:kern w:val="0"/>
                <w:sz w:val="18"/>
                <w:szCs w:val="18"/>
              </w:rPr>
              <w:t>氮氧化物</w:t>
            </w:r>
            <w:r>
              <w:rPr>
                <w:kern w:val="0"/>
                <w:sz w:val="18"/>
                <w:szCs w:val="18"/>
              </w:rPr>
              <w:t>(</w:t>
            </w:r>
            <w:r>
              <w:rPr>
                <w:rFonts w:hint="eastAsia" w:ascii="宋体" w:cs="宋体"/>
                <w:kern w:val="0"/>
                <w:sz w:val="18"/>
                <w:szCs w:val="18"/>
              </w:rPr>
              <w:t>以</w:t>
            </w:r>
            <w:r>
              <w:rPr>
                <w:kern w:val="0"/>
                <w:sz w:val="18"/>
                <w:szCs w:val="18"/>
              </w:rPr>
              <w:t>NO</w:t>
            </w:r>
            <w:r>
              <w:rPr>
                <w:kern w:val="0"/>
                <w:sz w:val="12"/>
                <w:szCs w:val="12"/>
              </w:rPr>
              <w:t xml:space="preserve">2 </w:t>
            </w:r>
            <w:r>
              <w:rPr>
                <w:rFonts w:hint="eastAsia" w:ascii="宋体" w:cs="宋体"/>
                <w:kern w:val="0"/>
                <w:sz w:val="18"/>
                <w:szCs w:val="18"/>
              </w:rPr>
              <w:t>计</w:t>
            </w:r>
            <w:r>
              <w:rPr>
                <w:kern w:val="0"/>
                <w:sz w:val="18"/>
                <w:szCs w:val="18"/>
              </w:rPr>
              <w:t xml:space="preserve">) </w:t>
            </w:r>
            <w:r>
              <w:rPr>
                <w:rFonts w:hint="eastAsia" w:ascii="宋体" w:cs="宋体"/>
                <w:kern w:val="0"/>
                <w:sz w:val="18"/>
                <w:szCs w:val="18"/>
              </w:rPr>
              <w:t>产生量</w:t>
            </w:r>
            <w:r>
              <w:rPr>
                <w:kern w:val="0"/>
                <w:sz w:val="18"/>
                <w:szCs w:val="18"/>
              </w:rPr>
              <w:t>/</w:t>
            </w:r>
            <w:r>
              <w:rPr>
                <w:rFonts w:hint="eastAsia" w:ascii="宋体" w:cs="宋体"/>
                <w:kern w:val="0"/>
                <w:sz w:val="18"/>
                <w:szCs w:val="18"/>
              </w:rPr>
              <w:t>（</w:t>
            </w:r>
            <w:r>
              <w:rPr>
                <w:kern w:val="0"/>
                <w:sz w:val="18"/>
                <w:szCs w:val="18"/>
              </w:rPr>
              <w:t>kg/t</w:t>
            </w:r>
            <w:r>
              <w:rPr>
                <w:rFonts w:hint="eastAsia" w:ascii="宋体" w:cs="宋体"/>
                <w:kern w:val="0"/>
                <w:sz w:val="18"/>
                <w:szCs w:val="18"/>
              </w:rPr>
              <w:t>）</w:t>
            </w:r>
          </w:p>
        </w:tc>
        <w:tc>
          <w:tcPr>
            <w:tcW w:w="1305" w:type="dxa"/>
            <w:tcBorders>
              <w:right w:val="single" w:color="auto" w:sz="6" w:space="0"/>
            </w:tcBorders>
            <w:shd w:val="clear" w:color="auto" w:fill="auto"/>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w:t>
            </w:r>
            <w:r>
              <w:rPr>
                <w:kern w:val="0"/>
                <w:sz w:val="18"/>
                <w:szCs w:val="18"/>
              </w:rPr>
              <w:t>2.00</w:t>
            </w:r>
          </w:p>
        </w:tc>
        <w:tc>
          <w:tcPr>
            <w:tcW w:w="2611" w:type="dxa"/>
            <w:gridSpan w:val="2"/>
            <w:shd w:val="clear" w:color="auto" w:fill="auto"/>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w:t>
            </w:r>
            <w:r>
              <w:rPr>
                <w:kern w:val="0"/>
                <w:sz w:val="18"/>
                <w:szCs w:val="18"/>
              </w:rPr>
              <w:t>2.40</w:t>
            </w:r>
          </w:p>
        </w:tc>
        <w:tc>
          <w:tcPr>
            <w:tcW w:w="1782" w:type="dxa"/>
            <w:shd w:val="clear" w:color="auto" w:fill="auto"/>
            <w:vAlign w:val="center"/>
          </w:tcPr>
          <w:p>
            <w:pPr>
              <w:widowControl/>
              <w:spacing w:after="60"/>
              <w:rPr>
                <w:rFonts w:hint="eastAsia"/>
                <w:kern w:val="0"/>
                <w:sz w:val="21"/>
                <w:szCs w:val="21"/>
              </w:rPr>
            </w:pPr>
            <w:r>
              <w:rPr>
                <w:rFonts w:hint="eastAsia"/>
                <w:kern w:val="0"/>
                <w:sz w:val="21"/>
                <w:szCs w:val="21"/>
              </w:rPr>
              <w:t>1.74</w:t>
            </w:r>
            <w:r>
              <w:rPr>
                <w:kern w:val="0"/>
                <w:sz w:val="21"/>
                <w:szCs w:val="21"/>
              </w:rPr>
              <w:t>（</w:t>
            </w:r>
            <w:r>
              <w:rPr>
                <w:rFonts w:hint="eastAsia"/>
                <w:kern w:val="0"/>
                <w:sz w:val="21"/>
                <w:szCs w:val="21"/>
              </w:rPr>
              <w:t>一</w:t>
            </w:r>
            <w:r>
              <w:rPr>
                <w:kern w:val="0"/>
                <w:sz w:val="21"/>
                <w:szCs w:val="21"/>
              </w:rPr>
              <w:t>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65" w:hRule="atLeast"/>
          <w:jc w:val="center"/>
        </w:trPr>
        <w:tc>
          <w:tcPr>
            <w:tcW w:w="3337" w:type="dxa"/>
            <w:shd w:val="clear" w:color="auto" w:fill="auto"/>
            <w:vAlign w:val="center"/>
          </w:tcPr>
          <w:p>
            <w:pPr>
              <w:autoSpaceDE w:val="0"/>
              <w:autoSpaceDN w:val="0"/>
              <w:adjustRightInd w:val="0"/>
              <w:spacing w:after="60"/>
              <w:ind w:firstLine="480"/>
              <w:jc w:val="center"/>
              <w:rPr>
                <w:rFonts w:hint="eastAsia"/>
                <w:szCs w:val="21"/>
              </w:rPr>
            </w:pPr>
            <w:r>
              <w:rPr>
                <w:rFonts w:hint="eastAsia"/>
                <w:szCs w:val="21"/>
              </w:rPr>
              <w:t>3.</w:t>
            </w:r>
            <w:r>
              <w:rPr>
                <w:rFonts w:hint="eastAsia" w:ascii="宋体" w:cs="宋体"/>
                <w:kern w:val="0"/>
                <w:sz w:val="18"/>
                <w:szCs w:val="18"/>
              </w:rPr>
              <w:t>窑灰、粉尘、废弃料回收利用率</w:t>
            </w:r>
            <w:r>
              <w:rPr>
                <w:kern w:val="0"/>
                <w:sz w:val="18"/>
                <w:szCs w:val="18"/>
              </w:rPr>
              <w:t>/</w:t>
            </w:r>
            <w:r>
              <w:rPr>
                <w:rFonts w:hint="eastAsia" w:ascii="宋体" w:cs="宋体"/>
                <w:kern w:val="0"/>
                <w:sz w:val="18"/>
                <w:szCs w:val="18"/>
              </w:rPr>
              <w:t>％</w:t>
            </w:r>
          </w:p>
        </w:tc>
        <w:tc>
          <w:tcPr>
            <w:tcW w:w="3916" w:type="dxa"/>
            <w:gridSpan w:val="3"/>
            <w:shd w:val="clear" w:color="auto" w:fill="auto"/>
            <w:vAlign w:val="center"/>
          </w:tcPr>
          <w:p>
            <w:pPr>
              <w:autoSpaceDE w:val="0"/>
              <w:autoSpaceDN w:val="0"/>
              <w:adjustRightInd w:val="0"/>
              <w:spacing w:after="60"/>
              <w:ind w:firstLine="360"/>
              <w:jc w:val="center"/>
              <w:rPr>
                <w:rFonts w:hint="eastAsia" w:ascii="宋体" w:cs="宋体"/>
                <w:kern w:val="0"/>
                <w:sz w:val="18"/>
                <w:szCs w:val="18"/>
              </w:rPr>
            </w:pPr>
            <w:r>
              <w:rPr>
                <w:kern w:val="0"/>
                <w:sz w:val="18"/>
                <w:szCs w:val="18"/>
              </w:rPr>
              <w:t>100</w:t>
            </w:r>
          </w:p>
        </w:tc>
        <w:tc>
          <w:tcPr>
            <w:tcW w:w="1782" w:type="dxa"/>
            <w:shd w:val="clear" w:color="auto" w:fill="auto"/>
            <w:vAlign w:val="center"/>
          </w:tcPr>
          <w:p>
            <w:pPr>
              <w:widowControl/>
              <w:spacing w:after="60"/>
              <w:ind w:firstLine="360"/>
              <w:jc w:val="center"/>
              <w:rPr>
                <w:rFonts w:hint="eastAsia"/>
                <w:kern w:val="0"/>
                <w:szCs w:val="21"/>
              </w:rPr>
            </w:pPr>
            <w:r>
              <w:rPr>
                <w:rFonts w:hint="eastAsia" w:ascii="宋体" w:hAnsi="宋体" w:cs="宋体"/>
                <w:kern w:val="0"/>
                <w:sz w:val="18"/>
                <w:szCs w:val="18"/>
              </w:rPr>
              <w:t>一级</w:t>
            </w:r>
          </w:p>
        </w:tc>
      </w:tr>
    </w:tbl>
    <w:p>
      <w:pPr>
        <w:autoSpaceDE w:val="0"/>
        <w:autoSpaceDN w:val="0"/>
        <w:adjustRightInd w:val="0"/>
        <w:snapToGrid w:val="0"/>
        <w:spacing w:line="348" w:lineRule="auto"/>
        <w:ind w:firstLine="560" w:firstLineChars="200"/>
        <w:rPr>
          <w:rFonts w:hint="eastAsia"/>
          <w:kern w:val="0"/>
          <w:sz w:val="28"/>
          <w:szCs w:val="28"/>
        </w:rPr>
      </w:pPr>
    </w:p>
    <w:p>
      <w:pPr>
        <w:autoSpaceDE w:val="0"/>
        <w:autoSpaceDN w:val="0"/>
        <w:adjustRightInd w:val="0"/>
        <w:snapToGrid w:val="0"/>
        <w:spacing w:line="348" w:lineRule="auto"/>
        <w:ind w:firstLine="420" w:firstLineChars="200"/>
        <w:rPr>
          <w:rFonts w:hint="eastAsia"/>
          <w:kern w:val="0"/>
        </w:rPr>
      </w:pPr>
      <w:r>
        <w:rPr>
          <w:rFonts w:hint="eastAsia"/>
          <w:kern w:val="0"/>
        </w:rPr>
        <w:t>由</w:t>
      </w:r>
      <w:r>
        <w:rPr>
          <w:kern w:val="0"/>
        </w:rPr>
        <w:t>表</w:t>
      </w:r>
      <w:r>
        <w:rPr>
          <w:rFonts w:hint="eastAsia"/>
          <w:kern w:val="0"/>
        </w:rPr>
        <w:t>4</w:t>
      </w:r>
      <w:r>
        <w:rPr>
          <w:kern w:val="0"/>
        </w:rPr>
        <w:t>－4</w:t>
      </w:r>
      <w:r>
        <w:rPr>
          <w:rFonts w:hint="eastAsia"/>
          <w:kern w:val="0"/>
        </w:rPr>
        <w:t>可知，技改项目</w:t>
      </w:r>
      <w:r>
        <w:rPr>
          <w:kern w:val="0"/>
        </w:rPr>
        <w:t>的</w:t>
      </w:r>
      <w:r>
        <w:rPr>
          <w:rFonts w:hint="eastAsia"/>
          <w:kern w:val="0"/>
        </w:rPr>
        <w:t>窑灰、粉尘、废弃料回收利用率和氮氧化物产生量为清洁生产一级标准，二氧化硫产生量指标达到清洁生产二级标准，技改项目</w:t>
      </w:r>
      <w:r>
        <w:rPr>
          <w:kern w:val="0"/>
        </w:rPr>
        <w:t>污染物产生指标</w:t>
      </w:r>
      <w:r>
        <w:rPr>
          <w:rFonts w:hint="eastAsia"/>
          <w:kern w:val="0"/>
        </w:rPr>
        <w:t>及废物回收利用指标先进。</w:t>
      </w:r>
    </w:p>
    <w:p>
      <w:pPr>
        <w:autoSpaceDE w:val="0"/>
        <w:autoSpaceDN w:val="0"/>
        <w:adjustRightInd w:val="0"/>
        <w:snapToGrid w:val="0"/>
        <w:spacing w:line="348" w:lineRule="auto"/>
        <w:ind w:firstLine="420" w:firstLineChars="200"/>
        <w:rPr>
          <w:kern w:val="0"/>
        </w:rPr>
      </w:pPr>
      <w:r>
        <w:rPr>
          <w:rFonts w:hint="eastAsia"/>
          <w:kern w:val="0"/>
        </w:rPr>
        <w:t>（5）</w:t>
      </w:r>
      <w:r>
        <w:rPr>
          <w:kern w:val="0"/>
        </w:rPr>
        <w:t>环境管理要求</w:t>
      </w:r>
    </w:p>
    <w:p>
      <w:pPr>
        <w:autoSpaceDE w:val="0"/>
        <w:autoSpaceDN w:val="0"/>
        <w:adjustRightInd w:val="0"/>
        <w:snapToGrid w:val="0"/>
        <w:spacing w:line="348" w:lineRule="auto"/>
        <w:ind w:firstLine="420" w:firstLineChars="200"/>
        <w:rPr>
          <w:rFonts w:hint="eastAsia"/>
          <w:kern w:val="0"/>
        </w:rPr>
      </w:pPr>
      <w:r>
        <w:rPr>
          <w:rFonts w:hint="eastAsia"/>
          <w:kern w:val="0"/>
        </w:rPr>
        <w:t>技改项目</w:t>
      </w:r>
      <w:r>
        <w:rPr>
          <w:kern w:val="0"/>
        </w:rPr>
        <w:t xml:space="preserve">环境管理要求与《清洁生产标准 </w:t>
      </w:r>
      <w:r>
        <w:rPr>
          <w:rFonts w:hint="eastAsia"/>
          <w:kern w:val="0"/>
        </w:rPr>
        <w:t>水泥工</w:t>
      </w:r>
      <w:r>
        <w:rPr>
          <w:kern w:val="0"/>
        </w:rPr>
        <w:t>业》的比较结果见表</w:t>
      </w:r>
      <w:r>
        <w:rPr>
          <w:rFonts w:hint="eastAsia"/>
          <w:kern w:val="0"/>
        </w:rPr>
        <w:t>4</w:t>
      </w:r>
      <w:r>
        <w:rPr>
          <w:kern w:val="0"/>
        </w:rPr>
        <w:t>－</w:t>
      </w:r>
      <w:r>
        <w:rPr>
          <w:rFonts w:hint="eastAsia"/>
          <w:kern w:val="0"/>
        </w:rPr>
        <w:t>5</w:t>
      </w:r>
      <w:r>
        <w:rPr>
          <w:kern w:val="0"/>
        </w:rPr>
        <w:t>。</w:t>
      </w:r>
    </w:p>
    <w:p>
      <w:pPr>
        <w:autoSpaceDE w:val="0"/>
        <w:autoSpaceDN w:val="0"/>
        <w:adjustRightInd w:val="0"/>
        <w:snapToGrid w:val="0"/>
        <w:spacing w:line="348" w:lineRule="auto"/>
        <w:ind w:firstLine="420" w:firstLineChars="200"/>
        <w:rPr>
          <w:rFonts w:hint="eastAsia"/>
          <w:kern w:val="0"/>
        </w:rPr>
      </w:pPr>
      <w:r>
        <w:rPr>
          <w:kern w:val="0"/>
        </w:rPr>
        <w:t>由表</w:t>
      </w:r>
      <w:r>
        <w:rPr>
          <w:rFonts w:hint="eastAsia"/>
          <w:kern w:val="0"/>
        </w:rPr>
        <w:t>4</w:t>
      </w:r>
      <w:r>
        <w:rPr>
          <w:kern w:val="0"/>
        </w:rPr>
        <w:t>－</w:t>
      </w:r>
      <w:r>
        <w:rPr>
          <w:rFonts w:hint="eastAsia"/>
          <w:kern w:val="0"/>
        </w:rPr>
        <w:t>5</w:t>
      </w:r>
      <w:r>
        <w:rPr>
          <w:kern w:val="0"/>
        </w:rPr>
        <w:t>可</w:t>
      </w:r>
      <w:r>
        <w:rPr>
          <w:rFonts w:hint="eastAsia"/>
          <w:kern w:val="0"/>
        </w:rPr>
        <w:t>知</w:t>
      </w:r>
      <w:r>
        <w:rPr>
          <w:kern w:val="0"/>
        </w:rPr>
        <w:t>，</w:t>
      </w:r>
      <w:r>
        <w:rPr>
          <w:rFonts w:hint="eastAsia"/>
          <w:kern w:val="0"/>
        </w:rPr>
        <w:t>拟建</w:t>
      </w:r>
      <w:r>
        <w:rPr>
          <w:kern w:val="0"/>
        </w:rPr>
        <w:t>工程</w:t>
      </w:r>
      <w:r>
        <w:rPr>
          <w:rFonts w:hint="eastAsia"/>
          <w:kern w:val="0"/>
        </w:rPr>
        <w:t>环境管理要求满足</w:t>
      </w:r>
      <w:r>
        <w:rPr>
          <w:kern w:val="0"/>
        </w:rPr>
        <w:t>《清洁生产标准</w:t>
      </w:r>
      <w:r>
        <w:rPr>
          <w:rFonts w:hint="eastAsia"/>
          <w:kern w:val="0"/>
        </w:rPr>
        <w:t xml:space="preserve"> 水泥工</w:t>
      </w:r>
      <w:r>
        <w:rPr>
          <w:kern w:val="0"/>
        </w:rPr>
        <w:t>业》要求。</w:t>
      </w:r>
    </w:p>
    <w:p>
      <w:pPr>
        <w:autoSpaceDE w:val="0"/>
        <w:autoSpaceDN w:val="0"/>
        <w:adjustRightInd w:val="0"/>
        <w:snapToGrid w:val="0"/>
        <w:spacing w:line="348" w:lineRule="auto"/>
        <w:ind w:firstLine="420" w:firstLineChars="200"/>
        <w:rPr>
          <w:rFonts w:hint="eastAsia"/>
          <w:kern w:val="0"/>
        </w:rPr>
      </w:pPr>
      <w:r>
        <w:rPr>
          <w:rFonts w:hint="eastAsia"/>
          <w:kern w:val="0"/>
        </w:rPr>
        <w:t>上述从</w:t>
      </w:r>
      <w:r>
        <w:rPr>
          <w:kern w:val="0"/>
        </w:rPr>
        <w:t>生产工艺装备</w:t>
      </w:r>
      <w:r>
        <w:rPr>
          <w:rFonts w:hint="eastAsia"/>
          <w:kern w:val="0"/>
        </w:rPr>
        <w:t>、资源能源利用指标、</w:t>
      </w:r>
      <w:r>
        <w:rPr>
          <w:kern w:val="0"/>
        </w:rPr>
        <w:t>产品指标</w:t>
      </w:r>
      <w:r>
        <w:rPr>
          <w:rFonts w:hint="eastAsia"/>
          <w:kern w:val="0"/>
        </w:rPr>
        <w:t>、</w:t>
      </w:r>
      <w:r>
        <w:rPr>
          <w:kern w:val="0"/>
        </w:rPr>
        <w:t>污染物产生指标</w:t>
      </w:r>
      <w:r>
        <w:rPr>
          <w:rFonts w:hint="eastAsia"/>
          <w:kern w:val="0"/>
        </w:rPr>
        <w:t>、废物回收利用指标及环境管理要求等方面与</w:t>
      </w:r>
      <w:r>
        <w:rPr>
          <w:kern w:val="0"/>
        </w:rPr>
        <w:t>《清洁生产标准</w:t>
      </w:r>
      <w:r>
        <w:rPr>
          <w:rFonts w:hint="eastAsia"/>
          <w:kern w:val="0"/>
        </w:rPr>
        <w:t xml:space="preserve"> 水泥工</w:t>
      </w:r>
      <w:r>
        <w:rPr>
          <w:kern w:val="0"/>
        </w:rPr>
        <w:t>业》</w:t>
      </w:r>
      <w:r>
        <w:rPr>
          <w:rFonts w:hint="eastAsia"/>
          <w:kern w:val="0"/>
        </w:rPr>
        <w:t>进行对照，分析表明，拟建工程清洁生产水平总体较高， 除了原料粉磨系统的磨机指标处于清洁生产三级标准外，其余指标均达到清洁生产二级及以上标准，达到国内先进水平标准。</w:t>
      </w:r>
    </w:p>
    <w:p>
      <w:pPr>
        <w:spacing w:line="360" w:lineRule="auto"/>
        <w:outlineLvl w:val="2"/>
        <w:rPr>
          <w:rFonts w:hint="eastAsia"/>
          <w:b/>
        </w:rPr>
      </w:pPr>
      <w:r>
        <w:rPr>
          <w:rFonts w:hint="eastAsia"/>
          <w:b/>
        </w:rPr>
        <w:t>4.1.4 清洁生产总体水平</w:t>
      </w:r>
      <w:bookmarkStart w:id="196" w:name="_Toc24471279"/>
    </w:p>
    <w:bookmarkEnd w:id="196"/>
    <w:p>
      <w:pPr>
        <w:spacing w:line="360" w:lineRule="auto"/>
        <w:ind w:firstLine="420" w:firstLineChars="200"/>
        <w:rPr>
          <w:rFonts w:hint="eastAsia"/>
        </w:rPr>
      </w:pPr>
      <w:r>
        <w:rPr>
          <w:rFonts w:hint="eastAsia"/>
        </w:rPr>
        <w:t>综上所述，技改项目采用了国内外先进的工艺技术和生产设备，且在整个工艺流程中充分考虑了能量的利用，有效地降低能耗，对生产过程中产生的“三废”尽量回收利用，做到一水多用，循环使用，同时注重生产全过程污染控制，既节约了资源，控制了物料流失，又大大地减少了外排污染物对环境的影响，通过与清洁生产指标的对照，表明技改项目符合清洁生产要求。从整体上看，技改项目达到国内清洁生产先进企业水平。</w:t>
      </w:r>
    </w:p>
    <w:p>
      <w:pPr>
        <w:autoSpaceDE w:val="0"/>
        <w:autoSpaceDN w:val="0"/>
        <w:adjustRightInd w:val="0"/>
        <w:snapToGrid w:val="0"/>
        <w:spacing w:line="348" w:lineRule="auto"/>
        <w:ind w:firstLine="420" w:firstLineChars="200"/>
        <w:rPr>
          <w:rFonts w:hint="eastAsia"/>
          <w:kern w:val="0"/>
        </w:rPr>
      </w:pPr>
    </w:p>
    <w:p>
      <w:pPr>
        <w:autoSpaceDE w:val="0"/>
        <w:autoSpaceDN w:val="0"/>
        <w:adjustRightInd w:val="0"/>
        <w:snapToGrid w:val="0"/>
        <w:spacing w:line="348" w:lineRule="auto"/>
        <w:ind w:firstLine="420" w:firstLineChars="200"/>
        <w:rPr>
          <w:rFonts w:hint="eastAsia"/>
          <w:kern w:val="0"/>
        </w:rPr>
      </w:pPr>
    </w:p>
    <w:p>
      <w:pPr>
        <w:autoSpaceDE w:val="0"/>
        <w:autoSpaceDN w:val="0"/>
        <w:adjustRightInd w:val="0"/>
        <w:snapToGrid w:val="0"/>
        <w:spacing w:line="348" w:lineRule="auto"/>
        <w:ind w:firstLine="420" w:firstLineChars="200"/>
        <w:rPr>
          <w:rFonts w:hint="eastAsia"/>
          <w:kern w:val="0"/>
        </w:rPr>
      </w:pPr>
    </w:p>
    <w:p>
      <w:pPr>
        <w:autoSpaceDE w:val="0"/>
        <w:autoSpaceDN w:val="0"/>
        <w:adjustRightInd w:val="0"/>
        <w:snapToGrid w:val="0"/>
        <w:spacing w:line="348" w:lineRule="auto"/>
        <w:ind w:firstLine="420" w:firstLineChars="200"/>
        <w:rPr>
          <w:rFonts w:hint="eastAsia"/>
          <w:kern w:val="0"/>
        </w:rPr>
      </w:pPr>
    </w:p>
    <w:p>
      <w:pPr>
        <w:autoSpaceDE w:val="0"/>
        <w:autoSpaceDN w:val="0"/>
        <w:adjustRightInd w:val="0"/>
        <w:snapToGrid w:val="0"/>
        <w:spacing w:line="348" w:lineRule="auto"/>
        <w:ind w:firstLine="420" w:firstLineChars="200"/>
        <w:rPr>
          <w:rFonts w:hint="eastAsia"/>
          <w:kern w:val="0"/>
        </w:rPr>
      </w:pPr>
    </w:p>
    <w:p>
      <w:pPr>
        <w:autoSpaceDE w:val="0"/>
        <w:autoSpaceDN w:val="0"/>
        <w:adjustRightInd w:val="0"/>
        <w:snapToGrid w:val="0"/>
        <w:spacing w:line="348" w:lineRule="auto"/>
        <w:ind w:firstLine="420" w:firstLineChars="200"/>
        <w:rPr>
          <w:rFonts w:hint="eastAsia"/>
          <w:kern w:val="0"/>
        </w:rPr>
      </w:pPr>
    </w:p>
    <w:p>
      <w:pPr>
        <w:autoSpaceDE w:val="0"/>
        <w:autoSpaceDN w:val="0"/>
        <w:adjustRightInd w:val="0"/>
        <w:snapToGrid w:val="0"/>
        <w:spacing w:line="348" w:lineRule="auto"/>
        <w:ind w:firstLine="420" w:firstLineChars="200"/>
        <w:rPr>
          <w:rFonts w:hint="eastAsia"/>
          <w:kern w:val="0"/>
        </w:rPr>
      </w:pPr>
    </w:p>
    <w:p>
      <w:pPr>
        <w:autoSpaceDE w:val="0"/>
        <w:autoSpaceDN w:val="0"/>
        <w:adjustRightInd w:val="0"/>
        <w:snapToGrid w:val="0"/>
        <w:spacing w:line="348" w:lineRule="auto"/>
        <w:ind w:firstLine="422" w:firstLineChars="200"/>
        <w:jc w:val="center"/>
        <w:rPr>
          <w:rFonts w:hAnsi="宋体"/>
          <w:b/>
          <w:kern w:val="28"/>
        </w:rPr>
      </w:pPr>
      <w:r>
        <w:rPr>
          <w:rFonts w:hAnsi="宋体"/>
          <w:b/>
          <w:kern w:val="28"/>
        </w:rPr>
        <w:t>表</w:t>
      </w:r>
      <w:r>
        <w:rPr>
          <w:rFonts w:hint="eastAsia" w:hAnsi="宋体"/>
          <w:b/>
          <w:kern w:val="28"/>
        </w:rPr>
        <w:t>4</w:t>
      </w:r>
      <w:r>
        <w:rPr>
          <w:rFonts w:hAnsi="宋体"/>
          <w:b/>
          <w:kern w:val="28"/>
        </w:rPr>
        <w:t>－</w:t>
      </w:r>
      <w:r>
        <w:rPr>
          <w:rFonts w:hint="eastAsia" w:hAnsi="宋体"/>
          <w:b/>
          <w:kern w:val="28"/>
        </w:rPr>
        <w:t>5</w:t>
      </w:r>
      <w:r>
        <w:rPr>
          <w:rFonts w:hAnsi="宋体"/>
          <w:b/>
          <w:kern w:val="28"/>
        </w:rPr>
        <w:t xml:space="preserve">  环境管理要求与清洁生产标准对照评价</w:t>
      </w:r>
    </w:p>
    <w:tbl>
      <w:tblPr>
        <w:tblStyle w:val="23"/>
        <w:tblW w:w="9106" w:type="dxa"/>
        <w:jc w:val="center"/>
        <w:tblInd w:w="16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441"/>
        <w:gridCol w:w="2154"/>
        <w:gridCol w:w="1821"/>
        <w:gridCol w:w="1903"/>
        <w:gridCol w:w="178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459" w:hRule="atLeast"/>
          <w:jc w:val="center"/>
        </w:trPr>
        <w:tc>
          <w:tcPr>
            <w:tcW w:w="1441" w:type="dxa"/>
            <w:tcBorders>
              <w:bottom w:val="single" w:color="000000" w:sz="12" w:space="0"/>
            </w:tcBorders>
            <w:shd w:val="clear" w:color="auto" w:fill="auto"/>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清洁生产指标</w:t>
            </w:r>
          </w:p>
        </w:tc>
        <w:tc>
          <w:tcPr>
            <w:tcW w:w="2154" w:type="dxa"/>
            <w:tcBorders>
              <w:bottom w:val="single" w:color="000000" w:sz="12" w:space="0"/>
            </w:tcBorders>
            <w:shd w:val="clear" w:color="auto" w:fill="auto"/>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一级</w:t>
            </w:r>
          </w:p>
        </w:tc>
        <w:tc>
          <w:tcPr>
            <w:tcW w:w="1821" w:type="dxa"/>
            <w:tcBorders>
              <w:bottom w:val="single" w:color="000000" w:sz="12" w:space="0"/>
            </w:tcBorders>
            <w:shd w:val="clear" w:color="auto" w:fill="auto"/>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二级</w:t>
            </w:r>
          </w:p>
        </w:tc>
        <w:tc>
          <w:tcPr>
            <w:tcW w:w="1903" w:type="dxa"/>
            <w:tcBorders>
              <w:bottom w:val="single" w:color="000000" w:sz="12" w:space="0"/>
            </w:tcBorders>
            <w:shd w:val="clear" w:color="auto" w:fill="auto"/>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三级</w:t>
            </w:r>
          </w:p>
        </w:tc>
        <w:tc>
          <w:tcPr>
            <w:tcW w:w="1787" w:type="dxa"/>
            <w:tcBorders>
              <w:bottom w:val="single" w:color="000000" w:sz="12" w:space="0"/>
            </w:tcBorders>
            <w:shd w:val="clear" w:color="auto" w:fill="auto"/>
            <w:vAlign w:val="center"/>
          </w:tcPr>
          <w:p>
            <w:pPr>
              <w:adjustRightInd w:val="0"/>
              <w:snapToGrid w:val="0"/>
              <w:spacing w:after="60" w:line="240" w:lineRule="atLeast"/>
              <w:ind w:firstLine="360"/>
              <w:jc w:val="center"/>
              <w:rPr>
                <w:rFonts w:hint="eastAsia"/>
                <w:kern w:val="0"/>
                <w:sz w:val="18"/>
                <w:szCs w:val="18"/>
              </w:rPr>
            </w:pPr>
            <w:r>
              <w:rPr>
                <w:rFonts w:hint="eastAsia" w:hAnsi="宋体"/>
                <w:kern w:val="0"/>
                <w:sz w:val="18"/>
                <w:szCs w:val="18"/>
              </w:rPr>
              <w:t>技改项目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600" w:hRule="atLeast"/>
          <w:jc w:val="center"/>
        </w:trPr>
        <w:tc>
          <w:tcPr>
            <w:tcW w:w="1441" w:type="dxa"/>
            <w:shd w:val="clear" w:color="auto" w:fill="auto"/>
            <w:vAlign w:val="center"/>
          </w:tcPr>
          <w:p>
            <w:pPr>
              <w:widowControl/>
              <w:adjustRightInd w:val="0"/>
              <w:snapToGrid w:val="0"/>
              <w:spacing w:after="60" w:line="240" w:lineRule="atLeast"/>
              <w:rPr>
                <w:kern w:val="0"/>
                <w:sz w:val="18"/>
                <w:szCs w:val="18"/>
              </w:rPr>
            </w:pPr>
            <w:r>
              <w:rPr>
                <w:kern w:val="0"/>
                <w:sz w:val="18"/>
                <w:szCs w:val="18"/>
              </w:rPr>
              <w:t>1.</w:t>
            </w:r>
            <w:r>
              <w:rPr>
                <w:rFonts w:hAnsi="宋体"/>
                <w:kern w:val="0"/>
                <w:sz w:val="18"/>
                <w:szCs w:val="18"/>
              </w:rPr>
              <w:t>环境法律法规标准</w:t>
            </w:r>
          </w:p>
        </w:tc>
        <w:tc>
          <w:tcPr>
            <w:tcW w:w="5878" w:type="dxa"/>
            <w:gridSpan w:val="3"/>
            <w:shd w:val="clear" w:color="auto" w:fill="auto"/>
            <w:vAlign w:val="center"/>
          </w:tcPr>
          <w:p>
            <w:pPr>
              <w:widowControl/>
              <w:adjustRightInd w:val="0"/>
              <w:snapToGrid w:val="0"/>
              <w:spacing w:after="60" w:line="240" w:lineRule="atLeast"/>
              <w:ind w:firstLine="360"/>
              <w:rPr>
                <w:kern w:val="0"/>
                <w:sz w:val="18"/>
                <w:szCs w:val="18"/>
              </w:rPr>
            </w:pPr>
            <w:r>
              <w:rPr>
                <w:rFonts w:hAnsi="宋体"/>
                <w:kern w:val="0"/>
                <w:sz w:val="18"/>
                <w:szCs w:val="18"/>
              </w:rPr>
              <w:t>符合国家和地方有关环境法律、法规，污染物排放</w:t>
            </w:r>
            <w:r>
              <w:rPr>
                <w:kern w:val="0"/>
                <w:sz w:val="18"/>
                <w:szCs w:val="18"/>
              </w:rPr>
              <w:t>(</w:t>
            </w:r>
            <w:r>
              <w:rPr>
                <w:rFonts w:hAnsi="宋体"/>
                <w:kern w:val="0"/>
                <w:sz w:val="18"/>
                <w:szCs w:val="18"/>
              </w:rPr>
              <w:t>包括焚烧危险废物和生活垃圾</w:t>
            </w:r>
            <w:r>
              <w:rPr>
                <w:kern w:val="0"/>
                <w:sz w:val="18"/>
                <w:szCs w:val="18"/>
              </w:rPr>
              <w:t>)</w:t>
            </w:r>
            <w:r>
              <w:rPr>
                <w:rFonts w:hAnsi="宋体"/>
                <w:kern w:val="0"/>
                <w:sz w:val="18"/>
                <w:szCs w:val="18"/>
              </w:rPr>
              <w:t>应达到国家和地方排放标准、总量减排和排污许可证管理要求</w:t>
            </w:r>
          </w:p>
        </w:tc>
        <w:tc>
          <w:tcPr>
            <w:tcW w:w="1787" w:type="dxa"/>
            <w:shd w:val="clear" w:color="auto" w:fill="auto"/>
            <w:vAlign w:val="center"/>
          </w:tcPr>
          <w:p>
            <w:pPr>
              <w:widowControl/>
              <w:adjustRightInd w:val="0"/>
              <w:snapToGrid w:val="0"/>
              <w:spacing w:after="60" w:line="240" w:lineRule="atLeast"/>
              <w:ind w:firstLine="360"/>
              <w:jc w:val="center"/>
              <w:rPr>
                <w:rFonts w:hint="eastAsia"/>
                <w:kern w:val="0"/>
                <w:sz w:val="18"/>
                <w:szCs w:val="18"/>
              </w:rPr>
            </w:pPr>
            <w:r>
              <w:rPr>
                <w:rFonts w:hint="eastAsia" w:hAnsi="宋体"/>
                <w:kern w:val="0"/>
                <w:sz w:val="18"/>
                <w:szCs w:val="18"/>
              </w:rPr>
              <w:t>一级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5" w:hRule="atLeast"/>
          <w:jc w:val="center"/>
        </w:trPr>
        <w:tc>
          <w:tcPr>
            <w:tcW w:w="1441" w:type="dxa"/>
            <w:shd w:val="clear" w:color="auto" w:fill="auto"/>
            <w:vAlign w:val="center"/>
          </w:tcPr>
          <w:p>
            <w:pPr>
              <w:widowControl/>
              <w:adjustRightInd w:val="0"/>
              <w:snapToGrid w:val="0"/>
              <w:spacing w:after="60" w:line="240" w:lineRule="atLeast"/>
              <w:rPr>
                <w:kern w:val="0"/>
                <w:sz w:val="18"/>
                <w:szCs w:val="18"/>
              </w:rPr>
            </w:pPr>
            <w:r>
              <w:rPr>
                <w:kern w:val="0"/>
                <w:sz w:val="18"/>
                <w:szCs w:val="18"/>
              </w:rPr>
              <w:t>2.</w:t>
            </w:r>
            <w:r>
              <w:rPr>
                <w:rFonts w:hAnsi="宋体"/>
                <w:kern w:val="0"/>
                <w:sz w:val="18"/>
                <w:szCs w:val="18"/>
              </w:rPr>
              <w:t>组织机构</w:t>
            </w:r>
          </w:p>
        </w:tc>
        <w:tc>
          <w:tcPr>
            <w:tcW w:w="5878" w:type="dxa"/>
            <w:gridSpan w:val="3"/>
            <w:shd w:val="clear" w:color="auto" w:fill="auto"/>
            <w:vAlign w:val="center"/>
          </w:tcPr>
          <w:p>
            <w:pPr>
              <w:widowControl/>
              <w:adjustRightInd w:val="0"/>
              <w:snapToGrid w:val="0"/>
              <w:spacing w:after="60" w:line="240" w:lineRule="atLeast"/>
              <w:ind w:firstLine="360"/>
              <w:rPr>
                <w:kern w:val="0"/>
                <w:sz w:val="18"/>
                <w:szCs w:val="18"/>
              </w:rPr>
            </w:pPr>
            <w:r>
              <w:rPr>
                <w:rFonts w:hAnsi="宋体"/>
                <w:kern w:val="0"/>
                <w:sz w:val="18"/>
                <w:szCs w:val="18"/>
              </w:rPr>
              <w:t>建立健全专门环境管理机构和专职管理人员，开展环保和清洁生产有关工作</w:t>
            </w:r>
          </w:p>
        </w:tc>
        <w:tc>
          <w:tcPr>
            <w:tcW w:w="1787" w:type="dxa"/>
            <w:shd w:val="clear" w:color="auto" w:fill="auto"/>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设置环保管理机构</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1396" w:hRule="atLeast"/>
          <w:jc w:val="center"/>
        </w:trPr>
        <w:tc>
          <w:tcPr>
            <w:tcW w:w="1441" w:type="dxa"/>
            <w:shd w:val="clear" w:color="auto" w:fill="auto"/>
            <w:vAlign w:val="center"/>
          </w:tcPr>
          <w:p>
            <w:pPr>
              <w:widowControl/>
              <w:adjustRightInd w:val="0"/>
              <w:snapToGrid w:val="0"/>
              <w:spacing w:after="60" w:line="240" w:lineRule="atLeast"/>
              <w:rPr>
                <w:kern w:val="0"/>
                <w:sz w:val="18"/>
                <w:szCs w:val="18"/>
              </w:rPr>
            </w:pPr>
            <w:r>
              <w:rPr>
                <w:kern w:val="0"/>
                <w:sz w:val="18"/>
                <w:szCs w:val="18"/>
              </w:rPr>
              <w:t>3.</w:t>
            </w:r>
            <w:r>
              <w:rPr>
                <w:rFonts w:hAnsi="宋体"/>
                <w:kern w:val="0"/>
                <w:sz w:val="18"/>
                <w:szCs w:val="18"/>
              </w:rPr>
              <w:t>环境审核</w:t>
            </w:r>
          </w:p>
        </w:tc>
        <w:tc>
          <w:tcPr>
            <w:tcW w:w="2154" w:type="dxa"/>
            <w:shd w:val="clear" w:color="auto" w:fill="auto"/>
            <w:vAlign w:val="center"/>
          </w:tcPr>
          <w:p>
            <w:pPr>
              <w:widowControl/>
              <w:adjustRightInd w:val="0"/>
              <w:snapToGrid w:val="0"/>
              <w:spacing w:after="60" w:line="240" w:lineRule="atLeast"/>
              <w:ind w:firstLine="360"/>
              <w:rPr>
                <w:kern w:val="0"/>
                <w:sz w:val="18"/>
                <w:szCs w:val="18"/>
              </w:rPr>
            </w:pPr>
            <w:r>
              <w:rPr>
                <w:rFonts w:hAnsi="宋体"/>
                <w:kern w:val="0"/>
                <w:sz w:val="18"/>
                <w:szCs w:val="18"/>
              </w:rPr>
              <w:t>按照《清洁生产审核暂行办法》要求进行了审核；按照</w:t>
            </w:r>
            <w:r>
              <w:rPr>
                <w:kern w:val="0"/>
                <w:sz w:val="18"/>
                <w:szCs w:val="18"/>
              </w:rPr>
              <w:t xml:space="preserve">GB/T24001 </w:t>
            </w:r>
            <w:r>
              <w:rPr>
                <w:rFonts w:hAnsi="宋体"/>
                <w:kern w:val="0"/>
                <w:sz w:val="18"/>
                <w:szCs w:val="18"/>
              </w:rPr>
              <w:t>建立并运行环境管理体系并通过认证</w:t>
            </w:r>
          </w:p>
        </w:tc>
        <w:tc>
          <w:tcPr>
            <w:tcW w:w="3724" w:type="dxa"/>
            <w:gridSpan w:val="2"/>
            <w:shd w:val="clear" w:color="auto" w:fill="auto"/>
            <w:vAlign w:val="center"/>
          </w:tcPr>
          <w:p>
            <w:pPr>
              <w:widowControl/>
              <w:adjustRightInd w:val="0"/>
              <w:snapToGrid w:val="0"/>
              <w:spacing w:after="60" w:line="240" w:lineRule="atLeast"/>
              <w:ind w:firstLine="360"/>
              <w:rPr>
                <w:kern w:val="0"/>
                <w:sz w:val="18"/>
                <w:szCs w:val="18"/>
              </w:rPr>
            </w:pPr>
            <w:r>
              <w:rPr>
                <w:rFonts w:hAnsi="宋体"/>
                <w:kern w:val="0"/>
                <w:sz w:val="18"/>
                <w:szCs w:val="18"/>
              </w:rPr>
              <w:t>按照《清洁生产审核暂行办法》要求进行了审核；按照</w:t>
            </w:r>
            <w:r>
              <w:rPr>
                <w:kern w:val="0"/>
                <w:sz w:val="18"/>
                <w:szCs w:val="18"/>
              </w:rPr>
              <w:t xml:space="preserve">GB/T 24001 </w:t>
            </w:r>
            <w:r>
              <w:rPr>
                <w:rFonts w:hAnsi="宋体"/>
                <w:kern w:val="0"/>
                <w:sz w:val="18"/>
                <w:szCs w:val="18"/>
              </w:rPr>
              <w:t>建立并运行环境管理体系，环境管理手册、程序文件及作业文件齐备，原始记录及统计数据齐全有效</w:t>
            </w:r>
          </w:p>
        </w:tc>
        <w:tc>
          <w:tcPr>
            <w:tcW w:w="1787" w:type="dxa"/>
            <w:shd w:val="clear" w:color="auto" w:fill="auto"/>
            <w:vAlign w:val="center"/>
          </w:tcPr>
          <w:p>
            <w:pPr>
              <w:widowControl/>
              <w:adjustRightInd w:val="0"/>
              <w:snapToGrid w:val="0"/>
              <w:spacing w:after="60" w:line="240" w:lineRule="atLeast"/>
              <w:ind w:firstLine="360"/>
              <w:jc w:val="center"/>
              <w:rPr>
                <w:kern w:val="0"/>
                <w:sz w:val="18"/>
                <w:szCs w:val="18"/>
              </w:rPr>
            </w:pPr>
            <w:r>
              <w:rPr>
                <w:rFonts w:hint="eastAsia" w:hAnsi="宋体"/>
                <w:kern w:val="0"/>
                <w:sz w:val="18"/>
                <w:szCs w:val="18"/>
              </w:rPr>
              <w:t>本技改项目</w:t>
            </w:r>
            <w:r>
              <w:rPr>
                <w:rFonts w:hAnsi="宋体"/>
                <w:kern w:val="0"/>
                <w:sz w:val="18"/>
                <w:szCs w:val="18"/>
              </w:rPr>
              <w:t>建成后即将开展清洁生产审核</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615" w:hRule="atLeast"/>
          <w:jc w:val="center"/>
        </w:trPr>
        <w:tc>
          <w:tcPr>
            <w:tcW w:w="1441" w:type="dxa"/>
            <w:shd w:val="clear" w:color="auto" w:fill="auto"/>
            <w:vAlign w:val="center"/>
          </w:tcPr>
          <w:p>
            <w:pPr>
              <w:widowControl/>
              <w:adjustRightInd w:val="0"/>
              <w:snapToGrid w:val="0"/>
              <w:spacing w:after="60" w:line="240" w:lineRule="atLeast"/>
              <w:rPr>
                <w:kern w:val="0"/>
                <w:sz w:val="18"/>
                <w:szCs w:val="18"/>
              </w:rPr>
            </w:pPr>
            <w:r>
              <w:rPr>
                <w:kern w:val="0"/>
                <w:sz w:val="18"/>
                <w:szCs w:val="18"/>
              </w:rPr>
              <w:t>4.</w:t>
            </w:r>
            <w:r>
              <w:rPr>
                <w:rFonts w:hAnsi="宋体"/>
                <w:kern w:val="0"/>
                <w:sz w:val="18"/>
                <w:szCs w:val="18"/>
              </w:rPr>
              <w:t>岗位培训</w:t>
            </w:r>
          </w:p>
        </w:tc>
        <w:tc>
          <w:tcPr>
            <w:tcW w:w="3975" w:type="dxa"/>
            <w:gridSpan w:val="2"/>
            <w:shd w:val="clear" w:color="auto" w:fill="auto"/>
            <w:vAlign w:val="center"/>
          </w:tcPr>
          <w:p>
            <w:pPr>
              <w:widowControl/>
              <w:adjustRightInd w:val="0"/>
              <w:snapToGrid w:val="0"/>
              <w:spacing w:after="60" w:line="240" w:lineRule="atLeast"/>
              <w:ind w:firstLine="360"/>
              <w:rPr>
                <w:kern w:val="0"/>
                <w:sz w:val="18"/>
                <w:szCs w:val="18"/>
              </w:rPr>
            </w:pPr>
            <w:r>
              <w:rPr>
                <w:rFonts w:hAnsi="宋体"/>
                <w:kern w:val="0"/>
                <w:sz w:val="18"/>
                <w:szCs w:val="18"/>
              </w:rPr>
              <w:t>所有岗位进行过严格培训</w:t>
            </w:r>
          </w:p>
        </w:tc>
        <w:tc>
          <w:tcPr>
            <w:tcW w:w="1903" w:type="dxa"/>
            <w:shd w:val="clear" w:color="auto" w:fill="auto"/>
            <w:vAlign w:val="center"/>
          </w:tcPr>
          <w:p>
            <w:pPr>
              <w:widowControl/>
              <w:adjustRightInd w:val="0"/>
              <w:snapToGrid w:val="0"/>
              <w:spacing w:after="60" w:line="240" w:lineRule="atLeast"/>
              <w:ind w:firstLine="360"/>
              <w:rPr>
                <w:kern w:val="0"/>
                <w:sz w:val="18"/>
                <w:szCs w:val="18"/>
              </w:rPr>
            </w:pPr>
            <w:r>
              <w:rPr>
                <w:rFonts w:hAnsi="宋体"/>
                <w:kern w:val="0"/>
                <w:sz w:val="18"/>
                <w:szCs w:val="18"/>
              </w:rPr>
              <w:t>主要岗位进行过严格培训</w:t>
            </w:r>
          </w:p>
        </w:tc>
        <w:tc>
          <w:tcPr>
            <w:tcW w:w="1787" w:type="dxa"/>
            <w:shd w:val="clear" w:color="auto" w:fill="auto"/>
            <w:vAlign w:val="center"/>
          </w:tcPr>
          <w:p>
            <w:pPr>
              <w:adjustRightInd w:val="0"/>
              <w:snapToGrid w:val="0"/>
              <w:spacing w:after="60" w:line="240" w:lineRule="atLeast"/>
              <w:ind w:firstLine="360"/>
              <w:jc w:val="center"/>
              <w:rPr>
                <w:kern w:val="0"/>
                <w:sz w:val="18"/>
                <w:szCs w:val="18"/>
              </w:rPr>
            </w:pPr>
            <w:r>
              <w:rPr>
                <w:rFonts w:hAnsi="宋体"/>
                <w:kern w:val="0"/>
                <w:sz w:val="18"/>
                <w:szCs w:val="18"/>
              </w:rPr>
              <w:t>所有岗位进行严格培训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615" w:hRule="atLeast"/>
          <w:jc w:val="center"/>
        </w:trPr>
        <w:tc>
          <w:tcPr>
            <w:tcW w:w="1441" w:type="dxa"/>
            <w:shd w:val="clear" w:color="auto" w:fill="auto"/>
            <w:vAlign w:val="center"/>
          </w:tcPr>
          <w:p>
            <w:pPr>
              <w:autoSpaceDE w:val="0"/>
              <w:autoSpaceDN w:val="0"/>
              <w:adjustRightInd w:val="0"/>
              <w:snapToGrid w:val="0"/>
              <w:spacing w:after="60" w:line="240" w:lineRule="atLeast"/>
              <w:rPr>
                <w:kern w:val="0"/>
                <w:sz w:val="18"/>
                <w:szCs w:val="18"/>
              </w:rPr>
            </w:pPr>
            <w:r>
              <w:rPr>
                <w:kern w:val="0"/>
                <w:sz w:val="18"/>
                <w:szCs w:val="18"/>
              </w:rPr>
              <w:t>5.</w:t>
            </w:r>
            <w:r>
              <w:rPr>
                <w:rFonts w:hAnsi="宋体"/>
                <w:kern w:val="0"/>
                <w:sz w:val="18"/>
                <w:szCs w:val="18"/>
              </w:rPr>
              <w:t>各岗位操作管理、设备管理</w:t>
            </w:r>
          </w:p>
        </w:tc>
        <w:tc>
          <w:tcPr>
            <w:tcW w:w="2154" w:type="dxa"/>
            <w:shd w:val="clear" w:color="auto" w:fill="auto"/>
            <w:vAlign w:val="center"/>
          </w:tcPr>
          <w:p>
            <w:pPr>
              <w:autoSpaceDE w:val="0"/>
              <w:autoSpaceDN w:val="0"/>
              <w:adjustRightInd w:val="0"/>
              <w:snapToGrid w:val="0"/>
              <w:spacing w:after="60" w:line="240" w:lineRule="atLeast"/>
              <w:ind w:firstLine="360"/>
              <w:rPr>
                <w:kern w:val="0"/>
                <w:sz w:val="18"/>
                <w:szCs w:val="18"/>
              </w:rPr>
            </w:pPr>
            <w:r>
              <w:rPr>
                <w:rFonts w:hAnsi="宋体"/>
                <w:kern w:val="0"/>
                <w:sz w:val="18"/>
                <w:szCs w:val="18"/>
              </w:rPr>
              <w:t>建立完善的管理制度并严格执行，设备完好率达</w:t>
            </w:r>
            <w:r>
              <w:rPr>
                <w:kern w:val="0"/>
                <w:sz w:val="18"/>
                <w:szCs w:val="18"/>
              </w:rPr>
              <w:t>100</w:t>
            </w:r>
            <w:r>
              <w:rPr>
                <w:rFonts w:hAnsi="宋体"/>
                <w:kern w:val="0"/>
                <w:sz w:val="18"/>
                <w:szCs w:val="18"/>
              </w:rPr>
              <w:t>％</w:t>
            </w:r>
          </w:p>
        </w:tc>
        <w:tc>
          <w:tcPr>
            <w:tcW w:w="1821" w:type="dxa"/>
            <w:shd w:val="clear" w:color="auto" w:fill="auto"/>
            <w:vAlign w:val="center"/>
          </w:tcPr>
          <w:p>
            <w:pPr>
              <w:widowControl/>
              <w:adjustRightInd w:val="0"/>
              <w:snapToGrid w:val="0"/>
              <w:spacing w:after="60" w:line="240" w:lineRule="atLeast"/>
              <w:ind w:firstLine="360"/>
              <w:rPr>
                <w:kern w:val="0"/>
                <w:sz w:val="18"/>
                <w:szCs w:val="18"/>
              </w:rPr>
            </w:pPr>
            <w:r>
              <w:rPr>
                <w:rFonts w:hAnsi="宋体"/>
                <w:kern w:val="0"/>
                <w:sz w:val="18"/>
                <w:szCs w:val="18"/>
              </w:rPr>
              <w:t>建立完善的管理制度并严格执行，设备完好率达</w:t>
            </w:r>
            <w:r>
              <w:rPr>
                <w:kern w:val="0"/>
                <w:sz w:val="18"/>
                <w:szCs w:val="18"/>
              </w:rPr>
              <w:t>98</w:t>
            </w:r>
            <w:r>
              <w:rPr>
                <w:rFonts w:hAnsi="宋体"/>
                <w:kern w:val="0"/>
                <w:sz w:val="18"/>
                <w:szCs w:val="18"/>
              </w:rPr>
              <w:t>％</w:t>
            </w:r>
          </w:p>
        </w:tc>
        <w:tc>
          <w:tcPr>
            <w:tcW w:w="1903" w:type="dxa"/>
            <w:shd w:val="clear" w:color="auto" w:fill="auto"/>
            <w:vAlign w:val="center"/>
          </w:tcPr>
          <w:p>
            <w:pPr>
              <w:widowControl/>
              <w:adjustRightInd w:val="0"/>
              <w:snapToGrid w:val="0"/>
              <w:spacing w:after="60" w:line="240" w:lineRule="atLeast"/>
              <w:ind w:firstLine="360"/>
              <w:rPr>
                <w:kern w:val="0"/>
                <w:sz w:val="18"/>
                <w:szCs w:val="18"/>
              </w:rPr>
            </w:pPr>
            <w:r>
              <w:rPr>
                <w:rFonts w:hAnsi="宋体"/>
                <w:kern w:val="0"/>
                <w:sz w:val="18"/>
                <w:szCs w:val="18"/>
              </w:rPr>
              <w:t>建立较完善的管理制度并严格执行，设备完好率达</w:t>
            </w:r>
            <w:r>
              <w:rPr>
                <w:kern w:val="0"/>
                <w:sz w:val="18"/>
                <w:szCs w:val="18"/>
              </w:rPr>
              <w:t>95</w:t>
            </w:r>
            <w:r>
              <w:rPr>
                <w:rFonts w:hAnsi="宋体"/>
                <w:kern w:val="0"/>
                <w:sz w:val="18"/>
                <w:szCs w:val="18"/>
              </w:rPr>
              <w:t>％</w:t>
            </w:r>
          </w:p>
        </w:tc>
        <w:tc>
          <w:tcPr>
            <w:tcW w:w="1787" w:type="dxa"/>
            <w:shd w:val="clear" w:color="auto" w:fill="auto"/>
            <w:vAlign w:val="center"/>
          </w:tcPr>
          <w:p>
            <w:pPr>
              <w:adjustRightInd w:val="0"/>
              <w:snapToGrid w:val="0"/>
              <w:spacing w:after="60" w:line="240" w:lineRule="atLeast"/>
              <w:ind w:firstLine="360"/>
              <w:jc w:val="center"/>
              <w:rPr>
                <w:kern w:val="0"/>
                <w:sz w:val="18"/>
                <w:szCs w:val="18"/>
              </w:rPr>
            </w:pPr>
            <w:r>
              <w:rPr>
                <w:rFonts w:hAnsi="宋体"/>
                <w:kern w:val="0"/>
                <w:sz w:val="18"/>
                <w:szCs w:val="18"/>
              </w:rPr>
              <w:t>建立完善的管理制度并严格执行，设备完好率达</w:t>
            </w:r>
            <w:r>
              <w:rPr>
                <w:kern w:val="0"/>
                <w:sz w:val="18"/>
                <w:szCs w:val="18"/>
              </w:rPr>
              <w:t>100</w:t>
            </w:r>
            <w:r>
              <w:rPr>
                <w:rFonts w:hAnsi="宋体"/>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615" w:hRule="atLeast"/>
          <w:jc w:val="center"/>
        </w:trPr>
        <w:tc>
          <w:tcPr>
            <w:tcW w:w="1441" w:type="dxa"/>
            <w:shd w:val="clear" w:color="auto" w:fill="auto"/>
            <w:vAlign w:val="center"/>
          </w:tcPr>
          <w:p>
            <w:pPr>
              <w:autoSpaceDE w:val="0"/>
              <w:autoSpaceDN w:val="0"/>
              <w:adjustRightInd w:val="0"/>
              <w:snapToGrid w:val="0"/>
              <w:spacing w:after="60" w:line="240" w:lineRule="atLeast"/>
              <w:ind w:firstLine="360"/>
              <w:jc w:val="center"/>
              <w:rPr>
                <w:kern w:val="0"/>
                <w:sz w:val="18"/>
                <w:szCs w:val="18"/>
              </w:rPr>
            </w:pPr>
            <w:r>
              <w:rPr>
                <w:kern w:val="0"/>
                <w:sz w:val="18"/>
                <w:szCs w:val="18"/>
              </w:rPr>
              <w:t>6.</w:t>
            </w:r>
            <w:r>
              <w:rPr>
                <w:rFonts w:hAnsi="宋体"/>
                <w:kern w:val="0"/>
                <w:sz w:val="18"/>
                <w:szCs w:val="18"/>
              </w:rPr>
              <w:t>原料、燃料消耗及质检</w:t>
            </w:r>
          </w:p>
        </w:tc>
        <w:tc>
          <w:tcPr>
            <w:tcW w:w="2154" w:type="dxa"/>
            <w:shd w:val="clear" w:color="auto" w:fill="auto"/>
            <w:vAlign w:val="center"/>
          </w:tcPr>
          <w:p>
            <w:pPr>
              <w:autoSpaceDE w:val="0"/>
              <w:autoSpaceDN w:val="0"/>
              <w:adjustRightInd w:val="0"/>
              <w:snapToGrid w:val="0"/>
              <w:spacing w:after="60" w:line="240" w:lineRule="atLeast"/>
              <w:ind w:firstLine="360"/>
              <w:rPr>
                <w:kern w:val="0"/>
                <w:sz w:val="18"/>
                <w:szCs w:val="18"/>
              </w:rPr>
            </w:pPr>
            <w:r>
              <w:rPr>
                <w:rFonts w:hAnsi="宋体"/>
                <w:kern w:val="0"/>
                <w:sz w:val="18"/>
                <w:szCs w:val="18"/>
              </w:rPr>
              <w:t>建立原料、燃料质检制度和原料、燃料消耗定额管理制度，安装计量装置或仪表，对能耗、物料消耗及水耗进行严格定量考核</w:t>
            </w:r>
          </w:p>
        </w:tc>
        <w:tc>
          <w:tcPr>
            <w:tcW w:w="1821" w:type="dxa"/>
            <w:shd w:val="clear" w:color="auto" w:fill="auto"/>
            <w:vAlign w:val="center"/>
          </w:tcPr>
          <w:p>
            <w:pPr>
              <w:autoSpaceDE w:val="0"/>
              <w:autoSpaceDN w:val="0"/>
              <w:adjustRightInd w:val="0"/>
              <w:snapToGrid w:val="0"/>
              <w:spacing w:after="60" w:line="240" w:lineRule="atLeast"/>
              <w:ind w:firstLine="360"/>
              <w:rPr>
                <w:kern w:val="0"/>
                <w:sz w:val="18"/>
                <w:szCs w:val="18"/>
              </w:rPr>
            </w:pPr>
            <w:r>
              <w:rPr>
                <w:rFonts w:hAnsi="宋体"/>
                <w:kern w:val="0"/>
                <w:sz w:val="18"/>
                <w:szCs w:val="18"/>
              </w:rPr>
              <w:t>建立原料、燃料</w:t>
            </w:r>
          </w:p>
          <w:p>
            <w:pPr>
              <w:widowControl/>
              <w:adjustRightInd w:val="0"/>
              <w:snapToGrid w:val="0"/>
              <w:spacing w:after="60" w:line="240" w:lineRule="atLeast"/>
              <w:ind w:firstLine="360"/>
              <w:rPr>
                <w:kern w:val="0"/>
                <w:sz w:val="18"/>
                <w:szCs w:val="18"/>
              </w:rPr>
            </w:pPr>
            <w:r>
              <w:rPr>
                <w:rFonts w:hAnsi="宋体"/>
                <w:kern w:val="0"/>
                <w:sz w:val="18"/>
                <w:szCs w:val="18"/>
              </w:rPr>
              <w:t>质检制度和原料、燃料消耗定额管理制度，对能耗、物料消耗及水耗进行定量考核</w:t>
            </w:r>
          </w:p>
        </w:tc>
        <w:tc>
          <w:tcPr>
            <w:tcW w:w="1903" w:type="dxa"/>
            <w:shd w:val="clear" w:color="auto" w:fill="auto"/>
            <w:vAlign w:val="center"/>
          </w:tcPr>
          <w:p>
            <w:pPr>
              <w:autoSpaceDE w:val="0"/>
              <w:autoSpaceDN w:val="0"/>
              <w:adjustRightInd w:val="0"/>
              <w:snapToGrid w:val="0"/>
              <w:spacing w:after="60" w:line="240" w:lineRule="atLeast"/>
              <w:ind w:firstLine="360"/>
              <w:rPr>
                <w:kern w:val="0"/>
                <w:sz w:val="18"/>
                <w:szCs w:val="18"/>
              </w:rPr>
            </w:pPr>
            <w:r>
              <w:rPr>
                <w:rFonts w:hAnsi="宋体"/>
                <w:kern w:val="0"/>
                <w:sz w:val="18"/>
                <w:szCs w:val="18"/>
              </w:rPr>
              <w:t>建立原料、燃料质检制度和原料燃料消耗定额管理制度，对能耗、物料消耗及水耗进行计量</w:t>
            </w:r>
          </w:p>
        </w:tc>
        <w:tc>
          <w:tcPr>
            <w:tcW w:w="1787" w:type="dxa"/>
            <w:shd w:val="clear" w:color="auto" w:fill="auto"/>
            <w:vAlign w:val="center"/>
          </w:tcPr>
          <w:p>
            <w:pPr>
              <w:autoSpaceDE w:val="0"/>
              <w:autoSpaceDN w:val="0"/>
              <w:adjustRightInd w:val="0"/>
              <w:snapToGrid w:val="0"/>
              <w:spacing w:after="60" w:line="240" w:lineRule="atLeast"/>
              <w:ind w:firstLine="360"/>
              <w:jc w:val="center"/>
              <w:rPr>
                <w:kern w:val="0"/>
                <w:sz w:val="18"/>
                <w:szCs w:val="18"/>
              </w:rPr>
            </w:pPr>
            <w:r>
              <w:rPr>
                <w:rFonts w:hAnsi="宋体"/>
                <w:kern w:val="0"/>
                <w:sz w:val="18"/>
                <w:szCs w:val="18"/>
              </w:rPr>
              <w:t>安装有计量装置</w:t>
            </w:r>
          </w:p>
          <w:p>
            <w:pPr>
              <w:adjustRightInd w:val="0"/>
              <w:snapToGrid w:val="0"/>
              <w:spacing w:after="60" w:line="240" w:lineRule="atLeast"/>
              <w:ind w:firstLine="360"/>
              <w:jc w:val="center"/>
              <w:rPr>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615" w:hRule="atLeast"/>
          <w:jc w:val="center"/>
        </w:trPr>
        <w:tc>
          <w:tcPr>
            <w:tcW w:w="1441" w:type="dxa"/>
            <w:shd w:val="clear" w:color="auto" w:fill="auto"/>
            <w:vAlign w:val="center"/>
          </w:tcPr>
          <w:p>
            <w:pPr>
              <w:autoSpaceDE w:val="0"/>
              <w:autoSpaceDN w:val="0"/>
              <w:adjustRightInd w:val="0"/>
              <w:snapToGrid w:val="0"/>
              <w:spacing w:after="60" w:line="240" w:lineRule="atLeast"/>
              <w:rPr>
                <w:kern w:val="0"/>
                <w:sz w:val="18"/>
                <w:szCs w:val="18"/>
              </w:rPr>
            </w:pPr>
            <w:r>
              <w:rPr>
                <w:kern w:val="0"/>
                <w:sz w:val="18"/>
                <w:szCs w:val="18"/>
              </w:rPr>
              <w:t>7.</w:t>
            </w:r>
            <w:r>
              <w:rPr>
                <w:rFonts w:hAnsi="宋体"/>
                <w:kern w:val="0"/>
                <w:sz w:val="18"/>
                <w:szCs w:val="18"/>
              </w:rPr>
              <w:t>颗粒物、无组织排放控制</w:t>
            </w:r>
          </w:p>
        </w:tc>
        <w:tc>
          <w:tcPr>
            <w:tcW w:w="3975" w:type="dxa"/>
            <w:gridSpan w:val="2"/>
            <w:shd w:val="clear" w:color="auto" w:fill="auto"/>
            <w:vAlign w:val="center"/>
          </w:tcPr>
          <w:p>
            <w:pPr>
              <w:autoSpaceDE w:val="0"/>
              <w:autoSpaceDN w:val="0"/>
              <w:adjustRightInd w:val="0"/>
              <w:snapToGrid w:val="0"/>
              <w:spacing w:after="60" w:line="240" w:lineRule="atLeast"/>
              <w:ind w:firstLine="360"/>
              <w:rPr>
                <w:kern w:val="0"/>
                <w:sz w:val="18"/>
                <w:szCs w:val="18"/>
              </w:rPr>
            </w:pPr>
            <w:r>
              <w:rPr>
                <w:rFonts w:hAnsi="宋体"/>
                <w:kern w:val="0"/>
                <w:sz w:val="18"/>
                <w:szCs w:val="18"/>
              </w:rPr>
              <w:t>生产线的物料处理、输送、装卸、贮存过程应封闭，所有物料均不得露天堆放，对粉尘、无组织排放进行控制并定期监测，其中窑系统须安装并实施连续在线监测装置；同时对块石、粘湿物料、浆料以及车船装卸料过程进行有效的控制。建立污染事故的应急程序</w:t>
            </w:r>
          </w:p>
        </w:tc>
        <w:tc>
          <w:tcPr>
            <w:tcW w:w="1903" w:type="dxa"/>
            <w:shd w:val="clear" w:color="auto" w:fill="auto"/>
            <w:vAlign w:val="center"/>
          </w:tcPr>
          <w:p>
            <w:pPr>
              <w:autoSpaceDE w:val="0"/>
              <w:autoSpaceDN w:val="0"/>
              <w:adjustRightInd w:val="0"/>
              <w:snapToGrid w:val="0"/>
              <w:spacing w:after="60" w:line="240" w:lineRule="atLeast"/>
              <w:ind w:firstLine="360"/>
              <w:rPr>
                <w:kern w:val="0"/>
                <w:sz w:val="18"/>
                <w:szCs w:val="18"/>
              </w:rPr>
            </w:pPr>
            <w:r>
              <w:rPr>
                <w:rFonts w:hAnsi="宋体"/>
                <w:kern w:val="0"/>
                <w:sz w:val="18"/>
                <w:szCs w:val="18"/>
              </w:rPr>
              <w:t>生产线对干粉料的处理、输送、装卸、贮存应封闭；对粉尘、无组织排放进行控制；露天储料场应当采取防起尘、防雨水冲刷流失的措施；装、卸料时，采取有效措施防止扬尘</w:t>
            </w:r>
          </w:p>
        </w:tc>
        <w:tc>
          <w:tcPr>
            <w:tcW w:w="1787" w:type="dxa"/>
            <w:shd w:val="clear" w:color="auto" w:fill="auto"/>
            <w:vAlign w:val="center"/>
          </w:tcPr>
          <w:p>
            <w:pPr>
              <w:autoSpaceDE w:val="0"/>
              <w:autoSpaceDN w:val="0"/>
              <w:adjustRightInd w:val="0"/>
              <w:snapToGrid w:val="0"/>
              <w:spacing w:after="60" w:line="240" w:lineRule="atLeast"/>
              <w:ind w:firstLine="360"/>
              <w:jc w:val="center"/>
              <w:rPr>
                <w:kern w:val="0"/>
                <w:sz w:val="18"/>
                <w:szCs w:val="18"/>
              </w:rPr>
            </w:pPr>
            <w:r>
              <w:rPr>
                <w:rFonts w:hAnsi="宋体"/>
                <w:kern w:val="0"/>
                <w:sz w:val="18"/>
                <w:szCs w:val="18"/>
              </w:rPr>
              <w:t>物料堆存在</w:t>
            </w:r>
            <w:r>
              <w:rPr>
                <w:rFonts w:hAnsi="宋体"/>
                <w:sz w:val="18"/>
                <w:szCs w:val="18"/>
              </w:rPr>
              <w:t>堆棚或</w:t>
            </w:r>
            <w:r>
              <w:rPr>
                <w:rFonts w:hAnsi="宋体"/>
                <w:kern w:val="0"/>
                <w:sz w:val="18"/>
                <w:szCs w:val="18"/>
              </w:rPr>
              <w:t>密闭堆场，对粉尘、无组织排放进行控制并定期监测，窑系统安装在线监测装置，采取有效措施防止扬尘</w:t>
            </w:r>
          </w:p>
        </w:tc>
      </w:tr>
    </w:tbl>
    <w:p>
      <w:pPr>
        <w:spacing w:line="360" w:lineRule="auto"/>
        <w:outlineLvl w:val="2"/>
        <w:rPr>
          <w:rFonts w:hint="eastAsia"/>
          <w:b/>
        </w:rPr>
      </w:pPr>
    </w:p>
    <w:p>
      <w:pPr>
        <w:spacing w:line="360" w:lineRule="auto"/>
        <w:outlineLvl w:val="2"/>
        <w:rPr>
          <w:rFonts w:hint="eastAsia"/>
          <w:b/>
        </w:rPr>
      </w:pPr>
      <w:r>
        <w:rPr>
          <w:rFonts w:hint="eastAsia"/>
          <w:b/>
        </w:rPr>
        <w:t>4.1.5 进一步实施清洁生产的途径</w:t>
      </w:r>
    </w:p>
    <w:p>
      <w:pPr>
        <w:pStyle w:val="9"/>
        <w:spacing w:line="360" w:lineRule="auto"/>
        <w:ind w:firstLine="480" w:firstLineChars="200"/>
        <w:rPr>
          <w:rFonts w:ascii="Times New Roman" w:hAnsi="Times New Roman"/>
          <w:sz w:val="24"/>
          <w:szCs w:val="24"/>
        </w:rPr>
      </w:pPr>
      <w:r>
        <w:rPr>
          <w:rFonts w:ascii="Times New Roman" w:hAnsi="Times New Roman"/>
          <w:sz w:val="24"/>
          <w:szCs w:val="24"/>
        </w:rPr>
        <w:t>为了减少NOx、SO</w:t>
      </w:r>
      <w:r>
        <w:rPr>
          <w:rFonts w:ascii="Times New Roman" w:hAnsi="Times New Roman"/>
          <w:sz w:val="24"/>
          <w:szCs w:val="24"/>
          <w:vertAlign w:val="subscript"/>
        </w:rPr>
        <w:t xml:space="preserve">2 </w:t>
      </w:r>
      <w:r>
        <w:rPr>
          <w:rFonts w:ascii="Times New Roman" w:hAnsi="Times New Roman"/>
          <w:sz w:val="24"/>
          <w:szCs w:val="24"/>
        </w:rPr>
        <w:t>污染，本</w:t>
      </w:r>
      <w:r>
        <w:rPr>
          <w:rFonts w:hint="eastAsia" w:ascii="Times New Roman" w:hAnsi="Times New Roman"/>
          <w:sz w:val="24"/>
          <w:szCs w:val="24"/>
        </w:rPr>
        <w:t>评价</w:t>
      </w:r>
      <w:r>
        <w:rPr>
          <w:rFonts w:ascii="Times New Roman" w:hAnsi="Times New Roman"/>
          <w:sz w:val="24"/>
          <w:szCs w:val="24"/>
        </w:rPr>
        <w:t>建议</w:t>
      </w:r>
      <w:r>
        <w:rPr>
          <w:rFonts w:hint="eastAsia" w:ascii="Times New Roman" w:hAnsi="Times New Roman"/>
          <w:sz w:val="24"/>
          <w:szCs w:val="24"/>
        </w:rPr>
        <w:t>技改项目</w:t>
      </w:r>
      <w:r>
        <w:rPr>
          <w:rFonts w:ascii="Times New Roman" w:hAnsi="Times New Roman"/>
          <w:sz w:val="24"/>
          <w:szCs w:val="24"/>
        </w:rPr>
        <w:t>采用改变燃烧条件的方法来降低NOx排放量，即采用低NOx燃烧技术</w:t>
      </w:r>
      <w:r>
        <w:rPr>
          <w:rFonts w:hint="eastAsia" w:ascii="Times New Roman" w:hAnsi="Times New Roman"/>
          <w:sz w:val="24"/>
          <w:szCs w:val="24"/>
        </w:rPr>
        <w:t>，</w:t>
      </w:r>
      <w:r>
        <w:rPr>
          <w:rFonts w:ascii="Times New Roman" w:hAnsi="Times New Roman"/>
          <w:sz w:val="24"/>
          <w:szCs w:val="24"/>
        </w:rPr>
        <w:t>采用</w:t>
      </w:r>
      <w:r>
        <w:rPr>
          <w:rFonts w:hint="eastAsia" w:ascii="Times New Roman" w:hAnsi="Times New Roman"/>
          <w:sz w:val="24"/>
          <w:szCs w:val="24"/>
        </w:rPr>
        <w:t>低硫</w:t>
      </w:r>
      <w:r>
        <w:rPr>
          <w:rFonts w:ascii="Times New Roman" w:hAnsi="Times New Roman"/>
          <w:sz w:val="24"/>
          <w:szCs w:val="24"/>
        </w:rPr>
        <w:t>煤来降低SO2排放量。为了更好的消纳工业废渣，环评建议</w:t>
      </w:r>
      <w:r>
        <w:rPr>
          <w:rFonts w:hint="eastAsia" w:ascii="Times New Roman" w:hAnsi="Times New Roman"/>
          <w:sz w:val="24"/>
          <w:szCs w:val="24"/>
        </w:rPr>
        <w:t>技改</w:t>
      </w:r>
      <w:r>
        <w:rPr>
          <w:rFonts w:ascii="Times New Roman" w:hAnsi="Times New Roman"/>
          <w:sz w:val="24"/>
          <w:szCs w:val="24"/>
        </w:rPr>
        <w:t>项目应与其他产生硫酸渣、混合材等工业废渣的工厂签订购买协议。同时做好本项目废渣的回收利用：除尘器收集的除尘灰通过螺旋输送机返回到各自工艺流程中回用，新增燃煤灰渣回收用作混合材。</w:t>
      </w:r>
    </w:p>
    <w:p>
      <w:pPr>
        <w:spacing w:line="360" w:lineRule="auto"/>
        <w:ind w:firstLine="420" w:firstLineChars="200"/>
      </w:pPr>
      <w:r>
        <w:t>为了推进节水型企业建设，</w:t>
      </w:r>
      <w:r>
        <w:rPr>
          <w:rFonts w:hint="eastAsia"/>
        </w:rPr>
        <w:t>评价建议技改项目</w:t>
      </w:r>
      <w:r>
        <w:t>采取进一步的节水措施，改进水处理方案，将生活</w:t>
      </w:r>
      <w:r>
        <w:rPr>
          <w:rFonts w:hint="eastAsia"/>
        </w:rPr>
        <w:t>及辅助设施废</w:t>
      </w:r>
      <w:r>
        <w:t>水经</w:t>
      </w:r>
      <w:r>
        <w:rPr>
          <w:rFonts w:hint="eastAsia"/>
        </w:rPr>
        <w:t>生化水处理</w:t>
      </w:r>
      <w:r>
        <w:t>装置处理后，回用作</w:t>
      </w:r>
      <w:r>
        <w:rPr>
          <w:rFonts w:hint="eastAsia"/>
        </w:rPr>
        <w:t>设备喷水</w:t>
      </w:r>
      <w:r>
        <w:t>，不排放。</w:t>
      </w:r>
    </w:p>
    <w:p>
      <w:pPr>
        <w:spacing w:line="360" w:lineRule="auto"/>
        <w:outlineLvl w:val="1"/>
        <w:rPr>
          <w:b/>
        </w:rPr>
      </w:pPr>
      <w:bookmarkStart w:id="197" w:name="_Toc189814150"/>
      <w:bookmarkStart w:id="198" w:name="_Toc276372233"/>
      <w:bookmarkStart w:id="199" w:name="_Toc473281508"/>
      <w:bookmarkStart w:id="200" w:name="_Toc175479805"/>
      <w:r>
        <w:rPr>
          <w:rFonts w:hint="eastAsia"/>
          <w:b/>
        </w:rPr>
        <w:t>4.2循环经济分析</w:t>
      </w:r>
      <w:bookmarkEnd w:id="197"/>
      <w:bookmarkEnd w:id="198"/>
      <w:bookmarkEnd w:id="199"/>
      <w:bookmarkEnd w:id="200"/>
    </w:p>
    <w:p>
      <w:pPr>
        <w:spacing w:line="360" w:lineRule="auto"/>
        <w:ind w:firstLine="420" w:firstLineChars="200"/>
        <w:rPr>
          <w:rFonts w:hint="eastAsia"/>
          <w:bCs/>
        </w:rPr>
      </w:pPr>
      <w:r>
        <w:rPr>
          <w:rFonts w:hint="eastAsia"/>
          <w:bCs/>
        </w:rPr>
        <w:t>在企业实施清洁生产是物料循环和废物利用水平的循环经济，在园区或行业实施清洁生产是产业链层次的循环经济；而更高层次的循环经济则需要相当大的范围和区域，链接众多部门，涉及各类复杂因素，是生态、社会、经济复合系统各因素达到相互制约与发展、互为反馈调节的动态平衡系统。</w:t>
      </w:r>
    </w:p>
    <w:p>
      <w:pPr>
        <w:spacing w:line="360" w:lineRule="auto"/>
        <w:ind w:firstLine="420" w:firstLineChars="200"/>
        <w:rPr>
          <w:rFonts w:hint="eastAsia"/>
          <w:bCs/>
        </w:rPr>
      </w:pPr>
      <w:r>
        <w:rPr>
          <w:rFonts w:hint="eastAsia"/>
          <w:bCs/>
        </w:rPr>
        <w:t>发展循环经济需以改变发展观念为先导，以科学规划为基础，以循环经济为基点，以生态产业区域为载体，以延伸产业链为主线，并注重技术改革和创新。</w:t>
      </w:r>
    </w:p>
    <w:p>
      <w:pPr>
        <w:spacing w:line="360" w:lineRule="auto"/>
        <w:rPr>
          <w:rFonts w:hint="eastAsia"/>
          <w:b/>
        </w:rPr>
      </w:pPr>
      <w:r>
        <w:rPr>
          <w:rFonts w:hint="eastAsia"/>
          <w:b/>
        </w:rPr>
        <w:t>4.2.1余热利用</w:t>
      </w:r>
    </w:p>
    <w:p>
      <w:pPr>
        <w:spacing w:line="360" w:lineRule="auto"/>
        <w:ind w:firstLine="420" w:firstLineChars="200"/>
        <w:rPr>
          <w:rFonts w:hint="eastAsia"/>
          <w:bCs/>
        </w:rPr>
      </w:pPr>
      <w:r>
        <w:rPr>
          <w:rFonts w:hint="eastAsia"/>
          <w:bCs/>
        </w:rPr>
        <w:t>水泥生产中综合利用生产过程中的废气余热是新型干法水泥生产技术的一大特色。在技改项目可研设计中，一是考虑了充分利用窑尾预热器排出的废气：首先过SP锅炉作为余热发电锅炉的热源，然后部分废气由高温风机送至</w:t>
      </w:r>
      <w:r>
        <w:rPr>
          <w:bCs/>
        </w:rPr>
        <w:t>生料磨作为烘干热源</w:t>
      </w:r>
      <w:r>
        <w:rPr>
          <w:rFonts w:hint="eastAsia"/>
          <w:bCs/>
        </w:rPr>
        <w:t>。二是考虑了充分利用窑头蓖冷机排出的废气：首先抽取蓖冷机中部的废气，过</w:t>
      </w:r>
      <w:r>
        <w:rPr>
          <w:bCs/>
        </w:rPr>
        <w:t>AQC</w:t>
      </w:r>
      <w:r>
        <w:rPr>
          <w:rFonts w:hint="eastAsia"/>
          <w:bCs/>
        </w:rPr>
        <w:t>锅炉作为余热发电锅炉的热源，然后余下的蓖冷机废气由高温风机送至原系统的煤</w:t>
      </w:r>
      <w:r>
        <w:rPr>
          <w:bCs/>
        </w:rPr>
        <w:t>磨作为烘干热源</w:t>
      </w:r>
      <w:r>
        <w:rPr>
          <w:rFonts w:hint="eastAsia"/>
          <w:bCs/>
        </w:rPr>
        <w:t>。三是采用最新第三代控制流型新技术的冷却机，熟料急冷效果突出，可有效回收出窑熟料的热量、并使入窑二次风和入炉三次风的温度均可达到920℃（大窑门罩抽风），其热效率可高达</w:t>
      </w:r>
      <w:r>
        <w:rPr>
          <w:bCs/>
        </w:rPr>
        <w:t>7</w:t>
      </w:r>
      <w:r>
        <w:rPr>
          <w:rFonts w:hint="eastAsia"/>
          <w:bCs/>
        </w:rPr>
        <w:t>4%以上，且也可相应降低熟料烧成热耗。</w:t>
      </w:r>
    </w:p>
    <w:p>
      <w:pPr>
        <w:spacing w:line="360" w:lineRule="auto"/>
        <w:rPr>
          <w:rFonts w:hint="eastAsia"/>
          <w:b/>
        </w:rPr>
      </w:pPr>
      <w:r>
        <w:rPr>
          <w:rFonts w:hint="eastAsia"/>
          <w:b/>
        </w:rPr>
        <w:t>4.2.2 “三废”综合利用</w:t>
      </w:r>
    </w:p>
    <w:p>
      <w:pPr>
        <w:spacing w:line="360" w:lineRule="auto"/>
        <w:ind w:firstLine="420" w:firstLineChars="200"/>
        <w:rPr>
          <w:rFonts w:hint="eastAsia" w:ascii="宋体" w:hAnsi="宋体"/>
        </w:rPr>
      </w:pPr>
      <w:r>
        <w:rPr>
          <w:rFonts w:hint="eastAsia" w:ascii="宋体" w:hAnsi="宋体"/>
        </w:rPr>
        <w:t>（1）</w:t>
      </w:r>
      <w:r>
        <w:rPr>
          <w:rFonts w:hint="eastAsia" w:ascii="Arial" w:hAnsi="Arial" w:cs="Arial"/>
        </w:rPr>
        <w:t>水泥生产中</w:t>
      </w:r>
      <w:r>
        <w:rPr>
          <w:rFonts w:hint="eastAsia"/>
        </w:rPr>
        <w:t>各粉尘和烟尘除尘器产生的除尘灰收集后作生产原料回用</w:t>
      </w:r>
      <w:r>
        <w:rPr>
          <w:rFonts w:hint="eastAsia" w:ascii="宋体" w:hAnsi="宋体"/>
        </w:rPr>
        <w:t>。</w:t>
      </w:r>
    </w:p>
    <w:p>
      <w:pPr>
        <w:spacing w:line="360" w:lineRule="auto"/>
        <w:ind w:firstLine="420" w:firstLineChars="200"/>
        <w:rPr>
          <w:rFonts w:hint="eastAsia"/>
        </w:rPr>
      </w:pPr>
      <w:r>
        <w:rPr>
          <w:rFonts w:hint="eastAsia"/>
        </w:rPr>
        <w:t>（2）青棚煤业公司煤矸石堆积如山，既占用大量土地，同时也污染环境，而技改项目可将其作为铝质原料和混合材，充分体现了“变废为宝”。</w:t>
      </w:r>
    </w:p>
    <w:p>
      <w:pPr>
        <w:spacing w:line="360" w:lineRule="auto"/>
        <w:rPr>
          <w:rFonts w:hint="eastAsia"/>
          <w:b/>
        </w:rPr>
      </w:pPr>
      <w:r>
        <w:rPr>
          <w:rFonts w:hint="eastAsia"/>
          <w:b/>
        </w:rPr>
        <w:t>4.2.3 余热发电利用</w:t>
      </w:r>
    </w:p>
    <w:p>
      <w:pPr>
        <w:spacing w:line="360" w:lineRule="auto"/>
        <w:ind w:firstLine="420" w:firstLineChars="200"/>
        <w:rPr>
          <w:rFonts w:hint="eastAsia"/>
          <w:bCs/>
        </w:rPr>
      </w:pPr>
      <w:r>
        <w:rPr>
          <w:rFonts w:hint="eastAsia"/>
          <w:bCs/>
        </w:rPr>
        <w:t>利用窑头和窑尾废气热源配套建设的低温发电系统可提供电量</w:t>
      </w:r>
      <w:r>
        <w:rPr>
          <w:rFonts w:hint="eastAsia"/>
        </w:rPr>
        <w:t>2479×10</w:t>
      </w:r>
      <w:r>
        <w:rPr>
          <w:rFonts w:hint="eastAsia"/>
          <w:vertAlign w:val="superscript"/>
        </w:rPr>
        <w:t>4</w:t>
      </w:r>
      <w:r>
        <w:rPr>
          <w:bCs/>
        </w:rPr>
        <w:t>kW.h</w:t>
      </w:r>
      <w:r>
        <w:rPr>
          <w:rFonts w:hint="eastAsia"/>
          <w:bCs/>
        </w:rPr>
        <w:t>，能解决技改项目总耗电量的</w:t>
      </w:r>
      <w:r>
        <w:rPr>
          <w:rFonts w:hint="eastAsia"/>
        </w:rPr>
        <w:t>26.1%</w:t>
      </w:r>
      <w:r>
        <w:rPr>
          <w:rFonts w:hint="eastAsia"/>
          <w:bCs/>
        </w:rPr>
        <w:t>电量，减少了生产耗电量。</w:t>
      </w:r>
    </w:p>
    <w:p>
      <w:pPr>
        <w:spacing w:line="360" w:lineRule="auto"/>
        <w:ind w:firstLine="420" w:firstLineChars="200"/>
        <w:rPr>
          <w:rFonts w:hint="eastAsia"/>
          <w:bCs/>
        </w:rPr>
      </w:pPr>
      <w:r>
        <w:rPr>
          <w:rFonts w:hint="eastAsia"/>
          <w:bCs/>
        </w:rPr>
        <w:t>因此，技改项目自身内部充分利用了余热和“三废”排放的污染物，体现了废物综合利用的循环经济原则。</w:t>
      </w:r>
    </w:p>
    <w:p>
      <w:pPr>
        <w:pStyle w:val="11"/>
        <w:ind w:firstLine="0" w:firstLineChars="0"/>
        <w:outlineLvl w:val="0"/>
        <w:rPr>
          <w:rFonts w:hint="eastAsia"/>
          <w:b/>
          <w:szCs w:val="28"/>
        </w:rPr>
      </w:pPr>
      <w:bookmarkStart w:id="201" w:name="_Toc165607367"/>
      <w:bookmarkStart w:id="202" w:name="_Toc175479806"/>
    </w:p>
    <w:p>
      <w:pPr>
        <w:pStyle w:val="11"/>
        <w:ind w:firstLine="0" w:firstLineChars="0"/>
        <w:outlineLvl w:val="0"/>
        <w:rPr>
          <w:b/>
          <w:szCs w:val="28"/>
        </w:rPr>
        <w:sectPr>
          <w:pgSz w:w="11906" w:h="16838"/>
          <w:pgMar w:top="1440" w:right="1418" w:bottom="1440" w:left="1418" w:header="851" w:footer="992" w:gutter="0"/>
          <w:paperSrc w:first="20070" w:other="20070"/>
          <w:cols w:space="425" w:num="1"/>
          <w:docGrid w:linePitch="312" w:charSpace="0"/>
        </w:sectPr>
      </w:pPr>
    </w:p>
    <w:p>
      <w:pPr>
        <w:pStyle w:val="11"/>
        <w:ind w:left="0" w:firstLine="0" w:firstLineChars="0"/>
        <w:outlineLvl w:val="0"/>
        <w:rPr>
          <w:b/>
          <w:szCs w:val="28"/>
        </w:rPr>
      </w:pPr>
      <w:bookmarkStart w:id="203" w:name="_Toc276372234"/>
      <w:bookmarkStart w:id="204" w:name="_Toc473281509"/>
      <w:bookmarkStart w:id="205" w:name="_Toc189814151"/>
      <w:r>
        <w:rPr>
          <w:rFonts w:hint="eastAsia"/>
          <w:b/>
          <w:szCs w:val="28"/>
        </w:rPr>
        <w:t xml:space="preserve">5 </w:t>
      </w:r>
      <w:r>
        <w:rPr>
          <w:b/>
          <w:szCs w:val="28"/>
        </w:rPr>
        <w:t>区域环境现状</w:t>
      </w:r>
      <w:bookmarkEnd w:id="203"/>
    </w:p>
    <w:p>
      <w:pPr>
        <w:spacing w:line="360" w:lineRule="auto"/>
        <w:outlineLvl w:val="1"/>
        <w:rPr>
          <w:b/>
        </w:rPr>
      </w:pPr>
      <w:bookmarkStart w:id="206" w:name="_Toc183664781"/>
      <w:bookmarkStart w:id="207" w:name="_Toc185674744"/>
      <w:bookmarkStart w:id="208" w:name="_Toc183749607"/>
      <w:bookmarkStart w:id="209" w:name="_Toc185674913"/>
      <w:bookmarkStart w:id="210" w:name="_Toc183664988"/>
      <w:bookmarkStart w:id="211" w:name="_Toc143943211"/>
      <w:bookmarkStart w:id="212" w:name="_Toc276372235"/>
      <w:r>
        <w:rPr>
          <w:rFonts w:hint="eastAsia"/>
          <w:b/>
        </w:rPr>
        <w:t>5</w:t>
      </w:r>
      <w:r>
        <w:rPr>
          <w:b/>
        </w:rPr>
        <w:t>.1自然环境概况</w:t>
      </w:r>
      <w:bookmarkEnd w:id="206"/>
      <w:bookmarkEnd w:id="207"/>
      <w:bookmarkEnd w:id="208"/>
      <w:bookmarkEnd w:id="209"/>
      <w:bookmarkEnd w:id="210"/>
      <w:bookmarkEnd w:id="211"/>
      <w:bookmarkEnd w:id="212"/>
    </w:p>
    <w:p>
      <w:pPr>
        <w:spacing w:line="360" w:lineRule="auto"/>
        <w:rPr>
          <w:b/>
        </w:rPr>
      </w:pPr>
      <w:bookmarkStart w:id="213" w:name="_Toc183664782"/>
      <w:bookmarkStart w:id="214" w:name="_Toc185674745"/>
      <w:bookmarkStart w:id="215" w:name="_Toc183664989"/>
      <w:bookmarkStart w:id="216" w:name="_Toc183749608"/>
      <w:bookmarkStart w:id="217" w:name="_Toc185674914"/>
      <w:r>
        <w:rPr>
          <w:rFonts w:hint="eastAsia"/>
          <w:b/>
        </w:rPr>
        <w:t>5</w:t>
      </w:r>
      <w:r>
        <w:rPr>
          <w:b/>
        </w:rPr>
        <w:t>.1.1地理位置</w:t>
      </w:r>
      <w:bookmarkEnd w:id="213"/>
      <w:bookmarkEnd w:id="214"/>
      <w:bookmarkEnd w:id="215"/>
      <w:bookmarkEnd w:id="216"/>
      <w:bookmarkEnd w:id="217"/>
    </w:p>
    <w:p>
      <w:pPr>
        <w:pStyle w:val="5"/>
        <w:spacing w:line="360" w:lineRule="auto"/>
        <w:ind w:firstLine="480" w:firstLineChars="200"/>
        <w:rPr>
          <w:rFonts w:hint="eastAsia"/>
          <w:sz w:val="24"/>
          <w:szCs w:val="24"/>
        </w:rPr>
      </w:pPr>
      <w:bookmarkStart w:id="218" w:name="_Toc185674746"/>
      <w:bookmarkStart w:id="219" w:name="_Toc183664783"/>
      <w:bookmarkStart w:id="220" w:name="_Toc183664990"/>
      <w:bookmarkStart w:id="221" w:name="_Toc185674915"/>
      <w:bookmarkStart w:id="222" w:name="_Toc183749609"/>
      <w:r>
        <w:rPr>
          <w:sz w:val="24"/>
        </w:rPr>
        <w:t>沙坪坝区位于重庆市</w:t>
      </w:r>
      <w:r>
        <w:rPr>
          <w:rFonts w:hint="eastAsia"/>
          <w:sz w:val="24"/>
        </w:rPr>
        <w:t>主城区</w:t>
      </w:r>
      <w:r>
        <w:rPr>
          <w:sz w:val="24"/>
        </w:rPr>
        <w:t>西</w:t>
      </w:r>
      <w:r>
        <w:rPr>
          <w:sz w:val="24"/>
          <w:szCs w:val="24"/>
        </w:rPr>
        <w:t>部，嘉陵江两岸。北接北碚，南面与九龙坡区相临，东边为渝北区、江北区、渝中区，西边为璧山县，距江北国际机场约24.8km。</w:t>
      </w:r>
      <w:r>
        <w:rPr>
          <w:rFonts w:hint="eastAsia"/>
          <w:sz w:val="24"/>
          <w:szCs w:val="24"/>
        </w:rPr>
        <w:t>青木关镇位于重庆市沙坪坝区的西北部，地处缙云山脉和梁滩河之间的槽谷地带，幅员32.27平方公里， 镇政府驻地在319国道264</w:t>
      </w:r>
      <w:r>
        <w:rPr>
          <w:sz w:val="24"/>
          <w:szCs w:val="24"/>
        </w:rPr>
        <w:t>0</w:t>
      </w:r>
      <w:r>
        <w:rPr>
          <w:rFonts w:hint="eastAsia"/>
          <w:sz w:val="24"/>
          <w:szCs w:val="24"/>
        </w:rPr>
        <w:t>千米处，距沙坪坝区政府驻地33千米，距璧山县政府驻地15千米，距北碚区政府驻地25千米，距北碚嘉陵江码头26千米，距回龙坝火车站16千米，是壁山、北碚、九龙坡的金三角物资集散中心。</w:t>
      </w:r>
    </w:p>
    <w:p>
      <w:pPr>
        <w:adjustRightInd w:val="0"/>
        <w:snapToGrid w:val="0"/>
        <w:spacing w:line="360" w:lineRule="auto"/>
        <w:ind w:firstLine="420" w:firstLineChars="200"/>
        <w:rPr>
          <w:rFonts w:hint="eastAsia"/>
        </w:rPr>
      </w:pPr>
      <w:r>
        <w:rPr>
          <w:rFonts w:hint="eastAsia"/>
        </w:rPr>
        <w:t>重庆永荣青鹏水泥厂位于沙坪坝区青木关镇关口村，紧邻319国道，交通便利。</w:t>
      </w:r>
    </w:p>
    <w:p>
      <w:pPr>
        <w:spacing w:line="360" w:lineRule="auto"/>
        <w:rPr>
          <w:b/>
        </w:rPr>
      </w:pPr>
      <w:r>
        <w:rPr>
          <w:rFonts w:hint="eastAsia"/>
          <w:b/>
        </w:rPr>
        <w:t>5</w:t>
      </w:r>
      <w:r>
        <w:rPr>
          <w:b/>
        </w:rPr>
        <w:t>.1.2</w:t>
      </w:r>
      <w:r>
        <w:rPr>
          <w:rFonts w:hAnsi="宋体"/>
          <w:b/>
        </w:rPr>
        <w:t>地形地貌</w:t>
      </w:r>
      <w:bookmarkEnd w:id="218"/>
      <w:bookmarkEnd w:id="219"/>
      <w:bookmarkEnd w:id="220"/>
      <w:bookmarkEnd w:id="221"/>
      <w:bookmarkEnd w:id="222"/>
    </w:p>
    <w:p>
      <w:pPr>
        <w:adjustRightInd w:val="0"/>
        <w:snapToGrid w:val="0"/>
        <w:spacing w:line="360" w:lineRule="auto"/>
        <w:ind w:firstLine="420" w:firstLineChars="200"/>
        <w:rPr>
          <w:rFonts w:hint="eastAsia"/>
        </w:rPr>
      </w:pPr>
      <w:bookmarkStart w:id="223" w:name="_Toc185674916"/>
      <w:bookmarkStart w:id="224" w:name="_Toc185674747"/>
      <w:bookmarkStart w:id="225" w:name="_Toc183664784"/>
      <w:bookmarkStart w:id="226" w:name="_Toc183664991"/>
      <w:bookmarkStart w:id="227" w:name="_Toc183749610"/>
      <w:r>
        <w:t>沙坪坝区位于沙坪坝背斜西翼，属浅丘地貌类型，呈平台和坡坎相间。岩层产状：地层倾向190°，倾角11°，构造简单。岩层中裂缝少量发育，呈闭合状，倾角陡为75~85°。场地无自由地下水，对桩孔开挖及施工无大影响。场地及邻区无断裂构造。</w:t>
      </w:r>
    </w:p>
    <w:p>
      <w:pPr>
        <w:pStyle w:val="5"/>
        <w:spacing w:line="360" w:lineRule="auto"/>
        <w:ind w:firstLine="456" w:firstLineChars="190"/>
        <w:rPr>
          <w:rFonts w:hint="eastAsia"/>
          <w:sz w:val="24"/>
          <w:szCs w:val="24"/>
        </w:rPr>
      </w:pPr>
      <w:r>
        <w:rPr>
          <w:rFonts w:hint="eastAsia"/>
          <w:sz w:val="24"/>
          <w:szCs w:val="24"/>
        </w:rPr>
        <w:t>技改项目所在地</w:t>
      </w:r>
      <w:r>
        <w:rPr>
          <w:sz w:val="24"/>
          <w:szCs w:val="24"/>
        </w:rPr>
        <w:t>属</w:t>
      </w:r>
      <w:r>
        <w:rPr>
          <w:rFonts w:hint="eastAsia"/>
          <w:sz w:val="24"/>
          <w:szCs w:val="24"/>
        </w:rPr>
        <w:t>深</w:t>
      </w:r>
      <w:r>
        <w:rPr>
          <w:sz w:val="24"/>
          <w:szCs w:val="24"/>
        </w:rPr>
        <w:t>丘</w:t>
      </w:r>
      <w:r>
        <w:rPr>
          <w:rFonts w:hint="eastAsia"/>
          <w:sz w:val="24"/>
          <w:szCs w:val="24"/>
        </w:rPr>
        <w:t>沟谷</w:t>
      </w:r>
      <w:r>
        <w:rPr>
          <w:sz w:val="24"/>
          <w:szCs w:val="24"/>
        </w:rPr>
        <w:t>地貌</w:t>
      </w:r>
      <w:r>
        <w:rPr>
          <w:rFonts w:hint="eastAsia"/>
          <w:sz w:val="24"/>
          <w:szCs w:val="24"/>
        </w:rPr>
        <w:t>，位于319国道左侧的自然沟谷中部，沟谷长约400m，宽约555m；地势总体北高南低，沟谷两侧山丘最高点412m，沟谷最低点330m，高差82m。厂址区总体上呈“U”字型，地形起伏较大；土层厚度5～7m，自然斜坡坡角约36～40°，局部稍陡；沟谷切割深度约18m，纵坡率约5%。</w:t>
      </w:r>
    </w:p>
    <w:p>
      <w:pPr>
        <w:spacing w:line="360" w:lineRule="auto"/>
        <w:rPr>
          <w:rFonts w:hint="eastAsia"/>
          <w:b/>
        </w:rPr>
      </w:pPr>
      <w:bookmarkStart w:id="228" w:name="_Toc212967554"/>
      <w:r>
        <w:rPr>
          <w:rFonts w:hint="eastAsia"/>
          <w:b/>
        </w:rPr>
        <w:t>5.1.3</w:t>
      </w:r>
      <w:bookmarkStart w:id="229" w:name="_Toc68921893"/>
      <w:bookmarkStart w:id="230" w:name="_Toc68598142"/>
      <w:bookmarkStart w:id="231" w:name="_Toc183225232"/>
      <w:bookmarkStart w:id="232" w:name="_Toc68595654"/>
      <w:bookmarkStart w:id="233" w:name="_Toc183225339"/>
      <w:bookmarkStart w:id="234" w:name="_Toc68595540"/>
      <w:r>
        <w:rPr>
          <w:rFonts w:hint="eastAsia"/>
          <w:b/>
        </w:rPr>
        <w:t>地层岩性</w:t>
      </w:r>
      <w:bookmarkEnd w:id="229"/>
      <w:bookmarkEnd w:id="230"/>
      <w:bookmarkEnd w:id="231"/>
      <w:bookmarkEnd w:id="232"/>
      <w:bookmarkEnd w:id="233"/>
      <w:bookmarkEnd w:id="234"/>
    </w:p>
    <w:p>
      <w:pPr>
        <w:pStyle w:val="8"/>
        <w:ind w:firstLine="461"/>
        <w:rPr>
          <w:rFonts w:hint="eastAsia"/>
          <w:sz w:val="24"/>
        </w:rPr>
      </w:pPr>
      <w:r>
        <w:rPr>
          <w:rFonts w:hint="eastAsia"/>
          <w:sz w:val="24"/>
        </w:rPr>
        <w:t>经地表地质调查，评估区分布的地层为第四系全新统及三叠系上统须家河组地层，现依地层的新老顺序，由上至下对各岩土层岩性特征简述如下：</w:t>
      </w:r>
    </w:p>
    <w:p>
      <w:pPr>
        <w:adjustRightInd w:val="0"/>
        <w:snapToGrid w:val="0"/>
        <w:spacing w:line="360" w:lineRule="auto"/>
        <w:ind w:firstLine="420" w:firstLineChars="200"/>
        <w:rPr>
          <w:rFonts w:hint="eastAsia"/>
        </w:rPr>
      </w:pPr>
      <w:r>
        <w:rPr>
          <w:rFonts w:hint="eastAsia"/>
        </w:rPr>
        <w:t>(1) 人工填土(Q</w:t>
      </w:r>
      <w:r>
        <w:rPr>
          <w:rFonts w:hint="eastAsia"/>
          <w:vertAlign w:val="subscript"/>
        </w:rPr>
        <w:t>4</w:t>
      </w:r>
      <w:r>
        <w:rPr>
          <w:rFonts w:hint="eastAsia"/>
          <w:i/>
          <w:iCs/>
          <w:vertAlign w:val="superscript"/>
        </w:rPr>
        <w:t>ml</w:t>
      </w:r>
      <w:r>
        <w:rPr>
          <w:rFonts w:hint="eastAsia"/>
        </w:rPr>
        <w:t>)</w:t>
      </w:r>
    </w:p>
    <w:p>
      <w:pPr>
        <w:adjustRightInd w:val="0"/>
        <w:snapToGrid w:val="0"/>
        <w:spacing w:line="360" w:lineRule="auto"/>
        <w:ind w:firstLine="420" w:firstLineChars="200"/>
        <w:rPr>
          <w:rFonts w:hint="eastAsia"/>
        </w:rPr>
      </w:pPr>
      <w:r>
        <w:rPr>
          <w:rFonts w:hint="eastAsia"/>
        </w:rPr>
        <w:t>褐色，褐灰色，由粘性土及砂岩、砂质泥岩块碎石等组成，结构稍密～中密、稍湿。块石粒径200～400mm，含量10~20%，碎石粒径多为30～160</w:t>
      </w:r>
      <w:r>
        <w:t>m</w:t>
      </w:r>
      <w:r>
        <w:rPr>
          <w:rFonts w:hint="eastAsia"/>
        </w:rPr>
        <w:t>m不等，石含量10~30%。填土厚度一般3～5m，在评估区外西侧达10 m左右，随意堆填，堆积年限3～6年左右。</w:t>
      </w:r>
    </w:p>
    <w:p>
      <w:pPr>
        <w:adjustRightInd w:val="0"/>
        <w:snapToGrid w:val="0"/>
        <w:spacing w:before="120" w:beforeLines="50" w:line="360" w:lineRule="auto"/>
        <w:ind w:firstLine="420" w:firstLineChars="200"/>
        <w:rPr>
          <w:rFonts w:hint="eastAsia"/>
        </w:rPr>
      </w:pPr>
      <w:r>
        <w:rPr>
          <w:rFonts w:hint="eastAsia"/>
        </w:rPr>
        <w:t>(2) 粉质粘土(Q</w:t>
      </w:r>
      <w:r>
        <w:rPr>
          <w:rFonts w:hint="eastAsia"/>
          <w:vertAlign w:val="subscript"/>
        </w:rPr>
        <w:t>4</w:t>
      </w:r>
      <w:r>
        <w:rPr>
          <w:rFonts w:hint="eastAsia"/>
          <w:i/>
          <w:iCs/>
          <w:vertAlign w:val="superscript"/>
        </w:rPr>
        <w:t>el+dl</w:t>
      </w:r>
      <w:r>
        <w:rPr>
          <w:rFonts w:hint="eastAsia"/>
        </w:rPr>
        <w:t>)</w:t>
      </w:r>
    </w:p>
    <w:p>
      <w:pPr>
        <w:adjustRightInd w:val="0"/>
        <w:snapToGrid w:val="0"/>
        <w:spacing w:line="360" w:lineRule="auto"/>
        <w:ind w:firstLine="420" w:firstLineChars="200"/>
        <w:rPr>
          <w:rFonts w:hint="eastAsia"/>
        </w:rPr>
      </w:pPr>
      <w:r>
        <w:rPr>
          <w:rFonts w:hint="eastAsia"/>
        </w:rPr>
        <w:t>褐色，残坡积成因，可塑状。干强度中等，韧性中等，无摇震反应，稍有光泽。主要分布于低凹沟谷区，厚度一般为1～2</w:t>
      </w:r>
      <w:r>
        <w:t>m</w:t>
      </w:r>
      <w:r>
        <w:rPr>
          <w:rFonts w:hint="eastAsia"/>
        </w:rPr>
        <w:t>。</w:t>
      </w:r>
    </w:p>
    <w:p>
      <w:pPr>
        <w:adjustRightInd w:val="0"/>
        <w:snapToGrid w:val="0"/>
        <w:spacing w:line="360" w:lineRule="auto"/>
        <w:ind w:firstLine="420" w:firstLineChars="200"/>
        <w:rPr>
          <w:rFonts w:hint="eastAsia"/>
        </w:rPr>
      </w:pPr>
      <w:r>
        <w:fldChar w:fldCharType="begin"/>
      </w:r>
      <w:r>
        <w:instrText xml:space="preserve"> = 3 \* GB2 </w:instrText>
      </w:r>
      <w:r>
        <w:fldChar w:fldCharType="separate"/>
      </w:r>
      <w:r>
        <w:rPr>
          <w:rFonts w:hint="eastAsia"/>
        </w:rPr>
        <w:t>⑶</w:t>
      </w:r>
      <w:r>
        <w:fldChar w:fldCharType="end"/>
      </w:r>
      <w:r>
        <w:rPr>
          <w:rFonts w:hint="eastAsia"/>
        </w:rPr>
        <w:t xml:space="preserve"> 砂 岩(T</w:t>
      </w:r>
      <w:r>
        <w:rPr>
          <w:rFonts w:hint="eastAsia"/>
          <w:vertAlign w:val="subscript"/>
        </w:rPr>
        <w:t>3</w:t>
      </w:r>
      <w:r>
        <w:rPr>
          <w:rFonts w:hint="eastAsia"/>
          <w:i/>
          <w:iCs/>
        </w:rPr>
        <w:t>xj</w:t>
      </w:r>
      <w:r>
        <w:rPr>
          <w:rFonts w:hint="eastAsia"/>
          <w:i/>
          <w:iCs/>
          <w:vertAlign w:val="superscript"/>
        </w:rPr>
        <w:t>2</w:t>
      </w:r>
      <w:r>
        <w:rPr>
          <w:rFonts w:hint="eastAsia"/>
        </w:rPr>
        <w:t>)</w:t>
      </w:r>
    </w:p>
    <w:p>
      <w:pPr>
        <w:spacing w:line="360" w:lineRule="auto"/>
        <w:ind w:firstLine="567"/>
        <w:rPr>
          <w:rFonts w:hint="eastAsia"/>
        </w:rPr>
      </w:pPr>
      <w:r>
        <w:rPr>
          <w:rFonts w:hint="eastAsia"/>
        </w:rPr>
        <w:t>褐灰色、灰色，细粒结构，钙质胶结。中</w:t>
      </w:r>
      <w:r>
        <w:t>～</w:t>
      </w:r>
      <w:r>
        <w:rPr>
          <w:rFonts w:hint="eastAsia"/>
        </w:rPr>
        <w:t>厚层状构造，矿物成分主要为长石、石英及云母片等。岩质较硬，岩芯较完整，多呈中柱状，强风化层厚度0.50m左右，是评估区内主要岩性层。</w:t>
      </w:r>
    </w:p>
    <w:p>
      <w:pPr>
        <w:spacing w:line="360" w:lineRule="auto"/>
        <w:ind w:firstLine="567"/>
        <w:rPr>
          <w:rFonts w:hint="eastAsia" w:hAnsi="宋体"/>
        </w:rPr>
      </w:pPr>
      <w:r>
        <w:rPr>
          <w:rFonts w:hint="eastAsia" w:hAnsi="宋体"/>
        </w:rPr>
        <w:t>⑷ 砂质</w:t>
      </w:r>
      <w:r>
        <w:rPr>
          <w:rFonts w:hAnsi="宋体"/>
        </w:rPr>
        <w:t>泥岩</w:t>
      </w:r>
      <w:r>
        <w:rPr>
          <w:rFonts w:hint="eastAsia"/>
        </w:rPr>
        <w:t>(T</w:t>
      </w:r>
      <w:r>
        <w:rPr>
          <w:rFonts w:hint="eastAsia"/>
          <w:vertAlign w:val="subscript"/>
        </w:rPr>
        <w:t>3</w:t>
      </w:r>
      <w:r>
        <w:rPr>
          <w:rFonts w:hint="eastAsia"/>
          <w:i/>
          <w:iCs/>
        </w:rPr>
        <w:t>xj</w:t>
      </w:r>
      <w:r>
        <w:rPr>
          <w:rFonts w:hint="eastAsia"/>
          <w:i/>
          <w:iCs/>
          <w:vertAlign w:val="superscript"/>
        </w:rPr>
        <w:t>3</w:t>
      </w:r>
      <w:r>
        <w:rPr>
          <w:rFonts w:hint="eastAsia"/>
        </w:rPr>
        <w:t>)</w:t>
      </w:r>
    </w:p>
    <w:p>
      <w:pPr>
        <w:spacing w:line="360" w:lineRule="auto"/>
        <w:ind w:firstLine="567"/>
        <w:rPr>
          <w:rFonts w:hint="eastAsia" w:hAnsi="宋体"/>
        </w:rPr>
      </w:pPr>
      <w:r>
        <w:rPr>
          <w:rFonts w:hAnsi="宋体"/>
        </w:rPr>
        <w:t>以</w:t>
      </w:r>
      <w:r>
        <w:rPr>
          <w:rFonts w:hint="eastAsia" w:hAnsi="宋体"/>
        </w:rPr>
        <w:t>灰</w:t>
      </w:r>
      <w:r>
        <w:rPr>
          <w:rFonts w:hAnsi="宋体"/>
        </w:rPr>
        <w:t>褐色为主，局部为深灰色，主要矿物成分为粘土矿物，粉砂泥质结构，薄～中厚层状构造。弱风化岩体裂隙不发育，岩体较完整，岩质较硬，属极软岩石～软质岩石。</w:t>
      </w:r>
    </w:p>
    <w:p>
      <w:pPr>
        <w:adjustRightInd w:val="0"/>
        <w:snapToGrid w:val="0"/>
        <w:spacing w:line="360" w:lineRule="auto"/>
        <w:ind w:firstLine="420" w:firstLineChars="200"/>
        <w:rPr>
          <w:rFonts w:hint="eastAsia"/>
        </w:rPr>
      </w:pPr>
      <w:r>
        <w:rPr>
          <w:rFonts w:hint="eastAsia"/>
        </w:rPr>
        <w:t>⑸ 砂 岩(T</w:t>
      </w:r>
      <w:r>
        <w:rPr>
          <w:rFonts w:hint="eastAsia"/>
          <w:vertAlign w:val="subscript"/>
        </w:rPr>
        <w:t>3</w:t>
      </w:r>
      <w:r>
        <w:rPr>
          <w:rFonts w:hint="eastAsia"/>
          <w:i/>
          <w:iCs/>
        </w:rPr>
        <w:t>xj</w:t>
      </w:r>
      <w:r>
        <w:rPr>
          <w:rFonts w:hint="eastAsia"/>
          <w:i/>
          <w:iCs/>
          <w:vertAlign w:val="superscript"/>
        </w:rPr>
        <w:t>4</w:t>
      </w:r>
      <w:r>
        <w:rPr>
          <w:rFonts w:hint="eastAsia"/>
        </w:rPr>
        <w:t>)</w:t>
      </w:r>
    </w:p>
    <w:p>
      <w:pPr>
        <w:spacing w:line="360" w:lineRule="auto"/>
        <w:ind w:firstLine="567"/>
        <w:rPr>
          <w:rFonts w:hint="eastAsia"/>
        </w:rPr>
      </w:pPr>
      <w:r>
        <w:rPr>
          <w:rFonts w:hint="eastAsia"/>
        </w:rPr>
        <w:t>褐灰色、灰色，细粒结构，钙质胶结。中</w:t>
      </w:r>
      <w:r>
        <w:t>～</w:t>
      </w:r>
      <w:r>
        <w:rPr>
          <w:rFonts w:hint="eastAsia"/>
        </w:rPr>
        <w:t>厚层状构造，矿物成分主要为长石、石英及云母片等。岩质较硬，岩芯较完整，多呈中柱状，强风化层厚度0.50m左右，是评估区内主要岩性层。</w:t>
      </w:r>
    </w:p>
    <w:p>
      <w:pPr>
        <w:spacing w:line="360" w:lineRule="auto"/>
        <w:rPr>
          <w:b/>
        </w:rPr>
      </w:pPr>
      <w:r>
        <w:rPr>
          <w:rFonts w:hint="eastAsia" w:hAnsi="宋体"/>
          <w:b/>
        </w:rPr>
        <w:t xml:space="preserve">5.1.4 </w:t>
      </w:r>
      <w:r>
        <w:rPr>
          <w:rFonts w:hAnsi="宋体"/>
          <w:b/>
        </w:rPr>
        <w:t>地质构造及地震</w:t>
      </w:r>
      <w:bookmarkEnd w:id="228"/>
    </w:p>
    <w:p>
      <w:pPr>
        <w:adjustRightInd w:val="0"/>
        <w:snapToGrid w:val="0"/>
        <w:spacing w:line="360" w:lineRule="auto"/>
        <w:ind w:firstLine="420" w:firstLineChars="200"/>
        <w:rPr>
          <w:rFonts w:hint="eastAsia"/>
        </w:rPr>
      </w:pPr>
      <w:r>
        <w:rPr>
          <w:rFonts w:hint="eastAsia"/>
        </w:rPr>
        <w:t>厂址所在区域地质构造上位于温塘峡背斜西翼，岩层呈单斜状产出，岩层产状为：倾向275</w:t>
      </w:r>
      <w:r>
        <w:rPr>
          <w:rFonts w:hint="eastAsia"/>
        </w:rPr>
        <w:sym w:font="Symbol" w:char="F0B0"/>
      </w:r>
      <w:r>
        <w:rPr>
          <w:rFonts w:hint="eastAsia"/>
        </w:rPr>
        <w:t>，倾角45</w:t>
      </w:r>
      <w:r>
        <w:rPr>
          <w:rFonts w:hint="eastAsia"/>
        </w:rPr>
        <w:sym w:font="Symbol" w:char="F0B0"/>
      </w:r>
      <w:r>
        <w:rPr>
          <w:rFonts w:hint="eastAsia"/>
        </w:rPr>
        <w:t>。根据区域地质资料及现场调查，场地及附近无断层。从砂岩露头处测得J1、J2两组主要裂隙，裂隙。</w:t>
      </w:r>
    </w:p>
    <w:p>
      <w:pPr>
        <w:adjustRightInd w:val="0"/>
        <w:snapToGrid w:val="0"/>
        <w:spacing w:line="360" w:lineRule="auto"/>
        <w:ind w:firstLine="420" w:firstLineChars="200"/>
        <w:rPr>
          <w:rFonts w:hint="eastAsia"/>
        </w:rPr>
      </w:pPr>
      <w:r>
        <w:rPr>
          <w:rFonts w:hint="eastAsia"/>
        </w:rPr>
        <w:t>J1：倾向72</w:t>
      </w:r>
      <w:r>
        <w:rPr>
          <w:rFonts w:hint="eastAsia"/>
        </w:rPr>
        <w:sym w:font="Symbol" w:char="F0B0"/>
      </w:r>
      <w:r>
        <w:rPr>
          <w:rFonts w:hint="eastAsia"/>
        </w:rPr>
        <w:t>，倾角45</w:t>
      </w:r>
      <w:r>
        <w:rPr>
          <w:rFonts w:hint="eastAsia"/>
        </w:rPr>
        <w:sym w:font="Symbol" w:char="F0B0"/>
      </w:r>
      <w:r>
        <w:rPr>
          <w:rFonts w:hint="eastAsia"/>
        </w:rPr>
        <w:t>，裂隙总体呈闭合状，裂隙面较平直，偶有1~2mm钙质充填。裂隙间距1.0～2</w:t>
      </w:r>
      <w:r>
        <w:t>.</w:t>
      </w:r>
      <w:r>
        <w:rPr>
          <w:rFonts w:hint="eastAsia"/>
        </w:rPr>
        <w:t>5m/条</w:t>
      </w:r>
      <w:r>
        <w:t xml:space="preserve"> </w:t>
      </w:r>
      <w:r>
        <w:rPr>
          <w:rFonts w:hint="eastAsia"/>
        </w:rPr>
        <w:t>，延伸5～10m。</w:t>
      </w:r>
    </w:p>
    <w:p>
      <w:pPr>
        <w:adjustRightInd w:val="0"/>
        <w:snapToGrid w:val="0"/>
        <w:spacing w:line="360" w:lineRule="auto"/>
        <w:ind w:firstLine="420" w:firstLineChars="200"/>
        <w:rPr>
          <w:rFonts w:hint="eastAsia"/>
        </w:rPr>
      </w:pPr>
      <w:r>
        <w:rPr>
          <w:rFonts w:hint="eastAsia"/>
        </w:rPr>
        <w:t>J2：倾向10</w:t>
      </w:r>
      <w:r>
        <w:rPr>
          <w:rFonts w:hint="eastAsia"/>
        </w:rPr>
        <w:sym w:font="Symbol" w:char="F0B0"/>
      </w:r>
      <w:r>
        <w:rPr>
          <w:rFonts w:hint="eastAsia"/>
        </w:rPr>
        <w:t>，倾角80</w:t>
      </w:r>
      <w:r>
        <w:rPr>
          <w:rFonts w:hint="eastAsia"/>
        </w:rPr>
        <w:sym w:font="Symbol" w:char="F0B0"/>
      </w:r>
      <w:r>
        <w:rPr>
          <w:rFonts w:hint="eastAsia"/>
        </w:rPr>
        <w:t>，裂面平直，宽3~5mm，局部有粘土充填。裂隙间距1.0～2.0m/条，延伸2～4m。</w:t>
      </w:r>
    </w:p>
    <w:p>
      <w:pPr>
        <w:spacing w:line="360" w:lineRule="auto"/>
        <w:ind w:firstLine="420" w:firstLineChars="200"/>
        <w:rPr>
          <w:rFonts w:hint="eastAsia"/>
        </w:rPr>
      </w:pPr>
      <w:bookmarkStart w:id="235" w:name="_Toc138490105"/>
      <w:r>
        <w:rPr>
          <w:rFonts w:hint="eastAsia"/>
        </w:rPr>
        <w:t>区内</w:t>
      </w:r>
      <w:r>
        <w:t>未发现断层、滑坡、危岩和崩塌、软弱夹层等不良地质现象</w:t>
      </w:r>
      <w:bookmarkEnd w:id="235"/>
      <w:r>
        <w:rPr>
          <w:rFonts w:hint="eastAsia"/>
        </w:rPr>
        <w:t>，破坏地质环境的人类工程活动不强烈；自然斜坡总体稳定好。</w:t>
      </w:r>
    </w:p>
    <w:p>
      <w:pPr>
        <w:adjustRightInd w:val="0"/>
        <w:snapToGrid w:val="0"/>
        <w:spacing w:line="360" w:lineRule="auto"/>
        <w:ind w:firstLine="420" w:firstLineChars="200"/>
      </w:pPr>
      <w:r>
        <w:rPr>
          <w:rFonts w:hint="eastAsia"/>
        </w:rPr>
        <w:t>根据根据《建筑抗震设计规范》(GB50011-2001)及GB18306</w:t>
      </w:r>
      <w:r>
        <w:rPr>
          <w:rFonts w:hint="eastAsia" w:ascii="宋体" w:hAnsi="宋体"/>
        </w:rPr>
        <w:t>-</w:t>
      </w:r>
      <w:r>
        <w:rPr>
          <w:rFonts w:hint="eastAsia"/>
        </w:rPr>
        <w:t>2001《中国地震动参数区划图》，区内抗震设防烈度为6度，地震动峰值加速度为0.05g，地震动反应谱特征周期为0.35</w:t>
      </w:r>
      <w:r>
        <w:t>s</w:t>
      </w:r>
      <w:r>
        <w:rPr>
          <w:rFonts w:hint="eastAsia"/>
        </w:rPr>
        <w:t>。</w:t>
      </w:r>
    </w:p>
    <w:p>
      <w:pPr>
        <w:spacing w:line="360" w:lineRule="auto"/>
        <w:rPr>
          <w:b/>
        </w:rPr>
      </w:pPr>
      <w:r>
        <w:rPr>
          <w:rFonts w:hint="eastAsia"/>
          <w:b/>
        </w:rPr>
        <w:t>5</w:t>
      </w:r>
      <w:r>
        <w:rPr>
          <w:b/>
        </w:rPr>
        <w:t>.1.</w:t>
      </w:r>
      <w:r>
        <w:rPr>
          <w:rFonts w:hint="eastAsia"/>
          <w:b/>
        </w:rPr>
        <w:t xml:space="preserve">5 </w:t>
      </w:r>
      <w:r>
        <w:rPr>
          <w:rFonts w:hAnsi="宋体"/>
          <w:b/>
        </w:rPr>
        <w:t>气候特征</w:t>
      </w:r>
      <w:bookmarkEnd w:id="223"/>
      <w:bookmarkEnd w:id="224"/>
      <w:bookmarkEnd w:id="225"/>
      <w:bookmarkEnd w:id="226"/>
      <w:bookmarkEnd w:id="227"/>
    </w:p>
    <w:p>
      <w:pPr>
        <w:adjustRightInd w:val="0"/>
        <w:snapToGrid w:val="0"/>
        <w:spacing w:line="360" w:lineRule="auto"/>
        <w:ind w:firstLine="420" w:firstLineChars="200"/>
      </w:pPr>
      <w:bookmarkStart w:id="236" w:name="_Toc183664992"/>
      <w:bookmarkStart w:id="237" w:name="_Toc185674748"/>
      <w:bookmarkStart w:id="238" w:name="_Toc183749611"/>
      <w:bookmarkStart w:id="239" w:name="_Toc183664785"/>
      <w:bookmarkStart w:id="240" w:name="_Toc185674917"/>
      <w:r>
        <w:rPr>
          <w:rFonts w:hAnsi="宋体"/>
        </w:rPr>
        <w:t>沙坪坝区属于四川盆地亚热带委风湿润气候区的盆地南部长江河谷区，从纬度位置看，是全球的副热带高压带，气候应干热少雨，但由于受东亚季风环境影响显著，因此具有明显的季风气候特点。其气候特征是：气候温和、雨量充沛、冬暖春早、秋短夏长、初夏多雨、盛夏炎热多伏旱、秋多阴雨、雨热同季、无霜期长、湿度大、风速小、云雾多、日照少的气候特点。</w:t>
      </w:r>
    </w:p>
    <w:p>
      <w:pPr>
        <w:adjustRightInd w:val="0"/>
        <w:snapToGrid w:val="0"/>
        <w:spacing w:line="360" w:lineRule="auto"/>
        <w:ind w:firstLine="420" w:firstLineChars="200"/>
      </w:pPr>
      <w:r>
        <w:rPr>
          <w:rFonts w:hAnsi="宋体"/>
        </w:rPr>
        <w:t>根据沙坪坝区陈家坪气象站资料，其常规的气象参数为：</w:t>
      </w:r>
    </w:p>
    <w:p>
      <w:pPr>
        <w:adjustRightInd w:val="0"/>
        <w:snapToGrid w:val="0"/>
        <w:spacing w:line="360" w:lineRule="auto"/>
        <w:ind w:firstLine="420" w:firstLineChars="200"/>
      </w:pPr>
      <w:r>
        <w:rPr>
          <w:rFonts w:hAnsi="宋体"/>
        </w:rPr>
        <w:t>年均气温：</w:t>
      </w:r>
      <w:r>
        <w:t xml:space="preserve">                     17.8</w:t>
      </w:r>
    </w:p>
    <w:p>
      <w:pPr>
        <w:adjustRightInd w:val="0"/>
        <w:snapToGrid w:val="0"/>
        <w:spacing w:line="360" w:lineRule="auto"/>
        <w:ind w:firstLine="420" w:firstLineChars="200"/>
      </w:pPr>
      <w:r>
        <w:rPr>
          <w:rFonts w:hAnsi="宋体"/>
        </w:rPr>
        <w:t>极端最高气温：</w:t>
      </w:r>
      <w:r>
        <w:t xml:space="preserve">                 42.2</w:t>
      </w:r>
    </w:p>
    <w:p>
      <w:pPr>
        <w:adjustRightInd w:val="0"/>
        <w:snapToGrid w:val="0"/>
        <w:spacing w:line="360" w:lineRule="auto"/>
        <w:ind w:firstLine="420" w:firstLineChars="200"/>
      </w:pPr>
      <w:r>
        <w:rPr>
          <w:rFonts w:hAnsi="宋体"/>
        </w:rPr>
        <w:t>极端最低气温：</w:t>
      </w:r>
      <w:r>
        <w:t xml:space="preserve">                 -1.8</w:t>
      </w:r>
    </w:p>
    <w:p>
      <w:pPr>
        <w:adjustRightInd w:val="0"/>
        <w:snapToGrid w:val="0"/>
        <w:spacing w:line="360" w:lineRule="auto"/>
        <w:ind w:firstLine="420" w:firstLineChars="200"/>
      </w:pPr>
      <w:r>
        <w:rPr>
          <w:rFonts w:hAnsi="宋体"/>
        </w:rPr>
        <w:t>年均相对湿度：</w:t>
      </w:r>
      <w:r>
        <w:t xml:space="preserve">                 79%</w:t>
      </w:r>
    </w:p>
    <w:p>
      <w:pPr>
        <w:adjustRightInd w:val="0"/>
        <w:snapToGrid w:val="0"/>
        <w:spacing w:line="360" w:lineRule="auto"/>
        <w:ind w:firstLine="420" w:firstLineChars="200"/>
      </w:pPr>
      <w:r>
        <w:rPr>
          <w:rFonts w:hAnsi="宋体"/>
        </w:rPr>
        <w:t>年增降雨量：</w:t>
      </w:r>
      <w:r>
        <w:t xml:space="preserve">                   1151.5mm</w:t>
      </w:r>
    </w:p>
    <w:p>
      <w:pPr>
        <w:adjustRightInd w:val="0"/>
        <w:snapToGrid w:val="0"/>
        <w:spacing w:line="360" w:lineRule="auto"/>
        <w:ind w:firstLine="420" w:firstLineChars="200"/>
      </w:pPr>
      <w:r>
        <w:rPr>
          <w:rFonts w:hAnsi="宋体"/>
        </w:rPr>
        <w:t>最大日均降雨量：</w:t>
      </w:r>
      <w:r>
        <w:t xml:space="preserve">               191.7mm</w:t>
      </w:r>
    </w:p>
    <w:p>
      <w:pPr>
        <w:adjustRightInd w:val="0"/>
        <w:snapToGrid w:val="0"/>
        <w:spacing w:line="360" w:lineRule="auto"/>
        <w:ind w:firstLine="420" w:firstLineChars="200"/>
      </w:pPr>
      <w:r>
        <w:rPr>
          <w:rFonts w:hAnsi="宋体"/>
        </w:rPr>
        <w:t>年日照时数：</w:t>
      </w:r>
      <w:r>
        <w:t xml:space="preserve">                   1140.5h</w:t>
      </w:r>
    </w:p>
    <w:p>
      <w:pPr>
        <w:adjustRightInd w:val="0"/>
        <w:snapToGrid w:val="0"/>
        <w:spacing w:line="360" w:lineRule="auto"/>
        <w:ind w:firstLine="420" w:firstLineChars="200"/>
      </w:pPr>
      <w:r>
        <w:rPr>
          <w:rFonts w:hAnsi="宋体"/>
        </w:rPr>
        <w:t>年平均雾日数：</w:t>
      </w:r>
      <w:r>
        <w:t xml:space="preserve">                 43d</w:t>
      </w:r>
    </w:p>
    <w:p>
      <w:pPr>
        <w:adjustRightInd w:val="0"/>
        <w:snapToGrid w:val="0"/>
        <w:spacing w:line="360" w:lineRule="auto"/>
        <w:ind w:firstLine="420" w:firstLineChars="200"/>
      </w:pPr>
      <w:r>
        <w:rPr>
          <w:rFonts w:hAnsi="宋体"/>
        </w:rPr>
        <w:t>无霜数：</w:t>
      </w:r>
      <w:r>
        <w:t xml:space="preserve">                       320~350d</w:t>
      </w:r>
    </w:p>
    <w:p>
      <w:pPr>
        <w:adjustRightInd w:val="0"/>
        <w:snapToGrid w:val="0"/>
        <w:spacing w:line="360" w:lineRule="auto"/>
        <w:ind w:firstLine="420" w:firstLineChars="200"/>
      </w:pPr>
      <w:r>
        <w:rPr>
          <w:rFonts w:hAnsi="宋体"/>
        </w:rPr>
        <w:t>平均风速：</w:t>
      </w:r>
      <w:r>
        <w:t xml:space="preserve">                     1.5m/s</w:t>
      </w:r>
    </w:p>
    <w:p>
      <w:pPr>
        <w:adjustRightInd w:val="0"/>
        <w:snapToGrid w:val="0"/>
        <w:spacing w:line="360" w:lineRule="auto"/>
        <w:ind w:firstLine="420" w:firstLineChars="200"/>
      </w:pPr>
      <w:r>
        <w:rPr>
          <w:rFonts w:hAnsi="宋体"/>
        </w:rPr>
        <w:t>静风频率：</w:t>
      </w:r>
      <w:r>
        <w:t xml:space="preserve">                     33%</w:t>
      </w:r>
    </w:p>
    <w:p>
      <w:pPr>
        <w:adjustRightInd w:val="0"/>
        <w:snapToGrid w:val="0"/>
        <w:spacing w:line="360" w:lineRule="auto"/>
        <w:ind w:firstLine="420" w:firstLineChars="200"/>
      </w:pPr>
      <w:r>
        <w:rPr>
          <w:rFonts w:hAnsi="宋体"/>
        </w:rPr>
        <w:t>主导风：</w:t>
      </w:r>
      <w:r>
        <w:t xml:space="preserve">                       NNW 29%</w:t>
      </w:r>
    </w:p>
    <w:p>
      <w:pPr>
        <w:spacing w:line="360" w:lineRule="auto"/>
        <w:rPr>
          <w:rFonts w:hint="eastAsia"/>
          <w:b/>
        </w:rPr>
      </w:pPr>
      <w:r>
        <w:rPr>
          <w:rFonts w:hint="eastAsia"/>
          <w:b/>
        </w:rPr>
        <w:t>5</w:t>
      </w:r>
      <w:r>
        <w:rPr>
          <w:b/>
        </w:rPr>
        <w:t>.1.</w:t>
      </w:r>
      <w:r>
        <w:rPr>
          <w:rFonts w:hint="eastAsia"/>
          <w:b/>
        </w:rPr>
        <w:t xml:space="preserve">6 </w:t>
      </w:r>
      <w:r>
        <w:rPr>
          <w:rFonts w:hAnsi="宋体"/>
          <w:b/>
        </w:rPr>
        <w:t>水文</w:t>
      </w:r>
      <w:bookmarkEnd w:id="236"/>
      <w:bookmarkEnd w:id="237"/>
      <w:bookmarkEnd w:id="238"/>
      <w:bookmarkEnd w:id="239"/>
      <w:bookmarkEnd w:id="240"/>
      <w:r>
        <w:rPr>
          <w:rFonts w:hint="eastAsia" w:hAnsi="宋体"/>
          <w:b/>
        </w:rPr>
        <w:t>地质</w:t>
      </w:r>
    </w:p>
    <w:p>
      <w:pPr>
        <w:adjustRightInd w:val="0"/>
        <w:snapToGrid w:val="0"/>
        <w:spacing w:line="360" w:lineRule="auto"/>
        <w:ind w:firstLine="420" w:firstLineChars="200"/>
      </w:pPr>
      <w:bookmarkStart w:id="241" w:name="_Toc77827393"/>
      <w:bookmarkStart w:id="242" w:name="_Toc183664786"/>
      <w:bookmarkStart w:id="243" w:name="_Toc185674749"/>
      <w:bookmarkStart w:id="244" w:name="_Toc183664993"/>
      <w:bookmarkStart w:id="245" w:name="_Toc77827058"/>
      <w:bookmarkStart w:id="246" w:name="_Toc77841214"/>
      <w:bookmarkStart w:id="247" w:name="_Toc185674918"/>
      <w:bookmarkStart w:id="248" w:name="_Toc183749612"/>
      <w:r>
        <w:rPr>
          <w:rFonts w:hint="eastAsia" w:hAnsi="宋体"/>
        </w:rPr>
        <w:t>规划区</w:t>
      </w:r>
      <w:r>
        <w:rPr>
          <w:rFonts w:hAnsi="宋体"/>
        </w:rPr>
        <w:t>所在地属嘉陵江流域。嘉陵江发源于岷山与秦岭山区，经昭化、合川、北碚、井口于重庆朝天门汇入长江，重庆境内全长</w:t>
      </w:r>
      <w:r>
        <w:t>153.8km</w:t>
      </w:r>
      <w:r>
        <w:rPr>
          <w:rFonts w:hAnsi="宋体"/>
        </w:rPr>
        <w:t>，流域面积</w:t>
      </w:r>
      <w:r>
        <w:t>8146km</w:t>
      </w:r>
      <w:r>
        <w:rPr>
          <w:vertAlign w:val="superscript"/>
        </w:rPr>
        <w:t>2</w:t>
      </w:r>
      <w:r>
        <w:rPr>
          <w:rFonts w:hAnsi="宋体"/>
        </w:rPr>
        <w:t>。据北碚水文站资料，嘉陵江多年最大流量为</w:t>
      </w:r>
      <w:r>
        <w:t>44800m</w:t>
      </w:r>
      <w:r>
        <w:rPr>
          <w:vertAlign w:val="superscript"/>
        </w:rPr>
        <w:t>3</w:t>
      </w:r>
      <w:r>
        <w:t>/s</w:t>
      </w:r>
      <w:r>
        <w:rPr>
          <w:rFonts w:hAnsi="宋体"/>
        </w:rPr>
        <w:t>，多年平均流量为</w:t>
      </w:r>
      <w:r>
        <w:t>2120m</w:t>
      </w:r>
      <w:r>
        <w:rPr>
          <w:vertAlign w:val="superscript"/>
        </w:rPr>
        <w:t>3</w:t>
      </w:r>
      <w:r>
        <w:t>/s</w:t>
      </w:r>
      <w:r>
        <w:rPr>
          <w:rFonts w:hAnsi="宋体"/>
        </w:rPr>
        <w:t>，最高水位</w:t>
      </w:r>
      <w:r>
        <w:t>208.17m</w:t>
      </w:r>
      <w:r>
        <w:rPr>
          <w:rFonts w:hAnsi="宋体"/>
        </w:rPr>
        <w:t>，最低水位</w:t>
      </w:r>
      <w:r>
        <w:t>176.81m</w:t>
      </w:r>
      <w:r>
        <w:rPr>
          <w:rFonts w:hint="eastAsia"/>
        </w:rPr>
        <w:t>，</w:t>
      </w:r>
      <w:r>
        <w:rPr>
          <w:rFonts w:hAnsi="宋体"/>
        </w:rPr>
        <w:t>多年平均水位</w:t>
      </w:r>
      <w:r>
        <w:t>179.64m</w:t>
      </w:r>
      <w:r>
        <w:rPr>
          <w:rFonts w:hAnsi="宋体"/>
        </w:rPr>
        <w:t>。</w:t>
      </w:r>
    </w:p>
    <w:p>
      <w:pPr>
        <w:adjustRightInd w:val="0"/>
        <w:snapToGrid w:val="0"/>
        <w:spacing w:line="360" w:lineRule="auto"/>
        <w:ind w:firstLine="420" w:firstLineChars="200"/>
        <w:rPr>
          <w:rFonts w:hint="eastAsia" w:hAnsi="宋体"/>
        </w:rPr>
      </w:pPr>
      <w:r>
        <w:rPr>
          <w:rFonts w:hint="eastAsia"/>
        </w:rPr>
        <w:t>梁滩河是嘉陵江下游右岸的一条主要支流。全长88</w:t>
      </w:r>
      <w:r>
        <w:t>km</w:t>
      </w:r>
      <w:r>
        <w:rPr>
          <w:rFonts w:hint="eastAsia"/>
        </w:rPr>
        <w:t>，</w:t>
      </w:r>
      <w:r>
        <w:rPr>
          <w:rFonts w:hAnsi="宋体"/>
        </w:rPr>
        <w:t>其中九龙坡段</w:t>
      </w:r>
      <w:r>
        <w:t>21.4km</w:t>
      </w:r>
      <w:r>
        <w:rPr>
          <w:rFonts w:hAnsi="宋体"/>
        </w:rPr>
        <w:t>，沙坪坝段</w:t>
      </w:r>
      <w:r>
        <w:t>48.8km</w:t>
      </w:r>
      <w:r>
        <w:rPr>
          <w:rFonts w:hAnsi="宋体"/>
        </w:rPr>
        <w:t>，北碚区段</w:t>
      </w:r>
      <w:r>
        <w:t>17.8km</w:t>
      </w:r>
      <w:r>
        <w:rPr>
          <w:rFonts w:hAnsi="宋体"/>
        </w:rPr>
        <w:t>，</w:t>
      </w:r>
      <w:r>
        <w:rPr>
          <w:rFonts w:hint="eastAsia"/>
        </w:rPr>
        <w:t>河流发源于九龙坡白市驿廖家沟水库，长年穿流不息地游走于缙云山脉和中梁山脉之间，流经九龙坡、沙区、北碚3区的白市驿、含谷、西永、土主、歇马、北温泉等15个集镇，最后在北碚毛背坨汇入嘉陵江。</w:t>
      </w:r>
      <w:r>
        <w:rPr>
          <w:rFonts w:hAnsi="宋体"/>
        </w:rPr>
        <w:t>沙坪坝河段</w:t>
      </w:r>
      <w:r>
        <w:t>50</w:t>
      </w:r>
      <w:r>
        <w:rPr>
          <w:rFonts w:hAnsi="宋体"/>
        </w:rPr>
        <w:t>年一遇的最高洪水位</w:t>
      </w:r>
      <w:r>
        <w:t>279.5~287.4m</w:t>
      </w:r>
      <w:r>
        <w:rPr>
          <w:rFonts w:hAnsi="宋体"/>
        </w:rPr>
        <w:t>。由于受沿途农业面源和养殖污染，水质差。</w:t>
      </w:r>
    </w:p>
    <w:p>
      <w:pPr>
        <w:adjustRightInd w:val="0"/>
        <w:snapToGrid w:val="0"/>
        <w:spacing w:line="360" w:lineRule="auto"/>
        <w:ind w:firstLine="420" w:firstLineChars="200"/>
        <w:rPr>
          <w:rFonts w:hint="eastAsia"/>
        </w:rPr>
      </w:pPr>
      <w:r>
        <w:rPr>
          <w:rFonts w:hAnsi="宋体"/>
        </w:rPr>
        <w:t>根据地下水赋存条件、水力特征等，区内地下水主要为基岩裂隙水。含水层主要为侏罗系中统上沙溪庙组砂岩地层，以及侏罗系中统下沙溪庙组、侏罗系中统新田沟组、中</w:t>
      </w:r>
      <w:r>
        <w:t>—</w:t>
      </w:r>
      <w:r>
        <w:rPr>
          <w:rFonts w:hAnsi="宋体"/>
        </w:rPr>
        <w:t>下统自流井组、下统珍珠冲组的砂岩地层。</w:t>
      </w:r>
      <w:r>
        <w:rPr>
          <w:rFonts w:hint="eastAsia"/>
        </w:rPr>
        <w:t>该类地下水的含水层岩为一套以泥岩夹砂岩、薄层灰岩，或砂岩与泥岩不等厚互层的河、湖相沉积岩。砂岩中的裂隙是地下水储存、运移的主要通道，泥岩相对隔水，地下水除裸露区外，补给条件一般较差，含水量较低，具就近补给，就近排泄的特点，天然露头泉流量一般小于0.1升/秒。</w:t>
      </w:r>
    </w:p>
    <w:p>
      <w:pPr>
        <w:spacing w:after="100" w:afterAutospacing="1" w:line="360" w:lineRule="auto"/>
        <w:ind w:firstLine="420" w:firstLineChars="200"/>
        <w:rPr>
          <w:rFonts w:hint="eastAsia"/>
        </w:rPr>
      </w:pPr>
      <w:r>
        <w:rPr>
          <w:rFonts w:hint="eastAsia"/>
        </w:rPr>
        <w:t>青木关镇有水库2个，工农水库（小一型）蓄水量134万立方米，石花水库（小二型）蓄水量</w:t>
      </w:r>
      <w:r>
        <w:t>15.4</w:t>
      </w:r>
      <w:r>
        <w:rPr>
          <w:rFonts w:hint="eastAsia"/>
        </w:rPr>
        <w:t>万立方米。</w:t>
      </w:r>
    </w:p>
    <w:p>
      <w:pPr>
        <w:spacing w:line="360" w:lineRule="auto"/>
        <w:rPr>
          <w:rFonts w:hint="eastAsia"/>
          <w:b/>
        </w:rPr>
      </w:pPr>
      <w:r>
        <w:rPr>
          <w:rFonts w:hint="eastAsia"/>
          <w:b/>
        </w:rPr>
        <w:t>5</w:t>
      </w:r>
      <w:r>
        <w:rPr>
          <w:b/>
        </w:rPr>
        <w:t>.1.</w:t>
      </w:r>
      <w:r>
        <w:rPr>
          <w:rFonts w:hint="eastAsia"/>
          <w:b/>
        </w:rPr>
        <w:t>7自然资源</w:t>
      </w:r>
    </w:p>
    <w:p>
      <w:pPr>
        <w:spacing w:line="360" w:lineRule="auto"/>
        <w:ind w:firstLine="420" w:firstLineChars="200"/>
        <w:rPr>
          <w:rFonts w:hint="eastAsia"/>
        </w:rPr>
      </w:pPr>
      <w:r>
        <w:rPr>
          <w:rFonts w:hint="eastAsia"/>
        </w:rPr>
        <w:t>沙坪坝区农业主要集中在中、西部，具有典型的城郊都市型现代农业特征。现有耕地面积13649hm</w:t>
      </w:r>
      <w:r>
        <w:rPr>
          <w:rFonts w:hint="eastAsia"/>
          <w:vertAlign w:val="superscript"/>
        </w:rPr>
        <w:t>2</w:t>
      </w:r>
      <w:r>
        <w:rPr>
          <w:rFonts w:hint="eastAsia"/>
        </w:rPr>
        <w:t>，主要农作物有粮食、油料、蔬菜等，已逐步形成以蔬菜、肉禽、水果为主的八大生产基地和菜、奶、猪、鸭等龙头项目正逐步向农业产业化方向迈进。</w:t>
      </w:r>
    </w:p>
    <w:bookmarkEnd w:id="241"/>
    <w:bookmarkEnd w:id="242"/>
    <w:bookmarkEnd w:id="243"/>
    <w:bookmarkEnd w:id="244"/>
    <w:bookmarkEnd w:id="245"/>
    <w:bookmarkEnd w:id="246"/>
    <w:bookmarkEnd w:id="247"/>
    <w:bookmarkEnd w:id="248"/>
    <w:p>
      <w:pPr>
        <w:adjustRightInd w:val="0"/>
        <w:snapToGrid w:val="0"/>
        <w:spacing w:line="360" w:lineRule="auto"/>
        <w:rPr>
          <w:b/>
        </w:rPr>
      </w:pPr>
      <w:bookmarkStart w:id="249" w:name="_Toc183664787"/>
      <w:bookmarkStart w:id="250" w:name="_Toc183749613"/>
      <w:bookmarkStart w:id="251" w:name="_Toc185674919"/>
      <w:bookmarkStart w:id="252" w:name="_Toc185674750"/>
      <w:bookmarkStart w:id="253" w:name="_Toc183664994"/>
      <w:r>
        <w:rPr>
          <w:rFonts w:hint="eastAsia"/>
          <w:b/>
        </w:rPr>
        <w:t>5</w:t>
      </w:r>
      <w:r>
        <w:rPr>
          <w:b/>
        </w:rPr>
        <w:t>.1.</w:t>
      </w:r>
      <w:bookmarkEnd w:id="249"/>
      <w:bookmarkEnd w:id="250"/>
      <w:bookmarkEnd w:id="251"/>
      <w:bookmarkEnd w:id="252"/>
      <w:bookmarkEnd w:id="253"/>
      <w:bookmarkStart w:id="254" w:name="_Toc133071877"/>
      <w:bookmarkStart w:id="255" w:name="_Toc143943214"/>
      <w:bookmarkStart w:id="256" w:name="_Toc183749614"/>
      <w:bookmarkStart w:id="257" w:name="_Toc183664788"/>
      <w:bookmarkStart w:id="258" w:name="_Toc185674920"/>
      <w:bookmarkStart w:id="259" w:name="_Toc185674751"/>
      <w:bookmarkStart w:id="260" w:name="_Toc183664995"/>
      <w:r>
        <w:rPr>
          <w:rFonts w:hint="eastAsia"/>
          <w:b/>
        </w:rPr>
        <w:t>8</w:t>
      </w:r>
      <w:r>
        <w:rPr>
          <w:rFonts w:hAnsi="宋体"/>
          <w:b/>
        </w:rPr>
        <w:t>自然生态状况</w:t>
      </w:r>
    </w:p>
    <w:p>
      <w:pPr>
        <w:adjustRightInd w:val="0"/>
        <w:snapToGrid w:val="0"/>
        <w:spacing w:line="360" w:lineRule="auto"/>
        <w:ind w:firstLine="420" w:firstLineChars="200"/>
      </w:pPr>
      <w:r>
        <w:rPr>
          <w:rFonts w:hint="eastAsia" w:hAnsi="宋体"/>
        </w:rPr>
        <w:t>（1）</w:t>
      </w:r>
      <w:r>
        <w:rPr>
          <w:rFonts w:hAnsi="宋体"/>
        </w:rPr>
        <w:t>植被</w:t>
      </w:r>
    </w:p>
    <w:p>
      <w:pPr>
        <w:adjustRightInd w:val="0"/>
        <w:snapToGrid w:val="0"/>
        <w:spacing w:line="360" w:lineRule="auto"/>
        <w:ind w:firstLine="420" w:firstLineChars="200"/>
        <w:rPr>
          <w:rFonts w:hint="eastAsia" w:hAnsi="宋体"/>
        </w:rPr>
      </w:pPr>
      <w:r>
        <w:rPr>
          <w:rFonts w:hAnsi="宋体"/>
        </w:rPr>
        <w:t>沙坪坝区地带性植被为亚热带常绿阔叶林，但由于多年来的砍伐和破坏，除歌乐山等部分地区为次生常绿林外，其余地带大多零星分布，且以马尾松为优势种。主要植被为人工植被和一些灌草丛。</w:t>
      </w:r>
    </w:p>
    <w:p>
      <w:pPr>
        <w:adjustRightInd w:val="0"/>
        <w:snapToGrid w:val="0"/>
        <w:spacing w:line="360" w:lineRule="auto"/>
        <w:ind w:firstLine="420" w:firstLineChars="200"/>
        <w:rPr>
          <w:rFonts w:hint="eastAsia"/>
        </w:rPr>
      </w:pPr>
      <w:r>
        <w:rPr>
          <w:rFonts w:hint="eastAsia" w:hAnsi="宋体"/>
        </w:rPr>
        <w:t>动物主要有</w:t>
      </w:r>
      <w:r>
        <w:rPr>
          <w:rFonts w:hAnsi="宋体"/>
        </w:rPr>
        <w:t>少量野兔、鼠、蛙类、麻雀等。主要家畜家禽有猪、牛、羊、狗、兔、鸡、鸭、鹅等，未发现受保护的物种。</w:t>
      </w:r>
      <w:r>
        <w:rPr>
          <w:rFonts w:hint="eastAsia" w:hAnsi="宋体"/>
        </w:rPr>
        <w:t>土壤类型</w:t>
      </w:r>
      <w:r>
        <w:rPr>
          <w:rFonts w:hAnsi="宋体"/>
        </w:rPr>
        <w:t>主要有水稻土、冲击土、紫色土、黄壤土、石灰岩土五个土类。</w:t>
      </w:r>
    </w:p>
    <w:p>
      <w:pPr>
        <w:spacing w:line="360" w:lineRule="auto"/>
        <w:ind w:firstLine="449" w:firstLineChars="214"/>
        <w:rPr>
          <w:rFonts w:hint="eastAsia" w:hAnsi="宋体"/>
        </w:rPr>
      </w:pPr>
      <w:r>
        <w:rPr>
          <w:rFonts w:hint="eastAsia" w:hAnsi="宋体"/>
        </w:rPr>
        <w:t>技改项目所在区域属中部平行岭谷工程地质亚区，土壤以紫色土为主，沿山包括部分黄壤、石灰岩土和水稻土。适宜马尾松、乔木、柑桔生长。该区属农业区，以种植水稻、小麦、蔬菜为主。</w:t>
      </w:r>
    </w:p>
    <w:p>
      <w:pPr>
        <w:spacing w:line="360" w:lineRule="auto"/>
        <w:outlineLvl w:val="1"/>
        <w:rPr>
          <w:b/>
        </w:rPr>
      </w:pPr>
      <w:bookmarkStart w:id="261" w:name="_Toc276372236"/>
      <w:r>
        <w:rPr>
          <w:rFonts w:hint="eastAsia"/>
          <w:b/>
        </w:rPr>
        <w:t>5</w:t>
      </w:r>
      <w:r>
        <w:rPr>
          <w:b/>
        </w:rPr>
        <w:t>.2社会环境</w:t>
      </w:r>
      <w:bookmarkEnd w:id="254"/>
      <w:r>
        <w:rPr>
          <w:b/>
        </w:rPr>
        <w:t>现状</w:t>
      </w:r>
      <w:bookmarkEnd w:id="255"/>
      <w:bookmarkEnd w:id="256"/>
      <w:bookmarkEnd w:id="257"/>
      <w:bookmarkEnd w:id="258"/>
      <w:bookmarkEnd w:id="259"/>
      <w:bookmarkEnd w:id="260"/>
      <w:bookmarkEnd w:id="261"/>
    </w:p>
    <w:p>
      <w:pPr>
        <w:adjustRightInd w:val="0"/>
        <w:snapToGrid w:val="0"/>
        <w:spacing w:line="360" w:lineRule="auto"/>
        <w:ind w:firstLine="420" w:firstLineChars="200"/>
      </w:pPr>
      <w:r>
        <w:rPr>
          <w:rFonts w:hAnsi="宋体"/>
        </w:rPr>
        <w:t>（</w:t>
      </w:r>
      <w:r>
        <w:t>1</w:t>
      </w:r>
      <w:r>
        <w:rPr>
          <w:rFonts w:hAnsi="宋体"/>
        </w:rPr>
        <w:t>）经济概况</w:t>
      </w:r>
    </w:p>
    <w:p>
      <w:pPr>
        <w:widowControl/>
        <w:spacing w:line="360" w:lineRule="auto"/>
        <w:ind w:firstLine="420" w:firstLineChars="200"/>
        <w:rPr>
          <w:rFonts w:hint="eastAsia" w:hAnsi="宋体"/>
          <w:kern w:val="0"/>
        </w:rPr>
      </w:pPr>
      <w:r>
        <w:rPr>
          <w:rFonts w:hAnsi="宋体"/>
          <w:kern w:val="0"/>
        </w:rPr>
        <w:t>沙坪坝区是红岩精神的重要发祥地。全区幅员面积</w:t>
      </w:r>
      <w:r>
        <w:rPr>
          <w:kern w:val="0"/>
        </w:rPr>
        <w:t>396</w:t>
      </w:r>
      <w:r>
        <w:rPr>
          <w:rFonts w:hAnsi="宋体"/>
          <w:kern w:val="0"/>
        </w:rPr>
        <w:t>平方公里，辖</w:t>
      </w:r>
      <w:r>
        <w:rPr>
          <w:kern w:val="0"/>
        </w:rPr>
        <w:t>26</w:t>
      </w:r>
      <w:r>
        <w:rPr>
          <w:rFonts w:hAnsi="宋体"/>
          <w:kern w:val="0"/>
        </w:rPr>
        <w:t>个街镇园区，户籍人口</w:t>
      </w:r>
      <w:r>
        <w:rPr>
          <w:kern w:val="0"/>
        </w:rPr>
        <w:t>74.6</w:t>
      </w:r>
      <w:r>
        <w:rPr>
          <w:rFonts w:hAnsi="宋体"/>
          <w:kern w:val="0"/>
        </w:rPr>
        <w:t>万，常住人口</w:t>
      </w:r>
      <w:r>
        <w:rPr>
          <w:rFonts w:hint="eastAsia"/>
          <w:kern w:val="0"/>
        </w:rPr>
        <w:t>89.1</w:t>
      </w:r>
      <w:r>
        <w:rPr>
          <w:rFonts w:hAnsi="宋体"/>
          <w:kern w:val="0"/>
        </w:rPr>
        <w:t>万。</w:t>
      </w:r>
      <w:r>
        <w:t>200</w:t>
      </w:r>
      <w:r>
        <w:rPr>
          <w:rFonts w:hint="eastAsia"/>
        </w:rPr>
        <w:t>9</w:t>
      </w:r>
      <w:r>
        <w:rPr>
          <w:rFonts w:hAnsi="宋体"/>
        </w:rPr>
        <w:t>年</w:t>
      </w:r>
      <w:r>
        <w:rPr>
          <w:rFonts w:hint="eastAsia" w:hAnsi="宋体"/>
        </w:rPr>
        <w:t>，</w:t>
      </w:r>
      <w:r>
        <w:rPr>
          <w:rFonts w:hAnsi="宋体"/>
        </w:rPr>
        <w:t>沙坪坝区</w:t>
      </w:r>
      <w:r>
        <w:rPr>
          <w:rFonts w:hint="eastAsia" w:hAnsi="宋体"/>
          <w:kern w:val="0"/>
        </w:rPr>
        <w:t>实现地区生产总值（GDP）304亿元，比上年增长12％；第一产业实现增加值</w:t>
      </w:r>
      <w:r>
        <w:rPr>
          <w:rFonts w:hAnsi="宋体"/>
          <w:kern w:val="0"/>
        </w:rPr>
        <w:t>3.3</w:t>
      </w:r>
      <w:r>
        <w:rPr>
          <w:rFonts w:hint="eastAsia" w:hAnsi="宋体"/>
          <w:kern w:val="0"/>
        </w:rPr>
        <w:t>亿元，同比增长</w:t>
      </w:r>
      <w:r>
        <w:rPr>
          <w:rFonts w:hAnsi="宋体"/>
          <w:kern w:val="0"/>
        </w:rPr>
        <w:t>2.3%</w:t>
      </w:r>
      <w:r>
        <w:rPr>
          <w:rFonts w:hint="eastAsia" w:hAnsi="宋体"/>
          <w:kern w:val="0"/>
        </w:rPr>
        <w:t>；第二产业实现增加值</w:t>
      </w:r>
      <w:r>
        <w:rPr>
          <w:rFonts w:hAnsi="宋体"/>
          <w:kern w:val="0"/>
        </w:rPr>
        <w:t>103.4</w:t>
      </w:r>
      <w:r>
        <w:rPr>
          <w:rFonts w:hint="eastAsia" w:hAnsi="宋体"/>
          <w:kern w:val="0"/>
        </w:rPr>
        <w:t>亿元，同比增长</w:t>
      </w:r>
      <w:r>
        <w:rPr>
          <w:rFonts w:hAnsi="宋体"/>
          <w:kern w:val="0"/>
        </w:rPr>
        <w:t>8.8%</w:t>
      </w:r>
      <w:r>
        <w:rPr>
          <w:rFonts w:hint="eastAsia" w:hAnsi="宋体"/>
          <w:kern w:val="0"/>
        </w:rPr>
        <w:t>；第三产业实现增加值</w:t>
      </w:r>
      <w:r>
        <w:rPr>
          <w:rFonts w:hAnsi="宋体"/>
          <w:kern w:val="0"/>
        </w:rPr>
        <w:t>106</w:t>
      </w:r>
      <w:r>
        <w:rPr>
          <w:rFonts w:hint="eastAsia" w:hAnsi="宋体"/>
          <w:kern w:val="0"/>
        </w:rPr>
        <w:t>亿元，同比增长</w:t>
      </w:r>
      <w:r>
        <w:rPr>
          <w:rFonts w:hAnsi="宋体"/>
          <w:kern w:val="0"/>
        </w:rPr>
        <w:t>13.5%</w:t>
      </w:r>
      <w:r>
        <w:rPr>
          <w:rFonts w:hint="eastAsia" w:hAnsi="宋体"/>
          <w:kern w:val="0"/>
        </w:rPr>
        <w:t>。三次产业结构比为</w:t>
      </w:r>
      <w:r>
        <w:rPr>
          <w:rFonts w:hAnsi="宋体"/>
          <w:kern w:val="0"/>
        </w:rPr>
        <w:t>1.6</w:t>
      </w:r>
      <w:r>
        <w:rPr>
          <w:rFonts w:hint="eastAsia" w:hAnsi="宋体"/>
          <w:kern w:val="0"/>
        </w:rPr>
        <w:t>：</w:t>
      </w:r>
      <w:r>
        <w:rPr>
          <w:rFonts w:hAnsi="宋体"/>
          <w:kern w:val="0"/>
        </w:rPr>
        <w:t>48.6</w:t>
      </w:r>
      <w:r>
        <w:rPr>
          <w:rFonts w:hint="eastAsia" w:hAnsi="宋体"/>
          <w:kern w:val="0"/>
        </w:rPr>
        <w:t>：</w:t>
      </w:r>
      <w:r>
        <w:rPr>
          <w:rFonts w:hAnsi="宋体"/>
          <w:kern w:val="0"/>
        </w:rPr>
        <w:t>49.9</w:t>
      </w:r>
      <w:r>
        <w:rPr>
          <w:rFonts w:hint="eastAsia" w:hAnsi="宋体"/>
          <w:kern w:val="0"/>
        </w:rPr>
        <w:t>。固定资产投资总额完成</w:t>
      </w:r>
      <w:r>
        <w:rPr>
          <w:rFonts w:hAnsi="宋体"/>
          <w:kern w:val="0"/>
        </w:rPr>
        <w:t>245</w:t>
      </w:r>
      <w:r>
        <w:rPr>
          <w:rFonts w:hint="eastAsia" w:hAnsi="宋体"/>
          <w:kern w:val="0"/>
        </w:rPr>
        <w:t>亿元，增长</w:t>
      </w:r>
      <w:r>
        <w:rPr>
          <w:rFonts w:hAnsi="宋体"/>
          <w:kern w:val="0"/>
        </w:rPr>
        <w:t>30%</w:t>
      </w:r>
      <w:r>
        <w:rPr>
          <w:rFonts w:hint="eastAsia" w:hAnsi="宋体"/>
          <w:kern w:val="0"/>
        </w:rPr>
        <w:t>，投资对经济增长的贡献率为</w:t>
      </w:r>
      <w:r>
        <w:rPr>
          <w:rFonts w:hAnsi="宋体"/>
          <w:kern w:val="0"/>
        </w:rPr>
        <w:t>65%</w:t>
      </w:r>
      <w:r>
        <w:rPr>
          <w:rFonts w:hint="eastAsia" w:hAnsi="宋体"/>
          <w:kern w:val="0"/>
        </w:rPr>
        <w:t>。预计全年全区城市居民人均可支配收入达</w:t>
      </w:r>
      <w:r>
        <w:rPr>
          <w:rFonts w:hAnsi="宋体"/>
          <w:kern w:val="0"/>
        </w:rPr>
        <w:t>17620</w:t>
      </w:r>
      <w:r>
        <w:rPr>
          <w:rFonts w:hint="eastAsia" w:hAnsi="宋体"/>
          <w:kern w:val="0"/>
        </w:rPr>
        <w:t>元，增长</w:t>
      </w:r>
      <w:r>
        <w:rPr>
          <w:rFonts w:hAnsi="宋体"/>
          <w:kern w:val="0"/>
        </w:rPr>
        <w:t>11%</w:t>
      </w:r>
      <w:r>
        <w:rPr>
          <w:rFonts w:hint="eastAsia" w:hAnsi="宋体"/>
          <w:kern w:val="0"/>
        </w:rPr>
        <w:t>；农村居民人均纯收入为</w:t>
      </w:r>
      <w:r>
        <w:rPr>
          <w:rFonts w:hAnsi="宋体"/>
          <w:kern w:val="0"/>
        </w:rPr>
        <w:t>7540</w:t>
      </w:r>
      <w:r>
        <w:rPr>
          <w:rFonts w:hint="eastAsia" w:hAnsi="宋体"/>
          <w:kern w:val="0"/>
        </w:rPr>
        <w:t>元，增长</w:t>
      </w:r>
      <w:r>
        <w:rPr>
          <w:rFonts w:hAnsi="宋体"/>
          <w:kern w:val="0"/>
        </w:rPr>
        <w:t>12%</w:t>
      </w:r>
      <w:r>
        <w:rPr>
          <w:rFonts w:hint="eastAsia" w:hAnsi="宋体"/>
          <w:kern w:val="0"/>
        </w:rPr>
        <w:t>。</w:t>
      </w:r>
    </w:p>
    <w:p>
      <w:pPr>
        <w:widowControl/>
        <w:spacing w:line="360" w:lineRule="auto"/>
        <w:ind w:firstLine="420" w:firstLineChars="200"/>
        <w:rPr>
          <w:kern w:val="0"/>
        </w:rPr>
      </w:pPr>
      <w:r>
        <w:rPr>
          <w:rFonts w:hAnsi="宋体"/>
          <w:kern w:val="0"/>
        </w:rPr>
        <w:t>沙坪坝区拥有重庆市工业企业50强4家，重庆市民营企业50强5家，大型企业3家，中型企业36家。全区工业门类齐全，工业企业涉足34个大类，其中：交通运输设备制造业、通用设备制造业、电气机械及器材制造业、纺织业、医药制造业等行业在全区工业经济中占据较大份额，摩托车整车、汽摩配件、织布、内燃机、高低压开关等产品在全国、全市占有一定的市场份额。</w:t>
      </w:r>
    </w:p>
    <w:p>
      <w:pPr>
        <w:spacing w:line="360" w:lineRule="auto"/>
        <w:ind w:firstLine="570"/>
        <w:rPr>
          <w:rFonts w:hAnsi="宋体"/>
          <w:kern w:val="0"/>
        </w:rPr>
      </w:pPr>
      <w:r>
        <w:rPr>
          <w:rFonts w:hint="eastAsia" w:hAnsi="宋体"/>
          <w:kern w:val="0"/>
        </w:rPr>
        <w:t>青木关</w:t>
      </w:r>
      <w:r>
        <w:rPr>
          <w:rFonts w:hAnsi="宋体"/>
          <w:kern w:val="0"/>
        </w:rPr>
        <w:t>镇全镇幅员面积</w:t>
      </w:r>
      <w:r>
        <w:rPr>
          <w:rFonts w:hint="eastAsia" w:hAnsi="宋体"/>
          <w:kern w:val="0"/>
        </w:rPr>
        <w:t>101</w:t>
      </w:r>
      <w:r>
        <w:rPr>
          <w:rFonts w:hAnsi="宋体"/>
          <w:kern w:val="0"/>
        </w:rPr>
        <w:t>km2，辖</w:t>
      </w:r>
      <w:r>
        <w:rPr>
          <w:rFonts w:hint="eastAsia" w:hAnsi="宋体"/>
          <w:kern w:val="0"/>
        </w:rPr>
        <w:t>5个行政村，15个经济联合社，2个社区居委会</w:t>
      </w:r>
      <w:r>
        <w:rPr>
          <w:rFonts w:hAnsi="宋体"/>
          <w:kern w:val="0"/>
        </w:rPr>
        <w:t>，全镇</w:t>
      </w:r>
      <w:r>
        <w:rPr>
          <w:rFonts w:hint="eastAsia" w:hAnsi="宋体"/>
          <w:kern w:val="0"/>
        </w:rPr>
        <w:t>总</w:t>
      </w:r>
      <w:r>
        <w:rPr>
          <w:rFonts w:hAnsi="宋体"/>
          <w:kern w:val="0"/>
        </w:rPr>
        <w:t>人口</w:t>
      </w:r>
      <w:r>
        <w:rPr>
          <w:rFonts w:hint="eastAsia" w:hAnsi="宋体"/>
          <w:kern w:val="0"/>
        </w:rPr>
        <w:t>25000</w:t>
      </w:r>
      <w:r>
        <w:rPr>
          <w:rFonts w:hAnsi="宋体"/>
          <w:kern w:val="0"/>
        </w:rPr>
        <w:t>人</w:t>
      </w:r>
      <w:r>
        <w:rPr>
          <w:rFonts w:hint="eastAsia" w:hAnsi="宋体"/>
          <w:kern w:val="0"/>
        </w:rPr>
        <w:t>；</w:t>
      </w:r>
      <w:r>
        <w:rPr>
          <w:rFonts w:hAnsi="宋体"/>
          <w:kern w:val="0"/>
        </w:rPr>
        <w:t>其中城镇人口</w:t>
      </w:r>
      <w:r>
        <w:rPr>
          <w:rFonts w:hint="eastAsia" w:hAnsi="宋体"/>
          <w:kern w:val="0"/>
        </w:rPr>
        <w:t>10000</w:t>
      </w:r>
      <w:r>
        <w:rPr>
          <w:rFonts w:hAnsi="宋体"/>
          <w:kern w:val="0"/>
        </w:rPr>
        <w:t>余人，城市化率</w:t>
      </w:r>
      <w:r>
        <w:rPr>
          <w:rFonts w:hint="eastAsia" w:hAnsi="宋体"/>
          <w:kern w:val="0"/>
        </w:rPr>
        <w:t>40</w:t>
      </w:r>
      <w:r>
        <w:rPr>
          <w:rFonts w:hAnsi="宋体"/>
          <w:kern w:val="0"/>
        </w:rPr>
        <w:t>%。</w:t>
      </w:r>
      <w:r>
        <w:rPr>
          <w:rFonts w:hint="eastAsia" w:hAnsi="宋体"/>
          <w:kern w:val="0"/>
        </w:rPr>
        <w:t>工业主导产业为纺织、机械、建材、煤矿等，其中大部分工业企业规模属于家庭作坊式，主要生产产品以低级加工为主；农业的主要收入来源为家禽养殖业。</w:t>
      </w:r>
      <w:r>
        <w:rPr>
          <w:rFonts w:hAnsi="宋体"/>
          <w:kern w:val="0"/>
        </w:rPr>
        <w:t>全镇生产总值达</w:t>
      </w:r>
      <w:r>
        <w:rPr>
          <w:rFonts w:hint="eastAsia" w:hAnsi="宋体"/>
          <w:kern w:val="0"/>
        </w:rPr>
        <w:t>7.8</w:t>
      </w:r>
      <w:r>
        <w:rPr>
          <w:rFonts w:hAnsi="宋体"/>
          <w:kern w:val="0"/>
        </w:rPr>
        <w:t>亿元，其中工</w:t>
      </w:r>
      <w:r>
        <w:rPr>
          <w:rFonts w:hint="eastAsia" w:hAnsi="宋体"/>
          <w:kern w:val="0"/>
        </w:rPr>
        <w:t>农</w:t>
      </w:r>
      <w:r>
        <w:rPr>
          <w:rFonts w:hAnsi="宋体"/>
          <w:kern w:val="0"/>
        </w:rPr>
        <w:t>业产值</w:t>
      </w:r>
      <w:r>
        <w:rPr>
          <w:rFonts w:hint="eastAsia" w:hAnsi="宋体"/>
          <w:kern w:val="0"/>
        </w:rPr>
        <w:t>6.5</w:t>
      </w:r>
      <w:r>
        <w:rPr>
          <w:rFonts w:hAnsi="宋体"/>
          <w:kern w:val="0"/>
        </w:rPr>
        <w:t>亿元，第三产业产值</w:t>
      </w:r>
      <w:r>
        <w:rPr>
          <w:rFonts w:hint="eastAsia" w:hAnsi="宋体"/>
          <w:kern w:val="0"/>
        </w:rPr>
        <w:t>1</w:t>
      </w:r>
      <w:r>
        <w:rPr>
          <w:rFonts w:hAnsi="宋体"/>
          <w:kern w:val="0"/>
        </w:rPr>
        <w:t>.3亿元。</w:t>
      </w:r>
    </w:p>
    <w:p>
      <w:pPr>
        <w:adjustRightInd w:val="0"/>
        <w:snapToGrid w:val="0"/>
        <w:spacing w:line="360" w:lineRule="auto"/>
        <w:ind w:firstLine="420" w:firstLineChars="200"/>
      </w:pPr>
      <w:r>
        <w:rPr>
          <w:rFonts w:hAnsi="宋体"/>
        </w:rPr>
        <w:t>（</w:t>
      </w:r>
      <w:r>
        <w:t>2</w:t>
      </w:r>
      <w:r>
        <w:rPr>
          <w:rFonts w:hAnsi="宋体"/>
        </w:rPr>
        <w:t>）教育、文化、卫生</w:t>
      </w:r>
    </w:p>
    <w:p>
      <w:pPr>
        <w:widowControl/>
        <w:spacing w:line="360" w:lineRule="auto"/>
        <w:ind w:firstLine="420" w:firstLineChars="200"/>
        <w:rPr>
          <w:kern w:val="0"/>
        </w:rPr>
      </w:pPr>
      <w:r>
        <w:rPr>
          <w:rFonts w:hAnsi="宋体"/>
          <w:kern w:val="0"/>
        </w:rPr>
        <w:t>沙坪坝区科技教育发达，是长江上游科教文化名区。区内有高校</w:t>
      </w:r>
      <w:r>
        <w:rPr>
          <w:kern w:val="0"/>
        </w:rPr>
        <w:t>19</w:t>
      </w:r>
      <w:r>
        <w:rPr>
          <w:rFonts w:hAnsi="宋体"/>
          <w:kern w:val="0"/>
        </w:rPr>
        <w:t>所，中小学</w:t>
      </w:r>
      <w:r>
        <w:rPr>
          <w:kern w:val="0"/>
        </w:rPr>
        <w:t>113</w:t>
      </w:r>
      <w:r>
        <w:rPr>
          <w:rFonts w:hAnsi="宋体"/>
          <w:kern w:val="0"/>
        </w:rPr>
        <w:t>所，在校学生近</w:t>
      </w:r>
      <w:r>
        <w:rPr>
          <w:kern w:val="0"/>
        </w:rPr>
        <w:t>30</w:t>
      </w:r>
      <w:r>
        <w:rPr>
          <w:rFonts w:hAnsi="宋体"/>
          <w:kern w:val="0"/>
        </w:rPr>
        <w:t>万人。有重庆大学城、西永微电子产业园区、</w:t>
      </w:r>
      <w:r>
        <w:rPr>
          <w:kern w:val="0"/>
        </w:rPr>
        <w:t>“</w:t>
      </w:r>
      <w:r>
        <w:rPr>
          <w:rFonts w:hAnsi="宋体"/>
          <w:kern w:val="0"/>
        </w:rPr>
        <w:t>国家级重庆大学科技园</w:t>
      </w:r>
      <w:r>
        <w:rPr>
          <w:kern w:val="0"/>
        </w:rPr>
        <w:t>”</w:t>
      </w:r>
      <w:r>
        <w:rPr>
          <w:rFonts w:hAnsi="宋体"/>
          <w:kern w:val="0"/>
        </w:rPr>
        <w:t>、五云山寨学生素质教育基地，全区教育文化形态完善，是全国</w:t>
      </w:r>
      <w:r>
        <w:rPr>
          <w:kern w:val="0"/>
        </w:rPr>
        <w:t>“</w:t>
      </w:r>
      <w:r>
        <w:rPr>
          <w:rFonts w:hAnsi="宋体"/>
          <w:kern w:val="0"/>
        </w:rPr>
        <w:t>科技工作先进区</w:t>
      </w:r>
      <w:r>
        <w:rPr>
          <w:kern w:val="0"/>
        </w:rPr>
        <w:t>”</w:t>
      </w:r>
      <w:r>
        <w:rPr>
          <w:rFonts w:hAnsi="宋体"/>
          <w:kern w:val="0"/>
        </w:rPr>
        <w:t>、</w:t>
      </w:r>
      <w:r>
        <w:rPr>
          <w:kern w:val="0"/>
        </w:rPr>
        <w:t>“</w:t>
      </w:r>
      <w:r>
        <w:rPr>
          <w:rFonts w:hAnsi="宋体"/>
          <w:kern w:val="0"/>
        </w:rPr>
        <w:t>国家级星火技术密集区</w:t>
      </w:r>
      <w:r>
        <w:rPr>
          <w:kern w:val="0"/>
        </w:rPr>
        <w:t>”</w:t>
      </w:r>
      <w:r>
        <w:rPr>
          <w:rFonts w:hAnsi="宋体"/>
          <w:kern w:val="0"/>
        </w:rPr>
        <w:t>和</w:t>
      </w:r>
      <w:r>
        <w:rPr>
          <w:kern w:val="0"/>
        </w:rPr>
        <w:t>“</w:t>
      </w:r>
      <w:r>
        <w:rPr>
          <w:rFonts w:hAnsi="宋体"/>
          <w:kern w:val="0"/>
        </w:rPr>
        <w:t>文化工作先进区</w:t>
      </w:r>
      <w:r>
        <w:rPr>
          <w:kern w:val="0"/>
        </w:rPr>
        <w:t>”</w:t>
      </w:r>
      <w:r>
        <w:rPr>
          <w:rFonts w:hAnsi="宋体"/>
          <w:kern w:val="0"/>
        </w:rPr>
        <w:t>，国家级重庆图书馆已投入使用。</w:t>
      </w:r>
    </w:p>
    <w:p>
      <w:pPr>
        <w:widowControl/>
        <w:spacing w:line="360" w:lineRule="auto"/>
        <w:ind w:firstLine="420" w:firstLineChars="200"/>
        <w:rPr>
          <w:kern w:val="0"/>
        </w:rPr>
      </w:pPr>
      <w:r>
        <w:rPr>
          <w:rFonts w:hAnsi="宋体"/>
          <w:kern w:val="0"/>
        </w:rPr>
        <w:t>沙坪坝区旅游资源丰富，融巴渝文化、沙磁文化、抗战文化、红岩文化于一炉，形成了歌乐山名山旅游、磁器口古镇旅游、都市休闲购物旅游、田园生态旅游等特色旅游，每年接待中外游客数百万。</w:t>
      </w:r>
    </w:p>
    <w:p>
      <w:pPr>
        <w:adjustRightInd w:val="0"/>
        <w:snapToGrid w:val="0"/>
        <w:spacing w:line="360" w:lineRule="auto"/>
        <w:ind w:firstLine="420" w:firstLineChars="200"/>
      </w:pPr>
      <w:r>
        <w:rPr>
          <w:rFonts w:hAnsi="宋体"/>
        </w:rPr>
        <w:t>（</w:t>
      </w:r>
      <w:r>
        <w:t>3</w:t>
      </w:r>
      <w:r>
        <w:rPr>
          <w:rFonts w:hAnsi="宋体"/>
        </w:rPr>
        <w:t>）文物古迹及旅游资源</w:t>
      </w:r>
    </w:p>
    <w:p>
      <w:pPr>
        <w:spacing w:line="360" w:lineRule="auto"/>
        <w:ind w:firstLine="420" w:firstLineChars="200"/>
        <w:rPr>
          <w:rFonts w:hint="eastAsia"/>
          <w:kern w:val="28"/>
        </w:rPr>
      </w:pPr>
      <w:r>
        <w:rPr>
          <w:kern w:val="28"/>
        </w:rPr>
        <w:t>沙坪坝区有全国重点保护单位歌乐山烈士陵园，有歌乐山</w:t>
      </w:r>
      <w:r>
        <w:rPr>
          <w:rFonts w:hint="eastAsia"/>
          <w:kern w:val="28"/>
        </w:rPr>
        <w:t>国家级</w:t>
      </w:r>
      <w:r>
        <w:rPr>
          <w:kern w:val="28"/>
        </w:rPr>
        <w:t>森林公园和省级风景区，磁器口古镇已列入重庆市重点保护古镇，是重要的旅游资源。</w:t>
      </w:r>
    </w:p>
    <w:p>
      <w:pPr>
        <w:spacing w:line="360" w:lineRule="auto"/>
        <w:ind w:firstLine="420" w:firstLineChars="200"/>
        <w:rPr>
          <w:rFonts w:hint="eastAsia"/>
          <w:kern w:val="28"/>
        </w:rPr>
      </w:pPr>
      <w:r>
        <w:rPr>
          <w:rFonts w:hint="eastAsia"/>
          <w:kern w:val="28"/>
        </w:rPr>
        <w:t>青木关镇有市级</w:t>
      </w:r>
      <w:r>
        <w:rPr>
          <w:kern w:val="28"/>
        </w:rPr>
        <w:t>重点保护单位</w:t>
      </w:r>
      <w:r>
        <w:rPr>
          <w:rFonts w:hint="eastAsia"/>
          <w:kern w:val="28"/>
        </w:rPr>
        <w:t>国立音乐学院旧址，位于技改项目西侧的关口村。</w:t>
      </w:r>
    </w:p>
    <w:p>
      <w:pPr>
        <w:adjustRightInd w:val="0"/>
        <w:snapToGrid w:val="0"/>
        <w:spacing w:line="360" w:lineRule="auto"/>
        <w:ind w:firstLine="420" w:firstLineChars="200"/>
      </w:pPr>
      <w:r>
        <w:rPr>
          <w:rFonts w:hAnsi="宋体"/>
        </w:rPr>
        <w:t>（</w:t>
      </w:r>
      <w:r>
        <w:t>4</w:t>
      </w:r>
      <w:r>
        <w:rPr>
          <w:rFonts w:hAnsi="宋体"/>
        </w:rPr>
        <w:t>）能源结构</w:t>
      </w:r>
    </w:p>
    <w:p>
      <w:pPr>
        <w:adjustRightInd w:val="0"/>
        <w:snapToGrid w:val="0"/>
        <w:spacing w:line="360" w:lineRule="auto"/>
        <w:ind w:firstLine="420" w:firstLineChars="200"/>
      </w:pPr>
      <w:r>
        <w:rPr>
          <w:rFonts w:hAnsi="宋体"/>
        </w:rPr>
        <w:t>沙坪坝区城镇燃料结构主要为天燃气、电、石油液化气、油类等。</w:t>
      </w:r>
      <w:r>
        <w:t>200</w:t>
      </w:r>
      <w:r>
        <w:rPr>
          <w:rFonts w:hint="eastAsia"/>
        </w:rPr>
        <w:t>9</w:t>
      </w:r>
      <w:r>
        <w:rPr>
          <w:rFonts w:hAnsi="宋体"/>
        </w:rPr>
        <w:t>年，全区总用电量为</w:t>
      </w:r>
      <w:r>
        <w:t>245000</w:t>
      </w:r>
      <w:r>
        <w:rPr>
          <w:rFonts w:hAnsi="宋体"/>
        </w:rPr>
        <w:t>万千瓦时，其中：工业用电量为</w:t>
      </w:r>
      <w:r>
        <w:t>164500</w:t>
      </w:r>
      <w:r>
        <w:rPr>
          <w:rFonts w:hAnsi="宋体"/>
        </w:rPr>
        <w:t>千万时，占</w:t>
      </w:r>
      <w:r>
        <w:t>67</w:t>
      </w:r>
      <w:r>
        <w:rPr>
          <w:rFonts w:hAnsi="宋体"/>
        </w:rPr>
        <w:t>％，城乡居民和农业用电</w:t>
      </w:r>
      <w:r>
        <w:t>80500</w:t>
      </w:r>
      <w:r>
        <w:rPr>
          <w:rFonts w:hAnsi="宋体"/>
        </w:rPr>
        <w:t>千万时，占</w:t>
      </w:r>
      <w:r>
        <w:t>33</w:t>
      </w:r>
      <w:r>
        <w:rPr>
          <w:rFonts w:hAnsi="宋体"/>
        </w:rPr>
        <w:t>％。</w:t>
      </w:r>
    </w:p>
    <w:bookmarkEnd w:id="201"/>
    <w:bookmarkEnd w:id="202"/>
    <w:bookmarkEnd w:id="204"/>
    <w:bookmarkEnd w:id="205"/>
    <w:p>
      <w:pPr>
        <w:spacing w:before="72" w:beforeLines="30" w:after="72" w:afterLines="30" w:line="360" w:lineRule="auto"/>
        <w:outlineLvl w:val="1"/>
        <w:rPr>
          <w:rFonts w:hint="eastAsia"/>
          <w:b/>
          <w:bCs/>
        </w:rPr>
      </w:pPr>
      <w:bookmarkStart w:id="262" w:name="_Toc276372237"/>
      <w:bookmarkStart w:id="263" w:name="_Toc189814154"/>
      <w:bookmarkStart w:id="264" w:name="_Toc175479809"/>
      <w:bookmarkStart w:id="265" w:name="_Toc473281512"/>
      <w:r>
        <w:rPr>
          <w:rFonts w:hint="eastAsia"/>
          <w:b/>
          <w:bCs/>
        </w:rPr>
        <w:t>5.3 区域规划</w:t>
      </w:r>
      <w:bookmarkEnd w:id="262"/>
      <w:bookmarkEnd w:id="263"/>
      <w:bookmarkEnd w:id="264"/>
      <w:bookmarkEnd w:id="265"/>
    </w:p>
    <w:p>
      <w:pPr>
        <w:spacing w:before="72" w:beforeLines="30" w:after="72" w:afterLines="30" w:line="360" w:lineRule="auto"/>
        <w:outlineLvl w:val="2"/>
        <w:rPr>
          <w:rFonts w:hint="eastAsia"/>
          <w:b/>
          <w:bCs/>
        </w:rPr>
      </w:pPr>
      <w:r>
        <w:rPr>
          <w:rFonts w:hint="eastAsia"/>
          <w:b/>
          <w:bCs/>
        </w:rPr>
        <w:t>5.3.1 城市总体规划</w:t>
      </w:r>
    </w:p>
    <w:p>
      <w:pPr>
        <w:spacing w:line="360" w:lineRule="auto"/>
        <w:ind w:firstLine="420" w:firstLineChars="200"/>
        <w:rPr>
          <w:rFonts w:hint="eastAsia"/>
          <w:kern w:val="28"/>
        </w:rPr>
      </w:pPr>
      <w:r>
        <w:rPr>
          <w:rFonts w:hint="eastAsia"/>
          <w:kern w:val="28"/>
        </w:rPr>
        <w:t>按照</w:t>
      </w:r>
      <w:r>
        <w:rPr>
          <w:kern w:val="28"/>
        </w:rPr>
        <w:t>《重庆市城市总体规划（200</w:t>
      </w:r>
      <w:r>
        <w:rPr>
          <w:rFonts w:hint="eastAsia"/>
          <w:kern w:val="28"/>
        </w:rPr>
        <w:t>7-</w:t>
      </w:r>
      <w:r>
        <w:rPr>
          <w:kern w:val="28"/>
        </w:rPr>
        <w:t>2020年）》的报告，决定由市人民政府报请国务院审批。</w:t>
      </w:r>
      <w:r>
        <w:rPr>
          <w:rFonts w:hint="eastAsia"/>
          <w:kern w:val="28"/>
        </w:rPr>
        <w:t>按照其发展规划，</w:t>
      </w:r>
      <w:r>
        <w:rPr>
          <w:kern w:val="28"/>
        </w:rPr>
        <w:t>主城区的城市空间结构为“一城五片、多中心组团式”。</w:t>
      </w:r>
    </w:p>
    <w:p>
      <w:pPr>
        <w:pStyle w:val="17"/>
        <w:spacing w:before="240" w:beforeLines="100" w:beforeAutospacing="0" w:line="360" w:lineRule="auto"/>
        <w:ind w:firstLine="480" w:firstLineChars="200"/>
        <w:rPr>
          <w:rFonts w:hint="eastAsia" w:ascii="Times New Roman" w:hAnsi="Times New Roman" w:cs="Times New Roman"/>
          <w:kern w:val="28"/>
          <w:sz w:val="24"/>
          <w:szCs w:val="24"/>
        </w:rPr>
      </w:pPr>
      <w:r>
        <w:rPr>
          <w:rFonts w:hint="eastAsia" w:ascii="Times New Roman" w:hAnsi="Times New Roman" w:cs="Times New Roman"/>
          <w:kern w:val="28"/>
          <w:sz w:val="24"/>
          <w:szCs w:val="24"/>
        </w:rPr>
        <w:t xml:space="preserve">城市空间结构为“一城五片、多中心组团式”。 主城由中部、北部、南部、西部、东部五大片区组成。多中心包含一个城市中心和六个城市副中心。主城城市建设用地分为十六个组团和八个功能区。每个组团功能相对完善，组团内工作、生活用地基本平衡，紧凑发展。包括渝中组团、大杨石组团、沙坪坝组团、大渡口组团、观音桥－人和组团、两路组团、蔡家组团、大竹林－礼嘉组团、唐家沱组团、南坪组团、李家沱－渔洞组团、西永组团、北碚组团、西彭组团、茶园－鹿角组团、鱼嘴组团。 </w:t>
      </w:r>
    </w:p>
    <w:p>
      <w:pPr>
        <w:snapToGrid w:val="0"/>
        <w:spacing w:line="360" w:lineRule="auto"/>
        <w:ind w:firstLine="420" w:firstLineChars="200"/>
        <w:rPr>
          <w:rFonts w:hint="eastAsia"/>
          <w:kern w:val="28"/>
        </w:rPr>
      </w:pPr>
      <w:r>
        <w:rPr>
          <w:rFonts w:hint="eastAsia"/>
          <w:kern w:val="28"/>
        </w:rPr>
        <w:t>技改项目位于沙坪坝区青木关镇，不在城市规划范围内，不属于城市发展组团范围。因此，技改项目的建设与重庆市城市规划不冲突，符合重庆市城市总体规划。</w:t>
      </w:r>
    </w:p>
    <w:p>
      <w:pPr>
        <w:spacing w:line="360" w:lineRule="auto"/>
        <w:rPr>
          <w:rFonts w:hint="eastAsia"/>
          <w:b/>
          <w:bCs/>
          <w:sz w:val="28"/>
          <w:szCs w:val="28"/>
        </w:rPr>
      </w:pPr>
      <w:r>
        <w:rPr>
          <w:kern w:val="28"/>
        </w:rPr>
        <w:t>《重庆市城市总体规划（200</w:t>
      </w:r>
      <w:r>
        <w:rPr>
          <w:rFonts w:hint="eastAsia"/>
          <w:kern w:val="28"/>
        </w:rPr>
        <w:t>7-</w:t>
      </w:r>
      <w:r>
        <w:rPr>
          <w:kern w:val="28"/>
        </w:rPr>
        <w:t>2020年）》</w:t>
      </w:r>
      <w:r>
        <w:rPr>
          <w:rFonts w:hint="eastAsia"/>
          <w:kern w:val="28"/>
        </w:rPr>
        <w:t>见图5.1。</w:t>
      </w:r>
    </w:p>
    <w:p>
      <w:pPr>
        <w:spacing w:line="360" w:lineRule="auto"/>
        <w:rPr>
          <w:rFonts w:hint="eastAsia"/>
          <w:b/>
          <w:bCs/>
          <w:sz w:val="28"/>
          <w:szCs w:val="28"/>
        </w:rPr>
      </w:pPr>
      <w:r>
        <w:rPr>
          <w:rFonts w:hint="eastAsia"/>
          <w:b/>
          <w:bCs/>
          <w:sz w:val="28"/>
          <w:szCs w:val="28"/>
        </w:rPr>
        <w:t>5.3.2 “四山”管制规划</w:t>
      </w:r>
    </w:p>
    <w:p>
      <w:pPr>
        <w:spacing w:line="360" w:lineRule="auto"/>
        <w:ind w:firstLine="420" w:firstLineChars="200"/>
        <w:rPr>
          <w:rFonts w:hint="eastAsia"/>
          <w:kern w:val="28"/>
        </w:rPr>
      </w:pPr>
      <w:r>
        <w:rPr>
          <w:rFonts w:hint="eastAsia"/>
          <w:kern w:val="28"/>
        </w:rPr>
        <w:t>目前，</w:t>
      </w:r>
      <w:r>
        <w:rPr>
          <w:kern w:val="28"/>
        </w:rPr>
        <w:t>《重庆市缙云山、中梁山、铜锣山、明月山管制分区规划》</w:t>
      </w:r>
      <w:r>
        <w:rPr>
          <w:rFonts w:hint="eastAsia"/>
          <w:kern w:val="28"/>
        </w:rPr>
        <w:t>已通过重庆市政府批准，其主要内容如下：</w:t>
      </w:r>
    </w:p>
    <w:p>
      <w:pPr>
        <w:snapToGrid w:val="0"/>
        <w:spacing w:line="360" w:lineRule="auto"/>
        <w:ind w:firstLine="420" w:firstLineChars="200"/>
        <w:rPr>
          <w:rFonts w:hint="eastAsia"/>
          <w:kern w:val="28"/>
        </w:rPr>
      </w:pPr>
      <w:r>
        <w:rPr>
          <w:kern w:val="28"/>
        </w:rPr>
        <w:t>一、规划范围与期限</w:t>
      </w:r>
      <w:r>
        <w:rPr>
          <w:kern w:val="28"/>
        </w:rPr>
        <w:br w:type="textWrapping"/>
      </w:r>
      <w:r>
        <w:rPr>
          <w:kern w:val="28"/>
        </w:rPr>
        <w:t>　　1、规划范围：市行政区域内缙云山、中梁山、铜锣山、明月山四山地区，面积共约2376.15平方公里，涉及北碚区、沙坪坝区、九龙坡区、大渡口区、渝北区、江北区、南岸区、巴南区、长寿区、合川区、江津区、璧山县、梁平县、垫江县14个区县118个街道（镇、乡）。</w:t>
      </w:r>
      <w:r>
        <w:rPr>
          <w:kern w:val="28"/>
        </w:rPr>
        <w:br w:type="textWrapping"/>
      </w:r>
      <w:r>
        <w:rPr>
          <w:kern w:val="28"/>
        </w:rPr>
        <w:t>　</w:t>
      </w:r>
      <w:r>
        <w:rPr>
          <w:rFonts w:hint="eastAsia"/>
          <w:kern w:val="28"/>
        </w:rPr>
        <w:t xml:space="preserve"> </w:t>
      </w:r>
      <w:r>
        <w:rPr>
          <w:kern w:val="28"/>
        </w:rPr>
        <w:t xml:space="preserve"> 2、规划期限：规划不设规划期限，对四山建设管制区实行永久保护。</w:t>
      </w:r>
      <w:r>
        <w:rPr>
          <w:kern w:val="28"/>
        </w:rPr>
        <w:br w:type="textWrapping"/>
      </w:r>
      <w:r>
        <w:rPr>
          <w:rFonts w:hint="eastAsia"/>
          <w:kern w:val="28"/>
        </w:rPr>
        <w:t xml:space="preserve">    </w:t>
      </w:r>
      <w:r>
        <w:rPr>
          <w:kern w:val="28"/>
        </w:rPr>
        <w:t>二、规划目标</w:t>
      </w:r>
      <w:r>
        <w:rPr>
          <w:kern w:val="28"/>
        </w:rPr>
        <w:br w:type="textWrapping"/>
      </w:r>
      <w:r>
        <w:rPr>
          <w:rFonts w:hint="eastAsia"/>
          <w:kern w:val="28"/>
        </w:rPr>
        <w:t xml:space="preserve"> </w:t>
      </w:r>
      <w:r>
        <w:rPr>
          <w:kern w:val="28"/>
        </w:rPr>
        <w:t>　 切实保护四山地区森林、绿地资源，增加城市绿色开敞空间，强化四山地区生物多样性特征、生态服务功能和城市防灾功能，维护城市生态安全，为全面提升城市人居环境质量，建设山水园林城市，促进城市社会、经济、环境可持续协调发展，奠定坚实的基础。</w:t>
      </w:r>
      <w:r>
        <w:rPr>
          <w:kern w:val="28"/>
        </w:rPr>
        <w:br w:type="textWrapping"/>
      </w:r>
      <w:r>
        <w:rPr>
          <w:rFonts w:hint="eastAsia"/>
          <w:kern w:val="28"/>
        </w:rPr>
        <w:t xml:space="preserve">   </w:t>
      </w:r>
      <w:r>
        <w:rPr>
          <w:kern w:val="28"/>
        </w:rPr>
        <w:t>三</w:t>
      </w:r>
      <w:r>
        <w:rPr>
          <w:rFonts w:hint="eastAsia"/>
          <w:kern w:val="28"/>
        </w:rPr>
        <w:t>、</w:t>
      </w:r>
      <w:r>
        <w:rPr>
          <w:kern w:val="28"/>
        </w:rPr>
        <w:t>适用范围</w:t>
      </w:r>
      <w:r>
        <w:rPr>
          <w:kern w:val="28"/>
        </w:rPr>
        <w:br w:type="textWrapping"/>
      </w:r>
      <w:r>
        <w:rPr>
          <w:rFonts w:hint="eastAsia"/>
          <w:kern w:val="28"/>
        </w:rPr>
        <w:t xml:space="preserve"> </w:t>
      </w:r>
      <w:r>
        <w:rPr>
          <w:kern w:val="28"/>
        </w:rPr>
        <w:t>　 在</w:t>
      </w:r>
      <w:r>
        <w:rPr>
          <w:rFonts w:hint="eastAsia"/>
          <w:kern w:val="28"/>
        </w:rPr>
        <w:t>重庆</w:t>
      </w:r>
      <w:r>
        <w:rPr>
          <w:kern w:val="28"/>
        </w:rPr>
        <w:t>市行政区域内的缙云山、中梁山、铜锣山、明月山四山地区进行各类开发、建设及其管理活动，必须遵守本规划。</w:t>
      </w:r>
      <w:r>
        <w:rPr>
          <w:kern w:val="28"/>
        </w:rPr>
        <w:br w:type="textWrapping"/>
      </w:r>
      <w:r>
        <w:rPr>
          <w:rFonts w:hint="eastAsia"/>
          <w:kern w:val="28"/>
        </w:rPr>
        <w:t xml:space="preserve">    </w:t>
      </w:r>
      <w:r>
        <w:rPr>
          <w:kern w:val="28"/>
        </w:rPr>
        <w:t>四、四山建设管制区分区设定</w:t>
      </w:r>
      <w:r>
        <w:rPr>
          <w:kern w:val="28"/>
        </w:rPr>
        <w:br w:type="textWrapping"/>
      </w:r>
      <w:r>
        <w:rPr>
          <w:kern w:val="28"/>
        </w:rPr>
        <w:t xml:space="preserve">　 </w:t>
      </w:r>
      <w:r>
        <w:rPr>
          <w:rFonts w:hint="eastAsia"/>
          <w:kern w:val="28"/>
        </w:rPr>
        <w:t xml:space="preserve"> </w:t>
      </w:r>
      <w:r>
        <w:rPr>
          <w:kern w:val="28"/>
        </w:rPr>
        <w:t>规划将四山地区建设管制区分为禁建区、重点控建区和一般控建区。</w:t>
      </w:r>
      <w:r>
        <w:rPr>
          <w:kern w:val="28"/>
        </w:rPr>
        <w:br w:type="textWrapping"/>
      </w:r>
      <w:r>
        <w:rPr>
          <w:kern w:val="28"/>
        </w:rPr>
        <w:t xml:space="preserve">　 </w:t>
      </w:r>
      <w:r>
        <w:rPr>
          <w:rFonts w:hint="eastAsia"/>
          <w:kern w:val="28"/>
        </w:rPr>
        <w:t xml:space="preserve"> </w:t>
      </w:r>
      <w:r>
        <w:rPr>
          <w:kern w:val="28"/>
        </w:rPr>
        <w:t>禁建区包括以下区域：自然保护区的核心区和缓冲区；风景名胜区的核心景区；森林公园的生态保护区；饮用水源一级保护区；国家重点保护野生动物的栖息地及其迁徙廊道；文物保护单位的保护范围；森林密集区；城市组团隔离带以及因保护、恢复生态环境和自然景观需要禁止开发建设的其他区域。</w:t>
      </w:r>
      <w:r>
        <w:rPr>
          <w:kern w:val="28"/>
        </w:rPr>
        <w:br w:type="textWrapping"/>
      </w:r>
      <w:r>
        <w:rPr>
          <w:rFonts w:hint="eastAsia"/>
          <w:kern w:val="28"/>
        </w:rPr>
        <w:t xml:space="preserve"> </w:t>
      </w:r>
      <w:r>
        <w:rPr>
          <w:kern w:val="28"/>
        </w:rPr>
        <w:t>　 重点控建区包括以下区域：自然保护区的实验区及外围保护地带；风景名胜区的一般景区；饮用水源二级保护区；现有林地、绿地及因保护、恢复生态环境和自然景观需要重点限制开发建设的其他区域。</w:t>
      </w:r>
      <w:r>
        <w:rPr>
          <w:kern w:val="28"/>
        </w:rPr>
        <w:br w:type="textWrapping"/>
      </w:r>
      <w:r>
        <w:rPr>
          <w:rFonts w:hint="eastAsia"/>
          <w:kern w:val="28"/>
        </w:rPr>
        <w:t xml:space="preserve"> </w:t>
      </w:r>
      <w:r>
        <w:rPr>
          <w:kern w:val="28"/>
        </w:rPr>
        <w:t>　 一般控建区为除禁建区和重点控建区以外的其他因保护生态环境和自然景观需要限制开发建设的区域。</w:t>
      </w:r>
    </w:p>
    <w:p>
      <w:pPr>
        <w:snapToGrid w:val="0"/>
        <w:spacing w:line="360" w:lineRule="auto"/>
        <w:ind w:firstLine="420" w:firstLineChars="200"/>
        <w:rPr>
          <w:rFonts w:hint="eastAsia"/>
          <w:kern w:val="28"/>
        </w:rPr>
      </w:pPr>
      <w:r>
        <w:rPr>
          <w:kern w:val="28"/>
        </w:rPr>
        <w:t>五、总体管制要求</w:t>
      </w:r>
    </w:p>
    <w:p>
      <w:pPr>
        <w:snapToGrid w:val="0"/>
        <w:spacing w:line="360" w:lineRule="auto"/>
        <w:ind w:firstLine="420" w:firstLineChars="200"/>
        <w:rPr>
          <w:rFonts w:hint="eastAsia"/>
          <w:kern w:val="28"/>
        </w:rPr>
      </w:pPr>
      <w:r>
        <w:rPr>
          <w:kern w:val="28"/>
        </w:rPr>
        <w:t>坚持资源保护和生态优先，四山建设管制区内的各类建设活动必须与管制区生态环境保护要求相协调，严格控制开发规模、强度、建筑体量和风格；四山建设管制区内城镇及农村居民点，应严格控制常住人口的机械增长，积极鼓励和引导居民向管制区外的城镇建设区迁移。村民自用住宅建设用地标准和建筑面积，必须符合国家和本市相关规定；四山建设管制区内，在进行必要的建筑、构筑物建设和进行必须的道路、管网等重大基础设施的建设时，应注意保护野生动物栖息生境，预留野生动物迁徙廊道；四山建设管制区内，除对划入禁建区内的林地进行严格保护外，对重点控建区、一般控建区内的林木也应加强保护，不得随意砍伐。</w:t>
      </w:r>
    </w:p>
    <w:p>
      <w:pPr>
        <w:snapToGrid w:val="0"/>
        <w:spacing w:line="360" w:lineRule="auto"/>
        <w:ind w:firstLine="420" w:firstLineChars="200"/>
        <w:rPr>
          <w:rFonts w:hint="eastAsia"/>
          <w:kern w:val="28"/>
        </w:rPr>
        <w:sectPr>
          <w:pgSz w:w="11906" w:h="16838"/>
          <w:pgMar w:top="1440" w:right="1418" w:bottom="1440" w:left="1418" w:header="851" w:footer="992" w:gutter="0"/>
          <w:paperSrc w:first="20070" w:other="20070"/>
          <w:cols w:space="425" w:num="1"/>
          <w:docGrid w:linePitch="312" w:charSpace="0"/>
        </w:sectPr>
      </w:pPr>
      <w:r>
        <w:rPr>
          <w:rFonts w:hint="eastAsia"/>
          <w:kern w:val="28"/>
        </w:rPr>
        <w:t>技改项目位于青木关镇关口村，</w:t>
      </w:r>
      <w:r>
        <w:rPr>
          <w:kern w:val="28"/>
        </w:rPr>
        <w:t>缙云山</w:t>
      </w:r>
      <w:r>
        <w:rPr>
          <w:rFonts w:hint="eastAsia"/>
          <w:kern w:val="28"/>
        </w:rPr>
        <w:t>管制区在青木关段按原始地面标高350米控制，技改项目将在原立窑厂址上建设，在厂区布置时严格按照“四山管制”要求，所有装置及厂房均布置在350米以下，因此，技改项目不在“四山管制”范围内。</w:t>
      </w:r>
    </w:p>
    <w:p>
      <w:pPr>
        <w:pStyle w:val="11"/>
        <w:ind w:left="0" w:firstLine="0" w:firstLineChars="0"/>
        <w:outlineLvl w:val="0"/>
        <w:rPr>
          <w:b/>
          <w:szCs w:val="28"/>
        </w:rPr>
      </w:pPr>
      <w:bookmarkStart w:id="266" w:name="_Toc276372238"/>
      <w:bookmarkStart w:id="267" w:name="_Toc189814155"/>
      <w:bookmarkStart w:id="268" w:name="_Toc175479810"/>
      <w:bookmarkStart w:id="269" w:name="_Toc473281513"/>
      <w:r>
        <w:rPr>
          <w:rFonts w:hint="eastAsia"/>
          <w:b/>
          <w:szCs w:val="28"/>
        </w:rPr>
        <w:t xml:space="preserve">6 </w:t>
      </w:r>
      <w:r>
        <w:rPr>
          <w:b/>
          <w:szCs w:val="28"/>
        </w:rPr>
        <w:t xml:space="preserve"> 环境质量现状</w:t>
      </w:r>
      <w:bookmarkEnd w:id="266"/>
    </w:p>
    <w:p>
      <w:pPr>
        <w:spacing w:line="360" w:lineRule="auto"/>
        <w:outlineLvl w:val="1"/>
        <w:rPr>
          <w:rFonts w:hint="eastAsia"/>
          <w:b/>
          <w:bCs/>
        </w:rPr>
      </w:pPr>
      <w:bookmarkStart w:id="270" w:name="_Toc276372239"/>
      <w:r>
        <w:rPr>
          <w:b/>
          <w:bCs/>
        </w:rPr>
        <w:t>6.1 环境空气质量现状</w:t>
      </w:r>
      <w:r>
        <w:rPr>
          <w:rFonts w:hint="eastAsia"/>
          <w:b/>
          <w:bCs/>
        </w:rPr>
        <w:t>与评价</w:t>
      </w:r>
      <w:bookmarkEnd w:id="270"/>
    </w:p>
    <w:p>
      <w:pPr>
        <w:spacing w:line="360" w:lineRule="auto"/>
        <w:rPr>
          <w:b/>
          <w:bCs/>
        </w:rPr>
      </w:pPr>
      <w:r>
        <w:rPr>
          <w:rFonts w:hint="eastAsia"/>
          <w:b/>
          <w:bCs/>
        </w:rPr>
        <w:t xml:space="preserve">6.1.1 </w:t>
      </w:r>
      <w:r>
        <w:rPr>
          <w:b/>
          <w:bCs/>
        </w:rPr>
        <w:t>环境空气监测基本情况</w:t>
      </w:r>
    </w:p>
    <w:p>
      <w:pPr>
        <w:spacing w:line="360" w:lineRule="auto"/>
        <w:ind w:firstLine="420" w:firstLineChars="200"/>
      </w:pPr>
      <w:r>
        <w:t>（1）监测点布设</w:t>
      </w:r>
    </w:p>
    <w:p>
      <w:pPr>
        <w:spacing w:line="360" w:lineRule="auto"/>
        <w:ind w:firstLine="420" w:firstLineChars="200"/>
      </w:pPr>
      <w:r>
        <w:rPr>
          <w:rFonts w:hint="eastAsia"/>
        </w:rPr>
        <w:t>技改项目</w:t>
      </w:r>
      <w:r>
        <w:t>环境空气质量现状监测共设置了</w:t>
      </w:r>
      <w:r>
        <w:rPr>
          <w:rFonts w:hint="eastAsia"/>
        </w:rPr>
        <w:t>6</w:t>
      </w:r>
      <w:r>
        <w:t>个监测点，位置分布见表</w:t>
      </w:r>
      <w:r>
        <w:rPr>
          <w:rFonts w:hint="eastAsia"/>
        </w:rPr>
        <w:t>6</w:t>
      </w:r>
      <w:r>
        <w:t>-1和图6.1。</w:t>
      </w:r>
    </w:p>
    <w:p>
      <w:pPr>
        <w:spacing w:line="360" w:lineRule="auto"/>
        <w:ind w:firstLine="420" w:firstLineChars="200"/>
      </w:pPr>
      <w:r>
        <w:t>（2）监测项目</w:t>
      </w:r>
    </w:p>
    <w:p>
      <w:pPr>
        <w:spacing w:line="360" w:lineRule="auto"/>
        <w:ind w:firstLine="420" w:firstLineChars="200"/>
      </w:pPr>
      <w:r>
        <w:t>PM</w:t>
      </w:r>
      <w:r>
        <w:rPr>
          <w:vertAlign w:val="subscript"/>
        </w:rPr>
        <w:t>10</w:t>
      </w:r>
      <w:r>
        <w:t>、SO</w:t>
      </w:r>
      <w:r>
        <w:rPr>
          <w:vertAlign w:val="subscript"/>
        </w:rPr>
        <w:t>2</w:t>
      </w:r>
      <w:r>
        <w:t>、TSP 、NO</w:t>
      </w:r>
      <w:r>
        <w:rPr>
          <w:vertAlign w:val="subscript"/>
        </w:rPr>
        <w:t>2</w:t>
      </w:r>
      <w:r>
        <w:t>。</w:t>
      </w:r>
    </w:p>
    <w:p>
      <w:pPr>
        <w:spacing w:line="360" w:lineRule="auto"/>
        <w:ind w:firstLine="420" w:firstLineChars="200"/>
      </w:pPr>
      <w:r>
        <w:t>（3）监测时间及频率</w:t>
      </w:r>
    </w:p>
    <w:p>
      <w:pPr>
        <w:spacing w:line="360" w:lineRule="auto"/>
        <w:ind w:firstLine="420" w:firstLineChars="200"/>
      </w:pPr>
      <w:r>
        <w:t>监测时间为20</w:t>
      </w:r>
      <w:r>
        <w:rPr>
          <w:rFonts w:hint="eastAsia"/>
        </w:rPr>
        <w:t>10</w:t>
      </w:r>
      <w:r>
        <w:t>年</w:t>
      </w:r>
      <w:r>
        <w:rPr>
          <w:rFonts w:hint="eastAsia"/>
        </w:rPr>
        <w:t>7</w:t>
      </w:r>
      <w:r>
        <w:t>月3</w:t>
      </w:r>
      <w:r>
        <w:rPr>
          <w:rFonts w:hint="eastAsia"/>
        </w:rPr>
        <w:t>0</w:t>
      </w:r>
      <w:r>
        <w:t>日～8月</w:t>
      </w:r>
      <w:r>
        <w:rPr>
          <w:rFonts w:hint="eastAsia"/>
        </w:rPr>
        <w:t>5</w:t>
      </w:r>
      <w:r>
        <w:t>日，连续7天。其中SO</w:t>
      </w:r>
      <w:r>
        <w:rPr>
          <w:vertAlign w:val="subscript"/>
        </w:rPr>
        <w:t>2</w:t>
      </w:r>
      <w:r>
        <w:t>、NO</w:t>
      </w:r>
      <w:r>
        <w:rPr>
          <w:vertAlign w:val="subscript"/>
        </w:rPr>
        <w:t>2</w:t>
      </w:r>
      <w:r>
        <w:t>分别测试小时浓度值和日均浓度值，小时浓度值每天监测</w:t>
      </w:r>
      <w:r>
        <w:rPr>
          <w:rFonts w:hint="eastAsia"/>
        </w:rPr>
        <w:t>6</w:t>
      </w:r>
      <w:r>
        <w:t>次（时间为02， 08，11，14，17， 23时），采样时间至少45分钟，日均浓度值为连续监测，采样时间至少18小时；TSP、PM</w:t>
      </w:r>
      <w:r>
        <w:rPr>
          <w:vertAlign w:val="subscript"/>
        </w:rPr>
        <w:t>10</w:t>
      </w:r>
      <w:r>
        <w:t>测试日均浓度值，采样时间至少12小时。</w:t>
      </w:r>
    </w:p>
    <w:p>
      <w:pPr>
        <w:spacing w:line="360" w:lineRule="auto"/>
        <w:ind w:firstLine="480"/>
      </w:pPr>
      <w:r>
        <w:t>（4）监测分析方法</w:t>
      </w:r>
    </w:p>
    <w:p>
      <w:pPr>
        <w:spacing w:line="360" w:lineRule="auto"/>
        <w:ind w:firstLine="480"/>
      </w:pPr>
      <w:r>
        <w:t>监测分析方法见表6-2。</w:t>
      </w:r>
    </w:p>
    <w:p>
      <w:pPr>
        <w:spacing w:line="360" w:lineRule="auto"/>
        <w:ind w:firstLine="480"/>
      </w:pPr>
      <w:r>
        <w:t>监测单位：重庆市</w:t>
      </w:r>
      <w:r>
        <w:rPr>
          <w:rFonts w:hint="eastAsia"/>
        </w:rPr>
        <w:t>沙坪坝区</w:t>
      </w:r>
      <w:r>
        <w:t>环境监测</w:t>
      </w:r>
      <w:r>
        <w:rPr>
          <w:rFonts w:hint="eastAsia"/>
        </w:rPr>
        <w:t>站</w:t>
      </w:r>
      <w:r>
        <w:t>。</w:t>
      </w:r>
    </w:p>
    <w:p>
      <w:pPr>
        <w:spacing w:line="440" w:lineRule="exact"/>
        <w:ind w:firstLine="480"/>
        <w:jc w:val="center"/>
        <w:rPr>
          <w:b/>
        </w:rPr>
      </w:pPr>
      <w:r>
        <w:rPr>
          <w:b/>
        </w:rPr>
        <w:t>表6-1  环境空气现状监测布点情况一览表</w:t>
      </w:r>
    </w:p>
    <w:tbl>
      <w:tblPr>
        <w:tblStyle w:val="21"/>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4028"/>
        <w:gridCol w:w="1924"/>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97" w:type="dxa"/>
            <w:gridSpan w:val="2"/>
            <w:vAlign w:val="center"/>
          </w:tcPr>
          <w:p>
            <w:pPr>
              <w:spacing w:line="280" w:lineRule="exact"/>
              <w:jc w:val="center"/>
              <w:rPr>
                <w:sz w:val="21"/>
                <w:szCs w:val="21"/>
              </w:rPr>
            </w:pPr>
            <w:r>
              <w:rPr>
                <w:sz w:val="21"/>
                <w:szCs w:val="21"/>
              </w:rPr>
              <w:t>监测点名称</w:t>
            </w:r>
          </w:p>
        </w:tc>
        <w:tc>
          <w:tcPr>
            <w:tcW w:w="1924" w:type="dxa"/>
            <w:vAlign w:val="center"/>
          </w:tcPr>
          <w:p>
            <w:pPr>
              <w:spacing w:line="280" w:lineRule="exact"/>
              <w:jc w:val="center"/>
              <w:rPr>
                <w:sz w:val="21"/>
                <w:szCs w:val="21"/>
              </w:rPr>
            </w:pPr>
            <w:r>
              <w:rPr>
                <w:rFonts w:hint="eastAsia"/>
                <w:sz w:val="21"/>
                <w:szCs w:val="21"/>
              </w:rPr>
              <w:t>与</w:t>
            </w:r>
            <w:r>
              <w:rPr>
                <w:sz w:val="21"/>
                <w:szCs w:val="21"/>
              </w:rPr>
              <w:t>厂区</w:t>
            </w:r>
          </w:p>
          <w:p>
            <w:pPr>
              <w:spacing w:line="280" w:lineRule="exact"/>
              <w:jc w:val="center"/>
              <w:rPr>
                <w:sz w:val="21"/>
                <w:szCs w:val="21"/>
              </w:rPr>
            </w:pPr>
            <w:r>
              <w:rPr>
                <w:sz w:val="21"/>
                <w:szCs w:val="21"/>
              </w:rPr>
              <w:t>相对方位</w:t>
            </w:r>
          </w:p>
        </w:tc>
        <w:tc>
          <w:tcPr>
            <w:tcW w:w="2665" w:type="dxa"/>
            <w:vAlign w:val="center"/>
          </w:tcPr>
          <w:p>
            <w:pPr>
              <w:spacing w:line="280" w:lineRule="exact"/>
              <w:jc w:val="center"/>
              <w:rPr>
                <w:sz w:val="21"/>
                <w:szCs w:val="21"/>
              </w:rPr>
            </w:pPr>
            <w:r>
              <w:rPr>
                <w:sz w:val="21"/>
                <w:szCs w:val="21"/>
              </w:rPr>
              <w:t>与</w:t>
            </w:r>
            <w:r>
              <w:rPr>
                <w:rFonts w:hint="eastAsia"/>
                <w:sz w:val="21"/>
                <w:szCs w:val="21"/>
              </w:rPr>
              <w:t>窑尾</w:t>
            </w:r>
            <w:r>
              <w:rPr>
                <w:sz w:val="21"/>
                <w:szCs w:val="21"/>
              </w:rPr>
              <w:t>烟囱距离（Km）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7" w:hRule="atLeast"/>
        </w:trPr>
        <w:tc>
          <w:tcPr>
            <w:tcW w:w="669" w:type="dxa"/>
            <w:vAlign w:val="center"/>
          </w:tcPr>
          <w:p>
            <w:pPr>
              <w:spacing w:line="280" w:lineRule="exact"/>
              <w:jc w:val="center"/>
              <w:rPr>
                <w:sz w:val="21"/>
                <w:szCs w:val="21"/>
              </w:rPr>
            </w:pPr>
            <w:r>
              <w:rPr>
                <w:sz w:val="21"/>
                <w:szCs w:val="21"/>
              </w:rPr>
              <w:t>1#</w:t>
            </w:r>
          </w:p>
        </w:tc>
        <w:tc>
          <w:tcPr>
            <w:tcW w:w="4028" w:type="dxa"/>
            <w:vAlign w:val="center"/>
          </w:tcPr>
          <w:p>
            <w:pPr>
              <w:spacing w:line="280" w:lineRule="exact"/>
              <w:rPr>
                <w:rFonts w:hint="eastAsia"/>
                <w:sz w:val="21"/>
                <w:szCs w:val="21"/>
              </w:rPr>
            </w:pPr>
            <w:r>
              <w:rPr>
                <w:rFonts w:hint="eastAsia"/>
                <w:sz w:val="21"/>
                <w:szCs w:val="21"/>
              </w:rPr>
              <w:t>青木关镇</w:t>
            </w:r>
          </w:p>
        </w:tc>
        <w:tc>
          <w:tcPr>
            <w:tcW w:w="1924" w:type="dxa"/>
            <w:vAlign w:val="center"/>
          </w:tcPr>
          <w:p>
            <w:pPr>
              <w:spacing w:line="280" w:lineRule="exact"/>
              <w:rPr>
                <w:rFonts w:hint="eastAsia"/>
                <w:sz w:val="21"/>
                <w:szCs w:val="21"/>
              </w:rPr>
            </w:pPr>
            <w:r>
              <w:rPr>
                <w:rFonts w:hint="eastAsia"/>
                <w:sz w:val="21"/>
                <w:szCs w:val="21"/>
              </w:rPr>
              <w:t>E，侧风向</w:t>
            </w:r>
          </w:p>
        </w:tc>
        <w:tc>
          <w:tcPr>
            <w:tcW w:w="2665" w:type="dxa"/>
            <w:vAlign w:val="center"/>
          </w:tcPr>
          <w:p>
            <w:pPr>
              <w:spacing w:line="280" w:lineRule="exact"/>
              <w:jc w:val="center"/>
              <w:rPr>
                <w:rFonts w:hint="eastAsia"/>
                <w:sz w:val="21"/>
                <w:szCs w:val="21"/>
              </w:rPr>
            </w:pPr>
            <w:r>
              <w:rPr>
                <w:rFonts w:hint="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5" w:hRule="atLeast"/>
        </w:trPr>
        <w:tc>
          <w:tcPr>
            <w:tcW w:w="669" w:type="dxa"/>
            <w:vAlign w:val="center"/>
          </w:tcPr>
          <w:p>
            <w:pPr>
              <w:spacing w:line="280" w:lineRule="exact"/>
              <w:jc w:val="center"/>
              <w:rPr>
                <w:sz w:val="21"/>
                <w:szCs w:val="21"/>
              </w:rPr>
            </w:pPr>
            <w:r>
              <w:rPr>
                <w:sz w:val="21"/>
                <w:szCs w:val="21"/>
              </w:rPr>
              <w:t>2#</w:t>
            </w:r>
          </w:p>
        </w:tc>
        <w:tc>
          <w:tcPr>
            <w:tcW w:w="4028" w:type="dxa"/>
            <w:vAlign w:val="center"/>
          </w:tcPr>
          <w:p>
            <w:pPr>
              <w:spacing w:line="280" w:lineRule="exact"/>
              <w:rPr>
                <w:rFonts w:hint="eastAsia"/>
                <w:sz w:val="21"/>
                <w:szCs w:val="21"/>
              </w:rPr>
            </w:pPr>
            <w:r>
              <w:rPr>
                <w:rFonts w:hint="eastAsia"/>
                <w:sz w:val="21"/>
                <w:szCs w:val="21"/>
              </w:rPr>
              <w:t>福里树</w:t>
            </w:r>
          </w:p>
        </w:tc>
        <w:tc>
          <w:tcPr>
            <w:tcW w:w="1924" w:type="dxa"/>
            <w:vAlign w:val="center"/>
          </w:tcPr>
          <w:p>
            <w:pPr>
              <w:spacing w:line="280" w:lineRule="exact"/>
              <w:rPr>
                <w:sz w:val="21"/>
                <w:szCs w:val="21"/>
              </w:rPr>
            </w:pPr>
            <w:r>
              <w:rPr>
                <w:rFonts w:hint="eastAsia" w:ascii="宋体" w:hAnsi="宋体"/>
                <w:sz w:val="21"/>
                <w:szCs w:val="21"/>
              </w:rPr>
              <w:t>W面，侧风向</w:t>
            </w:r>
          </w:p>
        </w:tc>
        <w:tc>
          <w:tcPr>
            <w:tcW w:w="2665" w:type="dxa"/>
            <w:vAlign w:val="center"/>
          </w:tcPr>
          <w:p>
            <w:pPr>
              <w:spacing w:line="280" w:lineRule="exact"/>
              <w:jc w:val="center"/>
              <w:rPr>
                <w:rFonts w:hint="eastAsia"/>
                <w:sz w:val="21"/>
                <w:szCs w:val="21"/>
              </w:rPr>
            </w:pPr>
            <w:r>
              <w:rPr>
                <w:rFonts w:hint="eastAsia"/>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1" w:hRule="atLeast"/>
        </w:trPr>
        <w:tc>
          <w:tcPr>
            <w:tcW w:w="669" w:type="dxa"/>
            <w:vAlign w:val="center"/>
          </w:tcPr>
          <w:p>
            <w:pPr>
              <w:spacing w:line="280" w:lineRule="exact"/>
              <w:jc w:val="center"/>
              <w:rPr>
                <w:sz w:val="21"/>
                <w:szCs w:val="21"/>
              </w:rPr>
            </w:pPr>
            <w:r>
              <w:rPr>
                <w:sz w:val="21"/>
                <w:szCs w:val="21"/>
              </w:rPr>
              <w:t>3#</w:t>
            </w:r>
          </w:p>
        </w:tc>
        <w:tc>
          <w:tcPr>
            <w:tcW w:w="4028" w:type="dxa"/>
            <w:vAlign w:val="center"/>
          </w:tcPr>
          <w:p>
            <w:pPr>
              <w:spacing w:line="280" w:lineRule="exact"/>
              <w:rPr>
                <w:rFonts w:hint="eastAsia"/>
                <w:sz w:val="21"/>
                <w:szCs w:val="21"/>
              </w:rPr>
            </w:pPr>
            <w:r>
              <w:rPr>
                <w:rFonts w:hint="eastAsia"/>
                <w:sz w:val="21"/>
                <w:szCs w:val="21"/>
              </w:rPr>
              <w:t>重庆永荣青鹏煤业有限公司家属区</w:t>
            </w:r>
          </w:p>
        </w:tc>
        <w:tc>
          <w:tcPr>
            <w:tcW w:w="1924" w:type="dxa"/>
            <w:vAlign w:val="center"/>
          </w:tcPr>
          <w:p>
            <w:pPr>
              <w:spacing w:line="280" w:lineRule="exact"/>
              <w:rPr>
                <w:sz w:val="21"/>
                <w:szCs w:val="21"/>
              </w:rPr>
            </w:pPr>
            <w:r>
              <w:rPr>
                <w:rFonts w:hint="eastAsia"/>
                <w:sz w:val="21"/>
                <w:szCs w:val="21"/>
              </w:rPr>
              <w:t>N</w:t>
            </w:r>
            <w:r>
              <w:rPr>
                <w:rFonts w:hint="eastAsia" w:ascii="宋体" w:hAnsi="宋体"/>
                <w:sz w:val="21"/>
                <w:szCs w:val="21"/>
              </w:rPr>
              <w:t>面，上风向</w:t>
            </w:r>
          </w:p>
        </w:tc>
        <w:tc>
          <w:tcPr>
            <w:tcW w:w="2665" w:type="dxa"/>
            <w:vAlign w:val="center"/>
          </w:tcPr>
          <w:p>
            <w:pPr>
              <w:spacing w:line="280" w:lineRule="exact"/>
              <w:jc w:val="center"/>
              <w:rPr>
                <w:rFonts w:hint="eastAsia"/>
                <w:sz w:val="21"/>
                <w:szCs w:val="21"/>
              </w:rPr>
            </w:pPr>
            <w:r>
              <w:rPr>
                <w:rFonts w:hint="eastAsia"/>
                <w:sz w:val="21"/>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trPr>
        <w:tc>
          <w:tcPr>
            <w:tcW w:w="669" w:type="dxa"/>
            <w:vAlign w:val="center"/>
          </w:tcPr>
          <w:p>
            <w:pPr>
              <w:spacing w:line="280" w:lineRule="exact"/>
              <w:jc w:val="center"/>
              <w:rPr>
                <w:sz w:val="21"/>
                <w:szCs w:val="21"/>
              </w:rPr>
            </w:pPr>
            <w:r>
              <w:rPr>
                <w:sz w:val="21"/>
                <w:szCs w:val="21"/>
              </w:rPr>
              <w:t>4#</w:t>
            </w:r>
          </w:p>
        </w:tc>
        <w:tc>
          <w:tcPr>
            <w:tcW w:w="4028" w:type="dxa"/>
            <w:vAlign w:val="center"/>
          </w:tcPr>
          <w:p>
            <w:pPr>
              <w:spacing w:line="280" w:lineRule="exact"/>
              <w:rPr>
                <w:rFonts w:hint="eastAsia"/>
                <w:sz w:val="21"/>
                <w:szCs w:val="21"/>
              </w:rPr>
            </w:pPr>
            <w:r>
              <w:rPr>
                <w:rFonts w:hint="eastAsia"/>
                <w:sz w:val="21"/>
                <w:szCs w:val="21"/>
              </w:rPr>
              <w:t>管家桥</w:t>
            </w:r>
          </w:p>
        </w:tc>
        <w:tc>
          <w:tcPr>
            <w:tcW w:w="1924" w:type="dxa"/>
            <w:vAlign w:val="center"/>
          </w:tcPr>
          <w:p>
            <w:pPr>
              <w:spacing w:line="280" w:lineRule="exact"/>
              <w:rPr>
                <w:sz w:val="21"/>
                <w:szCs w:val="21"/>
              </w:rPr>
            </w:pPr>
            <w:r>
              <w:rPr>
                <w:rFonts w:hint="eastAsia"/>
                <w:sz w:val="21"/>
                <w:szCs w:val="21"/>
              </w:rPr>
              <w:t>SE</w:t>
            </w:r>
            <w:r>
              <w:rPr>
                <w:rFonts w:hint="eastAsia" w:ascii="宋体" w:hAnsi="宋体"/>
                <w:sz w:val="21"/>
                <w:szCs w:val="21"/>
              </w:rPr>
              <w:t>面，侧下风向</w:t>
            </w:r>
          </w:p>
        </w:tc>
        <w:tc>
          <w:tcPr>
            <w:tcW w:w="2665" w:type="dxa"/>
            <w:vAlign w:val="center"/>
          </w:tcPr>
          <w:p>
            <w:pPr>
              <w:spacing w:line="280" w:lineRule="exact"/>
              <w:jc w:val="center"/>
              <w:rPr>
                <w:rFonts w:hint="eastAsia"/>
                <w:sz w:val="21"/>
                <w:szCs w:val="21"/>
              </w:rPr>
            </w:pPr>
            <w:r>
              <w:rPr>
                <w:rFonts w:hint="eastAsia"/>
                <w:sz w:val="21"/>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trPr>
        <w:tc>
          <w:tcPr>
            <w:tcW w:w="669" w:type="dxa"/>
            <w:vAlign w:val="center"/>
          </w:tcPr>
          <w:p>
            <w:pPr>
              <w:spacing w:line="280" w:lineRule="exact"/>
              <w:jc w:val="center"/>
              <w:rPr>
                <w:sz w:val="21"/>
                <w:szCs w:val="21"/>
              </w:rPr>
            </w:pPr>
            <w:r>
              <w:rPr>
                <w:sz w:val="21"/>
                <w:szCs w:val="21"/>
              </w:rPr>
              <w:t>5#</w:t>
            </w:r>
          </w:p>
        </w:tc>
        <w:tc>
          <w:tcPr>
            <w:tcW w:w="4028" w:type="dxa"/>
            <w:vAlign w:val="center"/>
          </w:tcPr>
          <w:p>
            <w:pPr>
              <w:spacing w:line="280" w:lineRule="exact"/>
              <w:rPr>
                <w:rFonts w:hint="eastAsia"/>
                <w:sz w:val="21"/>
                <w:szCs w:val="21"/>
              </w:rPr>
            </w:pPr>
            <w:r>
              <w:rPr>
                <w:rFonts w:hint="eastAsia"/>
                <w:sz w:val="21"/>
                <w:szCs w:val="21"/>
              </w:rPr>
              <w:t>大学城（解放军后勤工程学院虎溪校区）</w:t>
            </w:r>
          </w:p>
        </w:tc>
        <w:tc>
          <w:tcPr>
            <w:tcW w:w="1924" w:type="dxa"/>
            <w:vAlign w:val="center"/>
          </w:tcPr>
          <w:p>
            <w:pPr>
              <w:spacing w:line="280" w:lineRule="exact"/>
              <w:rPr>
                <w:sz w:val="21"/>
                <w:szCs w:val="21"/>
              </w:rPr>
            </w:pPr>
            <w:r>
              <w:rPr>
                <w:rFonts w:hint="eastAsia"/>
                <w:sz w:val="21"/>
                <w:szCs w:val="21"/>
              </w:rPr>
              <w:t>SE</w:t>
            </w:r>
            <w:r>
              <w:rPr>
                <w:rFonts w:hint="eastAsia" w:ascii="宋体" w:hAnsi="宋体"/>
                <w:sz w:val="21"/>
                <w:szCs w:val="21"/>
              </w:rPr>
              <w:t>面，侧下风向</w:t>
            </w:r>
          </w:p>
        </w:tc>
        <w:tc>
          <w:tcPr>
            <w:tcW w:w="2665" w:type="dxa"/>
            <w:vAlign w:val="center"/>
          </w:tcPr>
          <w:p>
            <w:pPr>
              <w:spacing w:line="280" w:lineRule="exact"/>
              <w:jc w:val="center"/>
              <w:rPr>
                <w:rFonts w:hint="eastAsia"/>
                <w:sz w:val="21"/>
                <w:szCs w:val="21"/>
              </w:rPr>
            </w:pPr>
            <w:r>
              <w:rPr>
                <w:rFonts w:hint="eastAsia"/>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trPr>
        <w:tc>
          <w:tcPr>
            <w:tcW w:w="669" w:type="dxa"/>
            <w:vAlign w:val="center"/>
          </w:tcPr>
          <w:p>
            <w:pPr>
              <w:spacing w:line="280" w:lineRule="exact"/>
              <w:jc w:val="center"/>
              <w:rPr>
                <w:sz w:val="21"/>
                <w:szCs w:val="21"/>
              </w:rPr>
            </w:pPr>
            <w:r>
              <w:rPr>
                <w:sz w:val="21"/>
                <w:szCs w:val="21"/>
              </w:rPr>
              <w:t>6#</w:t>
            </w:r>
          </w:p>
        </w:tc>
        <w:tc>
          <w:tcPr>
            <w:tcW w:w="4028" w:type="dxa"/>
            <w:vAlign w:val="center"/>
          </w:tcPr>
          <w:p>
            <w:pPr>
              <w:spacing w:line="280" w:lineRule="exact"/>
              <w:rPr>
                <w:rFonts w:hint="eastAsia"/>
                <w:sz w:val="21"/>
                <w:szCs w:val="21"/>
              </w:rPr>
            </w:pPr>
            <w:r>
              <w:rPr>
                <w:rFonts w:hint="eastAsia"/>
                <w:sz w:val="21"/>
                <w:szCs w:val="21"/>
              </w:rPr>
              <w:t>殷家老院子</w:t>
            </w:r>
          </w:p>
        </w:tc>
        <w:tc>
          <w:tcPr>
            <w:tcW w:w="1924" w:type="dxa"/>
            <w:vAlign w:val="center"/>
          </w:tcPr>
          <w:p>
            <w:pPr>
              <w:spacing w:line="280" w:lineRule="exact"/>
              <w:rPr>
                <w:sz w:val="21"/>
                <w:szCs w:val="21"/>
              </w:rPr>
            </w:pPr>
            <w:r>
              <w:rPr>
                <w:rFonts w:hint="eastAsia"/>
                <w:sz w:val="21"/>
                <w:szCs w:val="21"/>
              </w:rPr>
              <w:t>SW</w:t>
            </w:r>
            <w:r>
              <w:rPr>
                <w:rFonts w:hint="eastAsia" w:ascii="宋体" w:hAnsi="宋体"/>
                <w:sz w:val="21"/>
                <w:szCs w:val="21"/>
              </w:rPr>
              <w:t>面，侧下风向</w:t>
            </w:r>
          </w:p>
        </w:tc>
        <w:tc>
          <w:tcPr>
            <w:tcW w:w="2665" w:type="dxa"/>
            <w:vAlign w:val="center"/>
          </w:tcPr>
          <w:p>
            <w:pPr>
              <w:spacing w:line="280" w:lineRule="exact"/>
              <w:jc w:val="center"/>
              <w:rPr>
                <w:rFonts w:hint="eastAsia"/>
                <w:sz w:val="21"/>
                <w:szCs w:val="21"/>
              </w:rPr>
            </w:pPr>
            <w:r>
              <w:rPr>
                <w:rFonts w:hint="eastAsia"/>
                <w:sz w:val="21"/>
                <w:szCs w:val="21"/>
              </w:rPr>
              <w:t>2.6</w:t>
            </w:r>
          </w:p>
        </w:tc>
      </w:tr>
    </w:tbl>
    <w:p>
      <w:pPr>
        <w:spacing w:line="440" w:lineRule="exact"/>
        <w:ind w:firstLine="480"/>
        <w:jc w:val="center"/>
        <w:rPr>
          <w:rFonts w:hint="eastAsia"/>
          <w:b/>
        </w:rPr>
      </w:pPr>
    </w:p>
    <w:p>
      <w:pPr>
        <w:spacing w:line="440" w:lineRule="exact"/>
        <w:ind w:firstLine="480"/>
        <w:jc w:val="center"/>
        <w:rPr>
          <w:sz w:val="21"/>
          <w:szCs w:val="21"/>
        </w:rPr>
      </w:pPr>
      <w:r>
        <w:rPr>
          <w:b/>
        </w:rPr>
        <w:t xml:space="preserve">表6-2   监测分析方法  </w:t>
      </w:r>
      <w:r>
        <w:rPr>
          <w:rFonts w:hint="eastAsia"/>
          <w:b/>
        </w:rPr>
        <w:t xml:space="preserve">     </w:t>
      </w:r>
      <w:r>
        <w:rPr>
          <w:sz w:val="21"/>
          <w:szCs w:val="21"/>
        </w:rPr>
        <w:t>单位：mg/m</w:t>
      </w:r>
      <w:r>
        <w:rPr>
          <w:sz w:val="21"/>
          <w:szCs w:val="21"/>
          <w:vertAlign w:val="superscript"/>
        </w:rPr>
        <w:t>3</w:t>
      </w:r>
    </w:p>
    <w:tbl>
      <w:tblPr>
        <w:tblStyle w:val="21"/>
        <w:tblW w:w="85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3721"/>
        <w:gridCol w:w="3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35" w:type="dxa"/>
            <w:vAlign w:val="center"/>
          </w:tcPr>
          <w:p>
            <w:pPr>
              <w:spacing w:line="360" w:lineRule="exact"/>
              <w:jc w:val="center"/>
              <w:rPr>
                <w:sz w:val="21"/>
                <w:szCs w:val="21"/>
              </w:rPr>
            </w:pPr>
            <w:r>
              <w:rPr>
                <w:sz w:val="21"/>
                <w:szCs w:val="21"/>
              </w:rPr>
              <w:t>监测项目</w:t>
            </w:r>
          </w:p>
        </w:tc>
        <w:tc>
          <w:tcPr>
            <w:tcW w:w="3721" w:type="dxa"/>
            <w:vAlign w:val="center"/>
          </w:tcPr>
          <w:p>
            <w:pPr>
              <w:spacing w:line="360" w:lineRule="exact"/>
              <w:jc w:val="center"/>
              <w:rPr>
                <w:sz w:val="21"/>
                <w:szCs w:val="21"/>
              </w:rPr>
            </w:pPr>
            <w:r>
              <w:rPr>
                <w:sz w:val="21"/>
                <w:szCs w:val="21"/>
              </w:rPr>
              <w:t>监测仪器</w:t>
            </w:r>
          </w:p>
        </w:tc>
        <w:tc>
          <w:tcPr>
            <w:tcW w:w="3633" w:type="dxa"/>
            <w:vAlign w:val="center"/>
          </w:tcPr>
          <w:p>
            <w:pPr>
              <w:spacing w:line="360" w:lineRule="exact"/>
              <w:jc w:val="center"/>
              <w:rPr>
                <w:sz w:val="21"/>
                <w:szCs w:val="21"/>
              </w:rPr>
            </w:pPr>
            <w:r>
              <w:rPr>
                <w:sz w:val="21"/>
                <w:szCs w:val="21"/>
              </w:rPr>
              <w:t>分析方法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35" w:type="dxa"/>
            <w:vAlign w:val="center"/>
          </w:tcPr>
          <w:p>
            <w:pPr>
              <w:spacing w:line="360" w:lineRule="exact"/>
              <w:jc w:val="center"/>
              <w:rPr>
                <w:sz w:val="21"/>
                <w:szCs w:val="21"/>
              </w:rPr>
            </w:pPr>
            <w:r>
              <w:rPr>
                <w:sz w:val="21"/>
                <w:szCs w:val="21"/>
              </w:rPr>
              <w:t>SO</w:t>
            </w:r>
            <w:r>
              <w:rPr>
                <w:sz w:val="21"/>
                <w:szCs w:val="21"/>
                <w:vertAlign w:val="subscript"/>
              </w:rPr>
              <w:t>2</w:t>
            </w:r>
          </w:p>
        </w:tc>
        <w:tc>
          <w:tcPr>
            <w:tcW w:w="3721" w:type="dxa"/>
            <w:vAlign w:val="center"/>
          </w:tcPr>
          <w:p>
            <w:pPr>
              <w:spacing w:line="360" w:lineRule="exact"/>
              <w:jc w:val="center"/>
              <w:rPr>
                <w:sz w:val="21"/>
                <w:szCs w:val="21"/>
              </w:rPr>
            </w:pPr>
            <w:r>
              <w:rPr>
                <w:sz w:val="21"/>
                <w:szCs w:val="21"/>
              </w:rPr>
              <w:t>7230G型分光光度计</w:t>
            </w:r>
          </w:p>
        </w:tc>
        <w:tc>
          <w:tcPr>
            <w:tcW w:w="3633" w:type="dxa"/>
            <w:vAlign w:val="center"/>
          </w:tcPr>
          <w:p>
            <w:pPr>
              <w:spacing w:line="360" w:lineRule="exact"/>
              <w:jc w:val="center"/>
              <w:rPr>
                <w:sz w:val="21"/>
                <w:szCs w:val="21"/>
              </w:rPr>
            </w:pPr>
            <w:r>
              <w:rPr>
                <w:sz w:val="21"/>
                <w:szCs w:val="21"/>
              </w:rPr>
              <w:t>甲醛吸收—副玫瑰苯胺分光光度法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35" w:type="dxa"/>
            <w:vAlign w:val="center"/>
          </w:tcPr>
          <w:p>
            <w:pPr>
              <w:spacing w:line="360" w:lineRule="exact"/>
              <w:jc w:val="center"/>
              <w:rPr>
                <w:sz w:val="21"/>
                <w:szCs w:val="21"/>
              </w:rPr>
            </w:pPr>
            <w:r>
              <w:rPr>
                <w:sz w:val="21"/>
                <w:szCs w:val="21"/>
              </w:rPr>
              <w:t>TSP</w:t>
            </w:r>
          </w:p>
        </w:tc>
        <w:tc>
          <w:tcPr>
            <w:tcW w:w="3721" w:type="dxa"/>
            <w:vAlign w:val="center"/>
          </w:tcPr>
          <w:p>
            <w:pPr>
              <w:spacing w:line="360" w:lineRule="exact"/>
              <w:jc w:val="center"/>
              <w:rPr>
                <w:sz w:val="21"/>
                <w:szCs w:val="21"/>
              </w:rPr>
            </w:pPr>
            <w:r>
              <w:rPr>
                <w:sz w:val="21"/>
                <w:szCs w:val="21"/>
              </w:rPr>
              <w:t>TH-150C</w:t>
            </w:r>
            <w:r>
              <w:rPr>
                <w:rFonts w:hint="eastAsia" w:ascii="宋体" w:hAnsi="宋体"/>
                <w:sz w:val="21"/>
                <w:szCs w:val="21"/>
              </w:rPr>
              <w:t>Ⅱ</w:t>
            </w:r>
            <w:r>
              <w:rPr>
                <w:sz w:val="21"/>
                <w:szCs w:val="21"/>
              </w:rPr>
              <w:t>智能中流量</w:t>
            </w:r>
            <w:r>
              <w:rPr>
                <w:rFonts w:hint="eastAsia"/>
                <w:sz w:val="21"/>
                <w:szCs w:val="21"/>
              </w:rPr>
              <w:t>无碳刷</w:t>
            </w:r>
            <w:r>
              <w:rPr>
                <w:sz w:val="21"/>
                <w:szCs w:val="21"/>
              </w:rPr>
              <w:t>采样器</w:t>
            </w:r>
          </w:p>
        </w:tc>
        <w:tc>
          <w:tcPr>
            <w:tcW w:w="3633" w:type="dxa"/>
            <w:vAlign w:val="center"/>
          </w:tcPr>
          <w:p>
            <w:pPr>
              <w:spacing w:line="360" w:lineRule="exact"/>
              <w:jc w:val="center"/>
              <w:rPr>
                <w:sz w:val="21"/>
                <w:szCs w:val="21"/>
              </w:rPr>
            </w:pPr>
            <w:r>
              <w:rPr>
                <w:sz w:val="21"/>
                <w:szCs w:val="21"/>
              </w:rPr>
              <w:t>重量法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35" w:type="dxa"/>
            <w:vAlign w:val="center"/>
          </w:tcPr>
          <w:p>
            <w:pPr>
              <w:spacing w:line="360" w:lineRule="exact"/>
              <w:jc w:val="center"/>
              <w:rPr>
                <w:sz w:val="21"/>
                <w:szCs w:val="21"/>
              </w:rPr>
            </w:pPr>
            <w:r>
              <w:rPr>
                <w:sz w:val="21"/>
                <w:szCs w:val="21"/>
              </w:rPr>
              <w:t>PM</w:t>
            </w:r>
            <w:r>
              <w:rPr>
                <w:sz w:val="21"/>
                <w:szCs w:val="21"/>
                <w:vertAlign w:val="subscript"/>
              </w:rPr>
              <w:t>10</w:t>
            </w:r>
          </w:p>
        </w:tc>
        <w:tc>
          <w:tcPr>
            <w:tcW w:w="3721" w:type="dxa"/>
            <w:vAlign w:val="center"/>
          </w:tcPr>
          <w:p>
            <w:pPr>
              <w:spacing w:line="360" w:lineRule="exact"/>
              <w:jc w:val="center"/>
              <w:rPr>
                <w:sz w:val="21"/>
                <w:szCs w:val="21"/>
              </w:rPr>
            </w:pPr>
            <w:r>
              <w:rPr>
                <w:sz w:val="21"/>
                <w:szCs w:val="21"/>
              </w:rPr>
              <w:t>TH-150C</w:t>
            </w:r>
            <w:r>
              <w:rPr>
                <w:rFonts w:hint="eastAsia" w:ascii="宋体" w:hAnsi="宋体"/>
                <w:sz w:val="21"/>
                <w:szCs w:val="21"/>
              </w:rPr>
              <w:t>Ⅱ</w:t>
            </w:r>
            <w:r>
              <w:rPr>
                <w:sz w:val="21"/>
                <w:szCs w:val="21"/>
              </w:rPr>
              <w:t>智能中流量</w:t>
            </w:r>
            <w:r>
              <w:rPr>
                <w:rFonts w:hint="eastAsia"/>
                <w:sz w:val="21"/>
                <w:szCs w:val="21"/>
              </w:rPr>
              <w:t>无碳刷</w:t>
            </w:r>
            <w:r>
              <w:rPr>
                <w:sz w:val="21"/>
                <w:szCs w:val="21"/>
              </w:rPr>
              <w:t>采样器</w:t>
            </w:r>
          </w:p>
        </w:tc>
        <w:tc>
          <w:tcPr>
            <w:tcW w:w="3633" w:type="dxa"/>
            <w:vAlign w:val="center"/>
          </w:tcPr>
          <w:p>
            <w:pPr>
              <w:spacing w:line="360" w:lineRule="exact"/>
              <w:jc w:val="center"/>
              <w:rPr>
                <w:rFonts w:hint="eastAsia"/>
                <w:sz w:val="21"/>
                <w:szCs w:val="21"/>
              </w:rPr>
            </w:pPr>
            <w:r>
              <w:rPr>
                <w:rFonts w:hint="eastAsia"/>
                <w:sz w:val="21"/>
                <w:szCs w:val="21"/>
              </w:rPr>
              <w:t>重量法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35" w:type="dxa"/>
            <w:vAlign w:val="center"/>
          </w:tcPr>
          <w:p>
            <w:pPr>
              <w:spacing w:line="360" w:lineRule="exact"/>
              <w:jc w:val="center"/>
              <w:rPr>
                <w:sz w:val="21"/>
                <w:szCs w:val="21"/>
              </w:rPr>
            </w:pPr>
            <w:r>
              <w:rPr>
                <w:sz w:val="21"/>
                <w:szCs w:val="21"/>
              </w:rPr>
              <w:t>NO</w:t>
            </w:r>
            <w:r>
              <w:rPr>
                <w:sz w:val="21"/>
                <w:szCs w:val="21"/>
                <w:vertAlign w:val="subscript"/>
              </w:rPr>
              <w:t>2</w:t>
            </w:r>
          </w:p>
        </w:tc>
        <w:tc>
          <w:tcPr>
            <w:tcW w:w="3721" w:type="dxa"/>
            <w:vAlign w:val="center"/>
          </w:tcPr>
          <w:p>
            <w:pPr>
              <w:spacing w:line="360" w:lineRule="exact"/>
              <w:jc w:val="center"/>
              <w:rPr>
                <w:sz w:val="21"/>
                <w:szCs w:val="21"/>
              </w:rPr>
            </w:pPr>
            <w:r>
              <w:rPr>
                <w:rFonts w:hint="eastAsia"/>
                <w:sz w:val="21"/>
                <w:szCs w:val="21"/>
              </w:rPr>
              <w:t>T6新世纪紫外可见</w:t>
            </w:r>
            <w:r>
              <w:rPr>
                <w:sz w:val="21"/>
                <w:szCs w:val="21"/>
              </w:rPr>
              <w:t>分光光度计</w:t>
            </w:r>
          </w:p>
        </w:tc>
        <w:tc>
          <w:tcPr>
            <w:tcW w:w="3633" w:type="dxa"/>
            <w:vAlign w:val="center"/>
          </w:tcPr>
          <w:p>
            <w:pPr>
              <w:spacing w:line="360" w:lineRule="exact"/>
              <w:jc w:val="center"/>
              <w:rPr>
                <w:sz w:val="21"/>
                <w:szCs w:val="21"/>
              </w:rPr>
            </w:pPr>
            <w:r>
              <w:rPr>
                <w:rFonts w:hint="eastAsia"/>
                <w:sz w:val="21"/>
                <w:szCs w:val="21"/>
              </w:rPr>
              <w:t>盐酸萘乙二胺分光光度</w:t>
            </w:r>
            <w:r>
              <w:rPr>
                <w:sz w:val="21"/>
                <w:szCs w:val="21"/>
              </w:rPr>
              <w:t>法</w:t>
            </w:r>
          </w:p>
        </w:tc>
      </w:tr>
    </w:tbl>
    <w:p>
      <w:pPr>
        <w:spacing w:line="440" w:lineRule="exact"/>
        <w:rPr>
          <w:b/>
        </w:rPr>
      </w:pPr>
      <w:r>
        <w:rPr>
          <w:b/>
        </w:rPr>
        <w:t>6.</w:t>
      </w:r>
      <w:r>
        <w:rPr>
          <w:rFonts w:hint="eastAsia"/>
          <w:b/>
        </w:rPr>
        <w:t>1.</w:t>
      </w:r>
      <w:r>
        <w:rPr>
          <w:b/>
        </w:rPr>
        <w:t>2 监测结果统计及现状评价</w:t>
      </w:r>
    </w:p>
    <w:p>
      <w:pPr>
        <w:spacing w:line="440" w:lineRule="exact"/>
        <w:ind w:firstLine="420" w:firstLineChars="200"/>
      </w:pPr>
      <w:r>
        <w:t>环境空气质量现状监测结果统计见表6-3。</w:t>
      </w:r>
    </w:p>
    <w:p>
      <w:pPr>
        <w:spacing w:line="440" w:lineRule="exact"/>
        <w:ind w:firstLine="482"/>
      </w:pPr>
      <w:r>
        <w:t>SO</w:t>
      </w:r>
      <w:r>
        <w:rPr>
          <w:vertAlign w:val="subscript"/>
        </w:rPr>
        <w:t>2</w:t>
      </w:r>
      <w:r>
        <w:t>小时浓度为0.0</w:t>
      </w:r>
      <w:r>
        <w:rPr>
          <w:rFonts w:hint="eastAsia"/>
        </w:rPr>
        <w:t>35</w:t>
      </w:r>
      <w:r>
        <w:t>～0.</w:t>
      </w:r>
      <w:r>
        <w:rPr>
          <w:rFonts w:hint="eastAsia"/>
        </w:rPr>
        <w:t>12</w:t>
      </w:r>
      <w:r>
        <w:t>8mg/m</w:t>
      </w:r>
      <w:r>
        <w:rPr>
          <w:vertAlign w:val="superscript"/>
        </w:rPr>
        <w:t>3</w:t>
      </w:r>
      <w:r>
        <w:t>，最大占标率</w:t>
      </w:r>
      <w:r>
        <w:rPr>
          <w:rFonts w:hint="eastAsia"/>
        </w:rPr>
        <w:t>25.</w:t>
      </w:r>
      <w:r>
        <w:t>6%；日均浓度为0.0</w:t>
      </w:r>
      <w:r>
        <w:rPr>
          <w:rFonts w:hint="eastAsia"/>
        </w:rPr>
        <w:t>41</w:t>
      </w:r>
      <w:r>
        <w:t>～0.0</w:t>
      </w:r>
      <w:r>
        <w:rPr>
          <w:rFonts w:hint="eastAsia"/>
        </w:rPr>
        <w:t>84</w:t>
      </w:r>
      <w:r>
        <w:t>mg/m</w:t>
      </w:r>
      <w:r>
        <w:rPr>
          <w:vertAlign w:val="superscript"/>
        </w:rPr>
        <w:t>3</w:t>
      </w:r>
      <w:r>
        <w:t>，最大占标率</w:t>
      </w:r>
      <w:r>
        <w:rPr>
          <w:rFonts w:hint="eastAsia"/>
        </w:rPr>
        <w:t>56.0</w:t>
      </w:r>
      <w:r>
        <w:t>%，无超标现象发生，环境容量较大。</w:t>
      </w:r>
    </w:p>
    <w:p>
      <w:pPr>
        <w:spacing w:line="440" w:lineRule="exact"/>
        <w:ind w:firstLine="480"/>
      </w:pPr>
      <w:r>
        <w:t>NO</w:t>
      </w:r>
      <w:r>
        <w:rPr>
          <w:vertAlign w:val="subscript"/>
        </w:rPr>
        <w:t>2</w:t>
      </w:r>
      <w:r>
        <w:t>小时浓度为0.0</w:t>
      </w:r>
      <w:r>
        <w:rPr>
          <w:rFonts w:hint="eastAsia"/>
        </w:rPr>
        <w:t>07</w:t>
      </w:r>
      <w:r>
        <w:t>～0.0</w:t>
      </w:r>
      <w:r>
        <w:rPr>
          <w:rFonts w:hint="eastAsia"/>
        </w:rPr>
        <w:t>63</w:t>
      </w:r>
      <w:r>
        <w:t>mg/m</w:t>
      </w:r>
      <w:r>
        <w:rPr>
          <w:vertAlign w:val="superscript"/>
        </w:rPr>
        <w:t>3</w:t>
      </w:r>
      <w:r>
        <w:t>，最大占标率</w:t>
      </w:r>
      <w:r>
        <w:rPr>
          <w:rFonts w:hint="eastAsia"/>
        </w:rPr>
        <w:t>26.3</w:t>
      </w:r>
      <w:r>
        <w:t>%；日均浓度为0.0</w:t>
      </w:r>
      <w:r>
        <w:rPr>
          <w:rFonts w:hint="eastAsia"/>
        </w:rPr>
        <w:t>09</w:t>
      </w:r>
      <w:r>
        <w:t>～0.0</w:t>
      </w:r>
      <w:r>
        <w:rPr>
          <w:rFonts w:hint="eastAsia"/>
        </w:rPr>
        <w:t>53</w:t>
      </w:r>
      <w:r>
        <w:t>mg/m</w:t>
      </w:r>
      <w:r>
        <w:rPr>
          <w:vertAlign w:val="superscript"/>
        </w:rPr>
        <w:t>3</w:t>
      </w:r>
      <w:r>
        <w:t>，最大占标率</w:t>
      </w:r>
      <w:r>
        <w:rPr>
          <w:rFonts w:hint="eastAsia"/>
        </w:rPr>
        <w:t>44.2</w:t>
      </w:r>
      <w:r>
        <w:t>%，无超标现象发生，环境容量较大。</w:t>
      </w:r>
    </w:p>
    <w:p>
      <w:pPr>
        <w:spacing w:line="440" w:lineRule="exact"/>
        <w:ind w:firstLine="480"/>
      </w:pPr>
      <w:r>
        <w:t>PM</w:t>
      </w:r>
      <w:r>
        <w:rPr>
          <w:vertAlign w:val="subscript"/>
        </w:rPr>
        <w:t>10</w:t>
      </w:r>
      <w:r>
        <w:t>日均浓度为0.0</w:t>
      </w:r>
      <w:r>
        <w:rPr>
          <w:rFonts w:hint="eastAsia"/>
        </w:rPr>
        <w:t>38</w:t>
      </w:r>
      <w:r>
        <w:t>～0.</w:t>
      </w:r>
      <w:r>
        <w:rPr>
          <w:rFonts w:hint="eastAsia"/>
        </w:rPr>
        <w:t>179</w:t>
      </w:r>
      <w:r>
        <w:t>mg/m</w:t>
      </w:r>
      <w:r>
        <w:rPr>
          <w:vertAlign w:val="superscript"/>
        </w:rPr>
        <w:t>3</w:t>
      </w:r>
      <w:r>
        <w:t>，最大占标率</w:t>
      </w:r>
      <w:r>
        <w:rPr>
          <w:rFonts w:hint="eastAsia"/>
        </w:rPr>
        <w:t>60.0</w:t>
      </w:r>
      <w:r>
        <w:t>%，无超标现象发生，有一定的环境容量。</w:t>
      </w:r>
    </w:p>
    <w:p>
      <w:pPr>
        <w:spacing w:line="440" w:lineRule="exact"/>
        <w:ind w:firstLine="420" w:firstLineChars="200"/>
        <w:rPr>
          <w:b/>
          <w:bCs/>
        </w:rPr>
      </w:pPr>
      <w:r>
        <w:t>TSP日均浓度为0.0</w:t>
      </w:r>
      <w:r>
        <w:rPr>
          <w:rFonts w:hint="eastAsia"/>
        </w:rPr>
        <w:t>53</w:t>
      </w:r>
      <w:r>
        <w:t>～0.</w:t>
      </w:r>
      <w:r>
        <w:rPr>
          <w:rFonts w:hint="eastAsia"/>
        </w:rPr>
        <w:t>125</w:t>
      </w:r>
      <w:r>
        <w:t>mg/m</w:t>
      </w:r>
      <w:r>
        <w:rPr>
          <w:vertAlign w:val="superscript"/>
        </w:rPr>
        <w:t>3</w:t>
      </w:r>
      <w:r>
        <w:t>，最大占标率</w:t>
      </w:r>
      <w:r>
        <w:rPr>
          <w:rFonts w:hint="eastAsia"/>
        </w:rPr>
        <w:t>83.3</w:t>
      </w:r>
      <w:r>
        <w:t>%，无超标现象发生，有一定的环境容量。</w:t>
      </w:r>
    </w:p>
    <w:p>
      <w:pPr>
        <w:spacing w:line="440" w:lineRule="exact"/>
        <w:ind w:firstLine="420" w:firstLineChars="200"/>
        <w:rPr>
          <w:rFonts w:hint="eastAsia"/>
        </w:rPr>
      </w:pPr>
      <w:r>
        <w:t>环境空气现状评价表明，各监测点SO</w:t>
      </w:r>
      <w:r>
        <w:rPr>
          <w:vertAlign w:val="subscript"/>
        </w:rPr>
        <w:t>2</w:t>
      </w:r>
      <w:r>
        <w:t>、NO</w:t>
      </w:r>
      <w:r>
        <w:rPr>
          <w:vertAlign w:val="subscript"/>
        </w:rPr>
        <w:t>2</w:t>
      </w:r>
      <w:r>
        <w:t>小时浓度、日均浓度及PM</w:t>
      </w:r>
      <w:r>
        <w:rPr>
          <w:vertAlign w:val="subscript"/>
        </w:rPr>
        <w:t>10</w:t>
      </w:r>
      <w:r>
        <w:t>、TSP日均浓度均满足《环境空气质量标准》（GB3095-1996）二级标准的要求，无超标现象发生，环境空气质量现状较好，评价区域有一定的环境容量，对</w:t>
      </w:r>
      <w:r>
        <w:rPr>
          <w:rFonts w:hint="eastAsia"/>
        </w:rPr>
        <w:t>技改项目</w:t>
      </w:r>
      <w:r>
        <w:t>制约小</w:t>
      </w:r>
      <w:r>
        <w:rPr>
          <w:rFonts w:hint="eastAsia"/>
        </w:rPr>
        <w:t>。</w:t>
      </w:r>
    </w:p>
    <w:p>
      <w:pPr>
        <w:spacing w:line="440" w:lineRule="exact"/>
        <w:ind w:firstLine="420" w:firstLineChars="200"/>
      </w:pPr>
    </w:p>
    <w:p>
      <w:pPr>
        <w:spacing w:line="440" w:lineRule="exact"/>
        <w:sectPr>
          <w:footerReference r:id="rId11" w:type="default"/>
          <w:footerReference r:id="rId12" w:type="even"/>
          <w:pgSz w:w="11906" w:h="16838"/>
          <w:pgMar w:top="1418" w:right="1418" w:bottom="1418" w:left="1418" w:header="851" w:footer="992" w:gutter="0"/>
          <w:paperSrc w:first="20070" w:other="20070"/>
          <w:cols w:space="425" w:num="1"/>
          <w:docGrid w:linePitch="312" w:charSpace="0"/>
        </w:sectPr>
      </w:pPr>
    </w:p>
    <w:p>
      <w:pPr>
        <w:spacing w:line="480" w:lineRule="exact"/>
        <w:jc w:val="center"/>
        <w:rPr>
          <w:b/>
        </w:rPr>
      </w:pPr>
      <w:r>
        <w:rPr>
          <w:b/>
        </w:rPr>
        <w:t xml:space="preserve">表6-3  环境空气现状监测结果统计表  </w:t>
      </w:r>
      <w:r>
        <w:t>单位：mg/m</w:t>
      </w:r>
      <w:r>
        <w:rPr>
          <w:vertAlign w:val="superscript"/>
        </w:rPr>
        <w:t>3</w:t>
      </w:r>
    </w:p>
    <w:tbl>
      <w:tblPr>
        <w:tblStyle w:val="21"/>
        <w:tblW w:w="142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865"/>
        <w:gridCol w:w="563"/>
        <w:gridCol w:w="1072"/>
        <w:gridCol w:w="1692"/>
        <w:gridCol w:w="751"/>
        <w:gridCol w:w="563"/>
        <w:gridCol w:w="751"/>
        <w:gridCol w:w="1001"/>
        <w:gridCol w:w="751"/>
        <w:gridCol w:w="1692"/>
        <w:gridCol w:w="941"/>
        <w:gridCol w:w="520"/>
        <w:gridCol w:w="751"/>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890" w:type="dxa"/>
            <w:gridSpan w:val="2"/>
            <w:vMerge w:val="restart"/>
            <w:vAlign w:val="center"/>
          </w:tcPr>
          <w:p>
            <w:pPr>
              <w:spacing w:line="280" w:lineRule="exact"/>
              <w:jc w:val="center"/>
              <w:rPr>
                <w:spacing w:val="-18"/>
                <w:sz w:val="21"/>
                <w:szCs w:val="21"/>
              </w:rPr>
            </w:pPr>
            <w:r>
              <w:rPr>
                <w:spacing w:val="-18"/>
                <w:sz w:val="21"/>
                <w:szCs w:val="21"/>
              </w:rPr>
              <w:t>样点及</w:t>
            </w:r>
          </w:p>
          <w:p>
            <w:pPr>
              <w:spacing w:line="280" w:lineRule="exact"/>
              <w:jc w:val="center"/>
              <w:rPr>
                <w:spacing w:val="-18"/>
                <w:sz w:val="21"/>
                <w:szCs w:val="21"/>
              </w:rPr>
            </w:pPr>
            <w:r>
              <w:rPr>
                <w:spacing w:val="-18"/>
                <w:sz w:val="21"/>
                <w:szCs w:val="21"/>
              </w:rPr>
              <w:t>监测项目</w:t>
            </w:r>
          </w:p>
        </w:tc>
        <w:tc>
          <w:tcPr>
            <w:tcW w:w="563" w:type="dxa"/>
            <w:vMerge w:val="restart"/>
            <w:vAlign w:val="top"/>
          </w:tcPr>
          <w:p>
            <w:pPr>
              <w:spacing w:line="280" w:lineRule="exact"/>
              <w:jc w:val="center"/>
              <w:rPr>
                <w:sz w:val="21"/>
                <w:szCs w:val="21"/>
              </w:rPr>
            </w:pPr>
            <w:r>
              <w:rPr>
                <w:sz w:val="21"/>
                <w:szCs w:val="21"/>
              </w:rPr>
              <w:t>采样天数</w:t>
            </w:r>
          </w:p>
        </w:tc>
        <w:tc>
          <w:tcPr>
            <w:tcW w:w="5830" w:type="dxa"/>
            <w:gridSpan w:val="6"/>
            <w:vAlign w:val="top"/>
          </w:tcPr>
          <w:p>
            <w:pPr>
              <w:spacing w:line="280" w:lineRule="exact"/>
              <w:jc w:val="center"/>
              <w:rPr>
                <w:sz w:val="21"/>
                <w:szCs w:val="21"/>
              </w:rPr>
            </w:pPr>
            <w:r>
              <w:rPr>
                <w:sz w:val="21"/>
                <w:szCs w:val="21"/>
              </w:rPr>
              <w:t>1小时平均值</w:t>
            </w:r>
          </w:p>
        </w:tc>
        <w:tc>
          <w:tcPr>
            <w:tcW w:w="5935" w:type="dxa"/>
            <w:gridSpan w:val="6"/>
            <w:vAlign w:val="top"/>
          </w:tcPr>
          <w:p>
            <w:pPr>
              <w:spacing w:line="280" w:lineRule="exact"/>
              <w:jc w:val="center"/>
              <w:rPr>
                <w:sz w:val="21"/>
                <w:szCs w:val="21"/>
              </w:rPr>
            </w:pPr>
            <w:r>
              <w:rPr>
                <w:sz w:val="21"/>
                <w:szCs w:val="21"/>
              </w:rPr>
              <w:t>日均值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890" w:type="dxa"/>
            <w:gridSpan w:val="2"/>
            <w:vMerge w:val="continue"/>
            <w:vAlign w:val="center"/>
          </w:tcPr>
          <w:p>
            <w:pPr>
              <w:spacing w:line="280" w:lineRule="exact"/>
              <w:jc w:val="center"/>
              <w:rPr>
                <w:sz w:val="21"/>
                <w:szCs w:val="21"/>
              </w:rPr>
            </w:pPr>
          </w:p>
        </w:tc>
        <w:tc>
          <w:tcPr>
            <w:tcW w:w="563" w:type="dxa"/>
            <w:vMerge w:val="continue"/>
            <w:vAlign w:val="top"/>
          </w:tcPr>
          <w:p>
            <w:pPr>
              <w:spacing w:line="280" w:lineRule="exact"/>
              <w:jc w:val="center"/>
              <w:rPr>
                <w:sz w:val="21"/>
                <w:szCs w:val="21"/>
              </w:rPr>
            </w:pPr>
          </w:p>
        </w:tc>
        <w:tc>
          <w:tcPr>
            <w:tcW w:w="1072" w:type="dxa"/>
            <w:vAlign w:val="top"/>
          </w:tcPr>
          <w:p>
            <w:pPr>
              <w:spacing w:line="280" w:lineRule="exact"/>
              <w:jc w:val="center"/>
              <w:rPr>
                <w:sz w:val="21"/>
                <w:szCs w:val="21"/>
              </w:rPr>
            </w:pPr>
            <w:r>
              <w:rPr>
                <w:sz w:val="21"/>
                <w:szCs w:val="21"/>
              </w:rPr>
              <w:t>样品数</w:t>
            </w:r>
          </w:p>
        </w:tc>
        <w:tc>
          <w:tcPr>
            <w:tcW w:w="1692" w:type="dxa"/>
            <w:vAlign w:val="center"/>
          </w:tcPr>
          <w:p>
            <w:pPr>
              <w:spacing w:line="280" w:lineRule="exact"/>
              <w:jc w:val="center"/>
              <w:rPr>
                <w:sz w:val="21"/>
                <w:szCs w:val="21"/>
              </w:rPr>
            </w:pPr>
            <w:r>
              <w:rPr>
                <w:sz w:val="21"/>
                <w:szCs w:val="21"/>
              </w:rPr>
              <w:t>浓度范围</w:t>
            </w:r>
          </w:p>
        </w:tc>
        <w:tc>
          <w:tcPr>
            <w:tcW w:w="751" w:type="dxa"/>
            <w:vAlign w:val="center"/>
          </w:tcPr>
          <w:p>
            <w:pPr>
              <w:spacing w:line="280" w:lineRule="exact"/>
              <w:jc w:val="center"/>
              <w:rPr>
                <w:sz w:val="21"/>
                <w:szCs w:val="21"/>
              </w:rPr>
            </w:pPr>
            <w:r>
              <w:rPr>
                <w:sz w:val="21"/>
                <w:szCs w:val="21"/>
              </w:rPr>
              <w:t>标准</w:t>
            </w:r>
          </w:p>
          <w:p>
            <w:pPr>
              <w:spacing w:line="280" w:lineRule="exact"/>
              <w:jc w:val="center"/>
              <w:rPr>
                <w:sz w:val="21"/>
                <w:szCs w:val="21"/>
              </w:rPr>
            </w:pPr>
            <w:r>
              <w:rPr>
                <w:sz w:val="21"/>
                <w:szCs w:val="21"/>
              </w:rPr>
              <w:t>限值</w:t>
            </w:r>
          </w:p>
        </w:tc>
        <w:tc>
          <w:tcPr>
            <w:tcW w:w="563" w:type="dxa"/>
            <w:vAlign w:val="center"/>
          </w:tcPr>
          <w:p>
            <w:pPr>
              <w:spacing w:line="280" w:lineRule="exact"/>
              <w:jc w:val="center"/>
              <w:rPr>
                <w:sz w:val="21"/>
                <w:szCs w:val="21"/>
              </w:rPr>
            </w:pPr>
            <w:r>
              <w:rPr>
                <w:sz w:val="21"/>
                <w:szCs w:val="21"/>
              </w:rPr>
              <w:t>超</w:t>
            </w:r>
          </w:p>
          <w:p>
            <w:pPr>
              <w:spacing w:line="280" w:lineRule="exact"/>
              <w:jc w:val="center"/>
              <w:rPr>
                <w:sz w:val="21"/>
                <w:szCs w:val="21"/>
              </w:rPr>
            </w:pPr>
            <w:r>
              <w:rPr>
                <w:sz w:val="21"/>
                <w:szCs w:val="21"/>
              </w:rPr>
              <w:t>标</w:t>
            </w:r>
          </w:p>
          <w:p>
            <w:pPr>
              <w:spacing w:line="280" w:lineRule="exact"/>
              <w:jc w:val="center"/>
              <w:rPr>
                <w:sz w:val="21"/>
                <w:szCs w:val="21"/>
              </w:rPr>
            </w:pPr>
            <w:r>
              <w:rPr>
                <w:sz w:val="21"/>
                <w:szCs w:val="21"/>
              </w:rPr>
              <w:t>数</w:t>
            </w:r>
          </w:p>
        </w:tc>
        <w:tc>
          <w:tcPr>
            <w:tcW w:w="751" w:type="dxa"/>
            <w:vAlign w:val="center"/>
          </w:tcPr>
          <w:p>
            <w:pPr>
              <w:spacing w:line="280" w:lineRule="exact"/>
              <w:jc w:val="center"/>
              <w:rPr>
                <w:sz w:val="21"/>
                <w:szCs w:val="21"/>
              </w:rPr>
            </w:pPr>
            <w:r>
              <w:rPr>
                <w:sz w:val="21"/>
                <w:szCs w:val="21"/>
              </w:rPr>
              <w:t>超标率％</w:t>
            </w:r>
          </w:p>
        </w:tc>
        <w:tc>
          <w:tcPr>
            <w:tcW w:w="1001" w:type="dxa"/>
            <w:vAlign w:val="center"/>
          </w:tcPr>
          <w:p>
            <w:pPr>
              <w:spacing w:line="280" w:lineRule="exact"/>
              <w:jc w:val="center"/>
              <w:rPr>
                <w:sz w:val="21"/>
                <w:szCs w:val="21"/>
              </w:rPr>
            </w:pPr>
            <w:r>
              <w:rPr>
                <w:sz w:val="21"/>
                <w:szCs w:val="21"/>
              </w:rPr>
              <w:t>最大占标率％</w:t>
            </w:r>
          </w:p>
        </w:tc>
        <w:tc>
          <w:tcPr>
            <w:tcW w:w="751" w:type="dxa"/>
            <w:vAlign w:val="center"/>
          </w:tcPr>
          <w:p>
            <w:pPr>
              <w:spacing w:line="280" w:lineRule="exact"/>
              <w:jc w:val="center"/>
              <w:rPr>
                <w:sz w:val="21"/>
                <w:szCs w:val="21"/>
              </w:rPr>
            </w:pPr>
            <w:r>
              <w:rPr>
                <w:sz w:val="21"/>
                <w:szCs w:val="21"/>
              </w:rPr>
              <w:t>样品</w:t>
            </w:r>
          </w:p>
          <w:p>
            <w:pPr>
              <w:spacing w:line="280" w:lineRule="exact"/>
              <w:jc w:val="center"/>
              <w:rPr>
                <w:sz w:val="21"/>
                <w:szCs w:val="21"/>
              </w:rPr>
            </w:pPr>
            <w:r>
              <w:rPr>
                <w:sz w:val="21"/>
                <w:szCs w:val="21"/>
              </w:rPr>
              <w:t>数</w:t>
            </w:r>
          </w:p>
        </w:tc>
        <w:tc>
          <w:tcPr>
            <w:tcW w:w="1692" w:type="dxa"/>
            <w:vAlign w:val="center"/>
          </w:tcPr>
          <w:p>
            <w:pPr>
              <w:pStyle w:val="13"/>
              <w:pBdr>
                <w:bottom w:val="none" w:color="auto" w:sz="0" w:space="0"/>
              </w:pBdr>
              <w:tabs>
                <w:tab w:val="clear" w:pos="4153"/>
                <w:tab w:val="clear" w:pos="8306"/>
              </w:tabs>
              <w:snapToGrid/>
              <w:spacing w:line="280" w:lineRule="exact"/>
              <w:rPr>
                <w:sz w:val="21"/>
                <w:szCs w:val="21"/>
              </w:rPr>
            </w:pPr>
            <w:r>
              <w:rPr>
                <w:sz w:val="21"/>
                <w:szCs w:val="21"/>
              </w:rPr>
              <w:t>浓度范围</w:t>
            </w:r>
          </w:p>
        </w:tc>
        <w:tc>
          <w:tcPr>
            <w:tcW w:w="941" w:type="dxa"/>
            <w:vAlign w:val="center"/>
          </w:tcPr>
          <w:p>
            <w:pPr>
              <w:spacing w:line="280" w:lineRule="exact"/>
              <w:jc w:val="center"/>
              <w:rPr>
                <w:sz w:val="21"/>
                <w:szCs w:val="21"/>
              </w:rPr>
            </w:pPr>
            <w:r>
              <w:rPr>
                <w:sz w:val="21"/>
                <w:szCs w:val="21"/>
              </w:rPr>
              <w:t>标准</w:t>
            </w:r>
          </w:p>
          <w:p>
            <w:pPr>
              <w:spacing w:line="280" w:lineRule="exact"/>
              <w:jc w:val="center"/>
              <w:rPr>
                <w:sz w:val="21"/>
                <w:szCs w:val="21"/>
              </w:rPr>
            </w:pPr>
            <w:r>
              <w:rPr>
                <w:sz w:val="21"/>
                <w:szCs w:val="21"/>
              </w:rPr>
              <w:t>限值</w:t>
            </w:r>
          </w:p>
        </w:tc>
        <w:tc>
          <w:tcPr>
            <w:tcW w:w="520" w:type="dxa"/>
            <w:vAlign w:val="center"/>
          </w:tcPr>
          <w:p>
            <w:pPr>
              <w:spacing w:line="280" w:lineRule="exact"/>
              <w:jc w:val="center"/>
              <w:rPr>
                <w:sz w:val="21"/>
                <w:szCs w:val="21"/>
              </w:rPr>
            </w:pPr>
            <w:r>
              <w:rPr>
                <w:sz w:val="21"/>
                <w:szCs w:val="21"/>
              </w:rPr>
              <w:t>超标数</w:t>
            </w:r>
          </w:p>
        </w:tc>
        <w:tc>
          <w:tcPr>
            <w:tcW w:w="751" w:type="dxa"/>
            <w:vAlign w:val="center"/>
          </w:tcPr>
          <w:p>
            <w:pPr>
              <w:spacing w:line="280" w:lineRule="exact"/>
              <w:jc w:val="center"/>
              <w:rPr>
                <w:sz w:val="21"/>
                <w:szCs w:val="21"/>
              </w:rPr>
            </w:pPr>
            <w:r>
              <w:rPr>
                <w:sz w:val="21"/>
                <w:szCs w:val="21"/>
              </w:rPr>
              <w:t>超标率</w:t>
            </w:r>
          </w:p>
          <w:p>
            <w:pPr>
              <w:spacing w:line="280" w:lineRule="exact"/>
              <w:jc w:val="center"/>
              <w:rPr>
                <w:sz w:val="21"/>
                <w:szCs w:val="21"/>
              </w:rPr>
            </w:pPr>
            <w:r>
              <w:rPr>
                <w:sz w:val="21"/>
                <w:szCs w:val="21"/>
              </w:rPr>
              <w:t>％</w:t>
            </w:r>
          </w:p>
        </w:tc>
        <w:tc>
          <w:tcPr>
            <w:tcW w:w="1280" w:type="dxa"/>
            <w:vAlign w:val="center"/>
          </w:tcPr>
          <w:p>
            <w:pPr>
              <w:spacing w:line="280" w:lineRule="exact"/>
              <w:jc w:val="center"/>
              <w:rPr>
                <w:sz w:val="21"/>
                <w:szCs w:val="21"/>
              </w:rPr>
            </w:pPr>
            <w:r>
              <w:rPr>
                <w:sz w:val="21"/>
                <w:szCs w:val="21"/>
              </w:rPr>
              <w:t>最大占标率％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3" w:hRule="atLeast"/>
          <w:jc w:val="center"/>
        </w:trPr>
        <w:tc>
          <w:tcPr>
            <w:tcW w:w="1025" w:type="dxa"/>
            <w:vMerge w:val="restart"/>
            <w:vAlign w:val="center"/>
          </w:tcPr>
          <w:p>
            <w:pPr>
              <w:spacing w:line="280" w:lineRule="exact"/>
              <w:jc w:val="center"/>
              <w:rPr>
                <w:sz w:val="21"/>
                <w:szCs w:val="21"/>
              </w:rPr>
            </w:pPr>
            <w:bookmarkStart w:id="271" w:name="_Hlk250727665"/>
            <w:r>
              <w:rPr>
                <w:sz w:val="21"/>
                <w:szCs w:val="21"/>
              </w:rPr>
              <w:t>1＃</w:t>
            </w:r>
          </w:p>
          <w:p>
            <w:pPr>
              <w:spacing w:line="280" w:lineRule="exact"/>
              <w:jc w:val="center"/>
              <w:rPr>
                <w:rFonts w:hint="eastAsia"/>
                <w:sz w:val="21"/>
                <w:szCs w:val="21"/>
              </w:rPr>
            </w:pPr>
            <w:r>
              <w:rPr>
                <w:rFonts w:hint="eastAsia"/>
                <w:sz w:val="21"/>
                <w:szCs w:val="21"/>
              </w:rPr>
              <w:t>青木关镇</w:t>
            </w:r>
          </w:p>
        </w:tc>
        <w:tc>
          <w:tcPr>
            <w:tcW w:w="865" w:type="dxa"/>
            <w:vAlign w:val="center"/>
          </w:tcPr>
          <w:p>
            <w:pPr>
              <w:spacing w:line="280" w:lineRule="exact"/>
              <w:jc w:val="center"/>
              <w:rPr>
                <w:sz w:val="21"/>
                <w:szCs w:val="21"/>
              </w:rPr>
            </w:pPr>
            <w:r>
              <w:rPr>
                <w:sz w:val="21"/>
                <w:szCs w:val="21"/>
              </w:rPr>
              <w:t>SO</w:t>
            </w:r>
            <w:r>
              <w:rPr>
                <w:sz w:val="21"/>
                <w:szCs w:val="21"/>
                <w:vertAlign w:val="subscript"/>
              </w:rPr>
              <w:t>2</w:t>
            </w:r>
          </w:p>
        </w:tc>
        <w:tc>
          <w:tcPr>
            <w:tcW w:w="563" w:type="dxa"/>
            <w:vAlign w:val="center"/>
          </w:tcPr>
          <w:p>
            <w:pPr>
              <w:spacing w:line="280" w:lineRule="exact"/>
              <w:jc w:val="center"/>
              <w:rPr>
                <w:sz w:val="21"/>
                <w:szCs w:val="21"/>
              </w:rPr>
            </w:pPr>
            <w:r>
              <w:rPr>
                <w:sz w:val="21"/>
                <w:szCs w:val="21"/>
              </w:rPr>
              <w:t>7</w:t>
            </w:r>
          </w:p>
        </w:tc>
        <w:tc>
          <w:tcPr>
            <w:tcW w:w="1072" w:type="dxa"/>
            <w:vAlign w:val="center"/>
          </w:tcPr>
          <w:p>
            <w:pPr>
              <w:spacing w:line="280" w:lineRule="exact"/>
              <w:jc w:val="center"/>
              <w:rPr>
                <w:rFonts w:hint="eastAsia"/>
                <w:sz w:val="21"/>
                <w:szCs w:val="21"/>
              </w:rPr>
            </w:pPr>
            <w:r>
              <w:rPr>
                <w:rFonts w:hint="eastAsia"/>
                <w:sz w:val="21"/>
                <w:szCs w:val="21"/>
              </w:rPr>
              <w:t>42</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0.037</w:t>
            </w:r>
            <w:r>
              <w:rPr>
                <w:spacing w:val="-20"/>
                <w:sz w:val="21"/>
                <w:szCs w:val="21"/>
              </w:rPr>
              <w:t>～0.</w:t>
            </w:r>
            <w:r>
              <w:rPr>
                <w:rFonts w:hint="eastAsia"/>
                <w:spacing w:val="-20"/>
                <w:sz w:val="21"/>
                <w:szCs w:val="21"/>
              </w:rPr>
              <w:t>105</w:t>
            </w:r>
          </w:p>
        </w:tc>
        <w:tc>
          <w:tcPr>
            <w:tcW w:w="751" w:type="dxa"/>
            <w:vAlign w:val="center"/>
          </w:tcPr>
          <w:p>
            <w:pPr>
              <w:spacing w:line="280" w:lineRule="exact"/>
              <w:jc w:val="center"/>
              <w:rPr>
                <w:sz w:val="21"/>
                <w:szCs w:val="21"/>
              </w:rPr>
            </w:pPr>
            <w:r>
              <w:rPr>
                <w:sz w:val="21"/>
                <w:szCs w:val="21"/>
              </w:rPr>
              <w:t>0.5</w:t>
            </w:r>
          </w:p>
        </w:tc>
        <w:tc>
          <w:tcPr>
            <w:tcW w:w="563"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001" w:type="dxa"/>
            <w:vAlign w:val="center"/>
          </w:tcPr>
          <w:p>
            <w:pPr>
              <w:spacing w:line="280" w:lineRule="exact"/>
              <w:jc w:val="center"/>
              <w:rPr>
                <w:rFonts w:hint="eastAsia"/>
                <w:sz w:val="21"/>
                <w:szCs w:val="21"/>
              </w:rPr>
            </w:pPr>
            <w:r>
              <w:rPr>
                <w:rFonts w:hint="eastAsia"/>
                <w:sz w:val="21"/>
                <w:szCs w:val="21"/>
              </w:rPr>
              <w:t>21</w:t>
            </w:r>
          </w:p>
        </w:tc>
        <w:tc>
          <w:tcPr>
            <w:tcW w:w="751" w:type="dxa"/>
            <w:vAlign w:val="center"/>
          </w:tcPr>
          <w:p>
            <w:pPr>
              <w:spacing w:line="280" w:lineRule="exact"/>
              <w:jc w:val="center"/>
              <w:rPr>
                <w:sz w:val="21"/>
                <w:szCs w:val="21"/>
              </w:rPr>
            </w:pPr>
            <w:r>
              <w:rPr>
                <w:sz w:val="21"/>
                <w:szCs w:val="21"/>
              </w:rPr>
              <w:t>7</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0.051</w:t>
            </w:r>
            <w:r>
              <w:rPr>
                <w:spacing w:val="-20"/>
                <w:sz w:val="21"/>
                <w:szCs w:val="21"/>
              </w:rPr>
              <w:t>～</w:t>
            </w:r>
            <w:r>
              <w:rPr>
                <w:rFonts w:hint="eastAsia"/>
                <w:spacing w:val="-20"/>
                <w:sz w:val="21"/>
                <w:szCs w:val="21"/>
              </w:rPr>
              <w:t>0.067</w:t>
            </w:r>
          </w:p>
        </w:tc>
        <w:tc>
          <w:tcPr>
            <w:tcW w:w="941" w:type="dxa"/>
            <w:vAlign w:val="center"/>
          </w:tcPr>
          <w:p>
            <w:pPr>
              <w:spacing w:line="280" w:lineRule="exact"/>
              <w:jc w:val="center"/>
              <w:rPr>
                <w:sz w:val="21"/>
                <w:szCs w:val="21"/>
              </w:rPr>
            </w:pPr>
            <w:r>
              <w:rPr>
                <w:sz w:val="21"/>
                <w:szCs w:val="21"/>
              </w:rPr>
              <w:t>0.15</w:t>
            </w:r>
          </w:p>
        </w:tc>
        <w:tc>
          <w:tcPr>
            <w:tcW w:w="520"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280" w:type="dxa"/>
            <w:vAlign w:val="center"/>
          </w:tcPr>
          <w:p>
            <w:pPr>
              <w:spacing w:line="280" w:lineRule="exact"/>
              <w:ind w:left="-76" w:right="-108"/>
              <w:jc w:val="center"/>
              <w:rPr>
                <w:rFonts w:hint="eastAsia"/>
                <w:sz w:val="21"/>
                <w:szCs w:val="21"/>
              </w:rPr>
            </w:pPr>
            <w:r>
              <w:rPr>
                <w:rFonts w:hint="eastAsia"/>
                <w:sz w:val="21"/>
                <w:szCs w:val="21"/>
              </w:rPr>
              <w:t>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3" w:hRule="atLeast"/>
          <w:jc w:val="center"/>
        </w:trPr>
        <w:tc>
          <w:tcPr>
            <w:tcW w:w="1025" w:type="dxa"/>
            <w:vMerge w:val="continue"/>
            <w:vAlign w:val="center"/>
          </w:tcPr>
          <w:p>
            <w:pPr>
              <w:spacing w:line="280" w:lineRule="exact"/>
              <w:jc w:val="center"/>
              <w:rPr>
                <w:sz w:val="21"/>
                <w:szCs w:val="21"/>
              </w:rPr>
            </w:pPr>
          </w:p>
        </w:tc>
        <w:tc>
          <w:tcPr>
            <w:tcW w:w="865" w:type="dxa"/>
            <w:vAlign w:val="center"/>
          </w:tcPr>
          <w:p>
            <w:pPr>
              <w:spacing w:line="280" w:lineRule="exact"/>
              <w:jc w:val="center"/>
              <w:rPr>
                <w:sz w:val="21"/>
                <w:szCs w:val="21"/>
              </w:rPr>
            </w:pPr>
            <w:r>
              <w:rPr>
                <w:sz w:val="21"/>
                <w:szCs w:val="21"/>
              </w:rPr>
              <w:t>NO</w:t>
            </w:r>
            <w:r>
              <w:rPr>
                <w:sz w:val="21"/>
                <w:szCs w:val="21"/>
                <w:vertAlign w:val="subscript"/>
              </w:rPr>
              <w:t>2</w:t>
            </w:r>
          </w:p>
        </w:tc>
        <w:tc>
          <w:tcPr>
            <w:tcW w:w="563" w:type="dxa"/>
            <w:vAlign w:val="center"/>
          </w:tcPr>
          <w:p>
            <w:pPr>
              <w:spacing w:line="280" w:lineRule="exact"/>
              <w:jc w:val="center"/>
              <w:rPr>
                <w:sz w:val="21"/>
                <w:szCs w:val="21"/>
              </w:rPr>
            </w:pPr>
            <w:r>
              <w:rPr>
                <w:sz w:val="21"/>
                <w:szCs w:val="21"/>
              </w:rPr>
              <w:t>7</w:t>
            </w:r>
          </w:p>
        </w:tc>
        <w:tc>
          <w:tcPr>
            <w:tcW w:w="1072" w:type="dxa"/>
            <w:vAlign w:val="center"/>
          </w:tcPr>
          <w:p>
            <w:pPr>
              <w:spacing w:line="280" w:lineRule="exact"/>
              <w:jc w:val="center"/>
              <w:rPr>
                <w:rFonts w:hint="eastAsia"/>
                <w:sz w:val="21"/>
                <w:szCs w:val="21"/>
              </w:rPr>
            </w:pPr>
            <w:r>
              <w:rPr>
                <w:rFonts w:hint="eastAsia"/>
                <w:sz w:val="21"/>
                <w:szCs w:val="21"/>
              </w:rPr>
              <w:t>42</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0.034</w:t>
            </w:r>
            <w:r>
              <w:rPr>
                <w:spacing w:val="-20"/>
                <w:sz w:val="21"/>
                <w:szCs w:val="21"/>
              </w:rPr>
              <w:t>～</w:t>
            </w:r>
            <w:r>
              <w:rPr>
                <w:rFonts w:hint="eastAsia"/>
                <w:spacing w:val="-20"/>
                <w:sz w:val="21"/>
                <w:szCs w:val="21"/>
              </w:rPr>
              <w:t>0.063</w:t>
            </w:r>
          </w:p>
        </w:tc>
        <w:tc>
          <w:tcPr>
            <w:tcW w:w="751" w:type="dxa"/>
            <w:vAlign w:val="center"/>
          </w:tcPr>
          <w:p>
            <w:pPr>
              <w:spacing w:line="280" w:lineRule="exact"/>
              <w:jc w:val="center"/>
              <w:rPr>
                <w:sz w:val="21"/>
                <w:szCs w:val="21"/>
              </w:rPr>
            </w:pPr>
            <w:r>
              <w:rPr>
                <w:sz w:val="21"/>
                <w:szCs w:val="21"/>
              </w:rPr>
              <w:t>0.24</w:t>
            </w:r>
          </w:p>
        </w:tc>
        <w:tc>
          <w:tcPr>
            <w:tcW w:w="563"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001" w:type="dxa"/>
            <w:vAlign w:val="center"/>
          </w:tcPr>
          <w:p>
            <w:pPr>
              <w:spacing w:line="280" w:lineRule="exact"/>
              <w:jc w:val="center"/>
              <w:rPr>
                <w:rFonts w:hint="eastAsia"/>
                <w:sz w:val="21"/>
                <w:szCs w:val="21"/>
              </w:rPr>
            </w:pPr>
            <w:r>
              <w:rPr>
                <w:rFonts w:hint="eastAsia"/>
                <w:sz w:val="21"/>
                <w:szCs w:val="21"/>
              </w:rPr>
              <w:t>26.3</w:t>
            </w:r>
          </w:p>
        </w:tc>
        <w:tc>
          <w:tcPr>
            <w:tcW w:w="751" w:type="dxa"/>
            <w:vAlign w:val="center"/>
          </w:tcPr>
          <w:p>
            <w:pPr>
              <w:spacing w:line="280" w:lineRule="exact"/>
              <w:jc w:val="center"/>
              <w:rPr>
                <w:sz w:val="21"/>
                <w:szCs w:val="21"/>
              </w:rPr>
            </w:pPr>
            <w:r>
              <w:rPr>
                <w:sz w:val="21"/>
                <w:szCs w:val="21"/>
              </w:rPr>
              <w:t>7</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0.044</w:t>
            </w:r>
            <w:r>
              <w:rPr>
                <w:spacing w:val="-20"/>
                <w:sz w:val="21"/>
                <w:szCs w:val="21"/>
              </w:rPr>
              <w:t>～</w:t>
            </w:r>
            <w:r>
              <w:rPr>
                <w:rFonts w:hint="eastAsia"/>
                <w:spacing w:val="-20"/>
                <w:sz w:val="21"/>
                <w:szCs w:val="21"/>
              </w:rPr>
              <w:t>0.051</w:t>
            </w:r>
          </w:p>
        </w:tc>
        <w:tc>
          <w:tcPr>
            <w:tcW w:w="941" w:type="dxa"/>
            <w:vAlign w:val="center"/>
          </w:tcPr>
          <w:p>
            <w:pPr>
              <w:spacing w:line="280" w:lineRule="exact"/>
              <w:jc w:val="center"/>
              <w:rPr>
                <w:sz w:val="21"/>
                <w:szCs w:val="21"/>
              </w:rPr>
            </w:pPr>
            <w:r>
              <w:rPr>
                <w:sz w:val="21"/>
                <w:szCs w:val="21"/>
              </w:rPr>
              <w:t>0.12</w:t>
            </w:r>
          </w:p>
        </w:tc>
        <w:tc>
          <w:tcPr>
            <w:tcW w:w="520"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280" w:type="dxa"/>
            <w:vAlign w:val="center"/>
          </w:tcPr>
          <w:p>
            <w:pPr>
              <w:spacing w:line="280" w:lineRule="exact"/>
              <w:ind w:left="-76" w:right="-108"/>
              <w:jc w:val="center"/>
              <w:rPr>
                <w:rFonts w:hint="eastAsia"/>
                <w:sz w:val="21"/>
                <w:szCs w:val="21"/>
              </w:rPr>
            </w:pPr>
            <w:r>
              <w:rPr>
                <w:rFonts w:hint="eastAsia"/>
                <w:sz w:val="21"/>
                <w:szCs w:val="21"/>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5" w:hRule="atLeast"/>
          <w:jc w:val="center"/>
        </w:trPr>
        <w:tc>
          <w:tcPr>
            <w:tcW w:w="1025" w:type="dxa"/>
            <w:vMerge w:val="continue"/>
            <w:vAlign w:val="center"/>
          </w:tcPr>
          <w:p>
            <w:pPr>
              <w:spacing w:line="280" w:lineRule="exact"/>
              <w:jc w:val="center"/>
              <w:rPr>
                <w:sz w:val="21"/>
                <w:szCs w:val="21"/>
              </w:rPr>
            </w:pPr>
          </w:p>
        </w:tc>
        <w:tc>
          <w:tcPr>
            <w:tcW w:w="865" w:type="dxa"/>
            <w:vAlign w:val="center"/>
          </w:tcPr>
          <w:p>
            <w:pPr>
              <w:spacing w:line="280" w:lineRule="exact"/>
              <w:jc w:val="center"/>
              <w:rPr>
                <w:sz w:val="21"/>
                <w:szCs w:val="21"/>
              </w:rPr>
            </w:pPr>
            <w:r>
              <w:rPr>
                <w:sz w:val="21"/>
                <w:szCs w:val="21"/>
              </w:rPr>
              <w:t>TSP</w:t>
            </w:r>
          </w:p>
        </w:tc>
        <w:tc>
          <w:tcPr>
            <w:tcW w:w="563" w:type="dxa"/>
            <w:vAlign w:val="center"/>
          </w:tcPr>
          <w:p>
            <w:pPr>
              <w:spacing w:line="280" w:lineRule="exact"/>
              <w:jc w:val="center"/>
              <w:rPr>
                <w:sz w:val="21"/>
                <w:szCs w:val="21"/>
              </w:rPr>
            </w:pPr>
            <w:r>
              <w:rPr>
                <w:spacing w:val="-20"/>
                <w:sz w:val="21"/>
                <w:szCs w:val="21"/>
              </w:rPr>
              <w:t>7</w:t>
            </w:r>
          </w:p>
        </w:tc>
        <w:tc>
          <w:tcPr>
            <w:tcW w:w="1072" w:type="dxa"/>
            <w:vAlign w:val="center"/>
          </w:tcPr>
          <w:p>
            <w:pPr>
              <w:spacing w:line="280" w:lineRule="exact"/>
              <w:jc w:val="center"/>
              <w:rPr>
                <w:sz w:val="21"/>
                <w:szCs w:val="21"/>
              </w:rPr>
            </w:pPr>
            <w:r>
              <w:rPr>
                <w:spacing w:val="-20"/>
                <w:sz w:val="21"/>
                <w:szCs w:val="21"/>
              </w:rPr>
              <w:t>/</w:t>
            </w:r>
          </w:p>
        </w:tc>
        <w:tc>
          <w:tcPr>
            <w:tcW w:w="1692"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pacing w:val="-20"/>
                <w:sz w:val="21"/>
                <w:szCs w:val="21"/>
              </w:rPr>
              <w:t>/</w:t>
            </w:r>
          </w:p>
        </w:tc>
        <w:tc>
          <w:tcPr>
            <w:tcW w:w="563"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pacing w:val="-20"/>
                <w:sz w:val="21"/>
                <w:szCs w:val="21"/>
              </w:rPr>
              <w:t>/</w:t>
            </w:r>
          </w:p>
        </w:tc>
        <w:tc>
          <w:tcPr>
            <w:tcW w:w="1001"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z w:val="21"/>
                <w:szCs w:val="21"/>
              </w:rPr>
              <w:t>7</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0.115</w:t>
            </w:r>
            <w:r>
              <w:rPr>
                <w:spacing w:val="-20"/>
                <w:sz w:val="21"/>
                <w:szCs w:val="21"/>
              </w:rPr>
              <w:t>～</w:t>
            </w:r>
            <w:r>
              <w:rPr>
                <w:rFonts w:hint="eastAsia"/>
                <w:spacing w:val="-20"/>
                <w:sz w:val="21"/>
                <w:szCs w:val="21"/>
              </w:rPr>
              <w:t>0.170</w:t>
            </w:r>
          </w:p>
        </w:tc>
        <w:tc>
          <w:tcPr>
            <w:tcW w:w="941" w:type="dxa"/>
            <w:vAlign w:val="center"/>
          </w:tcPr>
          <w:p>
            <w:pPr>
              <w:spacing w:line="280" w:lineRule="exact"/>
              <w:jc w:val="center"/>
              <w:rPr>
                <w:sz w:val="21"/>
                <w:szCs w:val="21"/>
              </w:rPr>
            </w:pPr>
            <w:r>
              <w:rPr>
                <w:sz w:val="21"/>
                <w:szCs w:val="21"/>
              </w:rPr>
              <w:t>0.30</w:t>
            </w:r>
          </w:p>
        </w:tc>
        <w:tc>
          <w:tcPr>
            <w:tcW w:w="520"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280" w:type="dxa"/>
            <w:vAlign w:val="center"/>
          </w:tcPr>
          <w:p>
            <w:pPr>
              <w:spacing w:line="280" w:lineRule="exact"/>
              <w:ind w:left="-76" w:right="-108"/>
              <w:jc w:val="center"/>
              <w:rPr>
                <w:rFonts w:hint="eastAsia"/>
                <w:sz w:val="21"/>
                <w:szCs w:val="21"/>
              </w:rPr>
            </w:pPr>
            <w:r>
              <w:rPr>
                <w:rFonts w:hint="eastAsia"/>
                <w:sz w:val="21"/>
                <w:szCs w:val="21"/>
              </w:rPr>
              <w:t>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atLeast"/>
          <w:jc w:val="center"/>
        </w:trPr>
        <w:tc>
          <w:tcPr>
            <w:tcW w:w="1025" w:type="dxa"/>
            <w:vMerge w:val="continue"/>
            <w:vAlign w:val="center"/>
          </w:tcPr>
          <w:p>
            <w:pPr>
              <w:spacing w:line="280" w:lineRule="exact"/>
              <w:jc w:val="center"/>
              <w:rPr>
                <w:sz w:val="21"/>
                <w:szCs w:val="21"/>
              </w:rPr>
            </w:pPr>
          </w:p>
        </w:tc>
        <w:tc>
          <w:tcPr>
            <w:tcW w:w="865" w:type="dxa"/>
            <w:vAlign w:val="center"/>
          </w:tcPr>
          <w:p>
            <w:pPr>
              <w:spacing w:line="280" w:lineRule="exact"/>
              <w:jc w:val="center"/>
              <w:rPr>
                <w:sz w:val="21"/>
                <w:szCs w:val="21"/>
              </w:rPr>
            </w:pPr>
            <w:r>
              <w:rPr>
                <w:sz w:val="21"/>
                <w:szCs w:val="21"/>
              </w:rPr>
              <w:t>PM</w:t>
            </w:r>
            <w:r>
              <w:rPr>
                <w:sz w:val="21"/>
                <w:szCs w:val="21"/>
                <w:vertAlign w:val="subscript"/>
              </w:rPr>
              <w:t>10</w:t>
            </w:r>
          </w:p>
        </w:tc>
        <w:tc>
          <w:tcPr>
            <w:tcW w:w="563" w:type="dxa"/>
            <w:vAlign w:val="center"/>
          </w:tcPr>
          <w:p>
            <w:pPr>
              <w:spacing w:line="280" w:lineRule="exact"/>
              <w:jc w:val="center"/>
              <w:rPr>
                <w:sz w:val="21"/>
                <w:szCs w:val="21"/>
              </w:rPr>
            </w:pPr>
            <w:r>
              <w:rPr>
                <w:spacing w:val="-20"/>
                <w:sz w:val="21"/>
                <w:szCs w:val="21"/>
              </w:rPr>
              <w:t>7</w:t>
            </w:r>
          </w:p>
        </w:tc>
        <w:tc>
          <w:tcPr>
            <w:tcW w:w="1072" w:type="dxa"/>
            <w:vAlign w:val="center"/>
          </w:tcPr>
          <w:p>
            <w:pPr>
              <w:spacing w:line="280" w:lineRule="exact"/>
              <w:jc w:val="center"/>
              <w:rPr>
                <w:sz w:val="21"/>
                <w:szCs w:val="21"/>
              </w:rPr>
            </w:pPr>
            <w:r>
              <w:rPr>
                <w:spacing w:val="-20"/>
                <w:sz w:val="21"/>
                <w:szCs w:val="21"/>
              </w:rPr>
              <w:t>/</w:t>
            </w:r>
          </w:p>
        </w:tc>
        <w:tc>
          <w:tcPr>
            <w:tcW w:w="1692"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pacing w:val="-20"/>
                <w:sz w:val="21"/>
                <w:szCs w:val="21"/>
              </w:rPr>
              <w:t>/</w:t>
            </w:r>
          </w:p>
        </w:tc>
        <w:tc>
          <w:tcPr>
            <w:tcW w:w="563"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pacing w:val="-20"/>
                <w:sz w:val="21"/>
                <w:szCs w:val="21"/>
              </w:rPr>
              <w:t>/</w:t>
            </w:r>
          </w:p>
        </w:tc>
        <w:tc>
          <w:tcPr>
            <w:tcW w:w="1001"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z w:val="21"/>
                <w:szCs w:val="21"/>
              </w:rPr>
              <w:t>7</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0.077</w:t>
            </w:r>
            <w:r>
              <w:rPr>
                <w:spacing w:val="-20"/>
                <w:sz w:val="21"/>
                <w:szCs w:val="21"/>
              </w:rPr>
              <w:t>～</w:t>
            </w:r>
            <w:r>
              <w:rPr>
                <w:rFonts w:hint="eastAsia"/>
                <w:spacing w:val="-20"/>
                <w:sz w:val="21"/>
                <w:szCs w:val="21"/>
              </w:rPr>
              <w:t>0.119</w:t>
            </w:r>
          </w:p>
        </w:tc>
        <w:tc>
          <w:tcPr>
            <w:tcW w:w="941" w:type="dxa"/>
            <w:vAlign w:val="center"/>
          </w:tcPr>
          <w:p>
            <w:pPr>
              <w:spacing w:line="280" w:lineRule="exact"/>
              <w:jc w:val="center"/>
              <w:rPr>
                <w:sz w:val="21"/>
                <w:szCs w:val="21"/>
              </w:rPr>
            </w:pPr>
            <w:r>
              <w:rPr>
                <w:sz w:val="21"/>
                <w:szCs w:val="21"/>
              </w:rPr>
              <w:t>0.15</w:t>
            </w:r>
          </w:p>
        </w:tc>
        <w:tc>
          <w:tcPr>
            <w:tcW w:w="520"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280" w:type="dxa"/>
            <w:vAlign w:val="center"/>
          </w:tcPr>
          <w:p>
            <w:pPr>
              <w:spacing w:line="280" w:lineRule="exact"/>
              <w:ind w:left="-76" w:right="-108"/>
              <w:jc w:val="center"/>
              <w:rPr>
                <w:rFonts w:hint="eastAsia"/>
                <w:sz w:val="21"/>
                <w:szCs w:val="21"/>
              </w:rPr>
            </w:pPr>
            <w:r>
              <w:rPr>
                <w:rFonts w:hint="eastAsia"/>
                <w:sz w:val="21"/>
                <w:szCs w:val="21"/>
              </w:rPr>
              <w:t>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3" w:hRule="atLeast"/>
          <w:jc w:val="center"/>
        </w:trPr>
        <w:tc>
          <w:tcPr>
            <w:tcW w:w="1025" w:type="dxa"/>
            <w:vMerge w:val="restart"/>
            <w:vAlign w:val="center"/>
          </w:tcPr>
          <w:p>
            <w:pPr>
              <w:spacing w:line="280" w:lineRule="exact"/>
              <w:jc w:val="center"/>
              <w:rPr>
                <w:sz w:val="21"/>
                <w:szCs w:val="21"/>
              </w:rPr>
            </w:pPr>
            <w:r>
              <w:rPr>
                <w:sz w:val="21"/>
                <w:szCs w:val="21"/>
              </w:rPr>
              <w:t>2＃</w:t>
            </w:r>
          </w:p>
          <w:p>
            <w:pPr>
              <w:spacing w:line="280" w:lineRule="exact"/>
              <w:jc w:val="center"/>
              <w:rPr>
                <w:rFonts w:hint="eastAsia"/>
                <w:sz w:val="21"/>
                <w:szCs w:val="21"/>
              </w:rPr>
            </w:pPr>
            <w:r>
              <w:rPr>
                <w:rFonts w:hint="eastAsia"/>
                <w:sz w:val="21"/>
                <w:szCs w:val="21"/>
              </w:rPr>
              <w:t>福里树</w:t>
            </w:r>
          </w:p>
        </w:tc>
        <w:tc>
          <w:tcPr>
            <w:tcW w:w="865" w:type="dxa"/>
            <w:vAlign w:val="center"/>
          </w:tcPr>
          <w:p>
            <w:pPr>
              <w:spacing w:line="280" w:lineRule="exact"/>
              <w:jc w:val="center"/>
              <w:rPr>
                <w:sz w:val="21"/>
                <w:szCs w:val="21"/>
              </w:rPr>
            </w:pPr>
            <w:r>
              <w:rPr>
                <w:sz w:val="21"/>
                <w:szCs w:val="21"/>
              </w:rPr>
              <w:t>SO</w:t>
            </w:r>
            <w:r>
              <w:rPr>
                <w:sz w:val="21"/>
                <w:szCs w:val="21"/>
                <w:vertAlign w:val="subscript"/>
              </w:rPr>
              <w:t>2</w:t>
            </w:r>
          </w:p>
        </w:tc>
        <w:tc>
          <w:tcPr>
            <w:tcW w:w="563" w:type="dxa"/>
            <w:vAlign w:val="center"/>
          </w:tcPr>
          <w:p>
            <w:pPr>
              <w:spacing w:line="280" w:lineRule="exact"/>
              <w:jc w:val="center"/>
              <w:rPr>
                <w:sz w:val="21"/>
                <w:szCs w:val="21"/>
              </w:rPr>
            </w:pPr>
            <w:r>
              <w:rPr>
                <w:sz w:val="21"/>
                <w:szCs w:val="21"/>
              </w:rPr>
              <w:t>7</w:t>
            </w:r>
          </w:p>
        </w:tc>
        <w:tc>
          <w:tcPr>
            <w:tcW w:w="1072" w:type="dxa"/>
            <w:vAlign w:val="center"/>
          </w:tcPr>
          <w:p>
            <w:pPr>
              <w:spacing w:line="280" w:lineRule="exact"/>
              <w:jc w:val="center"/>
              <w:rPr>
                <w:rFonts w:hint="eastAsia"/>
                <w:sz w:val="21"/>
                <w:szCs w:val="21"/>
              </w:rPr>
            </w:pPr>
            <w:r>
              <w:rPr>
                <w:rFonts w:hint="eastAsia"/>
                <w:sz w:val="21"/>
                <w:szCs w:val="21"/>
              </w:rPr>
              <w:t>42</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0.049</w:t>
            </w:r>
            <w:r>
              <w:rPr>
                <w:spacing w:val="-20"/>
                <w:sz w:val="21"/>
                <w:szCs w:val="21"/>
              </w:rPr>
              <w:t>～</w:t>
            </w:r>
            <w:r>
              <w:rPr>
                <w:rFonts w:hint="eastAsia"/>
                <w:spacing w:val="-20"/>
                <w:sz w:val="21"/>
                <w:szCs w:val="21"/>
              </w:rPr>
              <w:t>0.078</w:t>
            </w:r>
          </w:p>
        </w:tc>
        <w:tc>
          <w:tcPr>
            <w:tcW w:w="751" w:type="dxa"/>
            <w:vAlign w:val="center"/>
          </w:tcPr>
          <w:p>
            <w:pPr>
              <w:spacing w:line="280" w:lineRule="exact"/>
              <w:jc w:val="center"/>
              <w:rPr>
                <w:sz w:val="21"/>
                <w:szCs w:val="21"/>
              </w:rPr>
            </w:pPr>
            <w:r>
              <w:rPr>
                <w:sz w:val="21"/>
                <w:szCs w:val="21"/>
              </w:rPr>
              <w:t>0.5</w:t>
            </w:r>
          </w:p>
        </w:tc>
        <w:tc>
          <w:tcPr>
            <w:tcW w:w="563"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001" w:type="dxa"/>
            <w:vAlign w:val="center"/>
          </w:tcPr>
          <w:p>
            <w:pPr>
              <w:spacing w:line="280" w:lineRule="exact"/>
              <w:jc w:val="center"/>
              <w:rPr>
                <w:rFonts w:hint="eastAsia"/>
                <w:sz w:val="21"/>
                <w:szCs w:val="21"/>
              </w:rPr>
            </w:pPr>
            <w:r>
              <w:rPr>
                <w:rFonts w:hint="eastAsia"/>
                <w:sz w:val="21"/>
                <w:szCs w:val="21"/>
              </w:rPr>
              <w:t>15.6</w:t>
            </w:r>
          </w:p>
        </w:tc>
        <w:tc>
          <w:tcPr>
            <w:tcW w:w="751" w:type="dxa"/>
            <w:vAlign w:val="center"/>
          </w:tcPr>
          <w:p>
            <w:pPr>
              <w:spacing w:line="280" w:lineRule="exact"/>
              <w:jc w:val="center"/>
              <w:rPr>
                <w:sz w:val="21"/>
                <w:szCs w:val="21"/>
              </w:rPr>
            </w:pPr>
            <w:r>
              <w:rPr>
                <w:sz w:val="21"/>
                <w:szCs w:val="21"/>
              </w:rPr>
              <w:t>7</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0.058</w:t>
            </w:r>
            <w:r>
              <w:rPr>
                <w:spacing w:val="-20"/>
                <w:sz w:val="21"/>
                <w:szCs w:val="21"/>
              </w:rPr>
              <w:t>～</w:t>
            </w:r>
            <w:r>
              <w:rPr>
                <w:rFonts w:hint="eastAsia"/>
                <w:spacing w:val="-20"/>
                <w:sz w:val="21"/>
                <w:szCs w:val="21"/>
              </w:rPr>
              <w:t>0.066</w:t>
            </w:r>
          </w:p>
        </w:tc>
        <w:tc>
          <w:tcPr>
            <w:tcW w:w="941" w:type="dxa"/>
            <w:vAlign w:val="center"/>
          </w:tcPr>
          <w:p>
            <w:pPr>
              <w:spacing w:line="280" w:lineRule="exact"/>
              <w:jc w:val="center"/>
              <w:rPr>
                <w:sz w:val="21"/>
                <w:szCs w:val="21"/>
              </w:rPr>
            </w:pPr>
            <w:r>
              <w:rPr>
                <w:sz w:val="21"/>
                <w:szCs w:val="21"/>
              </w:rPr>
              <w:t>0.15</w:t>
            </w:r>
          </w:p>
        </w:tc>
        <w:tc>
          <w:tcPr>
            <w:tcW w:w="520"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280" w:type="dxa"/>
            <w:vAlign w:val="center"/>
          </w:tcPr>
          <w:p>
            <w:pPr>
              <w:spacing w:line="280" w:lineRule="exact"/>
              <w:ind w:left="-76" w:right="-108"/>
              <w:jc w:val="center"/>
              <w:rPr>
                <w:rFonts w:hint="eastAsia"/>
                <w:sz w:val="21"/>
                <w:szCs w:val="21"/>
              </w:rPr>
            </w:pPr>
            <w:r>
              <w:rPr>
                <w:rFonts w:hint="eastAsia"/>
                <w:sz w:val="21"/>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7" w:hRule="atLeast"/>
          <w:jc w:val="center"/>
        </w:trPr>
        <w:tc>
          <w:tcPr>
            <w:tcW w:w="1025" w:type="dxa"/>
            <w:vMerge w:val="continue"/>
            <w:vAlign w:val="center"/>
          </w:tcPr>
          <w:p>
            <w:pPr>
              <w:spacing w:line="280" w:lineRule="exact"/>
              <w:jc w:val="center"/>
              <w:rPr>
                <w:sz w:val="21"/>
                <w:szCs w:val="21"/>
              </w:rPr>
            </w:pPr>
          </w:p>
        </w:tc>
        <w:tc>
          <w:tcPr>
            <w:tcW w:w="865" w:type="dxa"/>
            <w:vAlign w:val="center"/>
          </w:tcPr>
          <w:p>
            <w:pPr>
              <w:spacing w:line="280" w:lineRule="exact"/>
              <w:jc w:val="center"/>
              <w:rPr>
                <w:sz w:val="21"/>
                <w:szCs w:val="21"/>
              </w:rPr>
            </w:pPr>
            <w:r>
              <w:rPr>
                <w:sz w:val="21"/>
                <w:szCs w:val="21"/>
              </w:rPr>
              <w:t>NO</w:t>
            </w:r>
            <w:r>
              <w:rPr>
                <w:sz w:val="21"/>
                <w:szCs w:val="21"/>
                <w:vertAlign w:val="subscript"/>
              </w:rPr>
              <w:t>2</w:t>
            </w:r>
          </w:p>
        </w:tc>
        <w:tc>
          <w:tcPr>
            <w:tcW w:w="563" w:type="dxa"/>
            <w:vAlign w:val="center"/>
          </w:tcPr>
          <w:p>
            <w:pPr>
              <w:spacing w:line="280" w:lineRule="exact"/>
              <w:jc w:val="center"/>
              <w:rPr>
                <w:sz w:val="21"/>
                <w:szCs w:val="21"/>
              </w:rPr>
            </w:pPr>
            <w:r>
              <w:rPr>
                <w:sz w:val="21"/>
                <w:szCs w:val="21"/>
              </w:rPr>
              <w:t>7</w:t>
            </w:r>
          </w:p>
        </w:tc>
        <w:tc>
          <w:tcPr>
            <w:tcW w:w="1072" w:type="dxa"/>
            <w:vAlign w:val="center"/>
          </w:tcPr>
          <w:p>
            <w:pPr>
              <w:spacing w:line="280" w:lineRule="exact"/>
              <w:jc w:val="center"/>
              <w:rPr>
                <w:rFonts w:hint="eastAsia"/>
                <w:sz w:val="21"/>
                <w:szCs w:val="21"/>
              </w:rPr>
            </w:pPr>
            <w:r>
              <w:rPr>
                <w:rFonts w:hint="eastAsia"/>
                <w:sz w:val="21"/>
                <w:szCs w:val="21"/>
              </w:rPr>
              <w:t>42</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0.017</w:t>
            </w:r>
            <w:r>
              <w:rPr>
                <w:spacing w:val="-20"/>
                <w:sz w:val="21"/>
                <w:szCs w:val="21"/>
              </w:rPr>
              <w:t>～</w:t>
            </w:r>
            <w:r>
              <w:rPr>
                <w:rFonts w:hint="eastAsia"/>
                <w:spacing w:val="-20"/>
                <w:sz w:val="21"/>
                <w:szCs w:val="21"/>
              </w:rPr>
              <w:t>0.054</w:t>
            </w:r>
          </w:p>
        </w:tc>
        <w:tc>
          <w:tcPr>
            <w:tcW w:w="751" w:type="dxa"/>
            <w:vAlign w:val="center"/>
          </w:tcPr>
          <w:p>
            <w:pPr>
              <w:spacing w:line="280" w:lineRule="exact"/>
              <w:jc w:val="center"/>
              <w:rPr>
                <w:sz w:val="21"/>
                <w:szCs w:val="21"/>
              </w:rPr>
            </w:pPr>
            <w:r>
              <w:rPr>
                <w:sz w:val="21"/>
                <w:szCs w:val="21"/>
              </w:rPr>
              <w:t>0.24</w:t>
            </w:r>
          </w:p>
        </w:tc>
        <w:tc>
          <w:tcPr>
            <w:tcW w:w="563"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001" w:type="dxa"/>
            <w:vAlign w:val="center"/>
          </w:tcPr>
          <w:p>
            <w:pPr>
              <w:spacing w:line="280" w:lineRule="exact"/>
              <w:jc w:val="center"/>
              <w:rPr>
                <w:rFonts w:hint="eastAsia"/>
                <w:sz w:val="21"/>
                <w:szCs w:val="21"/>
              </w:rPr>
            </w:pPr>
            <w:r>
              <w:rPr>
                <w:rFonts w:hint="eastAsia"/>
                <w:sz w:val="21"/>
                <w:szCs w:val="21"/>
              </w:rPr>
              <w:t>22.5</w:t>
            </w:r>
          </w:p>
        </w:tc>
        <w:tc>
          <w:tcPr>
            <w:tcW w:w="751" w:type="dxa"/>
            <w:vAlign w:val="center"/>
          </w:tcPr>
          <w:p>
            <w:pPr>
              <w:spacing w:line="280" w:lineRule="exact"/>
              <w:jc w:val="center"/>
              <w:rPr>
                <w:sz w:val="21"/>
                <w:szCs w:val="21"/>
              </w:rPr>
            </w:pPr>
            <w:r>
              <w:rPr>
                <w:sz w:val="21"/>
                <w:szCs w:val="21"/>
              </w:rPr>
              <w:t>7</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0.025</w:t>
            </w:r>
            <w:r>
              <w:rPr>
                <w:spacing w:val="-20"/>
                <w:sz w:val="21"/>
                <w:szCs w:val="21"/>
              </w:rPr>
              <w:t>～</w:t>
            </w:r>
            <w:r>
              <w:rPr>
                <w:rFonts w:hint="eastAsia"/>
                <w:spacing w:val="-20"/>
                <w:sz w:val="21"/>
                <w:szCs w:val="21"/>
              </w:rPr>
              <w:t>0.039</w:t>
            </w:r>
          </w:p>
        </w:tc>
        <w:tc>
          <w:tcPr>
            <w:tcW w:w="941" w:type="dxa"/>
            <w:vAlign w:val="center"/>
          </w:tcPr>
          <w:p>
            <w:pPr>
              <w:spacing w:line="280" w:lineRule="exact"/>
              <w:jc w:val="center"/>
              <w:rPr>
                <w:sz w:val="21"/>
                <w:szCs w:val="21"/>
              </w:rPr>
            </w:pPr>
            <w:r>
              <w:rPr>
                <w:sz w:val="21"/>
                <w:szCs w:val="21"/>
              </w:rPr>
              <w:t>0.12</w:t>
            </w:r>
          </w:p>
        </w:tc>
        <w:tc>
          <w:tcPr>
            <w:tcW w:w="520"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280" w:type="dxa"/>
            <w:vAlign w:val="center"/>
          </w:tcPr>
          <w:p>
            <w:pPr>
              <w:spacing w:line="280" w:lineRule="exact"/>
              <w:ind w:left="-76" w:right="-108"/>
              <w:jc w:val="center"/>
              <w:rPr>
                <w:rFonts w:hint="eastAsia"/>
                <w:sz w:val="21"/>
                <w:szCs w:val="21"/>
              </w:rPr>
            </w:pPr>
            <w:r>
              <w:rPr>
                <w:rFonts w:hint="eastAsia"/>
                <w:sz w:val="21"/>
                <w:szCs w:val="21"/>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9" w:hRule="atLeast"/>
          <w:jc w:val="center"/>
        </w:trPr>
        <w:tc>
          <w:tcPr>
            <w:tcW w:w="1025" w:type="dxa"/>
            <w:vMerge w:val="continue"/>
            <w:vAlign w:val="center"/>
          </w:tcPr>
          <w:p>
            <w:pPr>
              <w:spacing w:line="280" w:lineRule="exact"/>
              <w:jc w:val="center"/>
              <w:rPr>
                <w:sz w:val="21"/>
                <w:szCs w:val="21"/>
              </w:rPr>
            </w:pPr>
          </w:p>
        </w:tc>
        <w:tc>
          <w:tcPr>
            <w:tcW w:w="865" w:type="dxa"/>
            <w:vAlign w:val="center"/>
          </w:tcPr>
          <w:p>
            <w:pPr>
              <w:spacing w:line="280" w:lineRule="exact"/>
              <w:jc w:val="center"/>
              <w:rPr>
                <w:sz w:val="21"/>
                <w:szCs w:val="21"/>
              </w:rPr>
            </w:pPr>
            <w:r>
              <w:rPr>
                <w:sz w:val="21"/>
                <w:szCs w:val="21"/>
              </w:rPr>
              <w:t>TSP</w:t>
            </w:r>
          </w:p>
        </w:tc>
        <w:tc>
          <w:tcPr>
            <w:tcW w:w="563" w:type="dxa"/>
            <w:vAlign w:val="center"/>
          </w:tcPr>
          <w:p>
            <w:pPr>
              <w:spacing w:line="280" w:lineRule="exact"/>
              <w:jc w:val="center"/>
              <w:rPr>
                <w:sz w:val="21"/>
                <w:szCs w:val="21"/>
              </w:rPr>
            </w:pPr>
            <w:r>
              <w:rPr>
                <w:spacing w:val="-20"/>
                <w:sz w:val="21"/>
                <w:szCs w:val="21"/>
              </w:rPr>
              <w:t>7</w:t>
            </w:r>
          </w:p>
        </w:tc>
        <w:tc>
          <w:tcPr>
            <w:tcW w:w="1072" w:type="dxa"/>
            <w:vAlign w:val="center"/>
          </w:tcPr>
          <w:p>
            <w:pPr>
              <w:spacing w:line="280" w:lineRule="exact"/>
              <w:jc w:val="center"/>
              <w:rPr>
                <w:sz w:val="21"/>
                <w:szCs w:val="21"/>
              </w:rPr>
            </w:pPr>
            <w:r>
              <w:rPr>
                <w:spacing w:val="-20"/>
                <w:sz w:val="21"/>
                <w:szCs w:val="21"/>
              </w:rPr>
              <w:t>/</w:t>
            </w:r>
          </w:p>
        </w:tc>
        <w:tc>
          <w:tcPr>
            <w:tcW w:w="1692"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pacing w:val="-20"/>
                <w:sz w:val="21"/>
                <w:szCs w:val="21"/>
              </w:rPr>
              <w:t>/</w:t>
            </w:r>
          </w:p>
        </w:tc>
        <w:tc>
          <w:tcPr>
            <w:tcW w:w="563"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pacing w:val="-20"/>
                <w:sz w:val="21"/>
                <w:szCs w:val="21"/>
              </w:rPr>
              <w:t>/</w:t>
            </w:r>
          </w:p>
        </w:tc>
        <w:tc>
          <w:tcPr>
            <w:tcW w:w="1001"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z w:val="21"/>
                <w:szCs w:val="21"/>
              </w:rPr>
              <w:t>7</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0.061</w:t>
            </w:r>
            <w:r>
              <w:rPr>
                <w:spacing w:val="-20"/>
                <w:sz w:val="21"/>
                <w:szCs w:val="21"/>
              </w:rPr>
              <w:t>～</w:t>
            </w:r>
            <w:r>
              <w:rPr>
                <w:rFonts w:hint="eastAsia"/>
                <w:spacing w:val="-20"/>
                <w:sz w:val="21"/>
                <w:szCs w:val="21"/>
              </w:rPr>
              <w:t>0.171</w:t>
            </w:r>
          </w:p>
        </w:tc>
        <w:tc>
          <w:tcPr>
            <w:tcW w:w="941" w:type="dxa"/>
            <w:vAlign w:val="center"/>
          </w:tcPr>
          <w:p>
            <w:pPr>
              <w:spacing w:line="280" w:lineRule="exact"/>
              <w:jc w:val="center"/>
              <w:rPr>
                <w:sz w:val="21"/>
                <w:szCs w:val="21"/>
              </w:rPr>
            </w:pPr>
            <w:r>
              <w:rPr>
                <w:sz w:val="21"/>
                <w:szCs w:val="21"/>
              </w:rPr>
              <w:t>0.30</w:t>
            </w:r>
          </w:p>
        </w:tc>
        <w:tc>
          <w:tcPr>
            <w:tcW w:w="520"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280" w:type="dxa"/>
            <w:vAlign w:val="center"/>
          </w:tcPr>
          <w:p>
            <w:pPr>
              <w:spacing w:line="280" w:lineRule="exact"/>
              <w:ind w:left="-76" w:right="-108"/>
              <w:jc w:val="center"/>
              <w:rPr>
                <w:rFonts w:hint="eastAsia"/>
                <w:sz w:val="21"/>
                <w:szCs w:val="21"/>
              </w:rPr>
            </w:pPr>
            <w:r>
              <w:rPr>
                <w:rFonts w:hint="eastAsia"/>
                <w:sz w:val="21"/>
                <w:szCs w:val="21"/>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5" w:hRule="atLeast"/>
          <w:jc w:val="center"/>
        </w:trPr>
        <w:tc>
          <w:tcPr>
            <w:tcW w:w="1025" w:type="dxa"/>
            <w:vMerge w:val="continue"/>
            <w:vAlign w:val="center"/>
          </w:tcPr>
          <w:p>
            <w:pPr>
              <w:spacing w:line="280" w:lineRule="exact"/>
              <w:jc w:val="center"/>
              <w:rPr>
                <w:sz w:val="21"/>
                <w:szCs w:val="21"/>
              </w:rPr>
            </w:pPr>
          </w:p>
        </w:tc>
        <w:tc>
          <w:tcPr>
            <w:tcW w:w="865" w:type="dxa"/>
            <w:vAlign w:val="center"/>
          </w:tcPr>
          <w:p>
            <w:pPr>
              <w:spacing w:line="280" w:lineRule="exact"/>
              <w:jc w:val="center"/>
              <w:rPr>
                <w:sz w:val="21"/>
                <w:szCs w:val="21"/>
              </w:rPr>
            </w:pPr>
            <w:r>
              <w:rPr>
                <w:sz w:val="21"/>
                <w:szCs w:val="21"/>
              </w:rPr>
              <w:t>PM</w:t>
            </w:r>
            <w:r>
              <w:rPr>
                <w:sz w:val="21"/>
                <w:szCs w:val="21"/>
                <w:vertAlign w:val="subscript"/>
              </w:rPr>
              <w:t>10</w:t>
            </w:r>
          </w:p>
        </w:tc>
        <w:tc>
          <w:tcPr>
            <w:tcW w:w="563" w:type="dxa"/>
            <w:vAlign w:val="center"/>
          </w:tcPr>
          <w:p>
            <w:pPr>
              <w:spacing w:line="280" w:lineRule="exact"/>
              <w:jc w:val="center"/>
              <w:rPr>
                <w:sz w:val="21"/>
                <w:szCs w:val="21"/>
              </w:rPr>
            </w:pPr>
            <w:r>
              <w:rPr>
                <w:spacing w:val="-20"/>
                <w:sz w:val="21"/>
                <w:szCs w:val="21"/>
              </w:rPr>
              <w:t>7</w:t>
            </w:r>
          </w:p>
        </w:tc>
        <w:tc>
          <w:tcPr>
            <w:tcW w:w="1072" w:type="dxa"/>
            <w:vAlign w:val="center"/>
          </w:tcPr>
          <w:p>
            <w:pPr>
              <w:spacing w:line="280" w:lineRule="exact"/>
              <w:jc w:val="center"/>
              <w:rPr>
                <w:sz w:val="21"/>
                <w:szCs w:val="21"/>
              </w:rPr>
            </w:pPr>
            <w:r>
              <w:rPr>
                <w:spacing w:val="-20"/>
                <w:sz w:val="21"/>
                <w:szCs w:val="21"/>
              </w:rPr>
              <w:t>/</w:t>
            </w:r>
          </w:p>
        </w:tc>
        <w:tc>
          <w:tcPr>
            <w:tcW w:w="1692"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pacing w:val="-20"/>
                <w:sz w:val="21"/>
                <w:szCs w:val="21"/>
              </w:rPr>
              <w:t>/</w:t>
            </w:r>
          </w:p>
        </w:tc>
        <w:tc>
          <w:tcPr>
            <w:tcW w:w="563"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pacing w:val="-20"/>
                <w:sz w:val="21"/>
                <w:szCs w:val="21"/>
              </w:rPr>
              <w:t>/</w:t>
            </w:r>
          </w:p>
        </w:tc>
        <w:tc>
          <w:tcPr>
            <w:tcW w:w="1001"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z w:val="21"/>
                <w:szCs w:val="21"/>
              </w:rPr>
              <w:t>7</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0.044</w:t>
            </w:r>
            <w:r>
              <w:rPr>
                <w:spacing w:val="-20"/>
                <w:sz w:val="21"/>
                <w:szCs w:val="21"/>
              </w:rPr>
              <w:t>～</w:t>
            </w:r>
            <w:r>
              <w:rPr>
                <w:rFonts w:hint="eastAsia"/>
                <w:spacing w:val="-20"/>
                <w:sz w:val="21"/>
                <w:szCs w:val="21"/>
              </w:rPr>
              <w:t>0.117</w:t>
            </w:r>
          </w:p>
        </w:tc>
        <w:tc>
          <w:tcPr>
            <w:tcW w:w="941" w:type="dxa"/>
            <w:vAlign w:val="center"/>
          </w:tcPr>
          <w:p>
            <w:pPr>
              <w:spacing w:line="280" w:lineRule="exact"/>
              <w:jc w:val="center"/>
              <w:rPr>
                <w:sz w:val="21"/>
                <w:szCs w:val="21"/>
              </w:rPr>
            </w:pPr>
            <w:r>
              <w:rPr>
                <w:sz w:val="21"/>
                <w:szCs w:val="21"/>
              </w:rPr>
              <w:t>0.15</w:t>
            </w:r>
          </w:p>
        </w:tc>
        <w:tc>
          <w:tcPr>
            <w:tcW w:w="520"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280" w:type="dxa"/>
            <w:vAlign w:val="center"/>
          </w:tcPr>
          <w:p>
            <w:pPr>
              <w:spacing w:line="280" w:lineRule="exact"/>
              <w:ind w:left="-76" w:right="-108"/>
              <w:jc w:val="center"/>
              <w:rPr>
                <w:rFonts w:hint="eastAsia"/>
                <w:sz w:val="21"/>
                <w:szCs w:val="21"/>
              </w:rPr>
            </w:pPr>
            <w:r>
              <w:rPr>
                <w:rFonts w:hint="eastAsia"/>
                <w:sz w:val="21"/>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5" w:hRule="atLeast"/>
          <w:jc w:val="center"/>
        </w:trPr>
        <w:tc>
          <w:tcPr>
            <w:tcW w:w="1025" w:type="dxa"/>
            <w:vMerge w:val="restart"/>
            <w:vAlign w:val="center"/>
          </w:tcPr>
          <w:p>
            <w:pPr>
              <w:spacing w:line="280" w:lineRule="exact"/>
              <w:jc w:val="center"/>
              <w:rPr>
                <w:sz w:val="21"/>
                <w:szCs w:val="21"/>
              </w:rPr>
            </w:pPr>
            <w:r>
              <w:rPr>
                <w:sz w:val="21"/>
                <w:szCs w:val="21"/>
              </w:rPr>
              <w:t>3＃</w:t>
            </w:r>
          </w:p>
          <w:p>
            <w:pPr>
              <w:spacing w:line="280" w:lineRule="exact"/>
              <w:jc w:val="center"/>
              <w:rPr>
                <w:rFonts w:hint="eastAsia"/>
                <w:sz w:val="21"/>
                <w:szCs w:val="21"/>
              </w:rPr>
            </w:pPr>
            <w:r>
              <w:rPr>
                <w:rFonts w:hint="eastAsia"/>
                <w:sz w:val="21"/>
                <w:szCs w:val="21"/>
              </w:rPr>
              <w:t>重庆永荣青鹏煤业有限公司家属区</w:t>
            </w:r>
          </w:p>
        </w:tc>
        <w:tc>
          <w:tcPr>
            <w:tcW w:w="865" w:type="dxa"/>
            <w:vAlign w:val="center"/>
          </w:tcPr>
          <w:p>
            <w:pPr>
              <w:spacing w:line="280" w:lineRule="exact"/>
              <w:jc w:val="center"/>
              <w:rPr>
                <w:sz w:val="21"/>
                <w:szCs w:val="21"/>
              </w:rPr>
            </w:pPr>
            <w:r>
              <w:rPr>
                <w:sz w:val="21"/>
                <w:szCs w:val="21"/>
              </w:rPr>
              <w:t>SO</w:t>
            </w:r>
            <w:r>
              <w:rPr>
                <w:sz w:val="21"/>
                <w:szCs w:val="21"/>
                <w:vertAlign w:val="subscript"/>
              </w:rPr>
              <w:t>2</w:t>
            </w:r>
          </w:p>
        </w:tc>
        <w:tc>
          <w:tcPr>
            <w:tcW w:w="563" w:type="dxa"/>
            <w:vAlign w:val="center"/>
          </w:tcPr>
          <w:p>
            <w:pPr>
              <w:spacing w:line="280" w:lineRule="exact"/>
              <w:jc w:val="center"/>
              <w:rPr>
                <w:sz w:val="21"/>
                <w:szCs w:val="21"/>
              </w:rPr>
            </w:pPr>
            <w:r>
              <w:rPr>
                <w:sz w:val="21"/>
                <w:szCs w:val="21"/>
              </w:rPr>
              <w:t>7</w:t>
            </w:r>
          </w:p>
        </w:tc>
        <w:tc>
          <w:tcPr>
            <w:tcW w:w="1072" w:type="dxa"/>
            <w:vAlign w:val="center"/>
          </w:tcPr>
          <w:p>
            <w:pPr>
              <w:spacing w:line="280" w:lineRule="exact"/>
              <w:jc w:val="center"/>
              <w:rPr>
                <w:rFonts w:hint="eastAsia"/>
                <w:sz w:val="21"/>
                <w:szCs w:val="21"/>
              </w:rPr>
            </w:pPr>
            <w:r>
              <w:rPr>
                <w:rFonts w:hint="eastAsia"/>
                <w:sz w:val="21"/>
                <w:szCs w:val="21"/>
              </w:rPr>
              <w:t>42</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0.039</w:t>
            </w:r>
            <w:r>
              <w:rPr>
                <w:spacing w:val="-20"/>
                <w:sz w:val="21"/>
                <w:szCs w:val="21"/>
              </w:rPr>
              <w:t>～</w:t>
            </w:r>
            <w:r>
              <w:rPr>
                <w:rFonts w:hint="eastAsia"/>
                <w:spacing w:val="-20"/>
                <w:sz w:val="21"/>
                <w:szCs w:val="21"/>
              </w:rPr>
              <w:t>0.106</w:t>
            </w:r>
          </w:p>
        </w:tc>
        <w:tc>
          <w:tcPr>
            <w:tcW w:w="751" w:type="dxa"/>
            <w:vAlign w:val="center"/>
          </w:tcPr>
          <w:p>
            <w:pPr>
              <w:spacing w:line="280" w:lineRule="exact"/>
              <w:jc w:val="center"/>
              <w:rPr>
                <w:sz w:val="21"/>
                <w:szCs w:val="21"/>
              </w:rPr>
            </w:pPr>
            <w:r>
              <w:rPr>
                <w:sz w:val="21"/>
                <w:szCs w:val="21"/>
              </w:rPr>
              <w:t>0.5</w:t>
            </w:r>
          </w:p>
        </w:tc>
        <w:tc>
          <w:tcPr>
            <w:tcW w:w="563"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001" w:type="dxa"/>
            <w:vAlign w:val="center"/>
          </w:tcPr>
          <w:p>
            <w:pPr>
              <w:spacing w:line="280" w:lineRule="exact"/>
              <w:jc w:val="center"/>
              <w:rPr>
                <w:rFonts w:hint="eastAsia"/>
                <w:sz w:val="21"/>
                <w:szCs w:val="21"/>
              </w:rPr>
            </w:pPr>
            <w:r>
              <w:rPr>
                <w:rFonts w:hint="eastAsia"/>
                <w:sz w:val="21"/>
                <w:szCs w:val="21"/>
              </w:rPr>
              <w:t>14.6</w:t>
            </w:r>
          </w:p>
        </w:tc>
        <w:tc>
          <w:tcPr>
            <w:tcW w:w="751" w:type="dxa"/>
            <w:vAlign w:val="center"/>
          </w:tcPr>
          <w:p>
            <w:pPr>
              <w:spacing w:line="280" w:lineRule="exact"/>
              <w:jc w:val="center"/>
              <w:rPr>
                <w:sz w:val="21"/>
                <w:szCs w:val="21"/>
              </w:rPr>
            </w:pPr>
            <w:r>
              <w:rPr>
                <w:sz w:val="21"/>
                <w:szCs w:val="21"/>
              </w:rPr>
              <w:t>7</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0.046</w:t>
            </w:r>
            <w:r>
              <w:rPr>
                <w:spacing w:val="-20"/>
                <w:sz w:val="21"/>
                <w:szCs w:val="21"/>
              </w:rPr>
              <w:t>～</w:t>
            </w:r>
            <w:r>
              <w:rPr>
                <w:rFonts w:hint="eastAsia"/>
                <w:spacing w:val="-20"/>
                <w:sz w:val="21"/>
                <w:szCs w:val="21"/>
              </w:rPr>
              <w:t>0.078</w:t>
            </w:r>
          </w:p>
        </w:tc>
        <w:tc>
          <w:tcPr>
            <w:tcW w:w="941" w:type="dxa"/>
            <w:vAlign w:val="center"/>
          </w:tcPr>
          <w:p>
            <w:pPr>
              <w:spacing w:line="280" w:lineRule="exact"/>
              <w:jc w:val="center"/>
              <w:rPr>
                <w:sz w:val="21"/>
                <w:szCs w:val="21"/>
              </w:rPr>
            </w:pPr>
            <w:r>
              <w:rPr>
                <w:sz w:val="21"/>
                <w:szCs w:val="21"/>
              </w:rPr>
              <w:t>0.15</w:t>
            </w:r>
          </w:p>
        </w:tc>
        <w:tc>
          <w:tcPr>
            <w:tcW w:w="520"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280" w:type="dxa"/>
            <w:vAlign w:val="center"/>
          </w:tcPr>
          <w:p>
            <w:pPr>
              <w:spacing w:line="280" w:lineRule="exact"/>
              <w:ind w:left="-76" w:right="-108"/>
              <w:jc w:val="center"/>
              <w:rPr>
                <w:rFonts w:hint="eastAsia"/>
                <w:sz w:val="21"/>
                <w:szCs w:val="21"/>
              </w:rPr>
            </w:pPr>
            <w:r>
              <w:rPr>
                <w:rFonts w:hint="eastAsia"/>
                <w:sz w:val="21"/>
                <w:szCs w:val="21"/>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7" w:hRule="atLeast"/>
          <w:jc w:val="center"/>
        </w:trPr>
        <w:tc>
          <w:tcPr>
            <w:tcW w:w="1025" w:type="dxa"/>
            <w:vMerge w:val="continue"/>
            <w:vAlign w:val="center"/>
          </w:tcPr>
          <w:p>
            <w:pPr>
              <w:spacing w:line="280" w:lineRule="exact"/>
              <w:jc w:val="center"/>
              <w:rPr>
                <w:sz w:val="21"/>
                <w:szCs w:val="21"/>
              </w:rPr>
            </w:pPr>
          </w:p>
        </w:tc>
        <w:tc>
          <w:tcPr>
            <w:tcW w:w="865" w:type="dxa"/>
            <w:vAlign w:val="center"/>
          </w:tcPr>
          <w:p>
            <w:pPr>
              <w:spacing w:line="280" w:lineRule="exact"/>
              <w:jc w:val="center"/>
              <w:rPr>
                <w:sz w:val="21"/>
                <w:szCs w:val="21"/>
              </w:rPr>
            </w:pPr>
            <w:r>
              <w:rPr>
                <w:sz w:val="21"/>
                <w:szCs w:val="21"/>
              </w:rPr>
              <w:t>NO</w:t>
            </w:r>
            <w:r>
              <w:rPr>
                <w:sz w:val="21"/>
                <w:szCs w:val="21"/>
                <w:vertAlign w:val="subscript"/>
              </w:rPr>
              <w:t>2</w:t>
            </w:r>
          </w:p>
        </w:tc>
        <w:tc>
          <w:tcPr>
            <w:tcW w:w="563" w:type="dxa"/>
            <w:vAlign w:val="center"/>
          </w:tcPr>
          <w:p>
            <w:pPr>
              <w:spacing w:line="280" w:lineRule="exact"/>
              <w:jc w:val="center"/>
              <w:rPr>
                <w:sz w:val="21"/>
                <w:szCs w:val="21"/>
              </w:rPr>
            </w:pPr>
            <w:r>
              <w:rPr>
                <w:sz w:val="21"/>
                <w:szCs w:val="21"/>
              </w:rPr>
              <w:t>7</w:t>
            </w:r>
          </w:p>
        </w:tc>
        <w:tc>
          <w:tcPr>
            <w:tcW w:w="1072" w:type="dxa"/>
            <w:vAlign w:val="center"/>
          </w:tcPr>
          <w:p>
            <w:pPr>
              <w:spacing w:line="280" w:lineRule="exact"/>
              <w:jc w:val="center"/>
              <w:rPr>
                <w:rFonts w:hint="eastAsia"/>
                <w:sz w:val="21"/>
                <w:szCs w:val="21"/>
              </w:rPr>
            </w:pPr>
            <w:r>
              <w:rPr>
                <w:rFonts w:hint="eastAsia"/>
                <w:sz w:val="21"/>
                <w:szCs w:val="21"/>
              </w:rPr>
              <w:t>42</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0.032</w:t>
            </w:r>
            <w:r>
              <w:rPr>
                <w:spacing w:val="-20"/>
                <w:sz w:val="21"/>
                <w:szCs w:val="21"/>
              </w:rPr>
              <w:t>～</w:t>
            </w:r>
            <w:r>
              <w:rPr>
                <w:rFonts w:hint="eastAsia"/>
                <w:spacing w:val="-20"/>
                <w:sz w:val="21"/>
                <w:szCs w:val="21"/>
              </w:rPr>
              <w:t>0.063</w:t>
            </w:r>
          </w:p>
        </w:tc>
        <w:tc>
          <w:tcPr>
            <w:tcW w:w="751" w:type="dxa"/>
            <w:vAlign w:val="center"/>
          </w:tcPr>
          <w:p>
            <w:pPr>
              <w:spacing w:line="280" w:lineRule="exact"/>
              <w:jc w:val="center"/>
              <w:rPr>
                <w:sz w:val="21"/>
                <w:szCs w:val="21"/>
              </w:rPr>
            </w:pPr>
            <w:r>
              <w:rPr>
                <w:sz w:val="21"/>
                <w:szCs w:val="21"/>
              </w:rPr>
              <w:t>0.24</w:t>
            </w:r>
          </w:p>
        </w:tc>
        <w:tc>
          <w:tcPr>
            <w:tcW w:w="563"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001" w:type="dxa"/>
            <w:vAlign w:val="center"/>
          </w:tcPr>
          <w:p>
            <w:pPr>
              <w:spacing w:line="280" w:lineRule="exact"/>
              <w:jc w:val="center"/>
              <w:rPr>
                <w:rFonts w:hint="eastAsia"/>
                <w:sz w:val="21"/>
                <w:szCs w:val="21"/>
              </w:rPr>
            </w:pPr>
            <w:r>
              <w:rPr>
                <w:rFonts w:hint="eastAsia"/>
                <w:sz w:val="21"/>
                <w:szCs w:val="21"/>
              </w:rPr>
              <w:t>15</w:t>
            </w:r>
          </w:p>
        </w:tc>
        <w:tc>
          <w:tcPr>
            <w:tcW w:w="751" w:type="dxa"/>
            <w:vAlign w:val="center"/>
          </w:tcPr>
          <w:p>
            <w:pPr>
              <w:spacing w:line="280" w:lineRule="exact"/>
              <w:jc w:val="center"/>
              <w:rPr>
                <w:sz w:val="21"/>
                <w:szCs w:val="21"/>
              </w:rPr>
            </w:pPr>
            <w:r>
              <w:rPr>
                <w:sz w:val="21"/>
                <w:szCs w:val="21"/>
              </w:rPr>
              <w:t>7</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0.044</w:t>
            </w:r>
            <w:r>
              <w:rPr>
                <w:spacing w:val="-20"/>
                <w:sz w:val="21"/>
                <w:szCs w:val="21"/>
              </w:rPr>
              <w:t>～</w:t>
            </w:r>
            <w:r>
              <w:rPr>
                <w:rFonts w:hint="eastAsia"/>
                <w:spacing w:val="-20"/>
                <w:sz w:val="21"/>
                <w:szCs w:val="21"/>
              </w:rPr>
              <w:t>0.053</w:t>
            </w:r>
          </w:p>
        </w:tc>
        <w:tc>
          <w:tcPr>
            <w:tcW w:w="941" w:type="dxa"/>
            <w:vAlign w:val="center"/>
          </w:tcPr>
          <w:p>
            <w:pPr>
              <w:spacing w:line="280" w:lineRule="exact"/>
              <w:jc w:val="center"/>
              <w:rPr>
                <w:sz w:val="21"/>
                <w:szCs w:val="21"/>
              </w:rPr>
            </w:pPr>
            <w:r>
              <w:rPr>
                <w:sz w:val="21"/>
                <w:szCs w:val="21"/>
              </w:rPr>
              <w:t>0.12</w:t>
            </w:r>
          </w:p>
        </w:tc>
        <w:tc>
          <w:tcPr>
            <w:tcW w:w="520"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280" w:type="dxa"/>
            <w:vAlign w:val="center"/>
          </w:tcPr>
          <w:p>
            <w:pPr>
              <w:spacing w:line="280" w:lineRule="exact"/>
              <w:ind w:left="-76" w:right="-108"/>
              <w:jc w:val="center"/>
              <w:rPr>
                <w:rFonts w:hint="eastAsia"/>
                <w:sz w:val="21"/>
                <w:szCs w:val="21"/>
              </w:rPr>
            </w:pPr>
            <w:r>
              <w:rPr>
                <w:rFonts w:hint="eastAsia"/>
                <w:sz w:val="21"/>
                <w:szCs w:val="21"/>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3" w:hRule="atLeast"/>
          <w:jc w:val="center"/>
        </w:trPr>
        <w:tc>
          <w:tcPr>
            <w:tcW w:w="1025" w:type="dxa"/>
            <w:vMerge w:val="continue"/>
            <w:vAlign w:val="center"/>
          </w:tcPr>
          <w:p>
            <w:pPr>
              <w:spacing w:line="280" w:lineRule="exact"/>
              <w:jc w:val="center"/>
              <w:rPr>
                <w:sz w:val="21"/>
                <w:szCs w:val="21"/>
              </w:rPr>
            </w:pPr>
          </w:p>
        </w:tc>
        <w:tc>
          <w:tcPr>
            <w:tcW w:w="865" w:type="dxa"/>
            <w:vAlign w:val="center"/>
          </w:tcPr>
          <w:p>
            <w:pPr>
              <w:spacing w:line="280" w:lineRule="exact"/>
              <w:jc w:val="center"/>
              <w:rPr>
                <w:sz w:val="21"/>
                <w:szCs w:val="21"/>
              </w:rPr>
            </w:pPr>
            <w:r>
              <w:rPr>
                <w:sz w:val="21"/>
                <w:szCs w:val="21"/>
              </w:rPr>
              <w:t>TSP</w:t>
            </w:r>
          </w:p>
        </w:tc>
        <w:tc>
          <w:tcPr>
            <w:tcW w:w="563" w:type="dxa"/>
            <w:vAlign w:val="center"/>
          </w:tcPr>
          <w:p>
            <w:pPr>
              <w:spacing w:line="280" w:lineRule="exact"/>
              <w:jc w:val="center"/>
              <w:rPr>
                <w:sz w:val="21"/>
                <w:szCs w:val="21"/>
              </w:rPr>
            </w:pPr>
            <w:r>
              <w:rPr>
                <w:spacing w:val="-20"/>
                <w:sz w:val="21"/>
                <w:szCs w:val="21"/>
              </w:rPr>
              <w:t>7</w:t>
            </w:r>
          </w:p>
        </w:tc>
        <w:tc>
          <w:tcPr>
            <w:tcW w:w="1072" w:type="dxa"/>
            <w:vAlign w:val="center"/>
          </w:tcPr>
          <w:p>
            <w:pPr>
              <w:spacing w:line="280" w:lineRule="exact"/>
              <w:jc w:val="center"/>
              <w:rPr>
                <w:sz w:val="21"/>
                <w:szCs w:val="21"/>
              </w:rPr>
            </w:pPr>
            <w:r>
              <w:rPr>
                <w:spacing w:val="-20"/>
                <w:sz w:val="21"/>
                <w:szCs w:val="21"/>
              </w:rPr>
              <w:t>/</w:t>
            </w:r>
          </w:p>
        </w:tc>
        <w:tc>
          <w:tcPr>
            <w:tcW w:w="1692"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pacing w:val="-20"/>
                <w:sz w:val="21"/>
                <w:szCs w:val="21"/>
              </w:rPr>
              <w:t>/</w:t>
            </w:r>
          </w:p>
        </w:tc>
        <w:tc>
          <w:tcPr>
            <w:tcW w:w="563"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pacing w:val="-20"/>
                <w:sz w:val="21"/>
                <w:szCs w:val="21"/>
              </w:rPr>
              <w:t>/</w:t>
            </w:r>
          </w:p>
        </w:tc>
        <w:tc>
          <w:tcPr>
            <w:tcW w:w="1001"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z w:val="21"/>
                <w:szCs w:val="21"/>
              </w:rPr>
              <w:t>7</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0.100</w:t>
            </w:r>
            <w:r>
              <w:rPr>
                <w:spacing w:val="-20"/>
                <w:sz w:val="21"/>
                <w:szCs w:val="21"/>
              </w:rPr>
              <w:t>～</w:t>
            </w:r>
            <w:r>
              <w:rPr>
                <w:rFonts w:hint="eastAsia"/>
                <w:spacing w:val="-20"/>
                <w:sz w:val="21"/>
                <w:szCs w:val="21"/>
              </w:rPr>
              <w:t>0.172</w:t>
            </w:r>
          </w:p>
        </w:tc>
        <w:tc>
          <w:tcPr>
            <w:tcW w:w="941" w:type="dxa"/>
            <w:vAlign w:val="center"/>
          </w:tcPr>
          <w:p>
            <w:pPr>
              <w:spacing w:line="280" w:lineRule="exact"/>
              <w:jc w:val="center"/>
              <w:rPr>
                <w:sz w:val="21"/>
                <w:szCs w:val="21"/>
              </w:rPr>
            </w:pPr>
            <w:r>
              <w:rPr>
                <w:sz w:val="21"/>
                <w:szCs w:val="21"/>
              </w:rPr>
              <w:t>0.30</w:t>
            </w:r>
          </w:p>
        </w:tc>
        <w:tc>
          <w:tcPr>
            <w:tcW w:w="520"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280" w:type="dxa"/>
            <w:vAlign w:val="center"/>
          </w:tcPr>
          <w:p>
            <w:pPr>
              <w:spacing w:line="280" w:lineRule="exact"/>
              <w:ind w:left="-76" w:right="-108"/>
              <w:jc w:val="center"/>
              <w:rPr>
                <w:rFonts w:hint="eastAsia"/>
                <w:sz w:val="21"/>
                <w:szCs w:val="21"/>
              </w:rPr>
            </w:pPr>
            <w:r>
              <w:rPr>
                <w:rFonts w:hint="eastAsia"/>
                <w:sz w:val="21"/>
                <w:szCs w:val="21"/>
              </w:rPr>
              <w:t>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1025" w:type="dxa"/>
            <w:vMerge w:val="continue"/>
            <w:vAlign w:val="center"/>
          </w:tcPr>
          <w:p>
            <w:pPr>
              <w:spacing w:line="280" w:lineRule="exact"/>
              <w:jc w:val="center"/>
              <w:rPr>
                <w:sz w:val="21"/>
                <w:szCs w:val="21"/>
              </w:rPr>
            </w:pPr>
          </w:p>
        </w:tc>
        <w:tc>
          <w:tcPr>
            <w:tcW w:w="865" w:type="dxa"/>
            <w:vAlign w:val="center"/>
          </w:tcPr>
          <w:p>
            <w:pPr>
              <w:spacing w:line="280" w:lineRule="exact"/>
              <w:jc w:val="center"/>
              <w:rPr>
                <w:sz w:val="21"/>
                <w:szCs w:val="21"/>
              </w:rPr>
            </w:pPr>
            <w:r>
              <w:rPr>
                <w:sz w:val="21"/>
                <w:szCs w:val="21"/>
              </w:rPr>
              <w:t>PM</w:t>
            </w:r>
            <w:r>
              <w:rPr>
                <w:sz w:val="21"/>
                <w:szCs w:val="21"/>
                <w:vertAlign w:val="subscript"/>
              </w:rPr>
              <w:t>10</w:t>
            </w:r>
          </w:p>
        </w:tc>
        <w:tc>
          <w:tcPr>
            <w:tcW w:w="563" w:type="dxa"/>
            <w:vAlign w:val="center"/>
          </w:tcPr>
          <w:p>
            <w:pPr>
              <w:spacing w:line="280" w:lineRule="exact"/>
              <w:jc w:val="center"/>
              <w:rPr>
                <w:sz w:val="21"/>
                <w:szCs w:val="21"/>
              </w:rPr>
            </w:pPr>
            <w:r>
              <w:rPr>
                <w:spacing w:val="-20"/>
                <w:sz w:val="21"/>
                <w:szCs w:val="21"/>
              </w:rPr>
              <w:t>7</w:t>
            </w:r>
          </w:p>
        </w:tc>
        <w:tc>
          <w:tcPr>
            <w:tcW w:w="1072" w:type="dxa"/>
            <w:vAlign w:val="center"/>
          </w:tcPr>
          <w:p>
            <w:pPr>
              <w:spacing w:line="280" w:lineRule="exact"/>
              <w:jc w:val="center"/>
              <w:rPr>
                <w:sz w:val="21"/>
                <w:szCs w:val="21"/>
              </w:rPr>
            </w:pPr>
            <w:r>
              <w:rPr>
                <w:spacing w:val="-20"/>
                <w:sz w:val="21"/>
                <w:szCs w:val="21"/>
              </w:rPr>
              <w:t>/</w:t>
            </w:r>
          </w:p>
        </w:tc>
        <w:tc>
          <w:tcPr>
            <w:tcW w:w="1692"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pacing w:val="-20"/>
                <w:sz w:val="21"/>
                <w:szCs w:val="21"/>
              </w:rPr>
              <w:t>/</w:t>
            </w:r>
          </w:p>
        </w:tc>
        <w:tc>
          <w:tcPr>
            <w:tcW w:w="563"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pacing w:val="-20"/>
                <w:sz w:val="21"/>
                <w:szCs w:val="21"/>
              </w:rPr>
              <w:t>/</w:t>
            </w:r>
          </w:p>
        </w:tc>
        <w:tc>
          <w:tcPr>
            <w:tcW w:w="1001"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z w:val="21"/>
                <w:szCs w:val="21"/>
              </w:rPr>
              <w:t>7</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0.072</w:t>
            </w:r>
            <w:r>
              <w:rPr>
                <w:spacing w:val="-20"/>
                <w:sz w:val="21"/>
                <w:szCs w:val="21"/>
              </w:rPr>
              <w:t>～</w:t>
            </w:r>
            <w:r>
              <w:rPr>
                <w:rFonts w:hint="eastAsia"/>
                <w:spacing w:val="-20"/>
                <w:sz w:val="21"/>
                <w:szCs w:val="21"/>
              </w:rPr>
              <w:t>0.122</w:t>
            </w:r>
          </w:p>
        </w:tc>
        <w:tc>
          <w:tcPr>
            <w:tcW w:w="941" w:type="dxa"/>
            <w:vAlign w:val="center"/>
          </w:tcPr>
          <w:p>
            <w:pPr>
              <w:spacing w:line="280" w:lineRule="exact"/>
              <w:jc w:val="center"/>
              <w:rPr>
                <w:sz w:val="21"/>
                <w:szCs w:val="21"/>
              </w:rPr>
            </w:pPr>
            <w:r>
              <w:rPr>
                <w:sz w:val="21"/>
                <w:szCs w:val="21"/>
              </w:rPr>
              <w:t>0.15</w:t>
            </w:r>
          </w:p>
        </w:tc>
        <w:tc>
          <w:tcPr>
            <w:tcW w:w="520"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280" w:type="dxa"/>
            <w:vAlign w:val="center"/>
          </w:tcPr>
          <w:p>
            <w:pPr>
              <w:spacing w:line="280" w:lineRule="exact"/>
              <w:ind w:left="-76" w:right="-108"/>
              <w:jc w:val="center"/>
              <w:rPr>
                <w:rFonts w:hint="eastAsia"/>
                <w:sz w:val="21"/>
                <w:szCs w:val="21"/>
              </w:rPr>
            </w:pPr>
            <w:r>
              <w:rPr>
                <w:rFonts w:hint="eastAsia"/>
                <w:sz w:val="21"/>
                <w:szCs w:val="21"/>
              </w:rPr>
              <w:t>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1025" w:type="dxa"/>
            <w:vMerge w:val="restart"/>
            <w:vAlign w:val="center"/>
          </w:tcPr>
          <w:p>
            <w:pPr>
              <w:spacing w:line="280" w:lineRule="exact"/>
              <w:jc w:val="center"/>
              <w:rPr>
                <w:sz w:val="21"/>
                <w:szCs w:val="21"/>
              </w:rPr>
            </w:pPr>
            <w:r>
              <w:rPr>
                <w:sz w:val="21"/>
                <w:szCs w:val="21"/>
              </w:rPr>
              <w:t>4#</w:t>
            </w:r>
          </w:p>
          <w:p>
            <w:pPr>
              <w:spacing w:line="280" w:lineRule="exact"/>
              <w:jc w:val="center"/>
              <w:rPr>
                <w:rFonts w:hint="eastAsia"/>
                <w:sz w:val="21"/>
                <w:szCs w:val="21"/>
              </w:rPr>
            </w:pPr>
            <w:r>
              <w:rPr>
                <w:rFonts w:hint="eastAsia"/>
                <w:sz w:val="21"/>
                <w:szCs w:val="21"/>
              </w:rPr>
              <w:t>管家桥</w:t>
            </w:r>
          </w:p>
        </w:tc>
        <w:tc>
          <w:tcPr>
            <w:tcW w:w="865" w:type="dxa"/>
            <w:vAlign w:val="center"/>
          </w:tcPr>
          <w:p>
            <w:pPr>
              <w:spacing w:line="280" w:lineRule="exact"/>
              <w:jc w:val="center"/>
              <w:rPr>
                <w:sz w:val="21"/>
                <w:szCs w:val="21"/>
              </w:rPr>
            </w:pPr>
            <w:r>
              <w:rPr>
                <w:sz w:val="21"/>
                <w:szCs w:val="21"/>
              </w:rPr>
              <w:t>SO</w:t>
            </w:r>
            <w:r>
              <w:rPr>
                <w:sz w:val="21"/>
                <w:szCs w:val="21"/>
                <w:vertAlign w:val="subscript"/>
              </w:rPr>
              <w:t>2</w:t>
            </w:r>
          </w:p>
        </w:tc>
        <w:tc>
          <w:tcPr>
            <w:tcW w:w="563" w:type="dxa"/>
            <w:vAlign w:val="center"/>
          </w:tcPr>
          <w:p>
            <w:pPr>
              <w:spacing w:line="280" w:lineRule="exact"/>
              <w:jc w:val="center"/>
              <w:rPr>
                <w:sz w:val="21"/>
                <w:szCs w:val="21"/>
              </w:rPr>
            </w:pPr>
            <w:r>
              <w:rPr>
                <w:sz w:val="21"/>
                <w:szCs w:val="21"/>
              </w:rPr>
              <w:t>7</w:t>
            </w:r>
          </w:p>
        </w:tc>
        <w:tc>
          <w:tcPr>
            <w:tcW w:w="1072" w:type="dxa"/>
            <w:vAlign w:val="center"/>
          </w:tcPr>
          <w:p>
            <w:pPr>
              <w:spacing w:line="280" w:lineRule="exact"/>
              <w:jc w:val="center"/>
              <w:rPr>
                <w:rFonts w:hint="eastAsia"/>
                <w:sz w:val="21"/>
                <w:szCs w:val="21"/>
              </w:rPr>
            </w:pPr>
            <w:r>
              <w:rPr>
                <w:rFonts w:hint="eastAsia"/>
                <w:sz w:val="21"/>
                <w:szCs w:val="21"/>
              </w:rPr>
              <w:t>42</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0.048</w:t>
            </w:r>
            <w:r>
              <w:rPr>
                <w:spacing w:val="-20"/>
                <w:sz w:val="21"/>
                <w:szCs w:val="21"/>
              </w:rPr>
              <w:t>～</w:t>
            </w:r>
            <w:r>
              <w:rPr>
                <w:rFonts w:hint="eastAsia"/>
                <w:spacing w:val="-20"/>
                <w:sz w:val="21"/>
                <w:szCs w:val="21"/>
              </w:rPr>
              <w:t>0.128</w:t>
            </w:r>
          </w:p>
        </w:tc>
        <w:tc>
          <w:tcPr>
            <w:tcW w:w="751" w:type="dxa"/>
            <w:vAlign w:val="center"/>
          </w:tcPr>
          <w:p>
            <w:pPr>
              <w:spacing w:line="280" w:lineRule="exact"/>
              <w:jc w:val="center"/>
              <w:rPr>
                <w:sz w:val="21"/>
                <w:szCs w:val="21"/>
              </w:rPr>
            </w:pPr>
            <w:r>
              <w:rPr>
                <w:sz w:val="21"/>
                <w:szCs w:val="21"/>
              </w:rPr>
              <w:t>0.5</w:t>
            </w:r>
          </w:p>
        </w:tc>
        <w:tc>
          <w:tcPr>
            <w:tcW w:w="563"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001" w:type="dxa"/>
            <w:vAlign w:val="center"/>
          </w:tcPr>
          <w:p>
            <w:pPr>
              <w:spacing w:line="280" w:lineRule="exact"/>
              <w:jc w:val="center"/>
              <w:rPr>
                <w:rFonts w:hint="eastAsia"/>
                <w:sz w:val="21"/>
                <w:szCs w:val="21"/>
              </w:rPr>
            </w:pPr>
            <w:r>
              <w:rPr>
                <w:rFonts w:hint="eastAsia"/>
                <w:sz w:val="21"/>
                <w:szCs w:val="21"/>
              </w:rPr>
              <w:t>25.6</w:t>
            </w:r>
          </w:p>
        </w:tc>
        <w:tc>
          <w:tcPr>
            <w:tcW w:w="751" w:type="dxa"/>
            <w:vAlign w:val="center"/>
          </w:tcPr>
          <w:p>
            <w:pPr>
              <w:spacing w:line="280" w:lineRule="exact"/>
              <w:jc w:val="center"/>
              <w:rPr>
                <w:sz w:val="21"/>
                <w:szCs w:val="21"/>
              </w:rPr>
            </w:pPr>
            <w:r>
              <w:rPr>
                <w:sz w:val="21"/>
                <w:szCs w:val="21"/>
              </w:rPr>
              <w:t>7</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0.070</w:t>
            </w:r>
            <w:r>
              <w:rPr>
                <w:spacing w:val="-20"/>
                <w:sz w:val="21"/>
                <w:szCs w:val="21"/>
              </w:rPr>
              <w:t>～</w:t>
            </w:r>
            <w:r>
              <w:rPr>
                <w:rFonts w:hint="eastAsia"/>
                <w:spacing w:val="-20"/>
                <w:sz w:val="21"/>
                <w:szCs w:val="21"/>
              </w:rPr>
              <w:t>0.084</w:t>
            </w:r>
          </w:p>
        </w:tc>
        <w:tc>
          <w:tcPr>
            <w:tcW w:w="941" w:type="dxa"/>
            <w:vAlign w:val="center"/>
          </w:tcPr>
          <w:p>
            <w:pPr>
              <w:spacing w:line="280" w:lineRule="exact"/>
              <w:jc w:val="center"/>
              <w:rPr>
                <w:sz w:val="21"/>
                <w:szCs w:val="21"/>
              </w:rPr>
            </w:pPr>
            <w:r>
              <w:rPr>
                <w:sz w:val="21"/>
                <w:szCs w:val="21"/>
              </w:rPr>
              <w:t>0.15</w:t>
            </w:r>
          </w:p>
        </w:tc>
        <w:tc>
          <w:tcPr>
            <w:tcW w:w="520"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280" w:type="dxa"/>
            <w:vAlign w:val="center"/>
          </w:tcPr>
          <w:p>
            <w:pPr>
              <w:spacing w:line="280" w:lineRule="exact"/>
              <w:ind w:left="-76" w:right="-108"/>
              <w:jc w:val="center"/>
              <w:rPr>
                <w:rFonts w:hint="eastAsia"/>
                <w:sz w:val="21"/>
                <w:szCs w:val="21"/>
              </w:rPr>
            </w:pPr>
            <w:r>
              <w:rPr>
                <w:rFonts w:hint="eastAsia"/>
                <w:sz w:val="21"/>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5" w:hRule="atLeast"/>
          <w:jc w:val="center"/>
        </w:trPr>
        <w:tc>
          <w:tcPr>
            <w:tcW w:w="1025" w:type="dxa"/>
            <w:vMerge w:val="continue"/>
            <w:vAlign w:val="center"/>
          </w:tcPr>
          <w:p>
            <w:pPr>
              <w:spacing w:line="280" w:lineRule="exact"/>
              <w:jc w:val="center"/>
              <w:rPr>
                <w:sz w:val="21"/>
                <w:szCs w:val="21"/>
              </w:rPr>
            </w:pPr>
          </w:p>
        </w:tc>
        <w:tc>
          <w:tcPr>
            <w:tcW w:w="865" w:type="dxa"/>
            <w:vAlign w:val="center"/>
          </w:tcPr>
          <w:p>
            <w:pPr>
              <w:spacing w:line="280" w:lineRule="exact"/>
              <w:jc w:val="center"/>
              <w:rPr>
                <w:sz w:val="21"/>
                <w:szCs w:val="21"/>
              </w:rPr>
            </w:pPr>
            <w:r>
              <w:rPr>
                <w:sz w:val="21"/>
                <w:szCs w:val="21"/>
              </w:rPr>
              <w:t>NO</w:t>
            </w:r>
            <w:r>
              <w:rPr>
                <w:sz w:val="21"/>
                <w:szCs w:val="21"/>
                <w:vertAlign w:val="subscript"/>
              </w:rPr>
              <w:t>2</w:t>
            </w:r>
          </w:p>
        </w:tc>
        <w:tc>
          <w:tcPr>
            <w:tcW w:w="563" w:type="dxa"/>
            <w:vAlign w:val="center"/>
          </w:tcPr>
          <w:p>
            <w:pPr>
              <w:spacing w:line="280" w:lineRule="exact"/>
              <w:jc w:val="center"/>
              <w:rPr>
                <w:sz w:val="21"/>
                <w:szCs w:val="21"/>
              </w:rPr>
            </w:pPr>
            <w:r>
              <w:rPr>
                <w:sz w:val="21"/>
                <w:szCs w:val="21"/>
              </w:rPr>
              <w:t>7</w:t>
            </w:r>
          </w:p>
        </w:tc>
        <w:tc>
          <w:tcPr>
            <w:tcW w:w="1072" w:type="dxa"/>
            <w:vAlign w:val="center"/>
          </w:tcPr>
          <w:p>
            <w:pPr>
              <w:spacing w:line="280" w:lineRule="exact"/>
              <w:jc w:val="center"/>
              <w:rPr>
                <w:rFonts w:hint="eastAsia"/>
                <w:sz w:val="21"/>
                <w:szCs w:val="21"/>
              </w:rPr>
            </w:pPr>
            <w:r>
              <w:rPr>
                <w:rFonts w:hint="eastAsia"/>
                <w:sz w:val="21"/>
                <w:szCs w:val="21"/>
              </w:rPr>
              <w:t>42</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0.025</w:t>
            </w:r>
            <w:r>
              <w:rPr>
                <w:spacing w:val="-20"/>
                <w:sz w:val="21"/>
                <w:szCs w:val="21"/>
              </w:rPr>
              <w:t>～</w:t>
            </w:r>
            <w:r>
              <w:rPr>
                <w:rFonts w:hint="eastAsia"/>
                <w:spacing w:val="-20"/>
                <w:sz w:val="21"/>
                <w:szCs w:val="21"/>
              </w:rPr>
              <w:t>0.057</w:t>
            </w:r>
          </w:p>
        </w:tc>
        <w:tc>
          <w:tcPr>
            <w:tcW w:w="751" w:type="dxa"/>
            <w:vAlign w:val="center"/>
          </w:tcPr>
          <w:p>
            <w:pPr>
              <w:spacing w:line="280" w:lineRule="exact"/>
              <w:jc w:val="center"/>
              <w:rPr>
                <w:sz w:val="21"/>
                <w:szCs w:val="21"/>
              </w:rPr>
            </w:pPr>
            <w:r>
              <w:rPr>
                <w:sz w:val="21"/>
                <w:szCs w:val="21"/>
              </w:rPr>
              <w:t>0.24</w:t>
            </w:r>
          </w:p>
        </w:tc>
        <w:tc>
          <w:tcPr>
            <w:tcW w:w="563"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001" w:type="dxa"/>
            <w:vAlign w:val="center"/>
          </w:tcPr>
          <w:p>
            <w:pPr>
              <w:spacing w:line="280" w:lineRule="exact"/>
              <w:jc w:val="center"/>
              <w:rPr>
                <w:rFonts w:hint="eastAsia"/>
                <w:sz w:val="21"/>
                <w:szCs w:val="21"/>
              </w:rPr>
            </w:pPr>
            <w:r>
              <w:rPr>
                <w:rFonts w:hint="eastAsia"/>
                <w:sz w:val="21"/>
                <w:szCs w:val="21"/>
              </w:rPr>
              <w:t>23.8</w:t>
            </w:r>
          </w:p>
        </w:tc>
        <w:tc>
          <w:tcPr>
            <w:tcW w:w="751" w:type="dxa"/>
            <w:vAlign w:val="center"/>
          </w:tcPr>
          <w:p>
            <w:pPr>
              <w:spacing w:line="280" w:lineRule="exact"/>
              <w:jc w:val="center"/>
              <w:rPr>
                <w:sz w:val="21"/>
                <w:szCs w:val="21"/>
              </w:rPr>
            </w:pPr>
            <w:r>
              <w:rPr>
                <w:sz w:val="21"/>
                <w:szCs w:val="21"/>
              </w:rPr>
              <w:t>7</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0.039</w:t>
            </w:r>
            <w:r>
              <w:rPr>
                <w:spacing w:val="-20"/>
                <w:sz w:val="21"/>
                <w:szCs w:val="21"/>
              </w:rPr>
              <w:t>～</w:t>
            </w:r>
            <w:r>
              <w:rPr>
                <w:rFonts w:hint="eastAsia"/>
                <w:spacing w:val="-20"/>
                <w:sz w:val="21"/>
                <w:szCs w:val="21"/>
              </w:rPr>
              <w:t>0.048</w:t>
            </w:r>
          </w:p>
        </w:tc>
        <w:tc>
          <w:tcPr>
            <w:tcW w:w="941" w:type="dxa"/>
            <w:vAlign w:val="center"/>
          </w:tcPr>
          <w:p>
            <w:pPr>
              <w:spacing w:line="280" w:lineRule="exact"/>
              <w:jc w:val="center"/>
              <w:rPr>
                <w:sz w:val="21"/>
                <w:szCs w:val="21"/>
              </w:rPr>
            </w:pPr>
            <w:r>
              <w:rPr>
                <w:sz w:val="21"/>
                <w:szCs w:val="21"/>
              </w:rPr>
              <w:t>0.12</w:t>
            </w:r>
          </w:p>
        </w:tc>
        <w:tc>
          <w:tcPr>
            <w:tcW w:w="520"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280" w:type="dxa"/>
            <w:vAlign w:val="center"/>
          </w:tcPr>
          <w:p>
            <w:pPr>
              <w:spacing w:line="280" w:lineRule="exact"/>
              <w:ind w:left="-76" w:right="-108"/>
              <w:jc w:val="center"/>
              <w:rPr>
                <w:rFonts w:hint="eastAsia"/>
                <w:sz w:val="21"/>
                <w:szCs w:val="21"/>
              </w:rPr>
            </w:pPr>
            <w:r>
              <w:rPr>
                <w:rFonts w:hint="eastAsia"/>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3" w:hRule="atLeast"/>
          <w:jc w:val="center"/>
        </w:trPr>
        <w:tc>
          <w:tcPr>
            <w:tcW w:w="1025" w:type="dxa"/>
            <w:vMerge w:val="continue"/>
            <w:vAlign w:val="center"/>
          </w:tcPr>
          <w:p>
            <w:pPr>
              <w:spacing w:line="280" w:lineRule="exact"/>
              <w:jc w:val="center"/>
              <w:rPr>
                <w:sz w:val="21"/>
                <w:szCs w:val="21"/>
              </w:rPr>
            </w:pPr>
          </w:p>
        </w:tc>
        <w:tc>
          <w:tcPr>
            <w:tcW w:w="865" w:type="dxa"/>
            <w:vAlign w:val="center"/>
          </w:tcPr>
          <w:p>
            <w:pPr>
              <w:spacing w:line="280" w:lineRule="exact"/>
              <w:jc w:val="center"/>
              <w:rPr>
                <w:sz w:val="21"/>
                <w:szCs w:val="21"/>
              </w:rPr>
            </w:pPr>
            <w:r>
              <w:rPr>
                <w:sz w:val="21"/>
                <w:szCs w:val="21"/>
              </w:rPr>
              <w:t>TSP</w:t>
            </w:r>
          </w:p>
        </w:tc>
        <w:tc>
          <w:tcPr>
            <w:tcW w:w="563" w:type="dxa"/>
            <w:vAlign w:val="center"/>
          </w:tcPr>
          <w:p>
            <w:pPr>
              <w:spacing w:line="280" w:lineRule="exact"/>
              <w:jc w:val="center"/>
              <w:rPr>
                <w:sz w:val="21"/>
                <w:szCs w:val="21"/>
              </w:rPr>
            </w:pPr>
            <w:r>
              <w:rPr>
                <w:spacing w:val="-20"/>
                <w:sz w:val="21"/>
                <w:szCs w:val="21"/>
              </w:rPr>
              <w:t>7</w:t>
            </w:r>
          </w:p>
        </w:tc>
        <w:tc>
          <w:tcPr>
            <w:tcW w:w="1072" w:type="dxa"/>
            <w:vAlign w:val="center"/>
          </w:tcPr>
          <w:p>
            <w:pPr>
              <w:spacing w:line="280" w:lineRule="exact"/>
              <w:jc w:val="center"/>
              <w:rPr>
                <w:sz w:val="21"/>
                <w:szCs w:val="21"/>
              </w:rPr>
            </w:pPr>
            <w:r>
              <w:rPr>
                <w:spacing w:val="-20"/>
                <w:sz w:val="21"/>
                <w:szCs w:val="21"/>
              </w:rPr>
              <w:t>/</w:t>
            </w:r>
          </w:p>
        </w:tc>
        <w:tc>
          <w:tcPr>
            <w:tcW w:w="1692"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pacing w:val="-20"/>
                <w:sz w:val="21"/>
                <w:szCs w:val="21"/>
              </w:rPr>
              <w:t>/</w:t>
            </w:r>
          </w:p>
        </w:tc>
        <w:tc>
          <w:tcPr>
            <w:tcW w:w="563"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pacing w:val="-20"/>
                <w:sz w:val="21"/>
                <w:szCs w:val="21"/>
              </w:rPr>
              <w:t>/</w:t>
            </w:r>
          </w:p>
        </w:tc>
        <w:tc>
          <w:tcPr>
            <w:tcW w:w="1001"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z w:val="21"/>
                <w:szCs w:val="21"/>
              </w:rPr>
              <w:t>7</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0.104</w:t>
            </w:r>
            <w:r>
              <w:rPr>
                <w:spacing w:val="-20"/>
                <w:sz w:val="21"/>
                <w:szCs w:val="21"/>
              </w:rPr>
              <w:t>～</w:t>
            </w:r>
            <w:r>
              <w:rPr>
                <w:rFonts w:hint="eastAsia"/>
                <w:spacing w:val="-20"/>
                <w:sz w:val="21"/>
                <w:szCs w:val="21"/>
              </w:rPr>
              <w:t>0.162</w:t>
            </w:r>
          </w:p>
        </w:tc>
        <w:tc>
          <w:tcPr>
            <w:tcW w:w="941" w:type="dxa"/>
            <w:vAlign w:val="center"/>
          </w:tcPr>
          <w:p>
            <w:pPr>
              <w:spacing w:line="280" w:lineRule="exact"/>
              <w:jc w:val="center"/>
              <w:rPr>
                <w:sz w:val="21"/>
                <w:szCs w:val="21"/>
              </w:rPr>
            </w:pPr>
            <w:r>
              <w:rPr>
                <w:sz w:val="21"/>
                <w:szCs w:val="21"/>
              </w:rPr>
              <w:t>0.30</w:t>
            </w:r>
          </w:p>
        </w:tc>
        <w:tc>
          <w:tcPr>
            <w:tcW w:w="520"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280" w:type="dxa"/>
            <w:vAlign w:val="center"/>
          </w:tcPr>
          <w:p>
            <w:pPr>
              <w:spacing w:line="280" w:lineRule="exact"/>
              <w:ind w:left="-76" w:right="-108"/>
              <w:jc w:val="center"/>
              <w:rPr>
                <w:rFonts w:hint="eastAsia"/>
                <w:sz w:val="21"/>
                <w:szCs w:val="21"/>
              </w:rPr>
            </w:pPr>
            <w:r>
              <w:rPr>
                <w:rFonts w:hint="eastAsia"/>
                <w:sz w:val="21"/>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3" w:hRule="atLeast"/>
          <w:jc w:val="center"/>
        </w:trPr>
        <w:tc>
          <w:tcPr>
            <w:tcW w:w="1025" w:type="dxa"/>
            <w:vMerge w:val="continue"/>
            <w:vAlign w:val="center"/>
          </w:tcPr>
          <w:p>
            <w:pPr>
              <w:spacing w:line="280" w:lineRule="exact"/>
              <w:jc w:val="center"/>
              <w:rPr>
                <w:sz w:val="21"/>
                <w:szCs w:val="21"/>
              </w:rPr>
            </w:pPr>
          </w:p>
        </w:tc>
        <w:tc>
          <w:tcPr>
            <w:tcW w:w="865" w:type="dxa"/>
            <w:vAlign w:val="center"/>
          </w:tcPr>
          <w:p>
            <w:pPr>
              <w:spacing w:line="280" w:lineRule="exact"/>
              <w:jc w:val="center"/>
              <w:rPr>
                <w:sz w:val="21"/>
                <w:szCs w:val="21"/>
              </w:rPr>
            </w:pPr>
            <w:r>
              <w:rPr>
                <w:sz w:val="21"/>
                <w:szCs w:val="21"/>
              </w:rPr>
              <w:t>PM</w:t>
            </w:r>
            <w:r>
              <w:rPr>
                <w:sz w:val="21"/>
                <w:szCs w:val="21"/>
                <w:vertAlign w:val="subscript"/>
              </w:rPr>
              <w:t>10</w:t>
            </w:r>
          </w:p>
        </w:tc>
        <w:tc>
          <w:tcPr>
            <w:tcW w:w="563" w:type="dxa"/>
            <w:vAlign w:val="center"/>
          </w:tcPr>
          <w:p>
            <w:pPr>
              <w:spacing w:line="280" w:lineRule="exact"/>
              <w:jc w:val="center"/>
              <w:rPr>
                <w:sz w:val="21"/>
                <w:szCs w:val="21"/>
              </w:rPr>
            </w:pPr>
            <w:r>
              <w:rPr>
                <w:spacing w:val="-20"/>
                <w:sz w:val="21"/>
                <w:szCs w:val="21"/>
              </w:rPr>
              <w:t>7</w:t>
            </w:r>
          </w:p>
        </w:tc>
        <w:tc>
          <w:tcPr>
            <w:tcW w:w="1072" w:type="dxa"/>
            <w:vAlign w:val="center"/>
          </w:tcPr>
          <w:p>
            <w:pPr>
              <w:spacing w:line="280" w:lineRule="exact"/>
              <w:jc w:val="center"/>
              <w:rPr>
                <w:sz w:val="21"/>
                <w:szCs w:val="21"/>
              </w:rPr>
            </w:pPr>
            <w:r>
              <w:rPr>
                <w:spacing w:val="-20"/>
                <w:sz w:val="21"/>
                <w:szCs w:val="21"/>
              </w:rPr>
              <w:t>/</w:t>
            </w:r>
          </w:p>
        </w:tc>
        <w:tc>
          <w:tcPr>
            <w:tcW w:w="1692"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pacing w:val="-20"/>
                <w:sz w:val="21"/>
                <w:szCs w:val="21"/>
              </w:rPr>
              <w:t>/</w:t>
            </w:r>
          </w:p>
        </w:tc>
        <w:tc>
          <w:tcPr>
            <w:tcW w:w="563"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pacing w:val="-20"/>
                <w:sz w:val="21"/>
                <w:szCs w:val="21"/>
              </w:rPr>
              <w:t>/</w:t>
            </w:r>
          </w:p>
        </w:tc>
        <w:tc>
          <w:tcPr>
            <w:tcW w:w="1001"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z w:val="21"/>
                <w:szCs w:val="21"/>
              </w:rPr>
              <w:t>7</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0.075</w:t>
            </w:r>
            <w:r>
              <w:rPr>
                <w:spacing w:val="-20"/>
                <w:sz w:val="21"/>
                <w:szCs w:val="21"/>
              </w:rPr>
              <w:t>～</w:t>
            </w:r>
            <w:r>
              <w:rPr>
                <w:rFonts w:hint="eastAsia"/>
                <w:spacing w:val="-20"/>
                <w:sz w:val="21"/>
                <w:szCs w:val="21"/>
              </w:rPr>
              <w:t>0.114</w:t>
            </w:r>
          </w:p>
        </w:tc>
        <w:tc>
          <w:tcPr>
            <w:tcW w:w="941" w:type="dxa"/>
            <w:vAlign w:val="center"/>
          </w:tcPr>
          <w:p>
            <w:pPr>
              <w:spacing w:line="280" w:lineRule="exact"/>
              <w:jc w:val="center"/>
              <w:rPr>
                <w:sz w:val="21"/>
                <w:szCs w:val="21"/>
              </w:rPr>
            </w:pPr>
            <w:r>
              <w:rPr>
                <w:sz w:val="21"/>
                <w:szCs w:val="21"/>
              </w:rPr>
              <w:t>0.15</w:t>
            </w:r>
          </w:p>
        </w:tc>
        <w:tc>
          <w:tcPr>
            <w:tcW w:w="520"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280" w:type="dxa"/>
            <w:vAlign w:val="center"/>
          </w:tcPr>
          <w:p>
            <w:pPr>
              <w:spacing w:line="280" w:lineRule="exact"/>
              <w:ind w:left="-76" w:right="-108"/>
              <w:jc w:val="center"/>
              <w:rPr>
                <w:rFonts w:hint="eastAsia"/>
                <w:sz w:val="21"/>
                <w:szCs w:val="21"/>
              </w:rPr>
            </w:pPr>
            <w:r>
              <w:rPr>
                <w:rFonts w:hint="eastAsia"/>
                <w:sz w:val="21"/>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3" w:hRule="atLeast"/>
          <w:jc w:val="center"/>
        </w:trPr>
        <w:tc>
          <w:tcPr>
            <w:tcW w:w="1025" w:type="dxa"/>
            <w:vMerge w:val="restart"/>
            <w:vAlign w:val="center"/>
          </w:tcPr>
          <w:p>
            <w:pPr>
              <w:spacing w:line="280" w:lineRule="exact"/>
              <w:jc w:val="center"/>
              <w:rPr>
                <w:sz w:val="21"/>
                <w:szCs w:val="21"/>
              </w:rPr>
            </w:pPr>
            <w:r>
              <w:rPr>
                <w:sz w:val="21"/>
                <w:szCs w:val="21"/>
              </w:rPr>
              <w:t>5#</w:t>
            </w:r>
          </w:p>
          <w:p>
            <w:pPr>
              <w:spacing w:line="280" w:lineRule="exact"/>
              <w:jc w:val="center"/>
              <w:rPr>
                <w:rFonts w:hint="eastAsia"/>
                <w:sz w:val="21"/>
                <w:szCs w:val="21"/>
              </w:rPr>
            </w:pPr>
            <w:r>
              <w:rPr>
                <w:rFonts w:hint="eastAsia"/>
                <w:sz w:val="21"/>
                <w:szCs w:val="21"/>
              </w:rPr>
              <w:t>大学城</w:t>
            </w:r>
          </w:p>
        </w:tc>
        <w:tc>
          <w:tcPr>
            <w:tcW w:w="865" w:type="dxa"/>
            <w:vAlign w:val="center"/>
          </w:tcPr>
          <w:p>
            <w:pPr>
              <w:spacing w:line="280" w:lineRule="exact"/>
              <w:jc w:val="center"/>
              <w:rPr>
                <w:sz w:val="21"/>
                <w:szCs w:val="21"/>
              </w:rPr>
            </w:pPr>
            <w:r>
              <w:rPr>
                <w:sz w:val="21"/>
                <w:szCs w:val="21"/>
              </w:rPr>
              <w:t>SO</w:t>
            </w:r>
            <w:r>
              <w:rPr>
                <w:sz w:val="21"/>
                <w:szCs w:val="21"/>
                <w:vertAlign w:val="subscript"/>
              </w:rPr>
              <w:t>2</w:t>
            </w:r>
          </w:p>
        </w:tc>
        <w:tc>
          <w:tcPr>
            <w:tcW w:w="563" w:type="dxa"/>
            <w:vAlign w:val="center"/>
          </w:tcPr>
          <w:p>
            <w:pPr>
              <w:spacing w:line="280" w:lineRule="exact"/>
              <w:jc w:val="center"/>
              <w:rPr>
                <w:sz w:val="21"/>
                <w:szCs w:val="21"/>
              </w:rPr>
            </w:pPr>
            <w:r>
              <w:rPr>
                <w:sz w:val="21"/>
                <w:szCs w:val="21"/>
              </w:rPr>
              <w:t>7</w:t>
            </w:r>
          </w:p>
        </w:tc>
        <w:tc>
          <w:tcPr>
            <w:tcW w:w="1072" w:type="dxa"/>
            <w:vAlign w:val="center"/>
          </w:tcPr>
          <w:p>
            <w:pPr>
              <w:spacing w:line="280" w:lineRule="exact"/>
              <w:jc w:val="center"/>
              <w:rPr>
                <w:rFonts w:hint="eastAsia"/>
                <w:sz w:val="21"/>
                <w:szCs w:val="21"/>
              </w:rPr>
            </w:pPr>
            <w:r>
              <w:rPr>
                <w:rFonts w:hint="eastAsia"/>
                <w:sz w:val="21"/>
                <w:szCs w:val="21"/>
              </w:rPr>
              <w:t>42</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0.035</w:t>
            </w:r>
            <w:r>
              <w:rPr>
                <w:spacing w:val="-20"/>
                <w:sz w:val="21"/>
                <w:szCs w:val="21"/>
              </w:rPr>
              <w:t>～</w:t>
            </w:r>
            <w:r>
              <w:rPr>
                <w:rFonts w:hint="eastAsia"/>
                <w:spacing w:val="-20"/>
                <w:sz w:val="21"/>
                <w:szCs w:val="21"/>
              </w:rPr>
              <w:t>0.069</w:t>
            </w:r>
          </w:p>
        </w:tc>
        <w:tc>
          <w:tcPr>
            <w:tcW w:w="751" w:type="dxa"/>
            <w:vAlign w:val="center"/>
          </w:tcPr>
          <w:p>
            <w:pPr>
              <w:spacing w:line="280" w:lineRule="exact"/>
              <w:jc w:val="center"/>
              <w:rPr>
                <w:sz w:val="21"/>
                <w:szCs w:val="21"/>
              </w:rPr>
            </w:pPr>
            <w:r>
              <w:rPr>
                <w:sz w:val="21"/>
                <w:szCs w:val="21"/>
              </w:rPr>
              <w:t>0.5</w:t>
            </w:r>
          </w:p>
        </w:tc>
        <w:tc>
          <w:tcPr>
            <w:tcW w:w="563"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001" w:type="dxa"/>
            <w:vAlign w:val="center"/>
          </w:tcPr>
          <w:p>
            <w:pPr>
              <w:spacing w:line="280" w:lineRule="exact"/>
              <w:jc w:val="center"/>
              <w:rPr>
                <w:rFonts w:hint="eastAsia"/>
                <w:sz w:val="21"/>
                <w:szCs w:val="21"/>
              </w:rPr>
            </w:pPr>
            <w:r>
              <w:rPr>
                <w:rFonts w:hint="eastAsia"/>
                <w:sz w:val="21"/>
                <w:szCs w:val="21"/>
              </w:rPr>
              <w:t>13.8</w:t>
            </w:r>
          </w:p>
        </w:tc>
        <w:tc>
          <w:tcPr>
            <w:tcW w:w="751" w:type="dxa"/>
            <w:vAlign w:val="center"/>
          </w:tcPr>
          <w:p>
            <w:pPr>
              <w:spacing w:line="280" w:lineRule="exact"/>
              <w:jc w:val="center"/>
              <w:rPr>
                <w:sz w:val="21"/>
                <w:szCs w:val="21"/>
              </w:rPr>
            </w:pPr>
            <w:r>
              <w:rPr>
                <w:sz w:val="21"/>
                <w:szCs w:val="21"/>
              </w:rPr>
              <w:t>7</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0.048</w:t>
            </w:r>
            <w:r>
              <w:rPr>
                <w:spacing w:val="-20"/>
                <w:sz w:val="21"/>
                <w:szCs w:val="21"/>
              </w:rPr>
              <w:t>～</w:t>
            </w:r>
            <w:r>
              <w:rPr>
                <w:rFonts w:hint="eastAsia"/>
                <w:spacing w:val="-20"/>
                <w:sz w:val="21"/>
                <w:szCs w:val="21"/>
              </w:rPr>
              <w:t>0.058</w:t>
            </w:r>
          </w:p>
        </w:tc>
        <w:tc>
          <w:tcPr>
            <w:tcW w:w="941" w:type="dxa"/>
            <w:vAlign w:val="center"/>
          </w:tcPr>
          <w:p>
            <w:pPr>
              <w:spacing w:line="280" w:lineRule="exact"/>
              <w:jc w:val="center"/>
              <w:rPr>
                <w:sz w:val="21"/>
                <w:szCs w:val="21"/>
              </w:rPr>
            </w:pPr>
            <w:r>
              <w:rPr>
                <w:sz w:val="21"/>
                <w:szCs w:val="21"/>
              </w:rPr>
              <w:t>0.15</w:t>
            </w:r>
          </w:p>
        </w:tc>
        <w:tc>
          <w:tcPr>
            <w:tcW w:w="520"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280" w:type="dxa"/>
            <w:vAlign w:val="center"/>
          </w:tcPr>
          <w:p>
            <w:pPr>
              <w:spacing w:line="280" w:lineRule="exact"/>
              <w:ind w:left="-76" w:right="-108"/>
              <w:jc w:val="center"/>
              <w:rPr>
                <w:rFonts w:hint="eastAsia"/>
                <w:sz w:val="21"/>
                <w:szCs w:val="21"/>
              </w:rPr>
            </w:pPr>
            <w:r>
              <w:rPr>
                <w:rFonts w:hint="eastAsia"/>
                <w:sz w:val="21"/>
                <w:szCs w:val="21"/>
              </w:rPr>
              <w:t>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3" w:hRule="atLeast"/>
          <w:jc w:val="center"/>
        </w:trPr>
        <w:tc>
          <w:tcPr>
            <w:tcW w:w="1025" w:type="dxa"/>
            <w:vMerge w:val="continue"/>
            <w:vAlign w:val="center"/>
          </w:tcPr>
          <w:p>
            <w:pPr>
              <w:spacing w:line="280" w:lineRule="exact"/>
              <w:jc w:val="center"/>
              <w:rPr>
                <w:sz w:val="21"/>
                <w:szCs w:val="21"/>
              </w:rPr>
            </w:pPr>
          </w:p>
        </w:tc>
        <w:tc>
          <w:tcPr>
            <w:tcW w:w="865" w:type="dxa"/>
            <w:vAlign w:val="center"/>
          </w:tcPr>
          <w:p>
            <w:pPr>
              <w:spacing w:line="280" w:lineRule="exact"/>
              <w:jc w:val="center"/>
              <w:rPr>
                <w:sz w:val="21"/>
                <w:szCs w:val="21"/>
              </w:rPr>
            </w:pPr>
            <w:r>
              <w:rPr>
                <w:sz w:val="21"/>
                <w:szCs w:val="21"/>
              </w:rPr>
              <w:t>NO</w:t>
            </w:r>
            <w:r>
              <w:rPr>
                <w:sz w:val="21"/>
                <w:szCs w:val="21"/>
                <w:vertAlign w:val="subscript"/>
              </w:rPr>
              <w:t>2</w:t>
            </w:r>
          </w:p>
        </w:tc>
        <w:tc>
          <w:tcPr>
            <w:tcW w:w="563" w:type="dxa"/>
            <w:vAlign w:val="center"/>
          </w:tcPr>
          <w:p>
            <w:pPr>
              <w:spacing w:line="280" w:lineRule="exact"/>
              <w:jc w:val="center"/>
              <w:rPr>
                <w:sz w:val="21"/>
                <w:szCs w:val="21"/>
              </w:rPr>
            </w:pPr>
            <w:r>
              <w:rPr>
                <w:sz w:val="21"/>
                <w:szCs w:val="21"/>
              </w:rPr>
              <w:t>7</w:t>
            </w:r>
          </w:p>
        </w:tc>
        <w:tc>
          <w:tcPr>
            <w:tcW w:w="1072" w:type="dxa"/>
            <w:vAlign w:val="center"/>
          </w:tcPr>
          <w:p>
            <w:pPr>
              <w:spacing w:line="280" w:lineRule="exact"/>
              <w:jc w:val="center"/>
              <w:rPr>
                <w:rFonts w:hint="eastAsia"/>
                <w:sz w:val="21"/>
                <w:szCs w:val="21"/>
              </w:rPr>
            </w:pPr>
            <w:r>
              <w:rPr>
                <w:rFonts w:hint="eastAsia"/>
                <w:sz w:val="21"/>
                <w:szCs w:val="21"/>
              </w:rPr>
              <w:t>42</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0.007</w:t>
            </w:r>
            <w:r>
              <w:rPr>
                <w:spacing w:val="-20"/>
                <w:sz w:val="21"/>
                <w:szCs w:val="21"/>
              </w:rPr>
              <w:t>～</w:t>
            </w:r>
            <w:r>
              <w:rPr>
                <w:rFonts w:hint="eastAsia"/>
                <w:spacing w:val="-20"/>
                <w:sz w:val="21"/>
                <w:szCs w:val="21"/>
              </w:rPr>
              <w:t>0.048</w:t>
            </w:r>
          </w:p>
        </w:tc>
        <w:tc>
          <w:tcPr>
            <w:tcW w:w="751" w:type="dxa"/>
            <w:vAlign w:val="center"/>
          </w:tcPr>
          <w:p>
            <w:pPr>
              <w:spacing w:line="280" w:lineRule="exact"/>
              <w:jc w:val="center"/>
              <w:rPr>
                <w:sz w:val="21"/>
                <w:szCs w:val="21"/>
              </w:rPr>
            </w:pPr>
            <w:r>
              <w:rPr>
                <w:sz w:val="21"/>
                <w:szCs w:val="21"/>
              </w:rPr>
              <w:t>0.24</w:t>
            </w:r>
          </w:p>
        </w:tc>
        <w:tc>
          <w:tcPr>
            <w:tcW w:w="563"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001" w:type="dxa"/>
            <w:vAlign w:val="center"/>
          </w:tcPr>
          <w:p>
            <w:pPr>
              <w:spacing w:line="280" w:lineRule="exact"/>
              <w:jc w:val="center"/>
              <w:rPr>
                <w:rFonts w:hint="eastAsia"/>
                <w:sz w:val="21"/>
                <w:szCs w:val="21"/>
              </w:rPr>
            </w:pPr>
            <w:r>
              <w:rPr>
                <w:rFonts w:hint="eastAsia"/>
                <w:sz w:val="21"/>
                <w:szCs w:val="21"/>
              </w:rPr>
              <w:t>20</w:t>
            </w:r>
          </w:p>
        </w:tc>
        <w:tc>
          <w:tcPr>
            <w:tcW w:w="751" w:type="dxa"/>
            <w:vAlign w:val="center"/>
          </w:tcPr>
          <w:p>
            <w:pPr>
              <w:spacing w:line="280" w:lineRule="exact"/>
              <w:jc w:val="center"/>
              <w:rPr>
                <w:sz w:val="21"/>
                <w:szCs w:val="21"/>
              </w:rPr>
            </w:pPr>
            <w:r>
              <w:rPr>
                <w:sz w:val="21"/>
                <w:szCs w:val="21"/>
              </w:rPr>
              <w:t>7</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0.009</w:t>
            </w:r>
            <w:r>
              <w:rPr>
                <w:spacing w:val="-20"/>
                <w:sz w:val="21"/>
                <w:szCs w:val="21"/>
              </w:rPr>
              <w:t>～</w:t>
            </w:r>
            <w:r>
              <w:rPr>
                <w:rFonts w:hint="eastAsia"/>
                <w:spacing w:val="-20"/>
                <w:sz w:val="21"/>
                <w:szCs w:val="21"/>
              </w:rPr>
              <w:t>0.039</w:t>
            </w:r>
          </w:p>
        </w:tc>
        <w:tc>
          <w:tcPr>
            <w:tcW w:w="941" w:type="dxa"/>
            <w:vAlign w:val="center"/>
          </w:tcPr>
          <w:p>
            <w:pPr>
              <w:spacing w:line="280" w:lineRule="exact"/>
              <w:jc w:val="center"/>
              <w:rPr>
                <w:sz w:val="21"/>
                <w:szCs w:val="21"/>
              </w:rPr>
            </w:pPr>
            <w:r>
              <w:rPr>
                <w:sz w:val="21"/>
                <w:szCs w:val="21"/>
              </w:rPr>
              <w:t>0.12</w:t>
            </w:r>
          </w:p>
        </w:tc>
        <w:tc>
          <w:tcPr>
            <w:tcW w:w="520"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280" w:type="dxa"/>
            <w:vAlign w:val="center"/>
          </w:tcPr>
          <w:p>
            <w:pPr>
              <w:spacing w:line="280" w:lineRule="exact"/>
              <w:ind w:left="-76" w:right="-108"/>
              <w:jc w:val="center"/>
              <w:rPr>
                <w:rFonts w:hint="eastAsia"/>
                <w:sz w:val="21"/>
                <w:szCs w:val="21"/>
              </w:rPr>
            </w:pPr>
            <w:r>
              <w:rPr>
                <w:rFonts w:hint="eastAsia"/>
                <w:sz w:val="21"/>
                <w:szCs w:val="21"/>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3" w:hRule="atLeast"/>
          <w:jc w:val="center"/>
        </w:trPr>
        <w:tc>
          <w:tcPr>
            <w:tcW w:w="1025" w:type="dxa"/>
            <w:vMerge w:val="continue"/>
            <w:vAlign w:val="center"/>
          </w:tcPr>
          <w:p>
            <w:pPr>
              <w:spacing w:line="280" w:lineRule="exact"/>
              <w:jc w:val="center"/>
              <w:rPr>
                <w:sz w:val="21"/>
                <w:szCs w:val="21"/>
              </w:rPr>
            </w:pPr>
          </w:p>
        </w:tc>
        <w:tc>
          <w:tcPr>
            <w:tcW w:w="865" w:type="dxa"/>
            <w:vAlign w:val="center"/>
          </w:tcPr>
          <w:p>
            <w:pPr>
              <w:spacing w:line="280" w:lineRule="exact"/>
              <w:jc w:val="center"/>
              <w:rPr>
                <w:sz w:val="21"/>
                <w:szCs w:val="21"/>
              </w:rPr>
            </w:pPr>
            <w:r>
              <w:rPr>
                <w:sz w:val="21"/>
                <w:szCs w:val="21"/>
              </w:rPr>
              <w:t>TSP</w:t>
            </w:r>
          </w:p>
        </w:tc>
        <w:tc>
          <w:tcPr>
            <w:tcW w:w="563" w:type="dxa"/>
            <w:vAlign w:val="center"/>
          </w:tcPr>
          <w:p>
            <w:pPr>
              <w:spacing w:line="280" w:lineRule="exact"/>
              <w:jc w:val="center"/>
              <w:rPr>
                <w:sz w:val="21"/>
                <w:szCs w:val="21"/>
              </w:rPr>
            </w:pPr>
            <w:r>
              <w:rPr>
                <w:spacing w:val="-20"/>
                <w:sz w:val="21"/>
                <w:szCs w:val="21"/>
              </w:rPr>
              <w:t>7</w:t>
            </w:r>
          </w:p>
        </w:tc>
        <w:tc>
          <w:tcPr>
            <w:tcW w:w="1072" w:type="dxa"/>
            <w:vAlign w:val="center"/>
          </w:tcPr>
          <w:p>
            <w:pPr>
              <w:spacing w:line="280" w:lineRule="exact"/>
              <w:jc w:val="center"/>
              <w:rPr>
                <w:sz w:val="21"/>
                <w:szCs w:val="21"/>
              </w:rPr>
            </w:pPr>
            <w:r>
              <w:rPr>
                <w:spacing w:val="-20"/>
                <w:sz w:val="21"/>
                <w:szCs w:val="21"/>
              </w:rPr>
              <w:t>/</w:t>
            </w:r>
          </w:p>
        </w:tc>
        <w:tc>
          <w:tcPr>
            <w:tcW w:w="1692"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pacing w:val="-20"/>
                <w:sz w:val="21"/>
                <w:szCs w:val="21"/>
              </w:rPr>
              <w:t>/</w:t>
            </w:r>
          </w:p>
        </w:tc>
        <w:tc>
          <w:tcPr>
            <w:tcW w:w="563"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pacing w:val="-20"/>
                <w:sz w:val="21"/>
                <w:szCs w:val="21"/>
              </w:rPr>
              <w:t>/</w:t>
            </w:r>
          </w:p>
        </w:tc>
        <w:tc>
          <w:tcPr>
            <w:tcW w:w="1001"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z w:val="21"/>
                <w:szCs w:val="21"/>
              </w:rPr>
              <w:t>7</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0.061</w:t>
            </w:r>
            <w:r>
              <w:rPr>
                <w:spacing w:val="-20"/>
                <w:sz w:val="21"/>
                <w:szCs w:val="21"/>
              </w:rPr>
              <w:t>～</w:t>
            </w:r>
            <w:r>
              <w:rPr>
                <w:rFonts w:hint="eastAsia"/>
                <w:spacing w:val="-20"/>
                <w:sz w:val="21"/>
                <w:szCs w:val="21"/>
              </w:rPr>
              <w:t>0.170</w:t>
            </w:r>
          </w:p>
        </w:tc>
        <w:tc>
          <w:tcPr>
            <w:tcW w:w="941" w:type="dxa"/>
            <w:vAlign w:val="center"/>
          </w:tcPr>
          <w:p>
            <w:pPr>
              <w:spacing w:line="280" w:lineRule="exact"/>
              <w:jc w:val="center"/>
              <w:rPr>
                <w:sz w:val="21"/>
                <w:szCs w:val="21"/>
              </w:rPr>
            </w:pPr>
            <w:r>
              <w:rPr>
                <w:sz w:val="21"/>
                <w:szCs w:val="21"/>
              </w:rPr>
              <w:t>0.30</w:t>
            </w:r>
          </w:p>
        </w:tc>
        <w:tc>
          <w:tcPr>
            <w:tcW w:w="520"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280" w:type="dxa"/>
            <w:vAlign w:val="center"/>
          </w:tcPr>
          <w:p>
            <w:pPr>
              <w:spacing w:line="280" w:lineRule="exact"/>
              <w:ind w:left="-76" w:right="-108"/>
              <w:jc w:val="center"/>
              <w:rPr>
                <w:rFonts w:hint="eastAsia"/>
                <w:sz w:val="21"/>
                <w:szCs w:val="21"/>
              </w:rPr>
            </w:pPr>
            <w:r>
              <w:rPr>
                <w:rFonts w:hint="eastAsia"/>
                <w:sz w:val="21"/>
                <w:szCs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3" w:hRule="atLeast"/>
          <w:jc w:val="center"/>
        </w:trPr>
        <w:tc>
          <w:tcPr>
            <w:tcW w:w="1025" w:type="dxa"/>
            <w:vMerge w:val="continue"/>
            <w:vAlign w:val="center"/>
          </w:tcPr>
          <w:p>
            <w:pPr>
              <w:spacing w:line="280" w:lineRule="exact"/>
              <w:jc w:val="center"/>
              <w:rPr>
                <w:sz w:val="21"/>
                <w:szCs w:val="21"/>
              </w:rPr>
            </w:pPr>
          </w:p>
        </w:tc>
        <w:tc>
          <w:tcPr>
            <w:tcW w:w="865" w:type="dxa"/>
            <w:vAlign w:val="center"/>
          </w:tcPr>
          <w:p>
            <w:pPr>
              <w:spacing w:line="280" w:lineRule="exact"/>
              <w:jc w:val="center"/>
              <w:rPr>
                <w:sz w:val="21"/>
                <w:szCs w:val="21"/>
              </w:rPr>
            </w:pPr>
            <w:r>
              <w:rPr>
                <w:sz w:val="21"/>
                <w:szCs w:val="21"/>
              </w:rPr>
              <w:t>PM</w:t>
            </w:r>
            <w:r>
              <w:rPr>
                <w:sz w:val="21"/>
                <w:szCs w:val="21"/>
                <w:vertAlign w:val="subscript"/>
              </w:rPr>
              <w:t>10</w:t>
            </w:r>
          </w:p>
        </w:tc>
        <w:tc>
          <w:tcPr>
            <w:tcW w:w="563" w:type="dxa"/>
            <w:vAlign w:val="center"/>
          </w:tcPr>
          <w:p>
            <w:pPr>
              <w:spacing w:line="280" w:lineRule="exact"/>
              <w:jc w:val="center"/>
              <w:rPr>
                <w:sz w:val="21"/>
                <w:szCs w:val="21"/>
              </w:rPr>
            </w:pPr>
            <w:r>
              <w:rPr>
                <w:spacing w:val="-20"/>
                <w:sz w:val="21"/>
                <w:szCs w:val="21"/>
              </w:rPr>
              <w:t>7</w:t>
            </w:r>
          </w:p>
        </w:tc>
        <w:tc>
          <w:tcPr>
            <w:tcW w:w="1072" w:type="dxa"/>
            <w:vAlign w:val="center"/>
          </w:tcPr>
          <w:p>
            <w:pPr>
              <w:spacing w:line="280" w:lineRule="exact"/>
              <w:jc w:val="center"/>
              <w:rPr>
                <w:sz w:val="21"/>
                <w:szCs w:val="21"/>
              </w:rPr>
            </w:pPr>
            <w:r>
              <w:rPr>
                <w:spacing w:val="-20"/>
                <w:sz w:val="21"/>
                <w:szCs w:val="21"/>
              </w:rPr>
              <w:t>/</w:t>
            </w:r>
          </w:p>
        </w:tc>
        <w:tc>
          <w:tcPr>
            <w:tcW w:w="1692"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pacing w:val="-20"/>
                <w:sz w:val="21"/>
                <w:szCs w:val="21"/>
              </w:rPr>
              <w:t>/</w:t>
            </w:r>
          </w:p>
        </w:tc>
        <w:tc>
          <w:tcPr>
            <w:tcW w:w="563"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pacing w:val="-20"/>
                <w:sz w:val="21"/>
                <w:szCs w:val="21"/>
              </w:rPr>
              <w:t>/</w:t>
            </w:r>
          </w:p>
        </w:tc>
        <w:tc>
          <w:tcPr>
            <w:tcW w:w="1001"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z w:val="21"/>
                <w:szCs w:val="21"/>
              </w:rPr>
              <w:t>7</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0.044</w:t>
            </w:r>
            <w:r>
              <w:rPr>
                <w:spacing w:val="-20"/>
                <w:sz w:val="21"/>
                <w:szCs w:val="21"/>
              </w:rPr>
              <w:t>～</w:t>
            </w:r>
            <w:r>
              <w:rPr>
                <w:rFonts w:hint="eastAsia"/>
                <w:spacing w:val="-20"/>
                <w:sz w:val="21"/>
                <w:szCs w:val="21"/>
              </w:rPr>
              <w:t>0.119</w:t>
            </w:r>
          </w:p>
        </w:tc>
        <w:tc>
          <w:tcPr>
            <w:tcW w:w="941" w:type="dxa"/>
            <w:vAlign w:val="center"/>
          </w:tcPr>
          <w:p>
            <w:pPr>
              <w:spacing w:line="280" w:lineRule="exact"/>
              <w:jc w:val="center"/>
              <w:rPr>
                <w:sz w:val="21"/>
                <w:szCs w:val="21"/>
              </w:rPr>
            </w:pPr>
            <w:r>
              <w:rPr>
                <w:sz w:val="21"/>
                <w:szCs w:val="21"/>
              </w:rPr>
              <w:t>0.15</w:t>
            </w:r>
          </w:p>
        </w:tc>
        <w:tc>
          <w:tcPr>
            <w:tcW w:w="520"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280" w:type="dxa"/>
            <w:vAlign w:val="center"/>
          </w:tcPr>
          <w:p>
            <w:pPr>
              <w:spacing w:line="280" w:lineRule="exact"/>
              <w:ind w:left="-76" w:right="-108"/>
              <w:jc w:val="center"/>
              <w:rPr>
                <w:rFonts w:hint="eastAsia"/>
                <w:sz w:val="21"/>
                <w:szCs w:val="21"/>
              </w:rPr>
            </w:pPr>
            <w:r>
              <w:rPr>
                <w:rFonts w:hint="eastAsia"/>
                <w:sz w:val="21"/>
                <w:szCs w:val="21"/>
              </w:rPr>
              <w:t>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3" w:hRule="atLeast"/>
          <w:jc w:val="center"/>
        </w:trPr>
        <w:tc>
          <w:tcPr>
            <w:tcW w:w="1025" w:type="dxa"/>
            <w:vMerge w:val="restart"/>
            <w:vAlign w:val="center"/>
          </w:tcPr>
          <w:p>
            <w:pPr>
              <w:spacing w:line="300" w:lineRule="exact"/>
              <w:jc w:val="center"/>
              <w:rPr>
                <w:sz w:val="21"/>
                <w:szCs w:val="21"/>
              </w:rPr>
            </w:pPr>
            <w:r>
              <w:rPr>
                <w:sz w:val="21"/>
                <w:szCs w:val="21"/>
              </w:rPr>
              <w:t>6＃</w:t>
            </w:r>
          </w:p>
          <w:p>
            <w:pPr>
              <w:spacing w:line="280" w:lineRule="exact"/>
              <w:jc w:val="center"/>
              <w:rPr>
                <w:rFonts w:hint="eastAsia"/>
                <w:sz w:val="21"/>
                <w:szCs w:val="21"/>
              </w:rPr>
            </w:pPr>
            <w:r>
              <w:rPr>
                <w:rFonts w:hint="eastAsia"/>
                <w:sz w:val="21"/>
                <w:szCs w:val="21"/>
              </w:rPr>
              <w:t>殷家老院子</w:t>
            </w:r>
          </w:p>
        </w:tc>
        <w:tc>
          <w:tcPr>
            <w:tcW w:w="865" w:type="dxa"/>
            <w:vAlign w:val="center"/>
          </w:tcPr>
          <w:p>
            <w:pPr>
              <w:spacing w:line="280" w:lineRule="exact"/>
              <w:jc w:val="center"/>
              <w:rPr>
                <w:sz w:val="21"/>
                <w:szCs w:val="21"/>
              </w:rPr>
            </w:pPr>
            <w:r>
              <w:rPr>
                <w:sz w:val="21"/>
                <w:szCs w:val="21"/>
              </w:rPr>
              <w:t>SO</w:t>
            </w:r>
            <w:r>
              <w:rPr>
                <w:sz w:val="21"/>
                <w:szCs w:val="21"/>
                <w:vertAlign w:val="subscript"/>
              </w:rPr>
              <w:t>2</w:t>
            </w:r>
          </w:p>
        </w:tc>
        <w:tc>
          <w:tcPr>
            <w:tcW w:w="563" w:type="dxa"/>
            <w:vAlign w:val="center"/>
          </w:tcPr>
          <w:p>
            <w:pPr>
              <w:spacing w:line="280" w:lineRule="exact"/>
              <w:jc w:val="center"/>
              <w:rPr>
                <w:sz w:val="21"/>
                <w:szCs w:val="21"/>
              </w:rPr>
            </w:pPr>
            <w:r>
              <w:rPr>
                <w:sz w:val="21"/>
                <w:szCs w:val="21"/>
              </w:rPr>
              <w:t>7</w:t>
            </w:r>
          </w:p>
        </w:tc>
        <w:tc>
          <w:tcPr>
            <w:tcW w:w="1072" w:type="dxa"/>
            <w:vAlign w:val="center"/>
          </w:tcPr>
          <w:p>
            <w:pPr>
              <w:spacing w:line="280" w:lineRule="exact"/>
              <w:jc w:val="center"/>
              <w:rPr>
                <w:rFonts w:hint="eastAsia"/>
                <w:sz w:val="21"/>
                <w:szCs w:val="21"/>
              </w:rPr>
            </w:pPr>
            <w:r>
              <w:rPr>
                <w:rFonts w:hint="eastAsia"/>
                <w:sz w:val="21"/>
                <w:szCs w:val="21"/>
              </w:rPr>
              <w:t>42</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0.038</w:t>
            </w:r>
            <w:r>
              <w:rPr>
                <w:spacing w:val="-20"/>
                <w:sz w:val="21"/>
                <w:szCs w:val="21"/>
              </w:rPr>
              <w:t>～</w:t>
            </w:r>
            <w:r>
              <w:rPr>
                <w:rFonts w:hint="eastAsia"/>
                <w:spacing w:val="-20"/>
                <w:sz w:val="21"/>
                <w:szCs w:val="21"/>
              </w:rPr>
              <w:t>0.073</w:t>
            </w:r>
          </w:p>
        </w:tc>
        <w:tc>
          <w:tcPr>
            <w:tcW w:w="751" w:type="dxa"/>
            <w:vAlign w:val="center"/>
          </w:tcPr>
          <w:p>
            <w:pPr>
              <w:spacing w:line="280" w:lineRule="exact"/>
              <w:jc w:val="center"/>
              <w:rPr>
                <w:sz w:val="21"/>
                <w:szCs w:val="21"/>
              </w:rPr>
            </w:pPr>
            <w:r>
              <w:rPr>
                <w:sz w:val="21"/>
                <w:szCs w:val="21"/>
              </w:rPr>
              <w:t>0.5</w:t>
            </w:r>
          </w:p>
        </w:tc>
        <w:tc>
          <w:tcPr>
            <w:tcW w:w="563"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001" w:type="dxa"/>
            <w:vAlign w:val="center"/>
          </w:tcPr>
          <w:p>
            <w:pPr>
              <w:spacing w:line="280" w:lineRule="exact"/>
              <w:jc w:val="center"/>
              <w:rPr>
                <w:rFonts w:hint="eastAsia"/>
                <w:sz w:val="21"/>
                <w:szCs w:val="21"/>
              </w:rPr>
            </w:pPr>
            <w:r>
              <w:rPr>
                <w:rFonts w:hint="eastAsia"/>
                <w:sz w:val="21"/>
                <w:szCs w:val="21"/>
              </w:rPr>
              <w:t>21.2</w:t>
            </w:r>
          </w:p>
        </w:tc>
        <w:tc>
          <w:tcPr>
            <w:tcW w:w="751" w:type="dxa"/>
            <w:vAlign w:val="center"/>
          </w:tcPr>
          <w:p>
            <w:pPr>
              <w:spacing w:line="280" w:lineRule="exact"/>
              <w:jc w:val="center"/>
              <w:rPr>
                <w:sz w:val="21"/>
                <w:szCs w:val="21"/>
              </w:rPr>
            </w:pPr>
            <w:r>
              <w:rPr>
                <w:sz w:val="21"/>
                <w:szCs w:val="21"/>
              </w:rPr>
              <w:t>7</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0.044</w:t>
            </w:r>
            <w:r>
              <w:rPr>
                <w:spacing w:val="-20"/>
                <w:sz w:val="21"/>
                <w:szCs w:val="21"/>
              </w:rPr>
              <w:t>～</w:t>
            </w:r>
            <w:r>
              <w:rPr>
                <w:rFonts w:hint="eastAsia"/>
                <w:spacing w:val="-20"/>
                <w:sz w:val="21"/>
                <w:szCs w:val="21"/>
              </w:rPr>
              <w:t>0.058</w:t>
            </w:r>
          </w:p>
        </w:tc>
        <w:tc>
          <w:tcPr>
            <w:tcW w:w="941" w:type="dxa"/>
            <w:vAlign w:val="center"/>
          </w:tcPr>
          <w:p>
            <w:pPr>
              <w:spacing w:line="280" w:lineRule="exact"/>
              <w:jc w:val="center"/>
              <w:rPr>
                <w:sz w:val="21"/>
                <w:szCs w:val="21"/>
              </w:rPr>
            </w:pPr>
            <w:r>
              <w:rPr>
                <w:sz w:val="21"/>
                <w:szCs w:val="21"/>
              </w:rPr>
              <w:t>0.15</w:t>
            </w:r>
          </w:p>
        </w:tc>
        <w:tc>
          <w:tcPr>
            <w:tcW w:w="520"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280" w:type="dxa"/>
            <w:vAlign w:val="center"/>
          </w:tcPr>
          <w:p>
            <w:pPr>
              <w:spacing w:line="280" w:lineRule="exact"/>
              <w:ind w:left="-76" w:right="-108"/>
              <w:jc w:val="center"/>
              <w:rPr>
                <w:rFonts w:hint="eastAsia"/>
                <w:sz w:val="21"/>
                <w:szCs w:val="21"/>
              </w:rPr>
            </w:pPr>
            <w:r>
              <w:rPr>
                <w:rFonts w:hint="eastAsia"/>
                <w:sz w:val="21"/>
                <w:szCs w:val="21"/>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3" w:hRule="atLeast"/>
          <w:jc w:val="center"/>
        </w:trPr>
        <w:tc>
          <w:tcPr>
            <w:tcW w:w="1025" w:type="dxa"/>
            <w:vMerge w:val="continue"/>
            <w:vAlign w:val="center"/>
          </w:tcPr>
          <w:p>
            <w:pPr>
              <w:spacing w:line="280" w:lineRule="exact"/>
              <w:jc w:val="center"/>
              <w:rPr>
                <w:sz w:val="21"/>
                <w:szCs w:val="21"/>
              </w:rPr>
            </w:pPr>
          </w:p>
        </w:tc>
        <w:tc>
          <w:tcPr>
            <w:tcW w:w="865" w:type="dxa"/>
            <w:vAlign w:val="center"/>
          </w:tcPr>
          <w:p>
            <w:pPr>
              <w:spacing w:line="280" w:lineRule="exact"/>
              <w:jc w:val="center"/>
              <w:rPr>
                <w:sz w:val="21"/>
                <w:szCs w:val="21"/>
              </w:rPr>
            </w:pPr>
            <w:r>
              <w:rPr>
                <w:sz w:val="21"/>
                <w:szCs w:val="21"/>
              </w:rPr>
              <w:t>NO</w:t>
            </w:r>
            <w:r>
              <w:rPr>
                <w:sz w:val="21"/>
                <w:szCs w:val="21"/>
                <w:vertAlign w:val="subscript"/>
              </w:rPr>
              <w:t>2</w:t>
            </w:r>
          </w:p>
        </w:tc>
        <w:tc>
          <w:tcPr>
            <w:tcW w:w="563" w:type="dxa"/>
            <w:vAlign w:val="center"/>
          </w:tcPr>
          <w:p>
            <w:pPr>
              <w:spacing w:line="280" w:lineRule="exact"/>
              <w:jc w:val="center"/>
              <w:rPr>
                <w:sz w:val="21"/>
                <w:szCs w:val="21"/>
              </w:rPr>
            </w:pPr>
            <w:r>
              <w:rPr>
                <w:sz w:val="21"/>
                <w:szCs w:val="21"/>
              </w:rPr>
              <w:t>7</w:t>
            </w:r>
          </w:p>
        </w:tc>
        <w:tc>
          <w:tcPr>
            <w:tcW w:w="1072" w:type="dxa"/>
            <w:vAlign w:val="center"/>
          </w:tcPr>
          <w:p>
            <w:pPr>
              <w:spacing w:line="280" w:lineRule="exact"/>
              <w:jc w:val="center"/>
              <w:rPr>
                <w:rFonts w:hint="eastAsia"/>
                <w:sz w:val="21"/>
                <w:szCs w:val="21"/>
              </w:rPr>
            </w:pPr>
            <w:r>
              <w:rPr>
                <w:rFonts w:hint="eastAsia"/>
                <w:sz w:val="21"/>
                <w:szCs w:val="21"/>
              </w:rPr>
              <w:t>42</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0.007</w:t>
            </w:r>
            <w:r>
              <w:rPr>
                <w:spacing w:val="-20"/>
                <w:sz w:val="21"/>
                <w:szCs w:val="21"/>
              </w:rPr>
              <w:t>～</w:t>
            </w:r>
            <w:r>
              <w:rPr>
                <w:rFonts w:hint="eastAsia"/>
                <w:spacing w:val="-20"/>
                <w:sz w:val="21"/>
                <w:szCs w:val="21"/>
              </w:rPr>
              <w:t>0.036</w:t>
            </w:r>
          </w:p>
        </w:tc>
        <w:tc>
          <w:tcPr>
            <w:tcW w:w="751" w:type="dxa"/>
            <w:vAlign w:val="center"/>
          </w:tcPr>
          <w:p>
            <w:pPr>
              <w:spacing w:line="280" w:lineRule="exact"/>
              <w:jc w:val="center"/>
              <w:rPr>
                <w:sz w:val="21"/>
                <w:szCs w:val="21"/>
              </w:rPr>
            </w:pPr>
            <w:r>
              <w:rPr>
                <w:sz w:val="21"/>
                <w:szCs w:val="21"/>
              </w:rPr>
              <w:t>0.24</w:t>
            </w:r>
          </w:p>
        </w:tc>
        <w:tc>
          <w:tcPr>
            <w:tcW w:w="563"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001" w:type="dxa"/>
            <w:vAlign w:val="center"/>
          </w:tcPr>
          <w:p>
            <w:pPr>
              <w:spacing w:line="280" w:lineRule="exact"/>
              <w:jc w:val="center"/>
              <w:rPr>
                <w:rFonts w:hint="eastAsia"/>
                <w:sz w:val="21"/>
                <w:szCs w:val="21"/>
              </w:rPr>
            </w:pPr>
            <w:r>
              <w:rPr>
                <w:rFonts w:hint="eastAsia"/>
                <w:sz w:val="21"/>
                <w:szCs w:val="21"/>
              </w:rPr>
              <w:t>26.3</w:t>
            </w:r>
          </w:p>
        </w:tc>
        <w:tc>
          <w:tcPr>
            <w:tcW w:w="751" w:type="dxa"/>
            <w:vAlign w:val="center"/>
          </w:tcPr>
          <w:p>
            <w:pPr>
              <w:spacing w:line="280" w:lineRule="exact"/>
              <w:jc w:val="center"/>
              <w:rPr>
                <w:sz w:val="21"/>
                <w:szCs w:val="21"/>
              </w:rPr>
            </w:pPr>
            <w:r>
              <w:rPr>
                <w:sz w:val="21"/>
                <w:szCs w:val="21"/>
              </w:rPr>
              <w:t>7</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0.013</w:t>
            </w:r>
            <w:r>
              <w:rPr>
                <w:spacing w:val="-20"/>
                <w:sz w:val="21"/>
                <w:szCs w:val="21"/>
              </w:rPr>
              <w:t>～</w:t>
            </w:r>
            <w:r>
              <w:rPr>
                <w:rFonts w:hint="eastAsia"/>
                <w:spacing w:val="-20"/>
                <w:sz w:val="21"/>
                <w:szCs w:val="21"/>
              </w:rPr>
              <w:t>0.021</w:t>
            </w:r>
          </w:p>
        </w:tc>
        <w:tc>
          <w:tcPr>
            <w:tcW w:w="941" w:type="dxa"/>
            <w:vAlign w:val="center"/>
          </w:tcPr>
          <w:p>
            <w:pPr>
              <w:spacing w:line="280" w:lineRule="exact"/>
              <w:jc w:val="center"/>
              <w:rPr>
                <w:sz w:val="21"/>
                <w:szCs w:val="21"/>
              </w:rPr>
            </w:pPr>
            <w:r>
              <w:rPr>
                <w:sz w:val="21"/>
                <w:szCs w:val="21"/>
              </w:rPr>
              <w:t>0.12</w:t>
            </w:r>
          </w:p>
        </w:tc>
        <w:tc>
          <w:tcPr>
            <w:tcW w:w="520"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280" w:type="dxa"/>
            <w:vAlign w:val="center"/>
          </w:tcPr>
          <w:p>
            <w:pPr>
              <w:spacing w:line="280" w:lineRule="exact"/>
              <w:ind w:left="-76" w:right="-108"/>
              <w:jc w:val="center"/>
              <w:rPr>
                <w:rFonts w:hint="eastAsia"/>
                <w:sz w:val="21"/>
                <w:szCs w:val="21"/>
              </w:rPr>
            </w:pPr>
            <w:r>
              <w:rPr>
                <w:rFonts w:hint="eastAsia"/>
                <w:sz w:val="21"/>
                <w:szCs w:val="21"/>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3" w:hRule="atLeast"/>
          <w:jc w:val="center"/>
        </w:trPr>
        <w:tc>
          <w:tcPr>
            <w:tcW w:w="1025" w:type="dxa"/>
            <w:vMerge w:val="continue"/>
            <w:vAlign w:val="center"/>
          </w:tcPr>
          <w:p>
            <w:pPr>
              <w:spacing w:line="280" w:lineRule="exact"/>
              <w:jc w:val="center"/>
              <w:rPr>
                <w:sz w:val="21"/>
                <w:szCs w:val="21"/>
              </w:rPr>
            </w:pPr>
          </w:p>
        </w:tc>
        <w:tc>
          <w:tcPr>
            <w:tcW w:w="865" w:type="dxa"/>
            <w:vAlign w:val="center"/>
          </w:tcPr>
          <w:p>
            <w:pPr>
              <w:spacing w:line="280" w:lineRule="exact"/>
              <w:jc w:val="center"/>
              <w:rPr>
                <w:sz w:val="21"/>
                <w:szCs w:val="21"/>
              </w:rPr>
            </w:pPr>
            <w:r>
              <w:rPr>
                <w:sz w:val="21"/>
                <w:szCs w:val="21"/>
              </w:rPr>
              <w:t>TSP</w:t>
            </w:r>
          </w:p>
        </w:tc>
        <w:tc>
          <w:tcPr>
            <w:tcW w:w="563" w:type="dxa"/>
            <w:vAlign w:val="center"/>
          </w:tcPr>
          <w:p>
            <w:pPr>
              <w:spacing w:line="280" w:lineRule="exact"/>
              <w:jc w:val="center"/>
              <w:rPr>
                <w:sz w:val="21"/>
                <w:szCs w:val="21"/>
              </w:rPr>
            </w:pPr>
            <w:r>
              <w:rPr>
                <w:spacing w:val="-20"/>
                <w:sz w:val="21"/>
                <w:szCs w:val="21"/>
              </w:rPr>
              <w:t>7</w:t>
            </w:r>
          </w:p>
        </w:tc>
        <w:tc>
          <w:tcPr>
            <w:tcW w:w="1072" w:type="dxa"/>
            <w:vAlign w:val="center"/>
          </w:tcPr>
          <w:p>
            <w:pPr>
              <w:spacing w:line="280" w:lineRule="exact"/>
              <w:jc w:val="center"/>
              <w:rPr>
                <w:sz w:val="21"/>
                <w:szCs w:val="21"/>
              </w:rPr>
            </w:pPr>
            <w:r>
              <w:rPr>
                <w:spacing w:val="-20"/>
                <w:sz w:val="21"/>
                <w:szCs w:val="21"/>
              </w:rPr>
              <w:t>/</w:t>
            </w:r>
          </w:p>
        </w:tc>
        <w:tc>
          <w:tcPr>
            <w:tcW w:w="1692"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pacing w:val="-20"/>
                <w:sz w:val="21"/>
                <w:szCs w:val="21"/>
              </w:rPr>
              <w:t>/</w:t>
            </w:r>
          </w:p>
        </w:tc>
        <w:tc>
          <w:tcPr>
            <w:tcW w:w="563"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pacing w:val="-20"/>
                <w:sz w:val="21"/>
                <w:szCs w:val="21"/>
              </w:rPr>
              <w:t>/</w:t>
            </w:r>
          </w:p>
        </w:tc>
        <w:tc>
          <w:tcPr>
            <w:tcW w:w="1001"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z w:val="21"/>
                <w:szCs w:val="21"/>
              </w:rPr>
              <w:t>7</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0.053</w:t>
            </w:r>
            <w:r>
              <w:rPr>
                <w:spacing w:val="-20"/>
                <w:sz w:val="21"/>
                <w:szCs w:val="21"/>
              </w:rPr>
              <w:t>～</w:t>
            </w:r>
            <w:r>
              <w:rPr>
                <w:rFonts w:hint="eastAsia"/>
                <w:spacing w:val="-20"/>
                <w:sz w:val="21"/>
                <w:szCs w:val="21"/>
              </w:rPr>
              <w:t>0.179</w:t>
            </w:r>
          </w:p>
        </w:tc>
        <w:tc>
          <w:tcPr>
            <w:tcW w:w="941" w:type="dxa"/>
            <w:vAlign w:val="center"/>
          </w:tcPr>
          <w:p>
            <w:pPr>
              <w:spacing w:line="280" w:lineRule="exact"/>
              <w:jc w:val="center"/>
              <w:rPr>
                <w:sz w:val="21"/>
                <w:szCs w:val="21"/>
              </w:rPr>
            </w:pPr>
            <w:r>
              <w:rPr>
                <w:sz w:val="21"/>
                <w:szCs w:val="21"/>
              </w:rPr>
              <w:t>0.30</w:t>
            </w:r>
          </w:p>
        </w:tc>
        <w:tc>
          <w:tcPr>
            <w:tcW w:w="520"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280" w:type="dxa"/>
            <w:vAlign w:val="center"/>
          </w:tcPr>
          <w:p>
            <w:pPr>
              <w:spacing w:line="280" w:lineRule="exact"/>
              <w:ind w:left="-76" w:right="-108"/>
              <w:jc w:val="center"/>
              <w:rPr>
                <w:rFonts w:hint="eastAsia"/>
                <w:sz w:val="21"/>
                <w:szCs w:val="21"/>
              </w:rPr>
            </w:pPr>
            <w:r>
              <w:rPr>
                <w:rFonts w:hint="eastAsia"/>
                <w:sz w:val="21"/>
                <w:szCs w:val="21"/>
              </w:rPr>
              <w:t>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3" w:hRule="atLeast"/>
          <w:jc w:val="center"/>
        </w:trPr>
        <w:tc>
          <w:tcPr>
            <w:tcW w:w="1025" w:type="dxa"/>
            <w:vMerge w:val="continue"/>
            <w:vAlign w:val="center"/>
          </w:tcPr>
          <w:p>
            <w:pPr>
              <w:spacing w:line="280" w:lineRule="exact"/>
              <w:jc w:val="center"/>
              <w:rPr>
                <w:sz w:val="21"/>
                <w:szCs w:val="21"/>
              </w:rPr>
            </w:pPr>
          </w:p>
        </w:tc>
        <w:tc>
          <w:tcPr>
            <w:tcW w:w="865" w:type="dxa"/>
            <w:vAlign w:val="center"/>
          </w:tcPr>
          <w:p>
            <w:pPr>
              <w:spacing w:line="280" w:lineRule="exact"/>
              <w:jc w:val="center"/>
              <w:rPr>
                <w:sz w:val="21"/>
                <w:szCs w:val="21"/>
              </w:rPr>
            </w:pPr>
            <w:r>
              <w:rPr>
                <w:sz w:val="21"/>
                <w:szCs w:val="21"/>
              </w:rPr>
              <w:t>PM</w:t>
            </w:r>
            <w:r>
              <w:rPr>
                <w:sz w:val="21"/>
                <w:szCs w:val="21"/>
                <w:vertAlign w:val="subscript"/>
              </w:rPr>
              <w:t>10</w:t>
            </w:r>
          </w:p>
        </w:tc>
        <w:tc>
          <w:tcPr>
            <w:tcW w:w="563" w:type="dxa"/>
            <w:vAlign w:val="center"/>
          </w:tcPr>
          <w:p>
            <w:pPr>
              <w:spacing w:line="280" w:lineRule="exact"/>
              <w:jc w:val="center"/>
              <w:rPr>
                <w:sz w:val="21"/>
                <w:szCs w:val="21"/>
              </w:rPr>
            </w:pPr>
            <w:r>
              <w:rPr>
                <w:spacing w:val="-20"/>
                <w:sz w:val="21"/>
                <w:szCs w:val="21"/>
              </w:rPr>
              <w:t>7</w:t>
            </w:r>
          </w:p>
        </w:tc>
        <w:tc>
          <w:tcPr>
            <w:tcW w:w="1072" w:type="dxa"/>
            <w:vAlign w:val="center"/>
          </w:tcPr>
          <w:p>
            <w:pPr>
              <w:spacing w:line="280" w:lineRule="exact"/>
              <w:jc w:val="center"/>
              <w:rPr>
                <w:sz w:val="21"/>
                <w:szCs w:val="21"/>
              </w:rPr>
            </w:pPr>
            <w:r>
              <w:rPr>
                <w:spacing w:val="-20"/>
                <w:sz w:val="21"/>
                <w:szCs w:val="21"/>
              </w:rPr>
              <w:t>/</w:t>
            </w:r>
          </w:p>
        </w:tc>
        <w:tc>
          <w:tcPr>
            <w:tcW w:w="1692"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pacing w:val="-20"/>
                <w:sz w:val="21"/>
                <w:szCs w:val="21"/>
              </w:rPr>
              <w:t>/</w:t>
            </w:r>
          </w:p>
        </w:tc>
        <w:tc>
          <w:tcPr>
            <w:tcW w:w="563"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pacing w:val="-20"/>
                <w:sz w:val="21"/>
                <w:szCs w:val="21"/>
              </w:rPr>
              <w:t>/</w:t>
            </w:r>
          </w:p>
        </w:tc>
        <w:tc>
          <w:tcPr>
            <w:tcW w:w="1001" w:type="dxa"/>
            <w:vAlign w:val="center"/>
          </w:tcPr>
          <w:p>
            <w:pPr>
              <w:spacing w:line="280" w:lineRule="exact"/>
              <w:jc w:val="center"/>
              <w:rPr>
                <w:sz w:val="21"/>
                <w:szCs w:val="21"/>
              </w:rPr>
            </w:pPr>
            <w:r>
              <w:rPr>
                <w:spacing w:val="-20"/>
                <w:sz w:val="21"/>
                <w:szCs w:val="21"/>
              </w:rPr>
              <w:t>/</w:t>
            </w:r>
          </w:p>
        </w:tc>
        <w:tc>
          <w:tcPr>
            <w:tcW w:w="751" w:type="dxa"/>
            <w:vAlign w:val="center"/>
          </w:tcPr>
          <w:p>
            <w:pPr>
              <w:spacing w:line="280" w:lineRule="exact"/>
              <w:jc w:val="center"/>
              <w:rPr>
                <w:sz w:val="21"/>
                <w:szCs w:val="21"/>
              </w:rPr>
            </w:pPr>
            <w:r>
              <w:rPr>
                <w:sz w:val="21"/>
                <w:szCs w:val="21"/>
              </w:rPr>
              <w:t>7</w:t>
            </w:r>
          </w:p>
        </w:tc>
        <w:tc>
          <w:tcPr>
            <w:tcW w:w="1692" w:type="dxa"/>
            <w:vAlign w:val="center"/>
          </w:tcPr>
          <w:p>
            <w:pPr>
              <w:spacing w:line="280" w:lineRule="exact"/>
              <w:jc w:val="center"/>
              <w:rPr>
                <w:rFonts w:hint="eastAsia"/>
                <w:spacing w:val="-20"/>
                <w:sz w:val="21"/>
                <w:szCs w:val="21"/>
              </w:rPr>
            </w:pPr>
            <w:r>
              <w:rPr>
                <w:rFonts w:hint="eastAsia"/>
                <w:spacing w:val="-20"/>
                <w:sz w:val="21"/>
                <w:szCs w:val="21"/>
              </w:rPr>
              <w:t>0.038</w:t>
            </w:r>
            <w:r>
              <w:rPr>
                <w:spacing w:val="-20"/>
                <w:sz w:val="21"/>
                <w:szCs w:val="21"/>
              </w:rPr>
              <w:t>～</w:t>
            </w:r>
            <w:r>
              <w:rPr>
                <w:rFonts w:hint="eastAsia"/>
                <w:spacing w:val="-20"/>
                <w:sz w:val="21"/>
                <w:szCs w:val="21"/>
              </w:rPr>
              <w:t>0.125</w:t>
            </w:r>
          </w:p>
        </w:tc>
        <w:tc>
          <w:tcPr>
            <w:tcW w:w="941" w:type="dxa"/>
            <w:vAlign w:val="center"/>
          </w:tcPr>
          <w:p>
            <w:pPr>
              <w:spacing w:line="280" w:lineRule="exact"/>
              <w:jc w:val="center"/>
              <w:rPr>
                <w:sz w:val="21"/>
                <w:szCs w:val="21"/>
              </w:rPr>
            </w:pPr>
            <w:r>
              <w:rPr>
                <w:sz w:val="21"/>
                <w:szCs w:val="21"/>
              </w:rPr>
              <w:t>0.15</w:t>
            </w:r>
          </w:p>
        </w:tc>
        <w:tc>
          <w:tcPr>
            <w:tcW w:w="520" w:type="dxa"/>
            <w:vAlign w:val="center"/>
          </w:tcPr>
          <w:p>
            <w:pPr>
              <w:spacing w:line="280" w:lineRule="exact"/>
              <w:jc w:val="center"/>
              <w:rPr>
                <w:sz w:val="21"/>
                <w:szCs w:val="21"/>
              </w:rPr>
            </w:pPr>
            <w:r>
              <w:rPr>
                <w:sz w:val="21"/>
                <w:szCs w:val="21"/>
              </w:rPr>
              <w:t>0</w:t>
            </w:r>
          </w:p>
        </w:tc>
        <w:tc>
          <w:tcPr>
            <w:tcW w:w="751" w:type="dxa"/>
            <w:vAlign w:val="center"/>
          </w:tcPr>
          <w:p>
            <w:pPr>
              <w:spacing w:line="280" w:lineRule="exact"/>
              <w:jc w:val="center"/>
              <w:rPr>
                <w:sz w:val="21"/>
                <w:szCs w:val="21"/>
              </w:rPr>
            </w:pPr>
            <w:r>
              <w:rPr>
                <w:sz w:val="21"/>
                <w:szCs w:val="21"/>
              </w:rPr>
              <w:t>0</w:t>
            </w:r>
          </w:p>
        </w:tc>
        <w:tc>
          <w:tcPr>
            <w:tcW w:w="1280" w:type="dxa"/>
            <w:vAlign w:val="center"/>
          </w:tcPr>
          <w:p>
            <w:pPr>
              <w:spacing w:line="280" w:lineRule="exact"/>
              <w:ind w:left="-76" w:right="-108"/>
              <w:jc w:val="center"/>
              <w:rPr>
                <w:rFonts w:hint="eastAsia"/>
                <w:sz w:val="21"/>
                <w:szCs w:val="21"/>
              </w:rPr>
            </w:pPr>
            <w:r>
              <w:rPr>
                <w:rFonts w:hint="eastAsia"/>
                <w:sz w:val="21"/>
                <w:szCs w:val="21"/>
              </w:rPr>
              <w:t>79.3</w:t>
            </w:r>
          </w:p>
        </w:tc>
      </w:tr>
      <w:bookmarkEnd w:id="271"/>
    </w:tbl>
    <w:p>
      <w:pPr>
        <w:spacing w:line="240" w:lineRule="exact"/>
        <w:ind w:firstLine="720" w:firstLineChars="400"/>
        <w:rPr>
          <w:sz w:val="18"/>
          <w:szCs w:val="18"/>
        </w:rPr>
        <w:sectPr>
          <w:footerReference r:id="rId13" w:type="default"/>
          <w:footerReference r:id="rId14" w:type="even"/>
          <w:pgSz w:w="16838" w:h="11906" w:orient="landscape"/>
          <w:pgMar w:top="1134" w:right="1418" w:bottom="1134" w:left="1418" w:header="851" w:footer="992" w:gutter="0"/>
          <w:paperSrc w:first="20070" w:other="20070"/>
          <w:cols w:space="425" w:num="1"/>
          <w:docGrid w:linePitch="312" w:charSpace="0"/>
        </w:sectPr>
      </w:pPr>
      <w:r>
        <w:rPr>
          <w:sz w:val="18"/>
          <w:szCs w:val="18"/>
        </w:rPr>
        <w:t>注：L表示未检出，报出结果为该项目的检出限。</w:t>
      </w:r>
    </w:p>
    <w:p>
      <w:pPr>
        <w:spacing w:line="360" w:lineRule="auto"/>
        <w:outlineLvl w:val="1"/>
        <w:rPr>
          <w:b/>
          <w:bCs/>
        </w:rPr>
      </w:pPr>
      <w:bookmarkStart w:id="272" w:name="_Toc276372240"/>
      <w:r>
        <w:rPr>
          <w:rFonts w:hint="eastAsia"/>
          <w:b/>
          <w:bCs/>
        </w:rPr>
        <w:t>6.2</w:t>
      </w:r>
      <w:r>
        <w:rPr>
          <w:b/>
          <w:bCs/>
        </w:rPr>
        <w:t xml:space="preserve"> 地表水环境质量现状监测与评价</w:t>
      </w:r>
      <w:bookmarkEnd w:id="272"/>
    </w:p>
    <w:p>
      <w:pPr>
        <w:spacing w:line="360" w:lineRule="auto"/>
        <w:rPr>
          <w:b/>
          <w:bCs/>
        </w:rPr>
      </w:pPr>
      <w:r>
        <w:rPr>
          <w:rFonts w:hint="eastAsia"/>
          <w:b/>
          <w:bCs/>
        </w:rPr>
        <w:t>6.2</w:t>
      </w:r>
      <w:r>
        <w:rPr>
          <w:b/>
          <w:bCs/>
        </w:rPr>
        <w:t>.1 地表水环境质量现状监测基本情况</w:t>
      </w:r>
    </w:p>
    <w:p>
      <w:pPr>
        <w:spacing w:line="360" w:lineRule="auto"/>
        <w:ind w:firstLine="420" w:firstLineChars="200"/>
      </w:pPr>
      <w:r>
        <w:t>（1）监测断面设置</w:t>
      </w:r>
    </w:p>
    <w:p>
      <w:pPr>
        <w:spacing w:line="360" w:lineRule="auto"/>
        <w:ind w:firstLine="420" w:firstLineChars="200"/>
      </w:pPr>
      <w:r>
        <w:t>根据</w:t>
      </w:r>
      <w:r>
        <w:rPr>
          <w:rFonts w:hint="eastAsia"/>
        </w:rPr>
        <w:t>技改项目</w:t>
      </w:r>
      <w:r>
        <w:t>废水的实际排放情况，在</w:t>
      </w:r>
      <w:r>
        <w:rPr>
          <w:rFonts w:hint="eastAsia"/>
        </w:rPr>
        <w:t>重庆永荣青鹏煤业有限公司总排水口下游的小河沟设一个监测断面，位置</w:t>
      </w:r>
      <w:r>
        <w:t>见图6.1。</w:t>
      </w:r>
    </w:p>
    <w:p>
      <w:pPr>
        <w:spacing w:line="360" w:lineRule="auto"/>
        <w:ind w:firstLine="420" w:firstLineChars="200"/>
      </w:pPr>
      <w:r>
        <w:t>（2）监测项目</w:t>
      </w:r>
    </w:p>
    <w:p>
      <w:pPr>
        <w:spacing w:line="360" w:lineRule="auto"/>
        <w:ind w:firstLine="420" w:firstLineChars="200"/>
      </w:pPr>
      <w:r>
        <w:rPr>
          <w:rFonts w:hint="eastAsia"/>
        </w:rPr>
        <w:t>水温</w:t>
      </w:r>
      <w:r>
        <w:t>、pH、溶解氧、COD、BOD</w:t>
      </w:r>
      <w:r>
        <w:rPr>
          <w:vertAlign w:val="subscript"/>
        </w:rPr>
        <w:t>5</w:t>
      </w:r>
      <w:r>
        <w:t>、NH</w:t>
      </w:r>
      <w:r>
        <w:rPr>
          <w:vertAlign w:val="subscript"/>
        </w:rPr>
        <w:t>3</w:t>
      </w:r>
      <w:r>
        <w:t>-N、</w:t>
      </w:r>
      <w:r>
        <w:rPr>
          <w:rFonts w:hint="eastAsia"/>
        </w:rPr>
        <w:t>总磷</w:t>
      </w:r>
      <w:r>
        <w:t>、</w:t>
      </w:r>
      <w:r>
        <w:rPr>
          <w:rFonts w:hint="eastAsia"/>
        </w:rPr>
        <w:t>总氮</w:t>
      </w:r>
      <w:r>
        <w:t>、石油类。</w:t>
      </w:r>
    </w:p>
    <w:p>
      <w:pPr>
        <w:spacing w:line="360" w:lineRule="auto"/>
        <w:ind w:firstLine="420" w:firstLineChars="200"/>
      </w:pPr>
      <w:r>
        <w:t>（3）监测时间及频率</w:t>
      </w:r>
    </w:p>
    <w:p>
      <w:pPr>
        <w:spacing w:line="360" w:lineRule="auto"/>
        <w:ind w:firstLine="420" w:firstLineChars="200"/>
      </w:pPr>
      <w:r>
        <w:t>20</w:t>
      </w:r>
      <w:r>
        <w:rPr>
          <w:rFonts w:hint="eastAsia"/>
        </w:rPr>
        <w:t>10</w:t>
      </w:r>
      <w:r>
        <w:t>年</w:t>
      </w:r>
      <w:r>
        <w:rPr>
          <w:rFonts w:hint="eastAsia"/>
        </w:rPr>
        <w:t>8</w:t>
      </w:r>
      <w:r>
        <w:t>月</w:t>
      </w:r>
      <w:r>
        <w:rPr>
          <w:rFonts w:hint="eastAsia"/>
        </w:rPr>
        <w:t>2</w:t>
      </w:r>
      <w:r>
        <w:t>日～</w:t>
      </w:r>
      <w:r>
        <w:rPr>
          <w:rFonts w:hint="eastAsia"/>
        </w:rPr>
        <w:t>8月4</w:t>
      </w:r>
      <w:r>
        <w:t>日共3天，每天1次。</w:t>
      </w:r>
    </w:p>
    <w:p>
      <w:pPr>
        <w:spacing w:line="360" w:lineRule="auto"/>
        <w:ind w:firstLine="420" w:firstLineChars="200"/>
      </w:pPr>
      <w:r>
        <w:t>（4）监测分析方法</w:t>
      </w:r>
    </w:p>
    <w:p>
      <w:pPr>
        <w:spacing w:line="360" w:lineRule="auto"/>
        <w:ind w:firstLine="420" w:firstLineChars="200"/>
      </w:pPr>
      <w:r>
        <w:t>监测分析方法见表</w:t>
      </w:r>
      <w:r>
        <w:rPr>
          <w:rFonts w:hint="eastAsia"/>
        </w:rPr>
        <w:t>6-4</w:t>
      </w:r>
      <w:r>
        <w:t>。</w:t>
      </w:r>
    </w:p>
    <w:p>
      <w:pPr>
        <w:spacing w:line="360" w:lineRule="auto"/>
        <w:ind w:firstLine="420" w:firstLineChars="200"/>
        <w:rPr>
          <w:rFonts w:hint="eastAsia"/>
        </w:rPr>
      </w:pPr>
      <w:r>
        <w:t>监测单位：重庆市</w:t>
      </w:r>
      <w:r>
        <w:rPr>
          <w:rFonts w:hint="eastAsia"/>
        </w:rPr>
        <w:t>沙坪坝区</w:t>
      </w:r>
      <w:r>
        <w:t>环境监测</w:t>
      </w:r>
      <w:r>
        <w:rPr>
          <w:rFonts w:hint="eastAsia"/>
        </w:rPr>
        <w:t>站</w:t>
      </w:r>
    </w:p>
    <w:p>
      <w:pPr>
        <w:spacing w:line="440" w:lineRule="exact"/>
        <w:ind w:firstLine="422" w:firstLineChars="200"/>
        <w:jc w:val="center"/>
        <w:rPr>
          <w:b/>
        </w:rPr>
      </w:pPr>
      <w:r>
        <w:rPr>
          <w:b/>
        </w:rPr>
        <w:t>表</w:t>
      </w:r>
      <w:r>
        <w:rPr>
          <w:rFonts w:hint="eastAsia"/>
          <w:b/>
        </w:rPr>
        <w:t>6-4</w:t>
      </w:r>
      <w:r>
        <w:rPr>
          <w:b/>
        </w:rPr>
        <w:t xml:space="preserve"> 地表水、地下水环境质量监测分析方法</w:t>
      </w:r>
    </w:p>
    <w:tbl>
      <w:tblPr>
        <w:tblStyle w:val="21"/>
        <w:tblW w:w="8100" w:type="dxa"/>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288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0" w:type="dxa"/>
            <w:vAlign w:val="top"/>
          </w:tcPr>
          <w:p>
            <w:pPr>
              <w:spacing w:line="300" w:lineRule="exact"/>
              <w:jc w:val="center"/>
              <w:rPr>
                <w:szCs w:val="21"/>
              </w:rPr>
            </w:pPr>
            <w:r>
              <w:rPr>
                <w:szCs w:val="21"/>
              </w:rPr>
              <w:t>分析项目</w:t>
            </w:r>
          </w:p>
        </w:tc>
        <w:tc>
          <w:tcPr>
            <w:tcW w:w="2880" w:type="dxa"/>
            <w:vAlign w:val="top"/>
          </w:tcPr>
          <w:p>
            <w:pPr>
              <w:spacing w:line="300" w:lineRule="exact"/>
              <w:jc w:val="center"/>
              <w:rPr>
                <w:szCs w:val="21"/>
              </w:rPr>
            </w:pPr>
            <w:r>
              <w:rPr>
                <w:szCs w:val="21"/>
              </w:rPr>
              <w:t>测定方法</w:t>
            </w:r>
          </w:p>
        </w:tc>
        <w:tc>
          <w:tcPr>
            <w:tcW w:w="3420" w:type="dxa"/>
            <w:vAlign w:val="top"/>
          </w:tcPr>
          <w:p>
            <w:pPr>
              <w:spacing w:line="300" w:lineRule="exact"/>
              <w:jc w:val="center"/>
              <w:rPr>
                <w:szCs w:val="21"/>
              </w:rPr>
            </w:pPr>
            <w:r>
              <w:rPr>
                <w:szCs w:val="21"/>
              </w:rPr>
              <w:t>分析方法来源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0" w:type="dxa"/>
            <w:vAlign w:val="top"/>
          </w:tcPr>
          <w:p>
            <w:pPr>
              <w:spacing w:line="300" w:lineRule="exact"/>
              <w:jc w:val="center"/>
              <w:rPr>
                <w:rFonts w:hint="eastAsia"/>
                <w:szCs w:val="21"/>
              </w:rPr>
            </w:pPr>
            <w:r>
              <w:rPr>
                <w:rFonts w:hint="eastAsia"/>
                <w:szCs w:val="21"/>
              </w:rPr>
              <w:t>水温</w:t>
            </w:r>
          </w:p>
        </w:tc>
        <w:tc>
          <w:tcPr>
            <w:tcW w:w="2880" w:type="dxa"/>
            <w:vAlign w:val="top"/>
          </w:tcPr>
          <w:p>
            <w:pPr>
              <w:spacing w:line="300" w:lineRule="exact"/>
              <w:jc w:val="center"/>
              <w:rPr>
                <w:rFonts w:hint="eastAsia"/>
                <w:szCs w:val="21"/>
              </w:rPr>
            </w:pPr>
            <w:r>
              <w:rPr>
                <w:rFonts w:hint="eastAsia"/>
                <w:szCs w:val="21"/>
              </w:rPr>
              <w:t>温度计法</w:t>
            </w:r>
          </w:p>
        </w:tc>
        <w:tc>
          <w:tcPr>
            <w:tcW w:w="3420" w:type="dxa"/>
            <w:vAlign w:val="top"/>
          </w:tcPr>
          <w:p>
            <w:pPr>
              <w:spacing w:line="300" w:lineRule="exact"/>
              <w:jc w:val="center"/>
              <w:rPr>
                <w:rFonts w:hint="eastAsia"/>
                <w:szCs w:val="21"/>
              </w:rPr>
            </w:pPr>
            <w:r>
              <w:rPr>
                <w:rFonts w:hint="eastAsia"/>
                <w:szCs w:val="21"/>
              </w:rPr>
              <w:t>GB13195-91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0" w:type="dxa"/>
            <w:vAlign w:val="top"/>
          </w:tcPr>
          <w:p>
            <w:pPr>
              <w:spacing w:line="300" w:lineRule="exact"/>
              <w:jc w:val="center"/>
              <w:rPr>
                <w:szCs w:val="21"/>
              </w:rPr>
            </w:pPr>
            <w:r>
              <w:rPr>
                <w:szCs w:val="21"/>
              </w:rPr>
              <w:t>pH</w:t>
            </w:r>
          </w:p>
        </w:tc>
        <w:tc>
          <w:tcPr>
            <w:tcW w:w="2880" w:type="dxa"/>
            <w:vAlign w:val="top"/>
          </w:tcPr>
          <w:p>
            <w:pPr>
              <w:spacing w:line="300" w:lineRule="exact"/>
              <w:jc w:val="center"/>
              <w:rPr>
                <w:rFonts w:hint="eastAsia"/>
                <w:szCs w:val="21"/>
              </w:rPr>
            </w:pPr>
            <w:r>
              <w:rPr>
                <w:rFonts w:hint="eastAsia"/>
                <w:szCs w:val="21"/>
              </w:rPr>
              <w:t>玻璃电极法</w:t>
            </w:r>
          </w:p>
        </w:tc>
        <w:tc>
          <w:tcPr>
            <w:tcW w:w="3420" w:type="dxa"/>
            <w:vAlign w:val="top"/>
          </w:tcPr>
          <w:p>
            <w:pPr>
              <w:spacing w:line="300" w:lineRule="exact"/>
              <w:jc w:val="center"/>
              <w:rPr>
                <w:rFonts w:hint="eastAsia"/>
                <w:szCs w:val="21"/>
              </w:rPr>
            </w:pPr>
            <w:r>
              <w:rPr>
                <w:rFonts w:hint="eastAsia"/>
                <w:szCs w:val="21"/>
              </w:rPr>
              <w:t>GB6920-86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0" w:type="dxa"/>
            <w:vAlign w:val="top"/>
          </w:tcPr>
          <w:p>
            <w:pPr>
              <w:spacing w:line="300" w:lineRule="exact"/>
              <w:jc w:val="center"/>
              <w:rPr>
                <w:szCs w:val="21"/>
              </w:rPr>
            </w:pPr>
            <w:r>
              <w:rPr>
                <w:szCs w:val="21"/>
              </w:rPr>
              <w:t>DO</w:t>
            </w:r>
          </w:p>
        </w:tc>
        <w:tc>
          <w:tcPr>
            <w:tcW w:w="2880" w:type="dxa"/>
            <w:vAlign w:val="top"/>
          </w:tcPr>
          <w:p>
            <w:pPr>
              <w:spacing w:line="300" w:lineRule="exact"/>
              <w:jc w:val="center"/>
              <w:rPr>
                <w:rFonts w:hint="eastAsia"/>
                <w:szCs w:val="21"/>
              </w:rPr>
            </w:pPr>
            <w:r>
              <w:rPr>
                <w:rFonts w:hint="eastAsia"/>
                <w:szCs w:val="21"/>
              </w:rPr>
              <w:t>电化学探头法</w:t>
            </w:r>
          </w:p>
        </w:tc>
        <w:tc>
          <w:tcPr>
            <w:tcW w:w="3420" w:type="dxa"/>
            <w:vAlign w:val="top"/>
          </w:tcPr>
          <w:p>
            <w:pPr>
              <w:spacing w:line="300" w:lineRule="exact"/>
              <w:jc w:val="center"/>
              <w:rPr>
                <w:rFonts w:hint="eastAsia"/>
                <w:szCs w:val="21"/>
              </w:rPr>
            </w:pPr>
            <w:r>
              <w:rPr>
                <w:szCs w:val="21"/>
              </w:rPr>
              <w:t>GB</w:t>
            </w:r>
            <w:r>
              <w:rPr>
                <w:rFonts w:hint="eastAsia"/>
                <w:szCs w:val="21"/>
              </w:rPr>
              <w:t>11913</w:t>
            </w:r>
            <w:r>
              <w:rPr>
                <w:szCs w:val="21"/>
              </w:rPr>
              <w:t>-8</w:t>
            </w:r>
            <w:r>
              <w:rPr>
                <w:rFonts w:hint="eastAsia"/>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0" w:type="dxa"/>
            <w:vAlign w:val="top"/>
          </w:tcPr>
          <w:p>
            <w:pPr>
              <w:spacing w:line="300" w:lineRule="exact"/>
              <w:jc w:val="center"/>
              <w:rPr>
                <w:szCs w:val="21"/>
              </w:rPr>
            </w:pPr>
            <w:r>
              <w:rPr>
                <w:szCs w:val="21"/>
              </w:rPr>
              <w:t>COD</w:t>
            </w:r>
          </w:p>
        </w:tc>
        <w:tc>
          <w:tcPr>
            <w:tcW w:w="2880" w:type="dxa"/>
            <w:vAlign w:val="top"/>
          </w:tcPr>
          <w:p>
            <w:pPr>
              <w:spacing w:line="300" w:lineRule="exact"/>
              <w:jc w:val="center"/>
              <w:rPr>
                <w:szCs w:val="21"/>
              </w:rPr>
            </w:pPr>
            <w:r>
              <w:rPr>
                <w:szCs w:val="21"/>
              </w:rPr>
              <w:t>重铬酸盐法</w:t>
            </w:r>
          </w:p>
        </w:tc>
        <w:tc>
          <w:tcPr>
            <w:tcW w:w="3420" w:type="dxa"/>
            <w:vAlign w:val="top"/>
          </w:tcPr>
          <w:p>
            <w:pPr>
              <w:spacing w:line="300" w:lineRule="exact"/>
              <w:jc w:val="center"/>
              <w:rPr>
                <w:szCs w:val="21"/>
              </w:rPr>
            </w:pPr>
            <w:r>
              <w:rPr>
                <w:szCs w:val="21"/>
              </w:rPr>
              <w:t>GB11914-89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0" w:type="dxa"/>
            <w:vAlign w:val="top"/>
          </w:tcPr>
          <w:p>
            <w:pPr>
              <w:spacing w:line="300" w:lineRule="exact"/>
              <w:jc w:val="center"/>
              <w:rPr>
                <w:szCs w:val="21"/>
              </w:rPr>
            </w:pPr>
            <w:r>
              <w:rPr>
                <w:szCs w:val="21"/>
              </w:rPr>
              <w:t>BOD</w:t>
            </w:r>
            <w:r>
              <w:rPr>
                <w:szCs w:val="21"/>
                <w:vertAlign w:val="subscript"/>
              </w:rPr>
              <w:t>5</w:t>
            </w:r>
          </w:p>
        </w:tc>
        <w:tc>
          <w:tcPr>
            <w:tcW w:w="2880" w:type="dxa"/>
            <w:vAlign w:val="top"/>
          </w:tcPr>
          <w:p>
            <w:pPr>
              <w:spacing w:line="300" w:lineRule="exact"/>
              <w:jc w:val="center"/>
              <w:rPr>
                <w:szCs w:val="21"/>
              </w:rPr>
            </w:pPr>
            <w:r>
              <w:rPr>
                <w:szCs w:val="21"/>
              </w:rPr>
              <w:t>稀释与接种法</w:t>
            </w:r>
          </w:p>
        </w:tc>
        <w:tc>
          <w:tcPr>
            <w:tcW w:w="3420" w:type="dxa"/>
            <w:vAlign w:val="top"/>
          </w:tcPr>
          <w:p>
            <w:pPr>
              <w:spacing w:line="300" w:lineRule="exact"/>
              <w:jc w:val="center"/>
              <w:rPr>
                <w:szCs w:val="21"/>
              </w:rPr>
            </w:pPr>
            <w:r>
              <w:rPr>
                <w:szCs w:val="21"/>
              </w:rPr>
              <w:t>HJ505-2009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0" w:type="dxa"/>
            <w:vAlign w:val="top"/>
          </w:tcPr>
          <w:p>
            <w:pPr>
              <w:spacing w:line="300" w:lineRule="exact"/>
              <w:jc w:val="center"/>
              <w:rPr>
                <w:szCs w:val="21"/>
              </w:rPr>
            </w:pPr>
            <w:r>
              <w:rPr>
                <w:szCs w:val="21"/>
              </w:rPr>
              <w:t>NH</w:t>
            </w:r>
            <w:r>
              <w:rPr>
                <w:szCs w:val="21"/>
                <w:vertAlign w:val="subscript"/>
              </w:rPr>
              <w:t>3</w:t>
            </w:r>
            <w:r>
              <w:rPr>
                <w:szCs w:val="21"/>
              </w:rPr>
              <w:t>-N</w:t>
            </w:r>
          </w:p>
        </w:tc>
        <w:tc>
          <w:tcPr>
            <w:tcW w:w="2880" w:type="dxa"/>
            <w:vAlign w:val="top"/>
          </w:tcPr>
          <w:p>
            <w:pPr>
              <w:pStyle w:val="25"/>
              <w:widowControl w:val="0"/>
              <w:spacing w:before="0" w:beforeAutospacing="0" w:after="0" w:afterAutospacing="0" w:line="300" w:lineRule="exact"/>
              <w:rPr>
                <w:rFonts w:hint="default" w:ascii="Times New Roman" w:hAnsi="Times New Roman"/>
                <w:kern w:val="2"/>
                <w:sz w:val="21"/>
                <w:szCs w:val="21"/>
              </w:rPr>
            </w:pPr>
            <w:r>
              <w:rPr>
                <w:rFonts w:hint="default" w:ascii="Times New Roman" w:hAnsi="Times New Roman"/>
                <w:kern w:val="2"/>
                <w:sz w:val="21"/>
                <w:szCs w:val="21"/>
              </w:rPr>
              <w:t>纳氏试剂</w:t>
            </w:r>
            <w:r>
              <w:rPr>
                <w:rFonts w:ascii="Times New Roman" w:hAnsi="Times New Roman"/>
                <w:kern w:val="2"/>
                <w:sz w:val="21"/>
                <w:szCs w:val="21"/>
              </w:rPr>
              <w:t>分光光度</w:t>
            </w:r>
            <w:r>
              <w:rPr>
                <w:rFonts w:hint="default" w:ascii="Times New Roman" w:hAnsi="Times New Roman"/>
                <w:kern w:val="2"/>
                <w:sz w:val="21"/>
                <w:szCs w:val="21"/>
              </w:rPr>
              <w:t>法</w:t>
            </w:r>
          </w:p>
        </w:tc>
        <w:tc>
          <w:tcPr>
            <w:tcW w:w="3420" w:type="dxa"/>
            <w:vAlign w:val="top"/>
          </w:tcPr>
          <w:p>
            <w:pPr>
              <w:spacing w:line="300" w:lineRule="exact"/>
              <w:jc w:val="center"/>
              <w:rPr>
                <w:szCs w:val="21"/>
              </w:rPr>
            </w:pPr>
            <w:r>
              <w:rPr>
                <w:rFonts w:hint="eastAsia"/>
                <w:szCs w:val="21"/>
              </w:rPr>
              <w:t>HJ535-2009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0" w:type="dxa"/>
            <w:vAlign w:val="top"/>
          </w:tcPr>
          <w:p>
            <w:pPr>
              <w:spacing w:line="300" w:lineRule="exact"/>
              <w:jc w:val="center"/>
              <w:rPr>
                <w:rFonts w:hint="eastAsia"/>
                <w:szCs w:val="21"/>
              </w:rPr>
            </w:pPr>
            <w:r>
              <w:rPr>
                <w:rFonts w:hint="eastAsia"/>
                <w:szCs w:val="21"/>
              </w:rPr>
              <w:t>总磷</w:t>
            </w:r>
          </w:p>
        </w:tc>
        <w:tc>
          <w:tcPr>
            <w:tcW w:w="2880" w:type="dxa"/>
            <w:vAlign w:val="top"/>
          </w:tcPr>
          <w:p>
            <w:pPr>
              <w:pStyle w:val="25"/>
              <w:widowControl w:val="0"/>
              <w:spacing w:before="0" w:beforeAutospacing="0" w:after="0" w:afterAutospacing="0" w:line="300" w:lineRule="exact"/>
              <w:rPr>
                <w:rFonts w:ascii="Times New Roman" w:hAnsi="Times New Roman"/>
                <w:kern w:val="2"/>
                <w:sz w:val="21"/>
                <w:szCs w:val="21"/>
              </w:rPr>
            </w:pPr>
            <w:r>
              <w:rPr>
                <w:rFonts w:ascii="Times New Roman" w:hAnsi="Times New Roman"/>
                <w:kern w:val="2"/>
                <w:sz w:val="21"/>
                <w:szCs w:val="21"/>
              </w:rPr>
              <w:t>钼酸铵分光光度法</w:t>
            </w:r>
          </w:p>
        </w:tc>
        <w:tc>
          <w:tcPr>
            <w:tcW w:w="3420" w:type="dxa"/>
            <w:vAlign w:val="top"/>
          </w:tcPr>
          <w:p>
            <w:pPr>
              <w:spacing w:line="300" w:lineRule="exact"/>
              <w:jc w:val="center"/>
              <w:rPr>
                <w:rFonts w:hint="eastAsia"/>
                <w:szCs w:val="21"/>
              </w:rPr>
            </w:pPr>
            <w:r>
              <w:rPr>
                <w:rFonts w:hint="eastAsia"/>
                <w:szCs w:val="21"/>
              </w:rPr>
              <w:t>GB11896-89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0" w:type="dxa"/>
            <w:vAlign w:val="top"/>
          </w:tcPr>
          <w:p>
            <w:pPr>
              <w:spacing w:line="300" w:lineRule="exact"/>
              <w:jc w:val="center"/>
              <w:rPr>
                <w:rFonts w:hint="eastAsia"/>
                <w:szCs w:val="21"/>
              </w:rPr>
            </w:pPr>
            <w:r>
              <w:rPr>
                <w:rFonts w:hint="eastAsia"/>
                <w:szCs w:val="21"/>
              </w:rPr>
              <w:t>总氮</w:t>
            </w:r>
          </w:p>
        </w:tc>
        <w:tc>
          <w:tcPr>
            <w:tcW w:w="2880" w:type="dxa"/>
            <w:vAlign w:val="top"/>
          </w:tcPr>
          <w:p>
            <w:pPr>
              <w:pStyle w:val="25"/>
              <w:widowControl w:val="0"/>
              <w:spacing w:before="0" w:beforeAutospacing="0" w:after="0" w:afterAutospacing="0" w:line="300" w:lineRule="exact"/>
              <w:rPr>
                <w:rFonts w:ascii="Times New Roman" w:hAnsi="Times New Roman"/>
                <w:kern w:val="2"/>
                <w:sz w:val="21"/>
                <w:szCs w:val="21"/>
              </w:rPr>
            </w:pPr>
            <w:r>
              <w:rPr>
                <w:rFonts w:ascii="Times New Roman" w:hAnsi="Times New Roman"/>
                <w:kern w:val="2"/>
                <w:sz w:val="21"/>
                <w:szCs w:val="21"/>
              </w:rPr>
              <w:t>碱性过硫酸钾消解-紫外分光光度法</w:t>
            </w:r>
          </w:p>
        </w:tc>
        <w:tc>
          <w:tcPr>
            <w:tcW w:w="3420" w:type="dxa"/>
            <w:vAlign w:val="top"/>
          </w:tcPr>
          <w:p>
            <w:pPr>
              <w:spacing w:line="300" w:lineRule="exact"/>
              <w:jc w:val="center"/>
              <w:rPr>
                <w:rFonts w:hint="eastAsia"/>
                <w:szCs w:val="21"/>
              </w:rPr>
            </w:pPr>
            <w:r>
              <w:rPr>
                <w:rFonts w:hint="eastAsia"/>
                <w:szCs w:val="21"/>
              </w:rPr>
              <w:t>GB11894-89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0" w:type="dxa"/>
            <w:vAlign w:val="top"/>
          </w:tcPr>
          <w:p>
            <w:pPr>
              <w:spacing w:line="300" w:lineRule="exact"/>
              <w:jc w:val="center"/>
              <w:rPr>
                <w:szCs w:val="21"/>
              </w:rPr>
            </w:pPr>
            <w:r>
              <w:rPr>
                <w:szCs w:val="21"/>
              </w:rPr>
              <w:t>石油类</w:t>
            </w:r>
          </w:p>
        </w:tc>
        <w:tc>
          <w:tcPr>
            <w:tcW w:w="2880" w:type="dxa"/>
            <w:vAlign w:val="top"/>
          </w:tcPr>
          <w:p>
            <w:pPr>
              <w:spacing w:line="300" w:lineRule="exact"/>
              <w:jc w:val="center"/>
              <w:rPr>
                <w:szCs w:val="21"/>
              </w:rPr>
            </w:pPr>
            <w:r>
              <w:rPr>
                <w:szCs w:val="21"/>
              </w:rPr>
              <w:t>红外分光光度法</w:t>
            </w:r>
          </w:p>
        </w:tc>
        <w:tc>
          <w:tcPr>
            <w:tcW w:w="3420" w:type="dxa"/>
            <w:vAlign w:val="top"/>
          </w:tcPr>
          <w:p>
            <w:pPr>
              <w:spacing w:line="300" w:lineRule="exact"/>
              <w:jc w:val="center"/>
              <w:rPr>
                <w:szCs w:val="21"/>
              </w:rPr>
            </w:pPr>
            <w:r>
              <w:rPr>
                <w:szCs w:val="21"/>
              </w:rPr>
              <w:t>GB/T16488-1996</w:t>
            </w:r>
          </w:p>
        </w:tc>
      </w:tr>
    </w:tbl>
    <w:p>
      <w:pPr>
        <w:spacing w:line="440" w:lineRule="exact"/>
        <w:rPr>
          <w:rFonts w:hint="eastAsia"/>
          <w:b/>
          <w:bCs/>
        </w:rPr>
      </w:pPr>
    </w:p>
    <w:p>
      <w:pPr>
        <w:spacing w:line="360" w:lineRule="auto"/>
        <w:rPr>
          <w:b/>
          <w:bCs/>
        </w:rPr>
      </w:pPr>
      <w:r>
        <w:rPr>
          <w:rFonts w:hint="eastAsia"/>
          <w:b/>
          <w:bCs/>
        </w:rPr>
        <w:t>6.2</w:t>
      </w:r>
      <w:r>
        <w:rPr>
          <w:b/>
          <w:bCs/>
        </w:rPr>
        <w:t>.2 监测结果统计及现状评价</w:t>
      </w:r>
    </w:p>
    <w:p>
      <w:pPr>
        <w:spacing w:line="360" w:lineRule="auto"/>
        <w:ind w:firstLine="420" w:firstLineChars="200"/>
      </w:pPr>
      <w:r>
        <w:t>地表水环境质量监测结果统计见表</w:t>
      </w:r>
      <w:r>
        <w:rPr>
          <w:rFonts w:hint="eastAsia"/>
        </w:rPr>
        <w:t>6-5</w:t>
      </w:r>
      <w:r>
        <w:t>。评价方法采用单因子指数评价法。</w:t>
      </w:r>
    </w:p>
    <w:p>
      <w:pPr>
        <w:pStyle w:val="5"/>
        <w:spacing w:line="360" w:lineRule="auto"/>
        <w:ind w:firstLine="540" w:firstLineChars="225"/>
        <w:rPr>
          <w:sz w:val="24"/>
          <w:szCs w:val="24"/>
        </w:rPr>
      </w:pPr>
      <w:r>
        <w:rPr>
          <w:sz w:val="24"/>
          <w:szCs w:val="24"/>
        </w:rPr>
        <w:t>DO的标准指数为：</w:t>
      </w:r>
    </w:p>
    <w:p>
      <w:pPr>
        <w:pStyle w:val="5"/>
        <w:spacing w:line="360" w:lineRule="auto"/>
        <w:ind w:right="420" w:firstLine="1200" w:firstLineChars="500"/>
        <w:rPr>
          <w:sz w:val="24"/>
          <w:szCs w:val="24"/>
        </w:rPr>
      </w:pPr>
      <w:r>
        <w:rPr>
          <w:position w:val="-32"/>
          <w:sz w:val="24"/>
          <w:szCs w:val="24"/>
        </w:rPr>
        <w:object>
          <v:shape id="_x0000_i1027" o:spt="75" type="#_x0000_t75" style="height:34.7pt;width:147pt;" o:ole="t" fillcolor="#000011" filled="f" stroked="f" coordsize="21600,21600">
            <v:path/>
            <v:fill on="f" alignshape="1" focussize="0,0"/>
            <v:stroke on="f"/>
            <v:imagedata r:id="rId36" grayscale="f" bilevel="f" o:title=""/>
            <o:lock v:ext="edit" aspectratio="t"/>
            <w10:wrap type="none"/>
            <w10:anchorlock/>
          </v:shape>
          <o:OLEObject Type="Embed" ProgID="Equation.3" ShapeID="_x0000_i1027" DrawAspect="Content" ObjectID="_1468075727" r:id="rId35">
            <o:LockedField>false</o:LockedField>
          </o:OLEObject>
        </w:object>
      </w:r>
    </w:p>
    <w:p>
      <w:pPr>
        <w:pStyle w:val="5"/>
        <w:spacing w:line="360" w:lineRule="auto"/>
        <w:ind w:right="420" w:firstLine="1200" w:firstLineChars="500"/>
        <w:rPr>
          <w:sz w:val="24"/>
          <w:szCs w:val="24"/>
        </w:rPr>
      </w:pPr>
      <w:r>
        <w:rPr>
          <w:position w:val="-30"/>
          <w:sz w:val="24"/>
          <w:szCs w:val="24"/>
        </w:rPr>
        <w:object>
          <v:shape id="_x0000_i1028" o:spt="75" type="#_x0000_t75" style="height:31.4pt;width:138.05pt;" o:ole="t" fillcolor="#000011" filled="f" stroked="f" coordsize="21600,21600">
            <v:path/>
            <v:fill on="f" alignshape="1" focussize="0,0"/>
            <v:stroke on="f"/>
            <v:imagedata r:id="rId38" grayscale="f" bilevel="f" o:title=""/>
            <o:lock v:ext="edit" aspectratio="t"/>
            <w10:wrap type="none"/>
            <w10:anchorlock/>
          </v:shape>
          <o:OLEObject Type="Embed" ProgID="Equation.3" ShapeID="_x0000_i1028" DrawAspect="Content" ObjectID="_1468075728" r:id="rId37">
            <o:LockedField>false</o:LockedField>
          </o:OLEObject>
        </w:object>
      </w:r>
    </w:p>
    <w:p>
      <w:pPr>
        <w:pStyle w:val="5"/>
        <w:spacing w:line="360" w:lineRule="auto"/>
        <w:ind w:right="420" w:firstLine="1200" w:firstLineChars="500"/>
        <w:rPr>
          <w:sz w:val="24"/>
          <w:szCs w:val="24"/>
        </w:rPr>
      </w:pPr>
      <w:r>
        <w:rPr>
          <w:position w:val="-14"/>
          <w:sz w:val="24"/>
          <w:szCs w:val="24"/>
        </w:rPr>
        <w:object>
          <v:shape id="_x0000_i1029" o:spt="75" type="#_x0000_t75" style="height:19.05pt;width:110.9pt;" o:ole="t" fillcolor="#000011" filled="f" stroked="f" coordsize="21600,21600">
            <v:path/>
            <v:fill on="f" alignshape="1" focussize="0,0"/>
            <v:stroke on="f"/>
            <v:imagedata r:id="rId40" grayscale="f" bilevel="f" o:title=""/>
            <o:lock v:ext="edit" aspectratio="t"/>
            <w10:wrap type="none"/>
            <w10:anchorlock/>
          </v:shape>
          <o:OLEObject Type="Embed" ProgID="Equation.3" ShapeID="_x0000_i1029" DrawAspect="Content" ObjectID="_1468075729" r:id="rId39">
            <o:LockedField>false</o:LockedField>
          </o:OLEObject>
        </w:object>
      </w:r>
    </w:p>
    <w:p>
      <w:pPr>
        <w:tabs>
          <w:tab w:val="left" w:pos="742"/>
        </w:tabs>
        <w:spacing w:line="360" w:lineRule="auto"/>
        <w:ind w:firstLine="420" w:firstLineChars="200"/>
      </w:pPr>
      <w:r>
        <w:t>式中：S</w:t>
      </w:r>
      <w:r>
        <w:rPr>
          <w:i/>
          <w:vertAlign w:val="subscript"/>
        </w:rPr>
        <w:t>DO</w:t>
      </w:r>
      <w:r>
        <w:rPr>
          <w:vertAlign w:val="subscript"/>
        </w:rPr>
        <w:t>,</w:t>
      </w:r>
      <w:r>
        <w:rPr>
          <w:i/>
          <w:vertAlign w:val="subscript"/>
        </w:rPr>
        <w:t>j</w:t>
      </w:r>
      <w:r>
        <w:t>—DO的标准指数；</w:t>
      </w:r>
    </w:p>
    <w:p>
      <w:pPr>
        <w:pStyle w:val="5"/>
        <w:spacing w:line="360" w:lineRule="auto"/>
        <w:ind w:firstLine="1260" w:firstLineChars="525"/>
        <w:rPr>
          <w:sz w:val="24"/>
          <w:szCs w:val="24"/>
        </w:rPr>
      </w:pPr>
      <w:r>
        <w:rPr>
          <w:sz w:val="24"/>
          <w:szCs w:val="24"/>
        </w:rPr>
        <w:t>DO</w:t>
      </w:r>
      <w:r>
        <w:rPr>
          <w:i/>
          <w:sz w:val="24"/>
          <w:szCs w:val="24"/>
          <w:vertAlign w:val="subscript"/>
        </w:rPr>
        <w:t>f</w:t>
      </w:r>
      <w:r>
        <w:rPr>
          <w:sz w:val="24"/>
          <w:szCs w:val="24"/>
        </w:rPr>
        <w:t>—饱和溶解氧浓度，mg/L；</w:t>
      </w:r>
    </w:p>
    <w:p>
      <w:pPr>
        <w:pStyle w:val="5"/>
        <w:spacing w:line="360" w:lineRule="auto"/>
        <w:ind w:firstLine="1260" w:firstLineChars="525"/>
        <w:rPr>
          <w:sz w:val="24"/>
          <w:szCs w:val="24"/>
        </w:rPr>
      </w:pPr>
      <w:r>
        <w:rPr>
          <w:sz w:val="24"/>
          <w:szCs w:val="24"/>
        </w:rPr>
        <w:t>DO</w:t>
      </w:r>
      <w:r>
        <w:rPr>
          <w:i/>
          <w:sz w:val="24"/>
          <w:szCs w:val="24"/>
          <w:vertAlign w:val="subscript"/>
        </w:rPr>
        <w:t>j</w:t>
      </w:r>
      <w:r>
        <w:rPr>
          <w:sz w:val="24"/>
          <w:szCs w:val="24"/>
        </w:rPr>
        <w:t>—溶解氧的实测值，mg/L；</w:t>
      </w:r>
    </w:p>
    <w:p>
      <w:pPr>
        <w:pStyle w:val="5"/>
        <w:spacing w:line="360" w:lineRule="auto"/>
        <w:ind w:firstLine="1260" w:firstLineChars="525"/>
        <w:rPr>
          <w:sz w:val="24"/>
          <w:szCs w:val="24"/>
        </w:rPr>
      </w:pPr>
      <w:r>
        <w:rPr>
          <w:sz w:val="24"/>
          <w:szCs w:val="24"/>
        </w:rPr>
        <w:t>DO</w:t>
      </w:r>
      <w:r>
        <w:rPr>
          <w:i/>
          <w:sz w:val="24"/>
          <w:szCs w:val="24"/>
          <w:vertAlign w:val="subscript"/>
        </w:rPr>
        <w:t>s</w:t>
      </w:r>
      <w:r>
        <w:rPr>
          <w:sz w:val="24"/>
          <w:szCs w:val="24"/>
        </w:rPr>
        <w:t>—溶解氧的地面水水质标准，mg/L；</w:t>
      </w:r>
    </w:p>
    <w:p>
      <w:pPr>
        <w:pStyle w:val="5"/>
        <w:spacing w:line="360" w:lineRule="auto"/>
        <w:rPr>
          <w:sz w:val="24"/>
          <w:szCs w:val="24"/>
        </w:rPr>
      </w:pPr>
      <w:r>
        <w:rPr>
          <w:sz w:val="24"/>
          <w:szCs w:val="24"/>
        </w:rPr>
        <w:t>pH的标准指数为：</w:t>
      </w:r>
    </w:p>
    <w:p>
      <w:pPr>
        <w:pStyle w:val="5"/>
        <w:spacing w:line="360" w:lineRule="auto"/>
        <w:ind w:right="420" w:firstLine="1440" w:firstLineChars="600"/>
        <w:rPr>
          <w:sz w:val="24"/>
          <w:szCs w:val="24"/>
        </w:rPr>
      </w:pPr>
      <w:r>
        <w:rPr>
          <w:position w:val="-30"/>
          <w:sz w:val="24"/>
          <w:szCs w:val="24"/>
        </w:rPr>
        <w:object>
          <v:shape id="_x0000_i1030" o:spt="75" type="#_x0000_t75" style="height:36pt;width:152pt;" o:ole="t" fillcolor="#000011" filled="f" stroked="f" coordsize="21600,21600">
            <v:path/>
            <v:fill on="f" alignshape="1" focussize="0,0"/>
            <v:stroke on="f"/>
            <v:imagedata r:id="rId42" grayscale="f" bilevel="f" o:title=""/>
            <o:lock v:ext="edit" aspectratio="t"/>
            <w10:wrap type="none"/>
            <w10:anchorlock/>
          </v:shape>
          <o:OLEObject Type="Embed" ProgID="Equation.3" ShapeID="_x0000_i1030" DrawAspect="Content" ObjectID="_1468075730" r:id="rId41">
            <o:LockedField>false</o:LockedField>
          </o:OLEObject>
        </w:object>
      </w:r>
    </w:p>
    <w:p>
      <w:pPr>
        <w:pStyle w:val="5"/>
        <w:spacing w:line="360" w:lineRule="auto"/>
        <w:ind w:right="420" w:firstLine="1440" w:firstLineChars="600"/>
        <w:rPr>
          <w:sz w:val="24"/>
          <w:szCs w:val="24"/>
        </w:rPr>
      </w:pPr>
      <w:r>
        <w:rPr>
          <w:position w:val="-30"/>
          <w:sz w:val="24"/>
          <w:szCs w:val="24"/>
        </w:rPr>
        <w:object>
          <v:shape id="_x0000_i1031" o:spt="75" type="#_x0000_t75" style="height:36pt;width:152pt;" o:ole="t" fillcolor="#000011" filled="f" stroked="f" coordsize="21600,21600">
            <v:path/>
            <v:fill on="f" alignshape="1" focussize="0,0"/>
            <v:stroke on="f"/>
            <v:imagedata r:id="rId44" grayscale="f" bilevel="f" o:title=""/>
            <o:lock v:ext="edit" aspectratio="t"/>
            <w10:wrap type="none"/>
            <w10:anchorlock/>
          </v:shape>
          <o:OLEObject Type="Embed" ProgID="Equation.3" ShapeID="_x0000_i1031" DrawAspect="Content" ObjectID="_1468075731" r:id="rId43">
            <o:LockedField>false</o:LockedField>
          </o:OLEObject>
        </w:object>
      </w:r>
    </w:p>
    <w:p>
      <w:pPr>
        <w:tabs>
          <w:tab w:val="left" w:pos="742"/>
        </w:tabs>
        <w:spacing w:line="360" w:lineRule="auto"/>
        <w:ind w:firstLine="420" w:firstLineChars="200"/>
        <w:rPr>
          <w:rFonts w:hint="eastAsia"/>
        </w:rPr>
      </w:pPr>
      <w:r>
        <w:t>式中：S</w:t>
      </w:r>
      <w:r>
        <w:rPr>
          <w:i/>
          <w:vertAlign w:val="subscript"/>
        </w:rPr>
        <w:t>pH</w:t>
      </w:r>
      <w:r>
        <w:rPr>
          <w:vertAlign w:val="subscript"/>
        </w:rPr>
        <w:t>,</w:t>
      </w:r>
      <w:r>
        <w:rPr>
          <w:i/>
          <w:vertAlign w:val="subscript"/>
        </w:rPr>
        <w:t>j</w:t>
      </w:r>
      <w:r>
        <w:t>—pH的单因子污染指数；</w:t>
      </w:r>
    </w:p>
    <w:p>
      <w:pPr>
        <w:pStyle w:val="5"/>
        <w:spacing w:line="360" w:lineRule="auto"/>
        <w:ind w:firstLine="1260" w:firstLineChars="525"/>
        <w:rPr>
          <w:sz w:val="24"/>
          <w:szCs w:val="24"/>
        </w:rPr>
      </w:pPr>
      <w:r>
        <w:rPr>
          <w:i/>
          <w:sz w:val="24"/>
          <w:szCs w:val="24"/>
        </w:rPr>
        <w:t>pH</w:t>
      </w:r>
      <w:r>
        <w:rPr>
          <w:sz w:val="24"/>
          <w:szCs w:val="24"/>
          <w:vertAlign w:val="subscript"/>
        </w:rPr>
        <w:t>sd</w:t>
      </w:r>
      <w:r>
        <w:rPr>
          <w:sz w:val="24"/>
          <w:szCs w:val="24"/>
        </w:rPr>
        <w:t>、</w:t>
      </w:r>
      <w:r>
        <w:rPr>
          <w:i/>
          <w:sz w:val="24"/>
          <w:szCs w:val="24"/>
        </w:rPr>
        <w:t>pH</w:t>
      </w:r>
      <w:r>
        <w:rPr>
          <w:sz w:val="24"/>
          <w:szCs w:val="24"/>
          <w:vertAlign w:val="subscript"/>
        </w:rPr>
        <w:t>su</w:t>
      </w:r>
      <w:r>
        <w:rPr>
          <w:sz w:val="24"/>
          <w:szCs w:val="24"/>
        </w:rPr>
        <w:t>—地表水标准值的上、下限值；</w:t>
      </w:r>
    </w:p>
    <w:p>
      <w:pPr>
        <w:pStyle w:val="5"/>
        <w:spacing w:line="360" w:lineRule="auto"/>
        <w:ind w:firstLine="1260" w:firstLineChars="525"/>
        <w:rPr>
          <w:sz w:val="24"/>
          <w:szCs w:val="24"/>
        </w:rPr>
      </w:pPr>
      <w:r>
        <w:rPr>
          <w:i/>
          <w:sz w:val="24"/>
          <w:szCs w:val="24"/>
        </w:rPr>
        <w:t>pH</w:t>
      </w:r>
      <w:r>
        <w:rPr>
          <w:sz w:val="24"/>
          <w:szCs w:val="24"/>
          <w:vertAlign w:val="subscript"/>
        </w:rPr>
        <w:t>j</w:t>
      </w:r>
      <w:r>
        <w:rPr>
          <w:sz w:val="24"/>
          <w:szCs w:val="24"/>
        </w:rPr>
        <w:t>—实测值。</w:t>
      </w:r>
    </w:p>
    <w:p>
      <w:pPr>
        <w:pStyle w:val="5"/>
        <w:spacing w:line="360" w:lineRule="auto"/>
        <w:rPr>
          <w:sz w:val="24"/>
          <w:szCs w:val="24"/>
        </w:rPr>
      </w:pPr>
      <w:r>
        <w:rPr>
          <w:sz w:val="24"/>
          <w:szCs w:val="24"/>
        </w:rPr>
        <w:t>其他污染物标准指数：单项水质参数i在第j点的标准指数为：</w:t>
      </w:r>
    </w:p>
    <w:p>
      <w:pPr>
        <w:pStyle w:val="5"/>
        <w:spacing w:line="360" w:lineRule="auto"/>
        <w:ind w:right="420" w:firstLine="1320" w:firstLineChars="550"/>
        <w:rPr>
          <w:sz w:val="24"/>
          <w:szCs w:val="24"/>
        </w:rPr>
      </w:pPr>
      <w:r>
        <w:rPr>
          <w:sz w:val="24"/>
          <w:szCs w:val="24"/>
        </w:rPr>
        <w:t>S</w:t>
      </w:r>
      <w:r>
        <w:rPr>
          <w:sz w:val="24"/>
          <w:szCs w:val="24"/>
          <w:vertAlign w:val="subscript"/>
        </w:rPr>
        <w:t>i,j</w:t>
      </w:r>
      <w:r>
        <w:rPr>
          <w:sz w:val="24"/>
          <w:szCs w:val="24"/>
        </w:rPr>
        <w:t>=C</w:t>
      </w:r>
      <w:r>
        <w:rPr>
          <w:sz w:val="24"/>
          <w:szCs w:val="24"/>
          <w:vertAlign w:val="subscript"/>
        </w:rPr>
        <w:t>i,j</w:t>
      </w:r>
      <w:r>
        <w:rPr>
          <w:sz w:val="24"/>
          <w:szCs w:val="24"/>
        </w:rPr>
        <w:t>/C</w:t>
      </w:r>
      <w:r>
        <w:rPr>
          <w:sz w:val="24"/>
          <w:szCs w:val="24"/>
          <w:vertAlign w:val="subscript"/>
        </w:rPr>
        <w:t>si</w:t>
      </w:r>
    </w:p>
    <w:p>
      <w:pPr>
        <w:tabs>
          <w:tab w:val="left" w:pos="742"/>
        </w:tabs>
        <w:spacing w:line="360" w:lineRule="auto"/>
        <w:ind w:firstLine="420" w:firstLineChars="200"/>
      </w:pPr>
      <w:r>
        <w:t>式中：S</w:t>
      </w:r>
      <w:r>
        <w:rPr>
          <w:vertAlign w:val="subscript"/>
        </w:rPr>
        <w:t>i,j</w:t>
      </w:r>
      <w:r>
        <w:t>—ｉ污染物的单因子指数；</w:t>
      </w:r>
    </w:p>
    <w:p>
      <w:pPr>
        <w:tabs>
          <w:tab w:val="left" w:pos="742"/>
        </w:tabs>
        <w:spacing w:line="360" w:lineRule="auto"/>
        <w:ind w:firstLine="1050" w:firstLineChars="500"/>
      </w:pPr>
      <w:r>
        <w:t>C</w:t>
      </w:r>
      <w:r>
        <w:rPr>
          <w:vertAlign w:val="subscript"/>
        </w:rPr>
        <w:t>i,j</w:t>
      </w:r>
      <w:r>
        <w:t>—污染物ｉ在监测点ｊ的浓度，mg/L；</w:t>
      </w:r>
    </w:p>
    <w:p>
      <w:pPr>
        <w:spacing w:line="360" w:lineRule="auto"/>
        <w:ind w:firstLine="1050" w:firstLineChars="500"/>
      </w:pPr>
      <w:r>
        <w:t>C</w:t>
      </w:r>
      <w:r>
        <w:rPr>
          <w:vertAlign w:val="subscript"/>
        </w:rPr>
        <w:t>si</w:t>
      </w:r>
      <w:r>
        <w:t>—i污染物的标准值，mg/L。</w:t>
      </w:r>
    </w:p>
    <w:p>
      <w:pPr>
        <w:spacing w:line="360" w:lineRule="auto"/>
        <w:ind w:firstLine="420" w:firstLineChars="200"/>
        <w:rPr>
          <w:rFonts w:hint="eastAsia"/>
        </w:rPr>
      </w:pPr>
      <w:r>
        <w:t>由表</w:t>
      </w:r>
      <w:r>
        <w:rPr>
          <w:rFonts w:hint="eastAsia"/>
        </w:rPr>
        <w:t>6-5</w:t>
      </w:r>
      <w:r>
        <w:t>可知，各监测项目浓度值均未超过《地表水环境质量标准》Ⅲ类水域标准；各项水质因子的最大I</w:t>
      </w:r>
      <w:r>
        <w:rPr>
          <w:vertAlign w:val="subscript"/>
        </w:rPr>
        <w:t>i</w:t>
      </w:r>
      <w:r>
        <w:t>值均小于1。评价结果表明，各项水质指标均符合《地表水环境质量标准》（GB3838-2002）Ⅲ类标准的要求，水环境质量现状较好。</w:t>
      </w:r>
    </w:p>
    <w:p>
      <w:pPr>
        <w:spacing w:line="440" w:lineRule="exact"/>
        <w:ind w:firstLine="422" w:firstLineChars="200"/>
        <w:rPr>
          <w:rFonts w:hint="eastAsia"/>
        </w:rPr>
      </w:pPr>
      <w:r>
        <w:rPr>
          <w:b/>
        </w:rPr>
        <w:t>表</w:t>
      </w:r>
      <w:r>
        <w:rPr>
          <w:rFonts w:hint="eastAsia"/>
          <w:b/>
        </w:rPr>
        <w:t xml:space="preserve">6-5 </w:t>
      </w:r>
      <w:r>
        <w:rPr>
          <w:b/>
        </w:rPr>
        <w:t xml:space="preserve">  地表水现状监测结果统计及评价结果表</w:t>
      </w:r>
      <w:r>
        <w:t xml:space="preserve">   单位：mg/L,pH除外</w:t>
      </w:r>
    </w:p>
    <w:tbl>
      <w:tblPr>
        <w:tblStyle w:val="21"/>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2452"/>
        <w:gridCol w:w="919"/>
        <w:gridCol w:w="919"/>
        <w:gridCol w:w="919"/>
        <w:gridCol w:w="919"/>
        <w:gridCol w:w="1109"/>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0" w:type="dxa"/>
            <w:vAlign w:val="center"/>
          </w:tcPr>
          <w:p>
            <w:pPr>
              <w:spacing w:before="0" w:beforeAutospacing="0" w:after="0" w:afterAutospacing="0" w:line="300" w:lineRule="exact"/>
              <w:rPr>
                <w:sz w:val="21"/>
                <w:szCs w:val="21"/>
              </w:rPr>
            </w:pPr>
          </w:p>
        </w:tc>
        <w:tc>
          <w:tcPr>
            <w:tcW w:w="2452" w:type="dxa"/>
            <w:vAlign w:val="center"/>
          </w:tcPr>
          <w:p>
            <w:pPr>
              <w:spacing w:line="300" w:lineRule="exact"/>
              <w:ind w:firstLine="480"/>
              <w:rPr>
                <w:sz w:val="21"/>
                <w:szCs w:val="21"/>
              </w:rPr>
            </w:pPr>
            <w:r>
              <w:rPr>
                <w:sz w:val="21"/>
                <w:szCs w:val="21"/>
              </w:rPr>
              <w:t>评价标准值</w:t>
            </w:r>
          </w:p>
          <w:p>
            <w:pPr>
              <w:spacing w:line="300" w:lineRule="exact"/>
              <w:ind w:firstLine="480"/>
              <w:rPr>
                <w:sz w:val="21"/>
                <w:szCs w:val="21"/>
              </w:rPr>
            </w:pPr>
            <w:r>
              <w:rPr>
                <w:sz w:val="21"/>
                <w:szCs w:val="21"/>
              </w:rPr>
              <w:t>（GB3838-2002）∨类</w:t>
            </w:r>
          </w:p>
        </w:tc>
        <w:tc>
          <w:tcPr>
            <w:tcW w:w="919" w:type="dxa"/>
            <w:vAlign w:val="center"/>
          </w:tcPr>
          <w:p>
            <w:pPr>
              <w:spacing w:line="300" w:lineRule="exact"/>
              <w:jc w:val="both"/>
              <w:rPr>
                <w:sz w:val="21"/>
                <w:szCs w:val="21"/>
              </w:rPr>
            </w:pPr>
            <w:r>
              <w:rPr>
                <w:sz w:val="21"/>
                <w:szCs w:val="21"/>
              </w:rPr>
              <w:t>样品数</w:t>
            </w:r>
          </w:p>
        </w:tc>
        <w:tc>
          <w:tcPr>
            <w:tcW w:w="919" w:type="dxa"/>
            <w:vAlign w:val="center"/>
          </w:tcPr>
          <w:p>
            <w:pPr>
              <w:spacing w:line="300" w:lineRule="exact"/>
              <w:jc w:val="both"/>
              <w:rPr>
                <w:sz w:val="21"/>
                <w:szCs w:val="21"/>
              </w:rPr>
            </w:pPr>
            <w:r>
              <w:rPr>
                <w:sz w:val="21"/>
                <w:szCs w:val="21"/>
              </w:rPr>
              <w:t>平均值</w:t>
            </w:r>
          </w:p>
        </w:tc>
        <w:tc>
          <w:tcPr>
            <w:tcW w:w="919" w:type="dxa"/>
            <w:vAlign w:val="center"/>
          </w:tcPr>
          <w:p>
            <w:pPr>
              <w:spacing w:line="300" w:lineRule="exact"/>
              <w:jc w:val="both"/>
              <w:rPr>
                <w:sz w:val="21"/>
                <w:szCs w:val="21"/>
              </w:rPr>
            </w:pPr>
            <w:r>
              <w:rPr>
                <w:sz w:val="21"/>
                <w:szCs w:val="21"/>
              </w:rPr>
              <w:t>最小值</w:t>
            </w:r>
          </w:p>
        </w:tc>
        <w:tc>
          <w:tcPr>
            <w:tcW w:w="919" w:type="dxa"/>
            <w:vAlign w:val="center"/>
          </w:tcPr>
          <w:p>
            <w:pPr>
              <w:spacing w:line="300" w:lineRule="exact"/>
              <w:jc w:val="both"/>
              <w:rPr>
                <w:sz w:val="21"/>
                <w:szCs w:val="21"/>
              </w:rPr>
            </w:pPr>
            <w:r>
              <w:rPr>
                <w:sz w:val="21"/>
                <w:szCs w:val="21"/>
              </w:rPr>
              <w:t>最大值</w:t>
            </w:r>
          </w:p>
        </w:tc>
        <w:tc>
          <w:tcPr>
            <w:tcW w:w="1109" w:type="dxa"/>
            <w:vAlign w:val="center"/>
          </w:tcPr>
          <w:p>
            <w:pPr>
              <w:spacing w:line="300" w:lineRule="exact"/>
              <w:jc w:val="both"/>
              <w:rPr>
                <w:sz w:val="21"/>
                <w:szCs w:val="21"/>
              </w:rPr>
            </w:pPr>
            <w:r>
              <w:rPr>
                <w:sz w:val="21"/>
                <w:szCs w:val="21"/>
              </w:rPr>
              <w:t>超标率%</w:t>
            </w:r>
          </w:p>
        </w:tc>
        <w:tc>
          <w:tcPr>
            <w:tcW w:w="1129" w:type="dxa"/>
            <w:vAlign w:val="center"/>
          </w:tcPr>
          <w:p>
            <w:pPr>
              <w:spacing w:line="300" w:lineRule="exact"/>
              <w:jc w:val="both"/>
              <w:rPr>
                <w:sz w:val="21"/>
                <w:szCs w:val="21"/>
              </w:rPr>
            </w:pPr>
            <w:r>
              <w:rPr>
                <w:sz w:val="21"/>
                <w:szCs w:val="21"/>
              </w:rPr>
              <w:t>最大Ii值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0" w:type="dxa"/>
            <w:vAlign w:val="center"/>
          </w:tcPr>
          <w:p>
            <w:pPr>
              <w:spacing w:before="0" w:beforeAutospacing="0" w:after="0" w:afterAutospacing="0" w:line="300" w:lineRule="exact"/>
              <w:rPr>
                <w:sz w:val="21"/>
                <w:szCs w:val="21"/>
              </w:rPr>
            </w:pPr>
            <w:r>
              <w:rPr>
                <w:sz w:val="21"/>
                <w:szCs w:val="21"/>
              </w:rPr>
              <w:t>水温</w:t>
            </w:r>
          </w:p>
        </w:tc>
        <w:tc>
          <w:tcPr>
            <w:tcW w:w="2452" w:type="dxa"/>
            <w:vAlign w:val="center"/>
          </w:tcPr>
          <w:p>
            <w:pPr>
              <w:spacing w:before="0" w:beforeAutospacing="0" w:after="0" w:afterAutospacing="0" w:line="300" w:lineRule="exact"/>
              <w:rPr>
                <w:sz w:val="21"/>
                <w:szCs w:val="21"/>
              </w:rPr>
            </w:pPr>
            <w:r>
              <w:rPr>
                <w:sz w:val="21"/>
                <w:szCs w:val="21"/>
              </w:rPr>
              <w:t>—</w:t>
            </w:r>
          </w:p>
        </w:tc>
        <w:tc>
          <w:tcPr>
            <w:tcW w:w="919" w:type="dxa"/>
            <w:vAlign w:val="center"/>
          </w:tcPr>
          <w:p>
            <w:pPr>
              <w:spacing w:before="0" w:beforeAutospacing="0" w:after="0" w:afterAutospacing="0" w:line="300" w:lineRule="exact"/>
              <w:rPr>
                <w:sz w:val="21"/>
                <w:szCs w:val="21"/>
              </w:rPr>
            </w:pPr>
            <w:r>
              <w:rPr>
                <w:sz w:val="21"/>
                <w:szCs w:val="21"/>
              </w:rPr>
              <w:t>3</w:t>
            </w:r>
          </w:p>
        </w:tc>
        <w:tc>
          <w:tcPr>
            <w:tcW w:w="919" w:type="dxa"/>
            <w:vAlign w:val="center"/>
          </w:tcPr>
          <w:p>
            <w:pPr>
              <w:spacing w:before="0" w:beforeAutospacing="0" w:after="0" w:afterAutospacing="0" w:line="300" w:lineRule="exact"/>
              <w:rPr>
                <w:sz w:val="21"/>
                <w:szCs w:val="21"/>
              </w:rPr>
            </w:pPr>
            <w:r>
              <w:rPr>
                <w:sz w:val="21"/>
                <w:szCs w:val="21"/>
              </w:rPr>
              <w:t>28.3</w:t>
            </w:r>
          </w:p>
        </w:tc>
        <w:tc>
          <w:tcPr>
            <w:tcW w:w="919" w:type="dxa"/>
            <w:vAlign w:val="center"/>
          </w:tcPr>
          <w:p>
            <w:pPr>
              <w:spacing w:before="0" w:beforeAutospacing="0" w:after="0" w:afterAutospacing="0" w:line="300" w:lineRule="exact"/>
              <w:rPr>
                <w:sz w:val="21"/>
                <w:szCs w:val="21"/>
              </w:rPr>
            </w:pPr>
            <w:r>
              <w:rPr>
                <w:sz w:val="21"/>
                <w:szCs w:val="21"/>
              </w:rPr>
              <w:t>28.1</w:t>
            </w:r>
          </w:p>
        </w:tc>
        <w:tc>
          <w:tcPr>
            <w:tcW w:w="919" w:type="dxa"/>
            <w:vAlign w:val="center"/>
          </w:tcPr>
          <w:p>
            <w:pPr>
              <w:spacing w:before="0" w:beforeAutospacing="0" w:after="0" w:afterAutospacing="0" w:line="300" w:lineRule="exact"/>
              <w:rPr>
                <w:sz w:val="21"/>
                <w:szCs w:val="21"/>
              </w:rPr>
            </w:pPr>
            <w:r>
              <w:rPr>
                <w:sz w:val="21"/>
                <w:szCs w:val="21"/>
              </w:rPr>
              <w:t>28.5</w:t>
            </w:r>
          </w:p>
        </w:tc>
        <w:tc>
          <w:tcPr>
            <w:tcW w:w="1109" w:type="dxa"/>
            <w:vAlign w:val="center"/>
          </w:tcPr>
          <w:p>
            <w:pPr>
              <w:spacing w:before="0" w:beforeAutospacing="0" w:after="0" w:afterAutospacing="0" w:line="300" w:lineRule="exact"/>
              <w:rPr>
                <w:sz w:val="21"/>
                <w:szCs w:val="21"/>
              </w:rPr>
            </w:pPr>
            <w:r>
              <w:rPr>
                <w:sz w:val="21"/>
                <w:szCs w:val="21"/>
              </w:rPr>
              <w:t>—</w:t>
            </w:r>
          </w:p>
        </w:tc>
        <w:tc>
          <w:tcPr>
            <w:tcW w:w="1129" w:type="dxa"/>
            <w:vAlign w:val="center"/>
          </w:tcPr>
          <w:p>
            <w:pPr>
              <w:spacing w:before="0" w:beforeAutospacing="0" w:after="0" w:afterAutospacing="0" w:line="300" w:lineRule="exact"/>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0" w:type="dxa"/>
            <w:vAlign w:val="center"/>
          </w:tcPr>
          <w:p>
            <w:pPr>
              <w:spacing w:before="0" w:beforeAutospacing="0" w:after="0" w:afterAutospacing="0" w:line="300" w:lineRule="exact"/>
              <w:rPr>
                <w:sz w:val="21"/>
                <w:szCs w:val="21"/>
              </w:rPr>
            </w:pPr>
            <w:r>
              <w:rPr>
                <w:sz w:val="21"/>
                <w:szCs w:val="21"/>
              </w:rPr>
              <w:t>pH</w:t>
            </w:r>
          </w:p>
        </w:tc>
        <w:tc>
          <w:tcPr>
            <w:tcW w:w="2452" w:type="dxa"/>
            <w:vAlign w:val="center"/>
          </w:tcPr>
          <w:p>
            <w:pPr>
              <w:spacing w:before="0" w:beforeAutospacing="0" w:after="0" w:afterAutospacing="0" w:line="300" w:lineRule="exact"/>
              <w:rPr>
                <w:sz w:val="21"/>
                <w:szCs w:val="21"/>
              </w:rPr>
            </w:pPr>
            <w:r>
              <w:rPr>
                <w:sz w:val="21"/>
                <w:szCs w:val="21"/>
              </w:rPr>
              <w:t>6～9</w:t>
            </w:r>
          </w:p>
        </w:tc>
        <w:tc>
          <w:tcPr>
            <w:tcW w:w="919" w:type="dxa"/>
            <w:vAlign w:val="center"/>
          </w:tcPr>
          <w:p>
            <w:pPr>
              <w:spacing w:before="0" w:beforeAutospacing="0" w:after="0" w:afterAutospacing="0" w:line="300" w:lineRule="exact"/>
              <w:rPr>
                <w:sz w:val="21"/>
                <w:szCs w:val="21"/>
              </w:rPr>
            </w:pPr>
            <w:r>
              <w:rPr>
                <w:sz w:val="21"/>
                <w:szCs w:val="21"/>
              </w:rPr>
              <w:t>3</w:t>
            </w:r>
          </w:p>
        </w:tc>
        <w:tc>
          <w:tcPr>
            <w:tcW w:w="919" w:type="dxa"/>
            <w:vAlign w:val="center"/>
          </w:tcPr>
          <w:p>
            <w:pPr>
              <w:spacing w:before="0" w:beforeAutospacing="0" w:after="0" w:afterAutospacing="0" w:line="300" w:lineRule="exact"/>
              <w:rPr>
                <w:sz w:val="21"/>
                <w:szCs w:val="21"/>
              </w:rPr>
            </w:pPr>
            <w:r>
              <w:rPr>
                <w:sz w:val="21"/>
                <w:szCs w:val="21"/>
              </w:rPr>
              <w:t>7.92</w:t>
            </w:r>
          </w:p>
        </w:tc>
        <w:tc>
          <w:tcPr>
            <w:tcW w:w="919" w:type="dxa"/>
            <w:vAlign w:val="center"/>
          </w:tcPr>
          <w:p>
            <w:pPr>
              <w:spacing w:before="0" w:beforeAutospacing="0" w:after="0" w:afterAutospacing="0" w:line="300" w:lineRule="exact"/>
              <w:rPr>
                <w:sz w:val="21"/>
                <w:szCs w:val="21"/>
              </w:rPr>
            </w:pPr>
            <w:r>
              <w:rPr>
                <w:sz w:val="21"/>
                <w:szCs w:val="21"/>
              </w:rPr>
              <w:t>7.90</w:t>
            </w:r>
          </w:p>
        </w:tc>
        <w:tc>
          <w:tcPr>
            <w:tcW w:w="919" w:type="dxa"/>
            <w:vAlign w:val="center"/>
          </w:tcPr>
          <w:p>
            <w:pPr>
              <w:spacing w:before="0" w:beforeAutospacing="0" w:after="0" w:afterAutospacing="0" w:line="300" w:lineRule="exact"/>
              <w:rPr>
                <w:sz w:val="21"/>
                <w:szCs w:val="21"/>
              </w:rPr>
            </w:pPr>
            <w:r>
              <w:rPr>
                <w:sz w:val="21"/>
                <w:szCs w:val="21"/>
              </w:rPr>
              <w:t>7.93</w:t>
            </w:r>
          </w:p>
        </w:tc>
        <w:tc>
          <w:tcPr>
            <w:tcW w:w="1109" w:type="dxa"/>
            <w:vAlign w:val="center"/>
          </w:tcPr>
          <w:p>
            <w:pPr>
              <w:spacing w:before="0" w:beforeAutospacing="0" w:after="0" w:afterAutospacing="0" w:line="300" w:lineRule="exact"/>
              <w:rPr>
                <w:sz w:val="21"/>
                <w:szCs w:val="21"/>
              </w:rPr>
            </w:pPr>
            <w:r>
              <w:rPr>
                <w:sz w:val="21"/>
                <w:szCs w:val="21"/>
              </w:rPr>
              <w:t>0</w:t>
            </w:r>
          </w:p>
        </w:tc>
        <w:tc>
          <w:tcPr>
            <w:tcW w:w="1129" w:type="dxa"/>
            <w:vAlign w:val="center"/>
          </w:tcPr>
          <w:p>
            <w:pPr>
              <w:spacing w:before="0" w:beforeAutospacing="0" w:after="0" w:afterAutospacing="0" w:line="300" w:lineRule="exact"/>
              <w:rPr>
                <w:sz w:val="21"/>
                <w:szCs w:val="21"/>
              </w:rPr>
            </w:pPr>
            <w:r>
              <w:rPr>
                <w:sz w:val="21"/>
                <w:szCs w:val="21"/>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0" w:type="dxa"/>
            <w:vAlign w:val="center"/>
          </w:tcPr>
          <w:p>
            <w:pPr>
              <w:spacing w:before="0" w:beforeAutospacing="0" w:after="0" w:afterAutospacing="0" w:line="300" w:lineRule="exact"/>
              <w:rPr>
                <w:sz w:val="21"/>
                <w:szCs w:val="21"/>
              </w:rPr>
            </w:pPr>
            <w:r>
              <w:rPr>
                <w:sz w:val="21"/>
                <w:szCs w:val="21"/>
              </w:rPr>
              <w:t>DO</w:t>
            </w:r>
          </w:p>
        </w:tc>
        <w:tc>
          <w:tcPr>
            <w:tcW w:w="2452" w:type="dxa"/>
            <w:vAlign w:val="center"/>
          </w:tcPr>
          <w:p>
            <w:pPr>
              <w:spacing w:before="0" w:beforeAutospacing="0" w:after="0" w:afterAutospacing="0" w:line="300" w:lineRule="exact"/>
              <w:rPr>
                <w:sz w:val="21"/>
                <w:szCs w:val="21"/>
              </w:rPr>
            </w:pPr>
            <w:r>
              <w:rPr>
                <w:sz w:val="21"/>
                <w:szCs w:val="21"/>
              </w:rPr>
              <w:t>≥2</w:t>
            </w:r>
          </w:p>
        </w:tc>
        <w:tc>
          <w:tcPr>
            <w:tcW w:w="919" w:type="dxa"/>
            <w:vAlign w:val="center"/>
          </w:tcPr>
          <w:p>
            <w:pPr>
              <w:spacing w:before="0" w:beforeAutospacing="0" w:after="0" w:afterAutospacing="0" w:line="300" w:lineRule="exact"/>
              <w:rPr>
                <w:sz w:val="21"/>
                <w:szCs w:val="21"/>
              </w:rPr>
            </w:pPr>
            <w:r>
              <w:rPr>
                <w:sz w:val="21"/>
                <w:szCs w:val="21"/>
              </w:rPr>
              <w:t>3</w:t>
            </w:r>
          </w:p>
        </w:tc>
        <w:tc>
          <w:tcPr>
            <w:tcW w:w="919" w:type="dxa"/>
            <w:vAlign w:val="center"/>
          </w:tcPr>
          <w:p>
            <w:pPr>
              <w:spacing w:before="0" w:beforeAutospacing="0" w:after="0" w:afterAutospacing="0" w:line="300" w:lineRule="exact"/>
              <w:rPr>
                <w:sz w:val="21"/>
                <w:szCs w:val="21"/>
              </w:rPr>
            </w:pPr>
            <w:r>
              <w:rPr>
                <w:sz w:val="21"/>
                <w:szCs w:val="21"/>
              </w:rPr>
              <w:t>7.64</w:t>
            </w:r>
          </w:p>
        </w:tc>
        <w:tc>
          <w:tcPr>
            <w:tcW w:w="919" w:type="dxa"/>
            <w:vAlign w:val="center"/>
          </w:tcPr>
          <w:p>
            <w:pPr>
              <w:spacing w:before="0" w:beforeAutospacing="0" w:after="0" w:afterAutospacing="0" w:line="300" w:lineRule="exact"/>
              <w:rPr>
                <w:sz w:val="21"/>
                <w:szCs w:val="21"/>
              </w:rPr>
            </w:pPr>
            <w:r>
              <w:rPr>
                <w:sz w:val="21"/>
                <w:szCs w:val="21"/>
              </w:rPr>
              <w:t>7.61</w:t>
            </w:r>
          </w:p>
        </w:tc>
        <w:tc>
          <w:tcPr>
            <w:tcW w:w="919" w:type="dxa"/>
            <w:vAlign w:val="center"/>
          </w:tcPr>
          <w:p>
            <w:pPr>
              <w:spacing w:before="0" w:beforeAutospacing="0" w:after="0" w:afterAutospacing="0" w:line="300" w:lineRule="exact"/>
              <w:rPr>
                <w:sz w:val="21"/>
                <w:szCs w:val="21"/>
              </w:rPr>
            </w:pPr>
            <w:r>
              <w:rPr>
                <w:sz w:val="21"/>
                <w:szCs w:val="21"/>
              </w:rPr>
              <w:t>7.68</w:t>
            </w:r>
          </w:p>
        </w:tc>
        <w:tc>
          <w:tcPr>
            <w:tcW w:w="1109" w:type="dxa"/>
            <w:vAlign w:val="center"/>
          </w:tcPr>
          <w:p>
            <w:pPr>
              <w:spacing w:before="0" w:beforeAutospacing="0" w:after="0" w:afterAutospacing="0" w:line="300" w:lineRule="exact"/>
              <w:rPr>
                <w:sz w:val="21"/>
                <w:szCs w:val="21"/>
              </w:rPr>
            </w:pPr>
            <w:r>
              <w:rPr>
                <w:sz w:val="21"/>
                <w:szCs w:val="21"/>
              </w:rPr>
              <w:t>0</w:t>
            </w:r>
          </w:p>
        </w:tc>
        <w:tc>
          <w:tcPr>
            <w:tcW w:w="1129" w:type="dxa"/>
            <w:vAlign w:val="center"/>
          </w:tcPr>
          <w:p>
            <w:pPr>
              <w:spacing w:before="0" w:beforeAutospacing="0" w:after="0" w:afterAutospacing="0" w:line="300" w:lineRule="exact"/>
              <w:rPr>
                <w:sz w:val="21"/>
                <w:szCs w:val="21"/>
              </w:rPr>
            </w:pPr>
            <w:r>
              <w:rPr>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0" w:type="dxa"/>
            <w:vAlign w:val="center"/>
          </w:tcPr>
          <w:p>
            <w:pPr>
              <w:spacing w:before="0" w:beforeAutospacing="0" w:after="0" w:afterAutospacing="0" w:line="300" w:lineRule="exact"/>
              <w:rPr>
                <w:sz w:val="21"/>
                <w:szCs w:val="21"/>
              </w:rPr>
            </w:pPr>
            <w:r>
              <w:rPr>
                <w:sz w:val="21"/>
                <w:szCs w:val="21"/>
              </w:rPr>
              <w:t>COD</w:t>
            </w:r>
          </w:p>
        </w:tc>
        <w:tc>
          <w:tcPr>
            <w:tcW w:w="2452" w:type="dxa"/>
            <w:vAlign w:val="center"/>
          </w:tcPr>
          <w:p>
            <w:pPr>
              <w:spacing w:before="0" w:beforeAutospacing="0" w:after="0" w:afterAutospacing="0" w:line="300" w:lineRule="exact"/>
              <w:rPr>
                <w:sz w:val="21"/>
                <w:szCs w:val="21"/>
              </w:rPr>
            </w:pPr>
            <w:r>
              <w:rPr>
                <w:sz w:val="21"/>
                <w:szCs w:val="21"/>
              </w:rPr>
              <w:t>≤40</w:t>
            </w:r>
          </w:p>
        </w:tc>
        <w:tc>
          <w:tcPr>
            <w:tcW w:w="919" w:type="dxa"/>
            <w:vAlign w:val="center"/>
          </w:tcPr>
          <w:p>
            <w:pPr>
              <w:spacing w:before="0" w:beforeAutospacing="0" w:after="0" w:afterAutospacing="0" w:line="300" w:lineRule="exact"/>
              <w:rPr>
                <w:sz w:val="21"/>
                <w:szCs w:val="21"/>
              </w:rPr>
            </w:pPr>
            <w:r>
              <w:rPr>
                <w:sz w:val="21"/>
                <w:szCs w:val="21"/>
              </w:rPr>
              <w:t>3</w:t>
            </w:r>
          </w:p>
        </w:tc>
        <w:tc>
          <w:tcPr>
            <w:tcW w:w="919" w:type="dxa"/>
            <w:vAlign w:val="center"/>
          </w:tcPr>
          <w:p>
            <w:pPr>
              <w:spacing w:before="0" w:beforeAutospacing="0" w:after="0" w:afterAutospacing="0" w:line="300" w:lineRule="exact"/>
              <w:rPr>
                <w:sz w:val="21"/>
                <w:szCs w:val="21"/>
              </w:rPr>
            </w:pPr>
            <w:r>
              <w:rPr>
                <w:sz w:val="21"/>
                <w:szCs w:val="21"/>
              </w:rPr>
              <w:t>12.2</w:t>
            </w:r>
          </w:p>
        </w:tc>
        <w:tc>
          <w:tcPr>
            <w:tcW w:w="919" w:type="dxa"/>
            <w:vAlign w:val="center"/>
          </w:tcPr>
          <w:p>
            <w:pPr>
              <w:spacing w:before="0" w:beforeAutospacing="0" w:after="0" w:afterAutospacing="0" w:line="300" w:lineRule="exact"/>
              <w:rPr>
                <w:sz w:val="21"/>
                <w:szCs w:val="21"/>
              </w:rPr>
            </w:pPr>
            <w:r>
              <w:rPr>
                <w:sz w:val="21"/>
                <w:szCs w:val="21"/>
              </w:rPr>
              <w:t>11.4</w:t>
            </w:r>
          </w:p>
        </w:tc>
        <w:tc>
          <w:tcPr>
            <w:tcW w:w="919" w:type="dxa"/>
            <w:vAlign w:val="center"/>
          </w:tcPr>
          <w:p>
            <w:pPr>
              <w:spacing w:before="0" w:beforeAutospacing="0" w:after="0" w:afterAutospacing="0" w:line="300" w:lineRule="exact"/>
              <w:rPr>
                <w:sz w:val="21"/>
                <w:szCs w:val="21"/>
              </w:rPr>
            </w:pPr>
            <w:r>
              <w:rPr>
                <w:sz w:val="21"/>
                <w:szCs w:val="21"/>
              </w:rPr>
              <w:t>13.1</w:t>
            </w:r>
          </w:p>
        </w:tc>
        <w:tc>
          <w:tcPr>
            <w:tcW w:w="1109" w:type="dxa"/>
            <w:vAlign w:val="center"/>
          </w:tcPr>
          <w:p>
            <w:pPr>
              <w:spacing w:before="0" w:beforeAutospacing="0" w:after="0" w:afterAutospacing="0" w:line="300" w:lineRule="exact"/>
              <w:rPr>
                <w:sz w:val="21"/>
                <w:szCs w:val="21"/>
              </w:rPr>
            </w:pPr>
            <w:r>
              <w:rPr>
                <w:sz w:val="21"/>
                <w:szCs w:val="21"/>
              </w:rPr>
              <w:t>0</w:t>
            </w:r>
          </w:p>
        </w:tc>
        <w:tc>
          <w:tcPr>
            <w:tcW w:w="1129" w:type="dxa"/>
            <w:vAlign w:val="center"/>
          </w:tcPr>
          <w:p>
            <w:pPr>
              <w:spacing w:before="0" w:beforeAutospacing="0" w:after="0" w:afterAutospacing="0" w:line="300" w:lineRule="exact"/>
              <w:rPr>
                <w:sz w:val="21"/>
                <w:szCs w:val="21"/>
              </w:rPr>
            </w:pPr>
            <w:r>
              <w:rPr>
                <w:sz w:val="21"/>
                <w:szCs w:val="21"/>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0" w:type="dxa"/>
            <w:vAlign w:val="center"/>
          </w:tcPr>
          <w:p>
            <w:pPr>
              <w:spacing w:before="0" w:beforeAutospacing="0" w:after="0" w:afterAutospacing="0" w:line="300" w:lineRule="exact"/>
              <w:rPr>
                <w:sz w:val="21"/>
                <w:szCs w:val="21"/>
              </w:rPr>
            </w:pPr>
            <w:r>
              <w:rPr>
                <w:sz w:val="21"/>
                <w:szCs w:val="21"/>
              </w:rPr>
              <w:t>BOD5</w:t>
            </w:r>
          </w:p>
        </w:tc>
        <w:tc>
          <w:tcPr>
            <w:tcW w:w="2452" w:type="dxa"/>
            <w:vAlign w:val="center"/>
          </w:tcPr>
          <w:p>
            <w:pPr>
              <w:spacing w:before="0" w:beforeAutospacing="0" w:after="0" w:afterAutospacing="0" w:line="300" w:lineRule="exact"/>
              <w:rPr>
                <w:sz w:val="21"/>
                <w:szCs w:val="21"/>
              </w:rPr>
            </w:pPr>
            <w:r>
              <w:rPr>
                <w:sz w:val="21"/>
                <w:szCs w:val="21"/>
              </w:rPr>
              <w:t>≤10</w:t>
            </w:r>
          </w:p>
        </w:tc>
        <w:tc>
          <w:tcPr>
            <w:tcW w:w="919" w:type="dxa"/>
            <w:vAlign w:val="center"/>
          </w:tcPr>
          <w:p>
            <w:pPr>
              <w:spacing w:before="0" w:beforeAutospacing="0" w:after="0" w:afterAutospacing="0" w:line="300" w:lineRule="exact"/>
              <w:rPr>
                <w:sz w:val="21"/>
                <w:szCs w:val="21"/>
              </w:rPr>
            </w:pPr>
            <w:r>
              <w:rPr>
                <w:sz w:val="21"/>
                <w:szCs w:val="21"/>
              </w:rPr>
              <w:t>3</w:t>
            </w:r>
          </w:p>
        </w:tc>
        <w:tc>
          <w:tcPr>
            <w:tcW w:w="919" w:type="dxa"/>
            <w:vAlign w:val="center"/>
          </w:tcPr>
          <w:p>
            <w:pPr>
              <w:spacing w:before="0" w:beforeAutospacing="0" w:after="0" w:afterAutospacing="0" w:line="300" w:lineRule="exact"/>
              <w:rPr>
                <w:sz w:val="21"/>
                <w:szCs w:val="21"/>
              </w:rPr>
            </w:pPr>
            <w:r>
              <w:rPr>
                <w:sz w:val="21"/>
                <w:szCs w:val="21"/>
              </w:rPr>
              <w:t>2.47</w:t>
            </w:r>
          </w:p>
        </w:tc>
        <w:tc>
          <w:tcPr>
            <w:tcW w:w="919" w:type="dxa"/>
            <w:vAlign w:val="center"/>
          </w:tcPr>
          <w:p>
            <w:pPr>
              <w:spacing w:before="0" w:beforeAutospacing="0" w:after="0" w:afterAutospacing="0" w:line="300" w:lineRule="exact"/>
              <w:rPr>
                <w:sz w:val="21"/>
                <w:szCs w:val="21"/>
              </w:rPr>
            </w:pPr>
            <w:r>
              <w:rPr>
                <w:sz w:val="21"/>
                <w:szCs w:val="21"/>
              </w:rPr>
              <w:t>2.3</w:t>
            </w:r>
          </w:p>
        </w:tc>
        <w:tc>
          <w:tcPr>
            <w:tcW w:w="919" w:type="dxa"/>
            <w:vAlign w:val="center"/>
          </w:tcPr>
          <w:p>
            <w:pPr>
              <w:spacing w:before="0" w:beforeAutospacing="0" w:after="0" w:afterAutospacing="0" w:line="300" w:lineRule="exact"/>
              <w:rPr>
                <w:sz w:val="21"/>
                <w:szCs w:val="21"/>
              </w:rPr>
            </w:pPr>
            <w:r>
              <w:rPr>
                <w:sz w:val="21"/>
                <w:szCs w:val="21"/>
              </w:rPr>
              <w:t>2.6</w:t>
            </w:r>
          </w:p>
        </w:tc>
        <w:tc>
          <w:tcPr>
            <w:tcW w:w="1109" w:type="dxa"/>
            <w:vAlign w:val="center"/>
          </w:tcPr>
          <w:p>
            <w:pPr>
              <w:spacing w:before="0" w:beforeAutospacing="0" w:after="0" w:afterAutospacing="0" w:line="300" w:lineRule="exact"/>
              <w:rPr>
                <w:sz w:val="21"/>
                <w:szCs w:val="21"/>
              </w:rPr>
            </w:pPr>
            <w:r>
              <w:rPr>
                <w:sz w:val="21"/>
                <w:szCs w:val="21"/>
              </w:rPr>
              <w:t>0</w:t>
            </w:r>
          </w:p>
        </w:tc>
        <w:tc>
          <w:tcPr>
            <w:tcW w:w="1129" w:type="dxa"/>
            <w:vAlign w:val="center"/>
          </w:tcPr>
          <w:p>
            <w:pPr>
              <w:spacing w:before="0" w:beforeAutospacing="0" w:after="0" w:afterAutospacing="0" w:line="300" w:lineRule="exact"/>
              <w:rPr>
                <w:sz w:val="21"/>
                <w:szCs w:val="21"/>
              </w:rPr>
            </w:pPr>
            <w:r>
              <w:rPr>
                <w:sz w:val="21"/>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0" w:type="dxa"/>
            <w:vAlign w:val="center"/>
          </w:tcPr>
          <w:p>
            <w:pPr>
              <w:spacing w:before="0" w:beforeAutospacing="0" w:after="0" w:afterAutospacing="0" w:line="300" w:lineRule="exact"/>
              <w:rPr>
                <w:sz w:val="21"/>
                <w:szCs w:val="21"/>
              </w:rPr>
            </w:pPr>
            <w:r>
              <w:rPr>
                <w:sz w:val="21"/>
                <w:szCs w:val="21"/>
              </w:rPr>
              <w:t>氨氮</w:t>
            </w:r>
          </w:p>
        </w:tc>
        <w:tc>
          <w:tcPr>
            <w:tcW w:w="2452" w:type="dxa"/>
            <w:vAlign w:val="center"/>
          </w:tcPr>
          <w:p>
            <w:pPr>
              <w:spacing w:before="0" w:beforeAutospacing="0" w:after="0" w:afterAutospacing="0" w:line="300" w:lineRule="exact"/>
              <w:rPr>
                <w:sz w:val="21"/>
                <w:szCs w:val="21"/>
              </w:rPr>
            </w:pPr>
            <w:r>
              <w:rPr>
                <w:sz w:val="21"/>
                <w:szCs w:val="21"/>
              </w:rPr>
              <w:t>≤1.5</w:t>
            </w:r>
          </w:p>
        </w:tc>
        <w:tc>
          <w:tcPr>
            <w:tcW w:w="919" w:type="dxa"/>
            <w:vAlign w:val="center"/>
          </w:tcPr>
          <w:p>
            <w:pPr>
              <w:spacing w:before="0" w:beforeAutospacing="0" w:after="0" w:afterAutospacing="0" w:line="300" w:lineRule="exact"/>
              <w:rPr>
                <w:sz w:val="21"/>
                <w:szCs w:val="21"/>
              </w:rPr>
            </w:pPr>
            <w:r>
              <w:rPr>
                <w:sz w:val="21"/>
                <w:szCs w:val="21"/>
              </w:rPr>
              <w:t>3</w:t>
            </w:r>
          </w:p>
        </w:tc>
        <w:tc>
          <w:tcPr>
            <w:tcW w:w="919" w:type="dxa"/>
            <w:vAlign w:val="center"/>
          </w:tcPr>
          <w:p>
            <w:pPr>
              <w:spacing w:before="0" w:beforeAutospacing="0" w:after="0" w:afterAutospacing="0" w:line="300" w:lineRule="exact"/>
              <w:rPr>
                <w:sz w:val="21"/>
                <w:szCs w:val="21"/>
              </w:rPr>
            </w:pPr>
            <w:r>
              <w:rPr>
                <w:sz w:val="21"/>
                <w:szCs w:val="21"/>
              </w:rPr>
              <w:t>0.325</w:t>
            </w:r>
          </w:p>
        </w:tc>
        <w:tc>
          <w:tcPr>
            <w:tcW w:w="919" w:type="dxa"/>
            <w:vAlign w:val="center"/>
          </w:tcPr>
          <w:p>
            <w:pPr>
              <w:spacing w:before="0" w:beforeAutospacing="0" w:after="0" w:afterAutospacing="0" w:line="300" w:lineRule="exact"/>
              <w:rPr>
                <w:sz w:val="21"/>
                <w:szCs w:val="21"/>
              </w:rPr>
            </w:pPr>
            <w:r>
              <w:rPr>
                <w:sz w:val="21"/>
                <w:szCs w:val="21"/>
              </w:rPr>
              <w:t>0.265</w:t>
            </w:r>
          </w:p>
        </w:tc>
        <w:tc>
          <w:tcPr>
            <w:tcW w:w="919" w:type="dxa"/>
            <w:vAlign w:val="center"/>
          </w:tcPr>
          <w:p>
            <w:pPr>
              <w:spacing w:before="0" w:beforeAutospacing="0" w:after="0" w:afterAutospacing="0" w:line="300" w:lineRule="exact"/>
              <w:rPr>
                <w:sz w:val="21"/>
                <w:szCs w:val="21"/>
              </w:rPr>
            </w:pPr>
            <w:r>
              <w:rPr>
                <w:sz w:val="21"/>
                <w:szCs w:val="21"/>
              </w:rPr>
              <w:t>0.385</w:t>
            </w:r>
          </w:p>
        </w:tc>
        <w:tc>
          <w:tcPr>
            <w:tcW w:w="1109" w:type="dxa"/>
            <w:vAlign w:val="center"/>
          </w:tcPr>
          <w:p>
            <w:pPr>
              <w:spacing w:before="0" w:beforeAutospacing="0" w:after="0" w:afterAutospacing="0" w:line="300" w:lineRule="exact"/>
              <w:rPr>
                <w:sz w:val="21"/>
                <w:szCs w:val="21"/>
              </w:rPr>
            </w:pPr>
            <w:r>
              <w:rPr>
                <w:sz w:val="21"/>
                <w:szCs w:val="21"/>
              </w:rPr>
              <w:t>0</w:t>
            </w:r>
          </w:p>
        </w:tc>
        <w:tc>
          <w:tcPr>
            <w:tcW w:w="1129" w:type="dxa"/>
            <w:vAlign w:val="center"/>
          </w:tcPr>
          <w:p>
            <w:pPr>
              <w:spacing w:before="0" w:beforeAutospacing="0" w:after="0" w:afterAutospacing="0" w:line="300" w:lineRule="exact"/>
              <w:rPr>
                <w:sz w:val="21"/>
                <w:szCs w:val="21"/>
              </w:rPr>
            </w:pPr>
            <w:r>
              <w:rPr>
                <w:sz w:val="21"/>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0" w:type="dxa"/>
            <w:vAlign w:val="center"/>
          </w:tcPr>
          <w:p>
            <w:pPr>
              <w:spacing w:before="0" w:beforeAutospacing="0" w:after="0" w:afterAutospacing="0" w:line="300" w:lineRule="exact"/>
              <w:rPr>
                <w:sz w:val="21"/>
                <w:szCs w:val="21"/>
              </w:rPr>
            </w:pPr>
            <w:r>
              <w:rPr>
                <w:sz w:val="21"/>
                <w:szCs w:val="21"/>
              </w:rPr>
              <w:t>总磷</w:t>
            </w:r>
          </w:p>
        </w:tc>
        <w:tc>
          <w:tcPr>
            <w:tcW w:w="2452" w:type="dxa"/>
            <w:vAlign w:val="center"/>
          </w:tcPr>
          <w:p>
            <w:pPr>
              <w:spacing w:before="0" w:beforeAutospacing="0" w:after="0" w:afterAutospacing="0" w:line="300" w:lineRule="exact"/>
              <w:rPr>
                <w:sz w:val="21"/>
                <w:szCs w:val="21"/>
              </w:rPr>
            </w:pPr>
            <w:r>
              <w:rPr>
                <w:sz w:val="21"/>
                <w:szCs w:val="21"/>
              </w:rPr>
              <w:t>≤0.4</w:t>
            </w:r>
          </w:p>
        </w:tc>
        <w:tc>
          <w:tcPr>
            <w:tcW w:w="919" w:type="dxa"/>
            <w:vAlign w:val="center"/>
          </w:tcPr>
          <w:p>
            <w:pPr>
              <w:spacing w:before="0" w:beforeAutospacing="0" w:after="0" w:afterAutospacing="0" w:line="300" w:lineRule="exact"/>
              <w:rPr>
                <w:sz w:val="21"/>
                <w:szCs w:val="21"/>
              </w:rPr>
            </w:pPr>
            <w:r>
              <w:rPr>
                <w:sz w:val="21"/>
                <w:szCs w:val="21"/>
              </w:rPr>
              <w:t>3</w:t>
            </w:r>
          </w:p>
        </w:tc>
        <w:tc>
          <w:tcPr>
            <w:tcW w:w="919" w:type="dxa"/>
            <w:vAlign w:val="center"/>
          </w:tcPr>
          <w:p>
            <w:pPr>
              <w:spacing w:before="0" w:beforeAutospacing="0" w:after="0" w:afterAutospacing="0" w:line="300" w:lineRule="exact"/>
              <w:rPr>
                <w:sz w:val="21"/>
                <w:szCs w:val="21"/>
              </w:rPr>
            </w:pPr>
            <w:r>
              <w:rPr>
                <w:sz w:val="21"/>
                <w:szCs w:val="21"/>
              </w:rPr>
              <w:t>0.042</w:t>
            </w:r>
          </w:p>
        </w:tc>
        <w:tc>
          <w:tcPr>
            <w:tcW w:w="919" w:type="dxa"/>
            <w:vAlign w:val="center"/>
          </w:tcPr>
          <w:p>
            <w:pPr>
              <w:spacing w:before="0" w:beforeAutospacing="0" w:after="0" w:afterAutospacing="0" w:line="300" w:lineRule="exact"/>
              <w:rPr>
                <w:sz w:val="21"/>
                <w:szCs w:val="21"/>
              </w:rPr>
            </w:pPr>
            <w:r>
              <w:rPr>
                <w:sz w:val="21"/>
                <w:szCs w:val="21"/>
              </w:rPr>
              <w:t>0.039</w:t>
            </w:r>
          </w:p>
        </w:tc>
        <w:tc>
          <w:tcPr>
            <w:tcW w:w="919" w:type="dxa"/>
            <w:vAlign w:val="center"/>
          </w:tcPr>
          <w:p>
            <w:pPr>
              <w:spacing w:before="0" w:beforeAutospacing="0" w:after="0" w:afterAutospacing="0" w:line="300" w:lineRule="exact"/>
              <w:rPr>
                <w:sz w:val="21"/>
                <w:szCs w:val="21"/>
              </w:rPr>
            </w:pPr>
            <w:r>
              <w:rPr>
                <w:sz w:val="21"/>
                <w:szCs w:val="21"/>
              </w:rPr>
              <w:t>0.046</w:t>
            </w:r>
          </w:p>
        </w:tc>
        <w:tc>
          <w:tcPr>
            <w:tcW w:w="1109" w:type="dxa"/>
            <w:vAlign w:val="center"/>
          </w:tcPr>
          <w:p>
            <w:pPr>
              <w:spacing w:before="0" w:beforeAutospacing="0" w:after="0" w:afterAutospacing="0" w:line="300" w:lineRule="exact"/>
              <w:rPr>
                <w:sz w:val="21"/>
                <w:szCs w:val="21"/>
              </w:rPr>
            </w:pPr>
            <w:r>
              <w:rPr>
                <w:sz w:val="21"/>
                <w:szCs w:val="21"/>
              </w:rPr>
              <w:t>0</w:t>
            </w:r>
          </w:p>
        </w:tc>
        <w:tc>
          <w:tcPr>
            <w:tcW w:w="1129" w:type="dxa"/>
            <w:vAlign w:val="center"/>
          </w:tcPr>
          <w:p>
            <w:pPr>
              <w:spacing w:before="0" w:beforeAutospacing="0" w:after="0" w:afterAutospacing="0" w:line="300" w:lineRule="exact"/>
              <w:rPr>
                <w:sz w:val="21"/>
                <w:szCs w:val="21"/>
              </w:rPr>
            </w:pPr>
            <w:r>
              <w:rPr>
                <w:sz w:val="21"/>
                <w:szCs w:val="21"/>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0" w:type="dxa"/>
            <w:vAlign w:val="center"/>
          </w:tcPr>
          <w:p>
            <w:pPr>
              <w:spacing w:before="0" w:beforeAutospacing="0" w:after="0" w:afterAutospacing="0" w:line="300" w:lineRule="exact"/>
              <w:rPr>
                <w:sz w:val="21"/>
                <w:szCs w:val="21"/>
              </w:rPr>
            </w:pPr>
            <w:r>
              <w:rPr>
                <w:sz w:val="21"/>
                <w:szCs w:val="21"/>
              </w:rPr>
              <w:t>总氮</w:t>
            </w:r>
          </w:p>
        </w:tc>
        <w:tc>
          <w:tcPr>
            <w:tcW w:w="2452" w:type="dxa"/>
            <w:vAlign w:val="center"/>
          </w:tcPr>
          <w:p>
            <w:pPr>
              <w:spacing w:before="0" w:beforeAutospacing="0" w:after="0" w:afterAutospacing="0" w:line="300" w:lineRule="exact"/>
              <w:rPr>
                <w:sz w:val="21"/>
                <w:szCs w:val="21"/>
              </w:rPr>
            </w:pPr>
            <w:r>
              <w:rPr>
                <w:sz w:val="21"/>
                <w:szCs w:val="21"/>
              </w:rPr>
              <w:t>—</w:t>
            </w:r>
          </w:p>
        </w:tc>
        <w:tc>
          <w:tcPr>
            <w:tcW w:w="919" w:type="dxa"/>
            <w:vAlign w:val="center"/>
          </w:tcPr>
          <w:p>
            <w:pPr>
              <w:spacing w:before="0" w:beforeAutospacing="0" w:after="0" w:afterAutospacing="0" w:line="300" w:lineRule="exact"/>
              <w:rPr>
                <w:sz w:val="21"/>
                <w:szCs w:val="21"/>
              </w:rPr>
            </w:pPr>
            <w:r>
              <w:rPr>
                <w:sz w:val="21"/>
                <w:szCs w:val="21"/>
              </w:rPr>
              <w:t>3</w:t>
            </w:r>
          </w:p>
        </w:tc>
        <w:tc>
          <w:tcPr>
            <w:tcW w:w="919" w:type="dxa"/>
            <w:vAlign w:val="center"/>
          </w:tcPr>
          <w:p>
            <w:pPr>
              <w:spacing w:before="0" w:beforeAutospacing="0" w:after="0" w:afterAutospacing="0" w:line="300" w:lineRule="exact"/>
              <w:rPr>
                <w:sz w:val="21"/>
                <w:szCs w:val="21"/>
              </w:rPr>
            </w:pPr>
            <w:r>
              <w:rPr>
                <w:sz w:val="21"/>
                <w:szCs w:val="21"/>
              </w:rPr>
              <w:t>2.24</w:t>
            </w:r>
          </w:p>
        </w:tc>
        <w:tc>
          <w:tcPr>
            <w:tcW w:w="919" w:type="dxa"/>
            <w:vAlign w:val="center"/>
          </w:tcPr>
          <w:p>
            <w:pPr>
              <w:spacing w:before="0" w:beforeAutospacing="0" w:after="0" w:afterAutospacing="0" w:line="300" w:lineRule="exact"/>
              <w:rPr>
                <w:sz w:val="21"/>
                <w:szCs w:val="21"/>
              </w:rPr>
            </w:pPr>
            <w:r>
              <w:rPr>
                <w:sz w:val="21"/>
                <w:szCs w:val="21"/>
              </w:rPr>
              <w:t>2.14</w:t>
            </w:r>
          </w:p>
        </w:tc>
        <w:tc>
          <w:tcPr>
            <w:tcW w:w="919" w:type="dxa"/>
            <w:vAlign w:val="center"/>
          </w:tcPr>
          <w:p>
            <w:pPr>
              <w:spacing w:before="0" w:beforeAutospacing="0" w:after="0" w:afterAutospacing="0" w:line="300" w:lineRule="exact"/>
              <w:rPr>
                <w:sz w:val="21"/>
                <w:szCs w:val="21"/>
              </w:rPr>
            </w:pPr>
            <w:r>
              <w:rPr>
                <w:sz w:val="21"/>
                <w:szCs w:val="21"/>
              </w:rPr>
              <w:t>2.43</w:t>
            </w:r>
          </w:p>
        </w:tc>
        <w:tc>
          <w:tcPr>
            <w:tcW w:w="1109" w:type="dxa"/>
            <w:vAlign w:val="center"/>
          </w:tcPr>
          <w:p>
            <w:pPr>
              <w:spacing w:before="0" w:beforeAutospacing="0" w:after="0" w:afterAutospacing="0" w:line="300" w:lineRule="exact"/>
              <w:rPr>
                <w:sz w:val="21"/>
                <w:szCs w:val="21"/>
              </w:rPr>
            </w:pPr>
            <w:r>
              <w:rPr>
                <w:sz w:val="21"/>
                <w:szCs w:val="21"/>
              </w:rPr>
              <w:t>—</w:t>
            </w:r>
          </w:p>
        </w:tc>
        <w:tc>
          <w:tcPr>
            <w:tcW w:w="1129" w:type="dxa"/>
            <w:vAlign w:val="center"/>
          </w:tcPr>
          <w:p>
            <w:pPr>
              <w:spacing w:before="0" w:beforeAutospacing="0" w:after="0" w:afterAutospacing="0" w:line="300" w:lineRule="exact"/>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0" w:type="dxa"/>
            <w:vAlign w:val="center"/>
          </w:tcPr>
          <w:p>
            <w:pPr>
              <w:spacing w:before="0" w:beforeAutospacing="0" w:after="0" w:afterAutospacing="0" w:line="300" w:lineRule="exact"/>
              <w:rPr>
                <w:sz w:val="21"/>
                <w:szCs w:val="21"/>
              </w:rPr>
            </w:pPr>
            <w:r>
              <w:rPr>
                <w:sz w:val="21"/>
                <w:szCs w:val="21"/>
              </w:rPr>
              <w:t>石油类</w:t>
            </w:r>
          </w:p>
        </w:tc>
        <w:tc>
          <w:tcPr>
            <w:tcW w:w="2452" w:type="dxa"/>
            <w:vAlign w:val="center"/>
          </w:tcPr>
          <w:p>
            <w:pPr>
              <w:spacing w:before="0" w:beforeAutospacing="0" w:after="0" w:afterAutospacing="0" w:line="300" w:lineRule="exact"/>
              <w:rPr>
                <w:sz w:val="21"/>
                <w:szCs w:val="21"/>
              </w:rPr>
            </w:pPr>
            <w:r>
              <w:rPr>
                <w:sz w:val="21"/>
                <w:szCs w:val="21"/>
              </w:rPr>
              <w:t>≤1.0</w:t>
            </w:r>
          </w:p>
        </w:tc>
        <w:tc>
          <w:tcPr>
            <w:tcW w:w="919" w:type="dxa"/>
            <w:vAlign w:val="center"/>
          </w:tcPr>
          <w:p>
            <w:pPr>
              <w:spacing w:before="0" w:beforeAutospacing="0" w:after="0" w:afterAutospacing="0" w:line="300" w:lineRule="exact"/>
              <w:rPr>
                <w:sz w:val="21"/>
                <w:szCs w:val="21"/>
              </w:rPr>
            </w:pPr>
            <w:r>
              <w:rPr>
                <w:sz w:val="21"/>
                <w:szCs w:val="21"/>
              </w:rPr>
              <w:t>3</w:t>
            </w:r>
          </w:p>
        </w:tc>
        <w:tc>
          <w:tcPr>
            <w:tcW w:w="919" w:type="dxa"/>
            <w:vAlign w:val="center"/>
          </w:tcPr>
          <w:p>
            <w:pPr>
              <w:spacing w:before="0" w:beforeAutospacing="0" w:after="0" w:afterAutospacing="0" w:line="300" w:lineRule="exact"/>
              <w:rPr>
                <w:sz w:val="21"/>
                <w:szCs w:val="21"/>
              </w:rPr>
            </w:pPr>
            <w:r>
              <w:rPr>
                <w:sz w:val="21"/>
                <w:szCs w:val="21"/>
              </w:rPr>
              <w:t>0.1L</w:t>
            </w:r>
          </w:p>
        </w:tc>
        <w:tc>
          <w:tcPr>
            <w:tcW w:w="919" w:type="dxa"/>
            <w:vAlign w:val="center"/>
          </w:tcPr>
          <w:p>
            <w:pPr>
              <w:spacing w:before="0" w:beforeAutospacing="0" w:after="0" w:afterAutospacing="0" w:line="300" w:lineRule="exact"/>
              <w:rPr>
                <w:sz w:val="21"/>
                <w:szCs w:val="21"/>
              </w:rPr>
            </w:pPr>
            <w:r>
              <w:rPr>
                <w:sz w:val="21"/>
                <w:szCs w:val="21"/>
              </w:rPr>
              <w:t>0.1L</w:t>
            </w:r>
          </w:p>
        </w:tc>
        <w:tc>
          <w:tcPr>
            <w:tcW w:w="919" w:type="dxa"/>
            <w:vAlign w:val="center"/>
          </w:tcPr>
          <w:p>
            <w:pPr>
              <w:spacing w:before="0" w:beforeAutospacing="0" w:after="0" w:afterAutospacing="0" w:line="300" w:lineRule="exact"/>
              <w:rPr>
                <w:sz w:val="21"/>
                <w:szCs w:val="21"/>
              </w:rPr>
            </w:pPr>
            <w:r>
              <w:rPr>
                <w:sz w:val="21"/>
                <w:szCs w:val="21"/>
              </w:rPr>
              <w:t>0.1L</w:t>
            </w:r>
          </w:p>
        </w:tc>
        <w:tc>
          <w:tcPr>
            <w:tcW w:w="1109" w:type="dxa"/>
            <w:vAlign w:val="center"/>
          </w:tcPr>
          <w:p>
            <w:pPr>
              <w:spacing w:before="0" w:beforeAutospacing="0" w:after="0" w:afterAutospacing="0" w:line="300" w:lineRule="exact"/>
              <w:rPr>
                <w:sz w:val="21"/>
                <w:szCs w:val="21"/>
              </w:rPr>
            </w:pPr>
            <w:r>
              <w:rPr>
                <w:sz w:val="21"/>
                <w:szCs w:val="21"/>
              </w:rPr>
              <w:t>0</w:t>
            </w:r>
          </w:p>
        </w:tc>
        <w:tc>
          <w:tcPr>
            <w:tcW w:w="1129" w:type="dxa"/>
            <w:vAlign w:val="center"/>
          </w:tcPr>
          <w:p>
            <w:pPr>
              <w:spacing w:before="0" w:beforeAutospacing="0" w:after="0" w:afterAutospacing="0" w:line="300" w:lineRule="exact"/>
              <w:rPr>
                <w:sz w:val="21"/>
                <w:szCs w:val="21"/>
              </w:rPr>
            </w:pPr>
            <w:r>
              <w:rPr>
                <w:sz w:val="21"/>
                <w:szCs w:val="21"/>
              </w:rPr>
              <w:t>0.1</w:t>
            </w:r>
          </w:p>
        </w:tc>
      </w:tr>
    </w:tbl>
    <w:p>
      <w:pPr>
        <w:spacing w:line="440" w:lineRule="exact"/>
        <w:rPr>
          <w:sz w:val="18"/>
          <w:szCs w:val="18"/>
        </w:rPr>
      </w:pPr>
      <w:r>
        <w:rPr>
          <w:sz w:val="18"/>
          <w:szCs w:val="18"/>
        </w:rPr>
        <w:t>注：“L”表示该项目未检出，报出结果为该项目的检出限；水样表观描述：无色、无味、无沉淀。</w:t>
      </w:r>
    </w:p>
    <w:p>
      <w:pPr>
        <w:spacing w:line="440" w:lineRule="exact"/>
      </w:pPr>
    </w:p>
    <w:p>
      <w:pPr>
        <w:spacing w:line="440" w:lineRule="exact"/>
        <w:ind w:firstLine="420" w:firstLineChars="200"/>
        <w:rPr>
          <w:rFonts w:hint="eastAsia"/>
        </w:rPr>
        <w:sectPr>
          <w:footerReference r:id="rId15" w:type="default"/>
          <w:footerReference r:id="rId16" w:type="even"/>
          <w:pgSz w:w="11906" w:h="16838"/>
          <w:pgMar w:top="1418" w:right="1418" w:bottom="1418" w:left="1418" w:header="851" w:footer="992" w:gutter="0"/>
          <w:paperSrc w:first="20070" w:other="20070"/>
          <w:cols w:space="425" w:num="1"/>
          <w:docGrid w:linePitch="312" w:charSpace="0"/>
        </w:sectPr>
      </w:pPr>
    </w:p>
    <w:p>
      <w:pPr>
        <w:spacing w:line="360" w:lineRule="auto"/>
        <w:outlineLvl w:val="1"/>
        <w:rPr>
          <w:b/>
          <w:bCs/>
        </w:rPr>
      </w:pPr>
      <w:bookmarkStart w:id="273" w:name="_Toc276372241"/>
      <w:r>
        <w:rPr>
          <w:rFonts w:hint="eastAsia"/>
          <w:b/>
          <w:bCs/>
        </w:rPr>
        <w:t>6.3</w:t>
      </w:r>
      <w:r>
        <w:rPr>
          <w:b/>
          <w:bCs/>
        </w:rPr>
        <w:t xml:space="preserve"> 声环境质量现状监测与评价</w:t>
      </w:r>
      <w:bookmarkEnd w:id="273"/>
    </w:p>
    <w:p>
      <w:pPr>
        <w:spacing w:line="360" w:lineRule="auto"/>
        <w:rPr>
          <w:b/>
          <w:bCs/>
        </w:rPr>
      </w:pPr>
      <w:r>
        <w:rPr>
          <w:rFonts w:hint="eastAsia"/>
          <w:b/>
          <w:bCs/>
        </w:rPr>
        <w:t>6.3</w:t>
      </w:r>
      <w:r>
        <w:rPr>
          <w:b/>
          <w:bCs/>
        </w:rPr>
        <w:t>.1 环境噪声现状监测基本情况</w:t>
      </w:r>
    </w:p>
    <w:p>
      <w:pPr>
        <w:spacing w:line="360" w:lineRule="auto"/>
        <w:ind w:firstLine="567"/>
      </w:pPr>
      <w:r>
        <w:t>（1）监测布点</w:t>
      </w:r>
    </w:p>
    <w:p>
      <w:pPr>
        <w:spacing w:line="360" w:lineRule="auto"/>
        <w:ind w:firstLine="567"/>
      </w:pPr>
      <w:r>
        <w:t>在</w:t>
      </w:r>
      <w:r>
        <w:rPr>
          <w:rFonts w:hint="eastAsia"/>
        </w:rPr>
        <w:t>技改项目</w:t>
      </w:r>
      <w:r>
        <w:t>厂界</w:t>
      </w:r>
      <w:r>
        <w:rPr>
          <w:rFonts w:hint="eastAsia"/>
        </w:rPr>
        <w:t>四周（东</w:t>
      </w:r>
      <w:r>
        <w:t>、</w:t>
      </w:r>
      <w:r>
        <w:rPr>
          <w:rFonts w:hint="eastAsia"/>
        </w:rPr>
        <w:t>南</w:t>
      </w:r>
      <w:r>
        <w:t>、</w:t>
      </w:r>
      <w:r>
        <w:rPr>
          <w:rFonts w:hint="eastAsia"/>
        </w:rPr>
        <w:t>西</w:t>
      </w:r>
      <w:r>
        <w:t>、</w:t>
      </w:r>
      <w:r>
        <w:rPr>
          <w:rFonts w:hint="eastAsia"/>
        </w:rPr>
        <w:t>北）共</w:t>
      </w:r>
      <w:r>
        <w:t>设</w:t>
      </w:r>
      <w:r>
        <w:rPr>
          <w:rFonts w:hint="eastAsia"/>
        </w:rPr>
        <w:t>4</w:t>
      </w:r>
      <w:r>
        <w:t>个噪声现状监测点。监测点位参见图6.3-1。</w:t>
      </w:r>
    </w:p>
    <w:p>
      <w:pPr>
        <w:spacing w:line="360" w:lineRule="auto"/>
        <w:ind w:firstLine="420" w:firstLineChars="200"/>
      </w:pPr>
      <w:r>
        <w:t>（2）监测方法及仪器</w:t>
      </w:r>
    </w:p>
    <w:p>
      <w:pPr>
        <w:spacing w:line="360" w:lineRule="auto"/>
        <w:ind w:firstLine="420" w:firstLineChars="200"/>
      </w:pPr>
      <w:r>
        <w:t>按《</w:t>
      </w:r>
      <w:r>
        <w:rPr>
          <w:rFonts w:hint="eastAsia"/>
        </w:rPr>
        <w:t>声环境质量标准</w:t>
      </w:r>
      <w:r>
        <w:t>》（GB</w:t>
      </w:r>
      <w:r>
        <w:rPr>
          <w:rFonts w:hint="eastAsia"/>
        </w:rPr>
        <w:t>3096-2008</w:t>
      </w:r>
      <w:r>
        <w:t>）规定方法监测；监测仪器采用</w:t>
      </w:r>
      <w:r>
        <w:rPr>
          <w:rFonts w:hint="eastAsia"/>
        </w:rPr>
        <w:t>AWA6218B噪声统计分析仪</w:t>
      </w:r>
      <w:r>
        <w:t>。</w:t>
      </w:r>
    </w:p>
    <w:p>
      <w:pPr>
        <w:spacing w:line="360" w:lineRule="auto"/>
        <w:ind w:firstLine="420" w:firstLineChars="200"/>
      </w:pPr>
      <w:r>
        <w:t>（3）监测内容</w:t>
      </w:r>
    </w:p>
    <w:p>
      <w:pPr>
        <w:spacing w:line="360" w:lineRule="auto"/>
        <w:ind w:firstLine="420" w:firstLineChars="200"/>
      </w:pPr>
      <w:r>
        <w:t>昼、夜等效A声级值。</w:t>
      </w:r>
    </w:p>
    <w:p>
      <w:pPr>
        <w:spacing w:line="360" w:lineRule="auto"/>
        <w:ind w:firstLine="420" w:firstLineChars="200"/>
      </w:pPr>
      <w:r>
        <w:t>（4）监测频率及时间</w:t>
      </w:r>
    </w:p>
    <w:p>
      <w:pPr>
        <w:spacing w:line="360" w:lineRule="auto"/>
        <w:ind w:firstLine="420" w:firstLineChars="200"/>
      </w:pPr>
      <w:r>
        <w:t>20</w:t>
      </w:r>
      <w:r>
        <w:rPr>
          <w:rFonts w:hint="eastAsia"/>
        </w:rPr>
        <w:t>10</w:t>
      </w:r>
      <w:r>
        <w:t>年8月</w:t>
      </w:r>
      <w:r>
        <w:rPr>
          <w:rFonts w:hint="eastAsia"/>
        </w:rPr>
        <w:t>2</w:t>
      </w:r>
      <w:r>
        <w:t>日～</w:t>
      </w:r>
      <w:r>
        <w:rPr>
          <w:rFonts w:hint="eastAsia"/>
        </w:rPr>
        <w:t>3</w:t>
      </w:r>
      <w:r>
        <w:t>日，昼、夜各监测1次。</w:t>
      </w:r>
    </w:p>
    <w:p>
      <w:pPr>
        <w:spacing w:line="360" w:lineRule="auto"/>
        <w:rPr>
          <w:b/>
          <w:bCs/>
        </w:rPr>
      </w:pPr>
      <w:r>
        <w:rPr>
          <w:rFonts w:hint="eastAsia"/>
          <w:b/>
          <w:bCs/>
        </w:rPr>
        <w:t>6</w:t>
      </w:r>
      <w:r>
        <w:rPr>
          <w:b/>
          <w:bCs/>
        </w:rPr>
        <w:t>.10.2 噪声现状监测结果与评价</w:t>
      </w:r>
    </w:p>
    <w:p>
      <w:pPr>
        <w:spacing w:line="360" w:lineRule="auto"/>
        <w:ind w:firstLine="567"/>
      </w:pPr>
      <w:r>
        <w:t>噪声现状监测结果见表</w:t>
      </w:r>
      <w:r>
        <w:rPr>
          <w:rFonts w:hint="eastAsia"/>
        </w:rPr>
        <w:t>6-6</w:t>
      </w:r>
      <w:r>
        <w:t>。噪声评价方法采用与标准值比较评述法。</w:t>
      </w:r>
    </w:p>
    <w:p>
      <w:pPr>
        <w:spacing w:line="440" w:lineRule="exact"/>
        <w:jc w:val="center"/>
      </w:pPr>
      <w:r>
        <w:rPr>
          <w:b/>
        </w:rPr>
        <w:t>表</w:t>
      </w:r>
      <w:r>
        <w:rPr>
          <w:rFonts w:hint="eastAsia"/>
          <w:b/>
        </w:rPr>
        <w:t>6-6</w:t>
      </w:r>
      <w:r>
        <w:rPr>
          <w:b/>
        </w:rPr>
        <w:t xml:space="preserve">  噪声监测结果一览表</w:t>
      </w:r>
      <w:r>
        <w:t xml:space="preserve">  单位：dB</w:t>
      </w:r>
    </w:p>
    <w:tbl>
      <w:tblPr>
        <w:tblStyle w:val="21"/>
        <w:tblW w:w="8694" w:type="dxa"/>
        <w:jc w:val="center"/>
        <w:tblInd w:w="-3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489"/>
        <w:gridCol w:w="1391"/>
        <w:gridCol w:w="1446"/>
        <w:gridCol w:w="1203"/>
        <w:gridCol w:w="86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5" w:type="dxa"/>
            <w:vMerge w:val="restart"/>
            <w:vAlign w:val="center"/>
          </w:tcPr>
          <w:p>
            <w:pPr>
              <w:spacing w:line="300" w:lineRule="exact"/>
              <w:jc w:val="center"/>
              <w:rPr>
                <w:sz w:val="21"/>
                <w:szCs w:val="21"/>
              </w:rPr>
            </w:pPr>
            <w:r>
              <w:rPr>
                <w:sz w:val="21"/>
                <w:szCs w:val="21"/>
              </w:rPr>
              <w:t>监测时间</w:t>
            </w:r>
          </w:p>
        </w:tc>
        <w:tc>
          <w:tcPr>
            <w:tcW w:w="1489" w:type="dxa"/>
            <w:vMerge w:val="restart"/>
            <w:vAlign w:val="center"/>
          </w:tcPr>
          <w:p>
            <w:pPr>
              <w:spacing w:line="300" w:lineRule="exact"/>
              <w:jc w:val="center"/>
              <w:rPr>
                <w:sz w:val="21"/>
                <w:szCs w:val="21"/>
              </w:rPr>
            </w:pPr>
            <w:r>
              <w:rPr>
                <w:sz w:val="21"/>
                <w:szCs w:val="21"/>
              </w:rPr>
              <w:t>监测点位</w:t>
            </w:r>
          </w:p>
        </w:tc>
        <w:tc>
          <w:tcPr>
            <w:tcW w:w="1391" w:type="dxa"/>
            <w:vMerge w:val="restart"/>
            <w:vAlign w:val="center"/>
          </w:tcPr>
          <w:p>
            <w:pPr>
              <w:spacing w:line="300" w:lineRule="exact"/>
              <w:jc w:val="center"/>
              <w:rPr>
                <w:sz w:val="21"/>
                <w:szCs w:val="21"/>
              </w:rPr>
            </w:pPr>
            <w:r>
              <w:rPr>
                <w:sz w:val="21"/>
                <w:szCs w:val="21"/>
              </w:rPr>
              <w:t>昼间</w:t>
            </w:r>
          </w:p>
        </w:tc>
        <w:tc>
          <w:tcPr>
            <w:tcW w:w="1446" w:type="dxa"/>
            <w:vMerge w:val="restart"/>
            <w:vAlign w:val="center"/>
          </w:tcPr>
          <w:p>
            <w:pPr>
              <w:spacing w:line="300" w:lineRule="exact"/>
              <w:jc w:val="center"/>
              <w:rPr>
                <w:sz w:val="21"/>
                <w:szCs w:val="21"/>
              </w:rPr>
            </w:pPr>
            <w:r>
              <w:rPr>
                <w:sz w:val="21"/>
                <w:szCs w:val="21"/>
              </w:rPr>
              <w:t>夜间</w:t>
            </w:r>
          </w:p>
        </w:tc>
        <w:tc>
          <w:tcPr>
            <w:tcW w:w="1203" w:type="dxa"/>
            <w:vMerge w:val="restart"/>
            <w:vAlign w:val="center"/>
          </w:tcPr>
          <w:p>
            <w:pPr>
              <w:spacing w:line="300" w:lineRule="exact"/>
              <w:jc w:val="center"/>
              <w:rPr>
                <w:sz w:val="21"/>
                <w:szCs w:val="21"/>
              </w:rPr>
            </w:pPr>
            <w:r>
              <w:rPr>
                <w:sz w:val="21"/>
                <w:szCs w:val="21"/>
              </w:rPr>
              <w:t>环境特征</w:t>
            </w:r>
          </w:p>
        </w:tc>
        <w:tc>
          <w:tcPr>
            <w:tcW w:w="2040" w:type="dxa"/>
            <w:gridSpan w:val="2"/>
            <w:vAlign w:val="center"/>
          </w:tcPr>
          <w:p>
            <w:pPr>
              <w:spacing w:line="300" w:lineRule="exact"/>
              <w:jc w:val="center"/>
              <w:rPr>
                <w:sz w:val="21"/>
                <w:szCs w:val="21"/>
              </w:rPr>
            </w:pPr>
            <w:r>
              <w:rPr>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5" w:type="dxa"/>
            <w:vMerge w:val="continue"/>
            <w:vAlign w:val="center"/>
          </w:tcPr>
          <w:p>
            <w:pPr>
              <w:spacing w:line="300" w:lineRule="exact"/>
              <w:jc w:val="center"/>
              <w:rPr>
                <w:sz w:val="21"/>
                <w:szCs w:val="21"/>
              </w:rPr>
            </w:pPr>
          </w:p>
        </w:tc>
        <w:tc>
          <w:tcPr>
            <w:tcW w:w="1489" w:type="dxa"/>
            <w:vMerge w:val="continue"/>
            <w:vAlign w:val="center"/>
          </w:tcPr>
          <w:p>
            <w:pPr>
              <w:spacing w:line="300" w:lineRule="exact"/>
              <w:jc w:val="left"/>
              <w:rPr>
                <w:spacing w:val="-20"/>
                <w:sz w:val="21"/>
                <w:szCs w:val="21"/>
              </w:rPr>
            </w:pPr>
          </w:p>
        </w:tc>
        <w:tc>
          <w:tcPr>
            <w:tcW w:w="1391" w:type="dxa"/>
            <w:vMerge w:val="continue"/>
            <w:vAlign w:val="center"/>
          </w:tcPr>
          <w:p>
            <w:pPr>
              <w:spacing w:line="300" w:lineRule="exact"/>
              <w:jc w:val="center"/>
              <w:rPr>
                <w:sz w:val="21"/>
                <w:szCs w:val="21"/>
              </w:rPr>
            </w:pPr>
          </w:p>
        </w:tc>
        <w:tc>
          <w:tcPr>
            <w:tcW w:w="1446" w:type="dxa"/>
            <w:vMerge w:val="continue"/>
            <w:vAlign w:val="center"/>
          </w:tcPr>
          <w:p>
            <w:pPr>
              <w:spacing w:line="300" w:lineRule="exact"/>
              <w:jc w:val="center"/>
              <w:rPr>
                <w:sz w:val="21"/>
                <w:szCs w:val="21"/>
              </w:rPr>
            </w:pPr>
          </w:p>
        </w:tc>
        <w:tc>
          <w:tcPr>
            <w:tcW w:w="1203" w:type="dxa"/>
            <w:vMerge w:val="continue"/>
            <w:vAlign w:val="center"/>
          </w:tcPr>
          <w:p>
            <w:pPr>
              <w:spacing w:line="300" w:lineRule="exact"/>
              <w:jc w:val="center"/>
              <w:rPr>
                <w:sz w:val="21"/>
                <w:szCs w:val="21"/>
              </w:rPr>
            </w:pPr>
          </w:p>
        </w:tc>
        <w:tc>
          <w:tcPr>
            <w:tcW w:w="860" w:type="dxa"/>
            <w:vAlign w:val="center"/>
          </w:tcPr>
          <w:p>
            <w:pPr>
              <w:spacing w:line="300" w:lineRule="exact"/>
              <w:jc w:val="center"/>
              <w:rPr>
                <w:sz w:val="21"/>
                <w:szCs w:val="21"/>
              </w:rPr>
            </w:pPr>
            <w:r>
              <w:rPr>
                <w:sz w:val="21"/>
                <w:szCs w:val="21"/>
              </w:rPr>
              <w:t>昼间</w:t>
            </w:r>
          </w:p>
        </w:tc>
        <w:tc>
          <w:tcPr>
            <w:tcW w:w="1180" w:type="dxa"/>
            <w:vAlign w:val="center"/>
          </w:tcPr>
          <w:p>
            <w:pPr>
              <w:spacing w:line="300" w:lineRule="exact"/>
              <w:jc w:val="center"/>
              <w:rPr>
                <w:sz w:val="21"/>
                <w:szCs w:val="21"/>
              </w:rPr>
            </w:pPr>
            <w:r>
              <w:rPr>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5" w:type="dxa"/>
            <w:vMerge w:val="restart"/>
            <w:vAlign w:val="center"/>
          </w:tcPr>
          <w:p>
            <w:pPr>
              <w:spacing w:line="300" w:lineRule="exact"/>
              <w:jc w:val="center"/>
              <w:rPr>
                <w:rFonts w:hint="eastAsia"/>
                <w:sz w:val="21"/>
                <w:szCs w:val="21"/>
              </w:rPr>
            </w:pPr>
            <w:r>
              <w:rPr>
                <w:sz w:val="21"/>
                <w:szCs w:val="21"/>
              </w:rPr>
              <w:t>20</w:t>
            </w:r>
            <w:r>
              <w:rPr>
                <w:rFonts w:hint="eastAsia"/>
                <w:sz w:val="21"/>
                <w:szCs w:val="21"/>
              </w:rPr>
              <w:t>10</w:t>
            </w:r>
            <w:r>
              <w:rPr>
                <w:sz w:val="21"/>
                <w:szCs w:val="21"/>
              </w:rPr>
              <w:t>.8.</w:t>
            </w:r>
            <w:r>
              <w:rPr>
                <w:rFonts w:hint="eastAsia"/>
                <w:sz w:val="21"/>
                <w:szCs w:val="21"/>
              </w:rPr>
              <w:t>2</w:t>
            </w:r>
          </w:p>
        </w:tc>
        <w:tc>
          <w:tcPr>
            <w:tcW w:w="1489" w:type="dxa"/>
            <w:vAlign w:val="center"/>
          </w:tcPr>
          <w:p>
            <w:pPr>
              <w:spacing w:line="300" w:lineRule="exact"/>
              <w:jc w:val="center"/>
              <w:rPr>
                <w:sz w:val="21"/>
                <w:szCs w:val="21"/>
              </w:rPr>
            </w:pPr>
            <w:r>
              <w:rPr>
                <w:sz w:val="21"/>
                <w:szCs w:val="21"/>
              </w:rPr>
              <w:t>1#</w:t>
            </w:r>
          </w:p>
        </w:tc>
        <w:tc>
          <w:tcPr>
            <w:tcW w:w="1391" w:type="dxa"/>
            <w:vAlign w:val="center"/>
          </w:tcPr>
          <w:p>
            <w:pPr>
              <w:spacing w:line="300" w:lineRule="exact"/>
              <w:jc w:val="center"/>
              <w:rPr>
                <w:rFonts w:hint="eastAsia"/>
                <w:sz w:val="21"/>
                <w:szCs w:val="21"/>
              </w:rPr>
            </w:pPr>
            <w:r>
              <w:rPr>
                <w:rFonts w:hint="eastAsia"/>
                <w:sz w:val="21"/>
                <w:szCs w:val="21"/>
              </w:rPr>
              <w:t>56.3</w:t>
            </w:r>
          </w:p>
        </w:tc>
        <w:tc>
          <w:tcPr>
            <w:tcW w:w="1446" w:type="dxa"/>
            <w:vAlign w:val="center"/>
          </w:tcPr>
          <w:p>
            <w:pPr>
              <w:spacing w:line="300" w:lineRule="exact"/>
              <w:jc w:val="center"/>
              <w:rPr>
                <w:rFonts w:hint="eastAsia"/>
                <w:sz w:val="21"/>
                <w:szCs w:val="21"/>
              </w:rPr>
            </w:pPr>
            <w:r>
              <w:rPr>
                <w:rFonts w:hint="eastAsia"/>
                <w:sz w:val="21"/>
                <w:szCs w:val="21"/>
              </w:rPr>
              <w:t>46.8</w:t>
            </w:r>
          </w:p>
        </w:tc>
        <w:tc>
          <w:tcPr>
            <w:tcW w:w="1203" w:type="dxa"/>
            <w:vAlign w:val="center"/>
          </w:tcPr>
          <w:p>
            <w:pPr>
              <w:spacing w:line="300" w:lineRule="exact"/>
              <w:jc w:val="center"/>
              <w:rPr>
                <w:sz w:val="21"/>
                <w:szCs w:val="21"/>
              </w:rPr>
            </w:pPr>
            <w:r>
              <w:rPr>
                <w:sz w:val="21"/>
                <w:szCs w:val="21"/>
              </w:rPr>
              <w:t>厂界</w:t>
            </w:r>
          </w:p>
        </w:tc>
        <w:tc>
          <w:tcPr>
            <w:tcW w:w="860" w:type="dxa"/>
            <w:vAlign w:val="center"/>
          </w:tcPr>
          <w:p>
            <w:pPr>
              <w:spacing w:line="300" w:lineRule="exact"/>
              <w:jc w:val="center"/>
              <w:rPr>
                <w:rFonts w:hint="eastAsia"/>
                <w:sz w:val="21"/>
                <w:szCs w:val="21"/>
              </w:rPr>
            </w:pPr>
            <w:r>
              <w:rPr>
                <w:rFonts w:hint="eastAsia"/>
                <w:sz w:val="21"/>
                <w:szCs w:val="21"/>
              </w:rPr>
              <w:t>60</w:t>
            </w:r>
          </w:p>
        </w:tc>
        <w:tc>
          <w:tcPr>
            <w:tcW w:w="1180" w:type="dxa"/>
            <w:vAlign w:val="center"/>
          </w:tcPr>
          <w:p>
            <w:pPr>
              <w:spacing w:line="300" w:lineRule="exact"/>
              <w:jc w:val="center"/>
              <w:rPr>
                <w:rFonts w:hint="eastAsia"/>
                <w:sz w:val="21"/>
                <w:szCs w:val="21"/>
              </w:rPr>
            </w:pPr>
            <w:r>
              <w:rPr>
                <w:rFonts w:hint="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5" w:type="dxa"/>
            <w:vMerge w:val="continue"/>
            <w:vAlign w:val="center"/>
          </w:tcPr>
          <w:p>
            <w:pPr>
              <w:spacing w:line="300" w:lineRule="exact"/>
              <w:jc w:val="center"/>
              <w:rPr>
                <w:sz w:val="21"/>
                <w:szCs w:val="21"/>
              </w:rPr>
            </w:pPr>
          </w:p>
        </w:tc>
        <w:tc>
          <w:tcPr>
            <w:tcW w:w="1489" w:type="dxa"/>
            <w:vAlign w:val="center"/>
          </w:tcPr>
          <w:p>
            <w:pPr>
              <w:spacing w:line="300" w:lineRule="exact"/>
              <w:jc w:val="center"/>
              <w:rPr>
                <w:sz w:val="21"/>
                <w:szCs w:val="21"/>
              </w:rPr>
            </w:pPr>
            <w:r>
              <w:rPr>
                <w:sz w:val="21"/>
                <w:szCs w:val="21"/>
              </w:rPr>
              <w:t>2#</w:t>
            </w:r>
          </w:p>
        </w:tc>
        <w:tc>
          <w:tcPr>
            <w:tcW w:w="1391" w:type="dxa"/>
            <w:vAlign w:val="center"/>
          </w:tcPr>
          <w:p>
            <w:pPr>
              <w:spacing w:line="300" w:lineRule="exact"/>
              <w:jc w:val="center"/>
              <w:rPr>
                <w:rFonts w:hint="eastAsia"/>
                <w:sz w:val="21"/>
                <w:szCs w:val="21"/>
              </w:rPr>
            </w:pPr>
            <w:r>
              <w:rPr>
                <w:rFonts w:hint="eastAsia"/>
                <w:sz w:val="21"/>
                <w:szCs w:val="21"/>
              </w:rPr>
              <w:t>56.8</w:t>
            </w:r>
          </w:p>
        </w:tc>
        <w:tc>
          <w:tcPr>
            <w:tcW w:w="1446" w:type="dxa"/>
            <w:vAlign w:val="center"/>
          </w:tcPr>
          <w:p>
            <w:pPr>
              <w:spacing w:line="300" w:lineRule="exact"/>
              <w:jc w:val="center"/>
              <w:rPr>
                <w:rFonts w:hint="eastAsia"/>
                <w:sz w:val="21"/>
                <w:szCs w:val="21"/>
              </w:rPr>
            </w:pPr>
            <w:r>
              <w:rPr>
                <w:rFonts w:hint="eastAsia"/>
                <w:sz w:val="21"/>
                <w:szCs w:val="21"/>
              </w:rPr>
              <w:t>48.5</w:t>
            </w:r>
          </w:p>
        </w:tc>
        <w:tc>
          <w:tcPr>
            <w:tcW w:w="1203" w:type="dxa"/>
            <w:vAlign w:val="center"/>
          </w:tcPr>
          <w:p>
            <w:pPr>
              <w:spacing w:line="300" w:lineRule="exact"/>
              <w:jc w:val="center"/>
              <w:rPr>
                <w:sz w:val="21"/>
                <w:szCs w:val="21"/>
              </w:rPr>
            </w:pPr>
            <w:r>
              <w:rPr>
                <w:sz w:val="21"/>
                <w:szCs w:val="21"/>
              </w:rPr>
              <w:t>厂界</w:t>
            </w:r>
          </w:p>
        </w:tc>
        <w:tc>
          <w:tcPr>
            <w:tcW w:w="860" w:type="dxa"/>
            <w:vAlign w:val="center"/>
          </w:tcPr>
          <w:p>
            <w:pPr>
              <w:spacing w:line="300" w:lineRule="exact"/>
              <w:jc w:val="center"/>
              <w:rPr>
                <w:rFonts w:hint="eastAsia"/>
                <w:sz w:val="21"/>
                <w:szCs w:val="21"/>
              </w:rPr>
            </w:pPr>
            <w:r>
              <w:rPr>
                <w:rFonts w:hint="eastAsia"/>
                <w:sz w:val="21"/>
                <w:szCs w:val="21"/>
              </w:rPr>
              <w:t>60</w:t>
            </w:r>
          </w:p>
        </w:tc>
        <w:tc>
          <w:tcPr>
            <w:tcW w:w="1180" w:type="dxa"/>
            <w:vAlign w:val="center"/>
          </w:tcPr>
          <w:p>
            <w:pPr>
              <w:spacing w:line="300" w:lineRule="exact"/>
              <w:jc w:val="center"/>
              <w:rPr>
                <w:rFonts w:hint="eastAsia"/>
                <w:sz w:val="21"/>
                <w:szCs w:val="21"/>
              </w:rPr>
            </w:pPr>
            <w:r>
              <w:rPr>
                <w:rFonts w:hint="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5" w:type="dxa"/>
            <w:vMerge w:val="continue"/>
            <w:vAlign w:val="center"/>
          </w:tcPr>
          <w:p>
            <w:pPr>
              <w:spacing w:line="300" w:lineRule="exact"/>
              <w:jc w:val="center"/>
              <w:rPr>
                <w:sz w:val="21"/>
                <w:szCs w:val="21"/>
              </w:rPr>
            </w:pPr>
          </w:p>
        </w:tc>
        <w:tc>
          <w:tcPr>
            <w:tcW w:w="1489" w:type="dxa"/>
            <w:vAlign w:val="center"/>
          </w:tcPr>
          <w:p>
            <w:pPr>
              <w:spacing w:line="300" w:lineRule="exact"/>
              <w:jc w:val="center"/>
              <w:rPr>
                <w:sz w:val="21"/>
                <w:szCs w:val="21"/>
              </w:rPr>
            </w:pPr>
            <w:r>
              <w:rPr>
                <w:sz w:val="21"/>
                <w:szCs w:val="21"/>
              </w:rPr>
              <w:t>3#</w:t>
            </w:r>
          </w:p>
        </w:tc>
        <w:tc>
          <w:tcPr>
            <w:tcW w:w="1391" w:type="dxa"/>
            <w:vAlign w:val="center"/>
          </w:tcPr>
          <w:p>
            <w:pPr>
              <w:spacing w:line="300" w:lineRule="exact"/>
              <w:jc w:val="center"/>
              <w:rPr>
                <w:rFonts w:hint="eastAsia"/>
                <w:sz w:val="21"/>
                <w:szCs w:val="21"/>
              </w:rPr>
            </w:pPr>
            <w:r>
              <w:rPr>
                <w:rFonts w:hint="eastAsia"/>
                <w:sz w:val="21"/>
                <w:szCs w:val="21"/>
              </w:rPr>
              <w:t>52.2</w:t>
            </w:r>
          </w:p>
        </w:tc>
        <w:tc>
          <w:tcPr>
            <w:tcW w:w="1446" w:type="dxa"/>
            <w:vAlign w:val="center"/>
          </w:tcPr>
          <w:p>
            <w:pPr>
              <w:spacing w:line="300" w:lineRule="exact"/>
              <w:jc w:val="center"/>
              <w:rPr>
                <w:rFonts w:hint="eastAsia"/>
                <w:sz w:val="21"/>
                <w:szCs w:val="21"/>
              </w:rPr>
            </w:pPr>
            <w:r>
              <w:rPr>
                <w:rFonts w:hint="eastAsia"/>
                <w:sz w:val="21"/>
                <w:szCs w:val="21"/>
              </w:rPr>
              <w:t>43.8</w:t>
            </w:r>
          </w:p>
        </w:tc>
        <w:tc>
          <w:tcPr>
            <w:tcW w:w="1203" w:type="dxa"/>
            <w:vAlign w:val="center"/>
          </w:tcPr>
          <w:p>
            <w:pPr>
              <w:spacing w:line="300" w:lineRule="exact"/>
              <w:jc w:val="center"/>
              <w:rPr>
                <w:sz w:val="21"/>
                <w:szCs w:val="21"/>
              </w:rPr>
            </w:pPr>
            <w:r>
              <w:rPr>
                <w:sz w:val="21"/>
                <w:szCs w:val="21"/>
              </w:rPr>
              <w:t>厂界</w:t>
            </w:r>
          </w:p>
        </w:tc>
        <w:tc>
          <w:tcPr>
            <w:tcW w:w="860" w:type="dxa"/>
            <w:vAlign w:val="center"/>
          </w:tcPr>
          <w:p>
            <w:pPr>
              <w:spacing w:line="300" w:lineRule="exact"/>
              <w:jc w:val="center"/>
              <w:rPr>
                <w:rFonts w:hint="eastAsia"/>
                <w:sz w:val="21"/>
                <w:szCs w:val="21"/>
              </w:rPr>
            </w:pPr>
            <w:r>
              <w:rPr>
                <w:rFonts w:hint="eastAsia"/>
                <w:sz w:val="21"/>
                <w:szCs w:val="21"/>
              </w:rPr>
              <w:t>60</w:t>
            </w:r>
          </w:p>
        </w:tc>
        <w:tc>
          <w:tcPr>
            <w:tcW w:w="1180" w:type="dxa"/>
            <w:vAlign w:val="center"/>
          </w:tcPr>
          <w:p>
            <w:pPr>
              <w:spacing w:line="300" w:lineRule="exact"/>
              <w:jc w:val="center"/>
              <w:rPr>
                <w:rFonts w:hint="eastAsia"/>
                <w:sz w:val="21"/>
                <w:szCs w:val="21"/>
              </w:rPr>
            </w:pPr>
            <w:r>
              <w:rPr>
                <w:rFonts w:hint="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5" w:type="dxa"/>
            <w:vMerge w:val="continue"/>
            <w:vAlign w:val="center"/>
          </w:tcPr>
          <w:p>
            <w:pPr>
              <w:spacing w:line="300" w:lineRule="exact"/>
              <w:jc w:val="center"/>
              <w:rPr>
                <w:sz w:val="21"/>
                <w:szCs w:val="21"/>
              </w:rPr>
            </w:pPr>
          </w:p>
        </w:tc>
        <w:tc>
          <w:tcPr>
            <w:tcW w:w="1489" w:type="dxa"/>
            <w:vAlign w:val="center"/>
          </w:tcPr>
          <w:p>
            <w:pPr>
              <w:spacing w:line="300" w:lineRule="exact"/>
              <w:jc w:val="center"/>
              <w:rPr>
                <w:sz w:val="21"/>
                <w:szCs w:val="21"/>
              </w:rPr>
            </w:pPr>
            <w:r>
              <w:rPr>
                <w:sz w:val="21"/>
                <w:szCs w:val="21"/>
              </w:rPr>
              <w:t>4#</w:t>
            </w:r>
          </w:p>
        </w:tc>
        <w:tc>
          <w:tcPr>
            <w:tcW w:w="1391" w:type="dxa"/>
            <w:vAlign w:val="center"/>
          </w:tcPr>
          <w:p>
            <w:pPr>
              <w:spacing w:line="300" w:lineRule="exact"/>
              <w:jc w:val="center"/>
              <w:rPr>
                <w:rFonts w:hint="eastAsia"/>
                <w:sz w:val="21"/>
                <w:szCs w:val="21"/>
              </w:rPr>
            </w:pPr>
            <w:r>
              <w:rPr>
                <w:rFonts w:hint="eastAsia"/>
                <w:sz w:val="21"/>
                <w:szCs w:val="21"/>
              </w:rPr>
              <w:t>54.1</w:t>
            </w:r>
          </w:p>
        </w:tc>
        <w:tc>
          <w:tcPr>
            <w:tcW w:w="1446" w:type="dxa"/>
            <w:vAlign w:val="center"/>
          </w:tcPr>
          <w:p>
            <w:pPr>
              <w:spacing w:line="300" w:lineRule="exact"/>
              <w:jc w:val="center"/>
              <w:rPr>
                <w:rFonts w:hint="eastAsia"/>
                <w:sz w:val="21"/>
                <w:szCs w:val="21"/>
              </w:rPr>
            </w:pPr>
            <w:r>
              <w:rPr>
                <w:rFonts w:hint="eastAsia"/>
                <w:sz w:val="21"/>
                <w:szCs w:val="21"/>
              </w:rPr>
              <w:t>46.1</w:t>
            </w:r>
          </w:p>
        </w:tc>
        <w:tc>
          <w:tcPr>
            <w:tcW w:w="1203" w:type="dxa"/>
            <w:vAlign w:val="center"/>
          </w:tcPr>
          <w:p>
            <w:pPr>
              <w:spacing w:line="300" w:lineRule="exact"/>
              <w:jc w:val="center"/>
              <w:rPr>
                <w:sz w:val="21"/>
                <w:szCs w:val="21"/>
              </w:rPr>
            </w:pPr>
            <w:r>
              <w:rPr>
                <w:sz w:val="21"/>
                <w:szCs w:val="21"/>
              </w:rPr>
              <w:t>厂界</w:t>
            </w:r>
          </w:p>
        </w:tc>
        <w:tc>
          <w:tcPr>
            <w:tcW w:w="860" w:type="dxa"/>
            <w:vAlign w:val="center"/>
          </w:tcPr>
          <w:p>
            <w:pPr>
              <w:spacing w:line="300" w:lineRule="exact"/>
              <w:jc w:val="center"/>
              <w:rPr>
                <w:rFonts w:hint="eastAsia"/>
                <w:sz w:val="21"/>
                <w:szCs w:val="21"/>
              </w:rPr>
            </w:pPr>
            <w:r>
              <w:rPr>
                <w:rFonts w:hint="eastAsia"/>
                <w:sz w:val="21"/>
                <w:szCs w:val="21"/>
              </w:rPr>
              <w:t>60</w:t>
            </w:r>
          </w:p>
        </w:tc>
        <w:tc>
          <w:tcPr>
            <w:tcW w:w="1180" w:type="dxa"/>
            <w:vAlign w:val="center"/>
          </w:tcPr>
          <w:p>
            <w:pPr>
              <w:spacing w:line="300" w:lineRule="exact"/>
              <w:jc w:val="center"/>
              <w:rPr>
                <w:rFonts w:hint="eastAsia"/>
                <w:sz w:val="21"/>
                <w:szCs w:val="21"/>
              </w:rPr>
            </w:pPr>
            <w:r>
              <w:rPr>
                <w:rFonts w:hint="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5" w:type="dxa"/>
            <w:vMerge w:val="restart"/>
            <w:vAlign w:val="center"/>
          </w:tcPr>
          <w:p>
            <w:pPr>
              <w:spacing w:line="300" w:lineRule="exact"/>
              <w:jc w:val="center"/>
              <w:rPr>
                <w:rFonts w:hint="eastAsia"/>
                <w:sz w:val="21"/>
                <w:szCs w:val="21"/>
              </w:rPr>
            </w:pPr>
            <w:r>
              <w:rPr>
                <w:sz w:val="21"/>
                <w:szCs w:val="21"/>
              </w:rPr>
              <w:t>20</w:t>
            </w:r>
            <w:r>
              <w:rPr>
                <w:rFonts w:hint="eastAsia"/>
                <w:sz w:val="21"/>
                <w:szCs w:val="21"/>
              </w:rPr>
              <w:t>10</w:t>
            </w:r>
            <w:r>
              <w:rPr>
                <w:sz w:val="21"/>
                <w:szCs w:val="21"/>
              </w:rPr>
              <w:t>.8.</w:t>
            </w:r>
            <w:r>
              <w:rPr>
                <w:rFonts w:hint="eastAsia"/>
                <w:sz w:val="21"/>
                <w:szCs w:val="21"/>
              </w:rPr>
              <w:t>3</w:t>
            </w:r>
          </w:p>
        </w:tc>
        <w:tc>
          <w:tcPr>
            <w:tcW w:w="1489" w:type="dxa"/>
            <w:vAlign w:val="center"/>
          </w:tcPr>
          <w:p>
            <w:pPr>
              <w:spacing w:line="300" w:lineRule="exact"/>
              <w:jc w:val="center"/>
              <w:rPr>
                <w:sz w:val="21"/>
                <w:szCs w:val="21"/>
              </w:rPr>
            </w:pPr>
            <w:r>
              <w:rPr>
                <w:sz w:val="21"/>
                <w:szCs w:val="21"/>
              </w:rPr>
              <w:t>1#</w:t>
            </w:r>
          </w:p>
        </w:tc>
        <w:tc>
          <w:tcPr>
            <w:tcW w:w="1391" w:type="dxa"/>
            <w:vAlign w:val="center"/>
          </w:tcPr>
          <w:p>
            <w:pPr>
              <w:spacing w:line="300" w:lineRule="exact"/>
              <w:jc w:val="center"/>
              <w:rPr>
                <w:rFonts w:hint="eastAsia"/>
                <w:sz w:val="21"/>
                <w:szCs w:val="21"/>
              </w:rPr>
            </w:pPr>
            <w:r>
              <w:rPr>
                <w:rFonts w:hint="eastAsia"/>
                <w:sz w:val="21"/>
                <w:szCs w:val="21"/>
              </w:rPr>
              <w:t>53.6</w:t>
            </w:r>
          </w:p>
        </w:tc>
        <w:tc>
          <w:tcPr>
            <w:tcW w:w="1446" w:type="dxa"/>
            <w:vAlign w:val="center"/>
          </w:tcPr>
          <w:p>
            <w:pPr>
              <w:spacing w:line="300" w:lineRule="exact"/>
              <w:jc w:val="center"/>
              <w:rPr>
                <w:rFonts w:hint="eastAsia"/>
                <w:sz w:val="21"/>
                <w:szCs w:val="21"/>
              </w:rPr>
            </w:pPr>
            <w:r>
              <w:rPr>
                <w:rFonts w:hint="eastAsia"/>
                <w:sz w:val="21"/>
                <w:szCs w:val="21"/>
              </w:rPr>
              <w:t>45.2</w:t>
            </w:r>
          </w:p>
        </w:tc>
        <w:tc>
          <w:tcPr>
            <w:tcW w:w="1203" w:type="dxa"/>
            <w:vAlign w:val="center"/>
          </w:tcPr>
          <w:p>
            <w:pPr>
              <w:spacing w:line="300" w:lineRule="exact"/>
              <w:jc w:val="center"/>
              <w:rPr>
                <w:sz w:val="21"/>
                <w:szCs w:val="21"/>
              </w:rPr>
            </w:pPr>
            <w:r>
              <w:rPr>
                <w:sz w:val="21"/>
                <w:szCs w:val="21"/>
              </w:rPr>
              <w:t>厂界</w:t>
            </w:r>
          </w:p>
        </w:tc>
        <w:tc>
          <w:tcPr>
            <w:tcW w:w="860" w:type="dxa"/>
            <w:vAlign w:val="center"/>
          </w:tcPr>
          <w:p>
            <w:pPr>
              <w:spacing w:line="300" w:lineRule="exact"/>
              <w:jc w:val="center"/>
              <w:rPr>
                <w:rFonts w:hint="eastAsia"/>
                <w:sz w:val="21"/>
                <w:szCs w:val="21"/>
              </w:rPr>
            </w:pPr>
            <w:r>
              <w:rPr>
                <w:rFonts w:hint="eastAsia"/>
                <w:sz w:val="21"/>
                <w:szCs w:val="21"/>
              </w:rPr>
              <w:t>60</w:t>
            </w:r>
          </w:p>
        </w:tc>
        <w:tc>
          <w:tcPr>
            <w:tcW w:w="1180" w:type="dxa"/>
            <w:vAlign w:val="center"/>
          </w:tcPr>
          <w:p>
            <w:pPr>
              <w:spacing w:line="300" w:lineRule="exact"/>
              <w:jc w:val="center"/>
              <w:rPr>
                <w:rFonts w:hint="eastAsia"/>
                <w:sz w:val="21"/>
                <w:szCs w:val="21"/>
              </w:rPr>
            </w:pPr>
            <w:r>
              <w:rPr>
                <w:rFonts w:hint="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5" w:type="dxa"/>
            <w:vMerge w:val="continue"/>
            <w:vAlign w:val="center"/>
          </w:tcPr>
          <w:p>
            <w:pPr>
              <w:spacing w:line="300" w:lineRule="exact"/>
              <w:jc w:val="center"/>
              <w:rPr>
                <w:sz w:val="21"/>
                <w:szCs w:val="21"/>
              </w:rPr>
            </w:pPr>
          </w:p>
        </w:tc>
        <w:tc>
          <w:tcPr>
            <w:tcW w:w="1489" w:type="dxa"/>
            <w:vAlign w:val="center"/>
          </w:tcPr>
          <w:p>
            <w:pPr>
              <w:spacing w:line="300" w:lineRule="exact"/>
              <w:jc w:val="center"/>
              <w:rPr>
                <w:sz w:val="21"/>
                <w:szCs w:val="21"/>
              </w:rPr>
            </w:pPr>
            <w:r>
              <w:rPr>
                <w:sz w:val="21"/>
                <w:szCs w:val="21"/>
              </w:rPr>
              <w:t>2#</w:t>
            </w:r>
          </w:p>
        </w:tc>
        <w:tc>
          <w:tcPr>
            <w:tcW w:w="1391" w:type="dxa"/>
            <w:vAlign w:val="center"/>
          </w:tcPr>
          <w:p>
            <w:pPr>
              <w:spacing w:line="300" w:lineRule="exact"/>
              <w:jc w:val="center"/>
              <w:rPr>
                <w:rFonts w:hint="eastAsia"/>
                <w:sz w:val="21"/>
                <w:szCs w:val="21"/>
              </w:rPr>
            </w:pPr>
            <w:r>
              <w:rPr>
                <w:rFonts w:hint="eastAsia"/>
                <w:sz w:val="21"/>
                <w:szCs w:val="21"/>
              </w:rPr>
              <w:t>53.1</w:t>
            </w:r>
          </w:p>
        </w:tc>
        <w:tc>
          <w:tcPr>
            <w:tcW w:w="1446" w:type="dxa"/>
            <w:vAlign w:val="center"/>
          </w:tcPr>
          <w:p>
            <w:pPr>
              <w:spacing w:line="300" w:lineRule="exact"/>
              <w:jc w:val="center"/>
              <w:rPr>
                <w:rFonts w:hint="eastAsia"/>
                <w:sz w:val="21"/>
                <w:szCs w:val="21"/>
              </w:rPr>
            </w:pPr>
            <w:r>
              <w:rPr>
                <w:rFonts w:hint="eastAsia"/>
                <w:sz w:val="21"/>
                <w:szCs w:val="21"/>
              </w:rPr>
              <w:t>45.1</w:t>
            </w:r>
          </w:p>
        </w:tc>
        <w:tc>
          <w:tcPr>
            <w:tcW w:w="1203" w:type="dxa"/>
            <w:vAlign w:val="center"/>
          </w:tcPr>
          <w:p>
            <w:pPr>
              <w:spacing w:line="300" w:lineRule="exact"/>
              <w:jc w:val="center"/>
              <w:rPr>
                <w:sz w:val="21"/>
                <w:szCs w:val="21"/>
              </w:rPr>
            </w:pPr>
            <w:r>
              <w:rPr>
                <w:sz w:val="21"/>
                <w:szCs w:val="21"/>
              </w:rPr>
              <w:t>厂界</w:t>
            </w:r>
          </w:p>
        </w:tc>
        <w:tc>
          <w:tcPr>
            <w:tcW w:w="860" w:type="dxa"/>
            <w:vAlign w:val="center"/>
          </w:tcPr>
          <w:p>
            <w:pPr>
              <w:spacing w:line="300" w:lineRule="exact"/>
              <w:jc w:val="center"/>
              <w:rPr>
                <w:rFonts w:hint="eastAsia"/>
                <w:sz w:val="21"/>
                <w:szCs w:val="21"/>
              </w:rPr>
            </w:pPr>
            <w:r>
              <w:rPr>
                <w:rFonts w:hint="eastAsia"/>
                <w:sz w:val="21"/>
                <w:szCs w:val="21"/>
              </w:rPr>
              <w:t>60</w:t>
            </w:r>
          </w:p>
        </w:tc>
        <w:tc>
          <w:tcPr>
            <w:tcW w:w="1180" w:type="dxa"/>
            <w:vAlign w:val="center"/>
          </w:tcPr>
          <w:p>
            <w:pPr>
              <w:spacing w:line="300" w:lineRule="exact"/>
              <w:jc w:val="center"/>
              <w:rPr>
                <w:rFonts w:hint="eastAsia"/>
                <w:sz w:val="21"/>
                <w:szCs w:val="21"/>
              </w:rPr>
            </w:pPr>
            <w:r>
              <w:rPr>
                <w:rFonts w:hint="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5" w:type="dxa"/>
            <w:vMerge w:val="continue"/>
            <w:vAlign w:val="center"/>
          </w:tcPr>
          <w:p>
            <w:pPr>
              <w:spacing w:line="300" w:lineRule="exact"/>
              <w:jc w:val="center"/>
              <w:rPr>
                <w:sz w:val="21"/>
                <w:szCs w:val="21"/>
              </w:rPr>
            </w:pPr>
          </w:p>
        </w:tc>
        <w:tc>
          <w:tcPr>
            <w:tcW w:w="1489" w:type="dxa"/>
            <w:vAlign w:val="center"/>
          </w:tcPr>
          <w:p>
            <w:pPr>
              <w:spacing w:line="300" w:lineRule="exact"/>
              <w:jc w:val="center"/>
              <w:rPr>
                <w:sz w:val="21"/>
                <w:szCs w:val="21"/>
              </w:rPr>
            </w:pPr>
            <w:r>
              <w:rPr>
                <w:sz w:val="21"/>
                <w:szCs w:val="21"/>
              </w:rPr>
              <w:t>3#</w:t>
            </w:r>
          </w:p>
        </w:tc>
        <w:tc>
          <w:tcPr>
            <w:tcW w:w="1391" w:type="dxa"/>
            <w:vAlign w:val="center"/>
          </w:tcPr>
          <w:p>
            <w:pPr>
              <w:spacing w:line="300" w:lineRule="exact"/>
              <w:jc w:val="center"/>
              <w:rPr>
                <w:rFonts w:hint="eastAsia"/>
                <w:sz w:val="21"/>
                <w:szCs w:val="21"/>
              </w:rPr>
            </w:pPr>
            <w:r>
              <w:rPr>
                <w:rFonts w:hint="eastAsia"/>
                <w:sz w:val="21"/>
                <w:szCs w:val="21"/>
              </w:rPr>
              <w:t>51.8</w:t>
            </w:r>
          </w:p>
        </w:tc>
        <w:tc>
          <w:tcPr>
            <w:tcW w:w="1446" w:type="dxa"/>
            <w:vAlign w:val="center"/>
          </w:tcPr>
          <w:p>
            <w:pPr>
              <w:spacing w:line="300" w:lineRule="exact"/>
              <w:jc w:val="center"/>
              <w:rPr>
                <w:rFonts w:hint="eastAsia"/>
                <w:sz w:val="21"/>
                <w:szCs w:val="21"/>
              </w:rPr>
            </w:pPr>
            <w:r>
              <w:rPr>
                <w:rFonts w:hint="eastAsia"/>
                <w:sz w:val="21"/>
                <w:szCs w:val="21"/>
              </w:rPr>
              <w:t>41.3</w:t>
            </w:r>
          </w:p>
        </w:tc>
        <w:tc>
          <w:tcPr>
            <w:tcW w:w="1203" w:type="dxa"/>
            <w:vAlign w:val="center"/>
          </w:tcPr>
          <w:p>
            <w:pPr>
              <w:spacing w:line="300" w:lineRule="exact"/>
              <w:jc w:val="center"/>
              <w:rPr>
                <w:sz w:val="21"/>
                <w:szCs w:val="21"/>
              </w:rPr>
            </w:pPr>
            <w:r>
              <w:rPr>
                <w:sz w:val="21"/>
                <w:szCs w:val="21"/>
              </w:rPr>
              <w:t>厂界</w:t>
            </w:r>
          </w:p>
        </w:tc>
        <w:tc>
          <w:tcPr>
            <w:tcW w:w="860" w:type="dxa"/>
            <w:vAlign w:val="center"/>
          </w:tcPr>
          <w:p>
            <w:pPr>
              <w:spacing w:line="300" w:lineRule="exact"/>
              <w:jc w:val="center"/>
              <w:rPr>
                <w:rFonts w:hint="eastAsia"/>
                <w:sz w:val="21"/>
                <w:szCs w:val="21"/>
              </w:rPr>
            </w:pPr>
            <w:r>
              <w:rPr>
                <w:rFonts w:hint="eastAsia"/>
                <w:sz w:val="21"/>
                <w:szCs w:val="21"/>
              </w:rPr>
              <w:t>60</w:t>
            </w:r>
          </w:p>
        </w:tc>
        <w:tc>
          <w:tcPr>
            <w:tcW w:w="1180" w:type="dxa"/>
            <w:vAlign w:val="center"/>
          </w:tcPr>
          <w:p>
            <w:pPr>
              <w:spacing w:line="300" w:lineRule="exact"/>
              <w:jc w:val="center"/>
              <w:rPr>
                <w:rFonts w:hint="eastAsia"/>
                <w:sz w:val="21"/>
                <w:szCs w:val="21"/>
              </w:rPr>
            </w:pPr>
            <w:r>
              <w:rPr>
                <w:rFonts w:hint="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5" w:type="dxa"/>
            <w:vMerge w:val="continue"/>
            <w:vAlign w:val="center"/>
          </w:tcPr>
          <w:p>
            <w:pPr>
              <w:spacing w:line="300" w:lineRule="exact"/>
              <w:jc w:val="center"/>
              <w:rPr>
                <w:sz w:val="21"/>
                <w:szCs w:val="21"/>
              </w:rPr>
            </w:pPr>
          </w:p>
        </w:tc>
        <w:tc>
          <w:tcPr>
            <w:tcW w:w="1489" w:type="dxa"/>
            <w:vAlign w:val="center"/>
          </w:tcPr>
          <w:p>
            <w:pPr>
              <w:spacing w:line="300" w:lineRule="exact"/>
              <w:jc w:val="center"/>
              <w:rPr>
                <w:sz w:val="21"/>
                <w:szCs w:val="21"/>
              </w:rPr>
            </w:pPr>
            <w:r>
              <w:rPr>
                <w:sz w:val="21"/>
                <w:szCs w:val="21"/>
              </w:rPr>
              <w:t>4#</w:t>
            </w:r>
          </w:p>
        </w:tc>
        <w:tc>
          <w:tcPr>
            <w:tcW w:w="1391" w:type="dxa"/>
            <w:vAlign w:val="center"/>
          </w:tcPr>
          <w:p>
            <w:pPr>
              <w:spacing w:line="300" w:lineRule="exact"/>
              <w:jc w:val="center"/>
              <w:rPr>
                <w:rFonts w:hint="eastAsia"/>
                <w:sz w:val="21"/>
                <w:szCs w:val="21"/>
              </w:rPr>
            </w:pPr>
            <w:r>
              <w:rPr>
                <w:rFonts w:hint="eastAsia"/>
                <w:sz w:val="21"/>
                <w:szCs w:val="21"/>
              </w:rPr>
              <w:t>52.3</w:t>
            </w:r>
          </w:p>
        </w:tc>
        <w:tc>
          <w:tcPr>
            <w:tcW w:w="1446" w:type="dxa"/>
            <w:vAlign w:val="center"/>
          </w:tcPr>
          <w:p>
            <w:pPr>
              <w:spacing w:line="300" w:lineRule="exact"/>
              <w:jc w:val="center"/>
              <w:rPr>
                <w:rFonts w:hint="eastAsia"/>
                <w:sz w:val="21"/>
                <w:szCs w:val="21"/>
              </w:rPr>
            </w:pPr>
            <w:r>
              <w:rPr>
                <w:rFonts w:hint="eastAsia"/>
                <w:sz w:val="21"/>
                <w:szCs w:val="21"/>
              </w:rPr>
              <w:t>44.1</w:t>
            </w:r>
          </w:p>
        </w:tc>
        <w:tc>
          <w:tcPr>
            <w:tcW w:w="1203" w:type="dxa"/>
            <w:vAlign w:val="center"/>
          </w:tcPr>
          <w:p>
            <w:pPr>
              <w:spacing w:line="300" w:lineRule="exact"/>
              <w:jc w:val="center"/>
              <w:rPr>
                <w:sz w:val="21"/>
                <w:szCs w:val="21"/>
              </w:rPr>
            </w:pPr>
            <w:r>
              <w:rPr>
                <w:sz w:val="21"/>
                <w:szCs w:val="21"/>
              </w:rPr>
              <w:t>厂界</w:t>
            </w:r>
          </w:p>
        </w:tc>
        <w:tc>
          <w:tcPr>
            <w:tcW w:w="860" w:type="dxa"/>
            <w:vAlign w:val="center"/>
          </w:tcPr>
          <w:p>
            <w:pPr>
              <w:spacing w:line="300" w:lineRule="exact"/>
              <w:jc w:val="center"/>
              <w:rPr>
                <w:rFonts w:hint="eastAsia"/>
                <w:sz w:val="21"/>
                <w:szCs w:val="21"/>
              </w:rPr>
            </w:pPr>
            <w:r>
              <w:rPr>
                <w:rFonts w:hint="eastAsia"/>
                <w:sz w:val="21"/>
                <w:szCs w:val="21"/>
              </w:rPr>
              <w:t>60</w:t>
            </w:r>
          </w:p>
        </w:tc>
        <w:tc>
          <w:tcPr>
            <w:tcW w:w="1180" w:type="dxa"/>
            <w:vAlign w:val="center"/>
          </w:tcPr>
          <w:p>
            <w:pPr>
              <w:spacing w:line="300" w:lineRule="exact"/>
              <w:jc w:val="center"/>
              <w:rPr>
                <w:rFonts w:hint="eastAsia"/>
                <w:sz w:val="21"/>
                <w:szCs w:val="21"/>
              </w:rPr>
            </w:pPr>
            <w:r>
              <w:rPr>
                <w:rFonts w:hint="eastAsia"/>
                <w:sz w:val="21"/>
                <w:szCs w:val="21"/>
              </w:rPr>
              <w:t>50</w:t>
            </w:r>
          </w:p>
        </w:tc>
      </w:tr>
    </w:tbl>
    <w:p>
      <w:pPr>
        <w:spacing w:line="360" w:lineRule="auto"/>
        <w:ind w:firstLine="420" w:firstLineChars="200"/>
        <w:rPr>
          <w:rFonts w:hint="eastAsia"/>
        </w:rPr>
      </w:pPr>
    </w:p>
    <w:p>
      <w:pPr>
        <w:spacing w:line="360" w:lineRule="auto"/>
        <w:ind w:firstLine="420" w:firstLineChars="200"/>
      </w:pPr>
      <w:r>
        <w:t>由表</w:t>
      </w:r>
      <w:r>
        <w:rPr>
          <w:rFonts w:hint="eastAsia"/>
        </w:rPr>
        <w:t>6-6</w:t>
      </w:r>
      <w:r>
        <w:t>可知： 1#～</w:t>
      </w:r>
      <w:r>
        <w:rPr>
          <w:rFonts w:hint="eastAsia"/>
        </w:rPr>
        <w:t>4</w:t>
      </w:r>
      <w:r>
        <w:t>#点噪声监测值昼间为</w:t>
      </w:r>
      <w:r>
        <w:rPr>
          <w:rFonts w:hint="eastAsia"/>
        </w:rPr>
        <w:t>51.8</w:t>
      </w:r>
      <w:r>
        <w:t>～5</w:t>
      </w:r>
      <w:r>
        <w:rPr>
          <w:rFonts w:hint="eastAsia"/>
        </w:rPr>
        <w:t>6.8d</w:t>
      </w:r>
      <w:r>
        <w:t>B，夜间</w:t>
      </w:r>
      <w:r>
        <w:rPr>
          <w:rFonts w:hint="eastAsia"/>
        </w:rPr>
        <w:t>41.3</w:t>
      </w:r>
      <w:r>
        <w:t>～</w:t>
      </w:r>
      <w:r>
        <w:rPr>
          <w:rFonts w:hint="eastAsia"/>
        </w:rPr>
        <w:t>48.5</w:t>
      </w:r>
      <w:r>
        <w:t>dB，各监测点昼间、夜间噪声监测值均满足《</w:t>
      </w:r>
      <w:r>
        <w:rPr>
          <w:rFonts w:hint="eastAsia"/>
        </w:rPr>
        <w:t>声环境质量标准</w:t>
      </w:r>
      <w:r>
        <w:t>》</w:t>
      </w:r>
      <w:r>
        <w:rPr>
          <w:rFonts w:hint="eastAsia"/>
        </w:rPr>
        <w:t>（GB3096-2008）2</w:t>
      </w:r>
      <w:r>
        <w:t>类标准要求。</w:t>
      </w:r>
    </w:p>
    <w:p>
      <w:pPr>
        <w:spacing w:line="360" w:lineRule="auto"/>
        <w:ind w:firstLine="420" w:firstLineChars="200"/>
      </w:pPr>
      <w:r>
        <w:t>综合以上分析，区域环境质量现状较好，有环境容量，无明显制约</w:t>
      </w:r>
      <w:r>
        <w:rPr>
          <w:rFonts w:hint="eastAsia"/>
        </w:rPr>
        <w:t>技改</w:t>
      </w:r>
      <w:r>
        <w:t>建设的环境问题。</w:t>
      </w:r>
    </w:p>
    <w:bookmarkEnd w:id="267"/>
    <w:bookmarkEnd w:id="268"/>
    <w:bookmarkEnd w:id="269"/>
    <w:p>
      <w:pPr>
        <w:spacing w:line="360" w:lineRule="auto"/>
        <w:rPr>
          <w:rFonts w:hint="eastAsia" w:ascii="宋体" w:hAnsi="宋体"/>
        </w:rPr>
      </w:pPr>
    </w:p>
    <w:p>
      <w:pPr>
        <w:spacing w:line="480" w:lineRule="exact"/>
        <w:rPr>
          <w:rFonts w:hint="eastAsia" w:ascii="宋体" w:hAnsi="宋体"/>
        </w:rPr>
      </w:pPr>
    </w:p>
    <w:p>
      <w:pPr>
        <w:spacing w:line="480" w:lineRule="exact"/>
        <w:rPr>
          <w:rFonts w:hint="eastAsia" w:ascii="宋体" w:hAnsi="宋体"/>
        </w:rPr>
      </w:pPr>
    </w:p>
    <w:p>
      <w:pPr>
        <w:spacing w:line="480" w:lineRule="exact"/>
        <w:rPr>
          <w:rFonts w:hint="eastAsia" w:ascii="宋体" w:hAnsi="宋体"/>
        </w:rPr>
      </w:pPr>
    </w:p>
    <w:p>
      <w:pPr>
        <w:spacing w:line="460" w:lineRule="exact"/>
        <w:outlineLvl w:val="0"/>
        <w:rPr>
          <w:b/>
          <w:bCs/>
          <w:sz w:val="28"/>
          <w:szCs w:val="28"/>
        </w:rPr>
        <w:sectPr>
          <w:pgSz w:w="11906" w:h="16838"/>
          <w:pgMar w:top="1134" w:right="1418" w:bottom="1134" w:left="1418" w:header="851" w:footer="992" w:gutter="0"/>
          <w:paperSrc w:first="20070" w:other="20070"/>
          <w:cols w:space="425" w:num="1"/>
          <w:docGrid w:linePitch="312" w:charSpace="0"/>
        </w:sectPr>
      </w:pPr>
      <w:bookmarkStart w:id="274" w:name="_Toc175479821"/>
      <w:bookmarkStart w:id="275" w:name="_Toc189814163"/>
      <w:bookmarkStart w:id="276" w:name="_Toc473281521"/>
    </w:p>
    <w:p>
      <w:pPr>
        <w:spacing w:line="360" w:lineRule="auto"/>
        <w:outlineLvl w:val="0"/>
        <w:rPr>
          <w:b/>
          <w:bCs/>
          <w:sz w:val="28"/>
          <w:szCs w:val="28"/>
        </w:rPr>
      </w:pPr>
      <w:bookmarkStart w:id="277" w:name="_Toc276372242"/>
      <w:r>
        <w:rPr>
          <w:rFonts w:hint="eastAsia"/>
          <w:b/>
          <w:bCs/>
          <w:sz w:val="28"/>
          <w:szCs w:val="28"/>
        </w:rPr>
        <w:t>7</w:t>
      </w:r>
      <w:r>
        <w:rPr>
          <w:b/>
          <w:bCs/>
          <w:sz w:val="28"/>
          <w:szCs w:val="28"/>
        </w:rPr>
        <w:t>施工期环境影响分析</w:t>
      </w:r>
      <w:bookmarkEnd w:id="274"/>
      <w:bookmarkEnd w:id="275"/>
      <w:bookmarkEnd w:id="276"/>
      <w:r>
        <w:rPr>
          <w:b/>
          <w:bCs/>
          <w:sz w:val="28"/>
          <w:szCs w:val="28"/>
        </w:rPr>
        <w:t>及水土保持初步方案</w:t>
      </w:r>
      <w:bookmarkEnd w:id="277"/>
    </w:p>
    <w:p>
      <w:pPr>
        <w:spacing w:line="360" w:lineRule="auto"/>
        <w:outlineLvl w:val="1"/>
        <w:rPr>
          <w:rFonts w:hint="eastAsia"/>
          <w:b/>
        </w:rPr>
      </w:pPr>
      <w:bookmarkStart w:id="278" w:name="_Toc165607381"/>
      <w:bookmarkStart w:id="279" w:name="_Toc473281522"/>
      <w:bookmarkStart w:id="280" w:name="_Toc175479822"/>
      <w:bookmarkStart w:id="281" w:name="_Toc189814164"/>
      <w:bookmarkStart w:id="282" w:name="_Toc276372243"/>
      <w:r>
        <w:rPr>
          <w:rFonts w:hint="eastAsia"/>
          <w:b/>
          <w:bCs/>
        </w:rPr>
        <w:t>7</w:t>
      </w:r>
      <w:r>
        <w:rPr>
          <w:b/>
          <w:bCs/>
        </w:rPr>
        <w:t>.1</w:t>
      </w:r>
      <w:bookmarkEnd w:id="278"/>
      <w:bookmarkEnd w:id="279"/>
      <w:bookmarkEnd w:id="280"/>
      <w:bookmarkEnd w:id="281"/>
      <w:r>
        <w:rPr>
          <w:b/>
        </w:rPr>
        <w:t>主要施工内容及施工方法</w:t>
      </w:r>
      <w:bookmarkEnd w:id="282"/>
    </w:p>
    <w:p>
      <w:pPr>
        <w:spacing w:line="360" w:lineRule="auto"/>
        <w:rPr>
          <w:b/>
          <w:bCs/>
        </w:rPr>
      </w:pPr>
      <w:r>
        <w:rPr>
          <w:rFonts w:hint="eastAsia"/>
          <w:b/>
          <w:bCs/>
        </w:rPr>
        <w:t xml:space="preserve">7.1.1 </w:t>
      </w:r>
      <w:r>
        <w:rPr>
          <w:b/>
          <w:bCs/>
        </w:rPr>
        <w:t>施工内容</w:t>
      </w:r>
    </w:p>
    <w:p>
      <w:pPr>
        <w:adjustRightInd w:val="0"/>
        <w:snapToGrid w:val="0"/>
        <w:spacing w:line="360" w:lineRule="auto"/>
        <w:ind w:firstLine="420" w:firstLineChars="200"/>
        <w:jc w:val="left"/>
      </w:pPr>
      <w:r>
        <w:t>根据厂区的建设内容，</w:t>
      </w:r>
      <w:r>
        <w:rPr>
          <w:rFonts w:hint="eastAsia"/>
        </w:rPr>
        <w:t>技改</w:t>
      </w:r>
      <w:r>
        <w:t>施工内容主要有：旧厂房拆</w:t>
      </w:r>
      <w:r>
        <w:rPr>
          <w:rFonts w:hint="eastAsia"/>
        </w:rPr>
        <w:t>除</w:t>
      </w:r>
      <w:r>
        <w:t>、开挖和回填土石方、场地平整、浇混凝土垫层、现浇混凝土、预制构件安装、厂区道路建设、给排水管网系统建设和绿化建设等。</w:t>
      </w:r>
    </w:p>
    <w:p>
      <w:pPr>
        <w:spacing w:line="360" w:lineRule="auto"/>
        <w:rPr>
          <w:b/>
          <w:bCs/>
        </w:rPr>
      </w:pPr>
      <w:r>
        <w:rPr>
          <w:rFonts w:hint="eastAsia"/>
          <w:b/>
          <w:bCs/>
        </w:rPr>
        <w:t xml:space="preserve">7.1.2 </w:t>
      </w:r>
      <w:r>
        <w:rPr>
          <w:b/>
          <w:bCs/>
        </w:rPr>
        <w:t>主要施工机械</w:t>
      </w:r>
    </w:p>
    <w:p>
      <w:pPr>
        <w:adjustRightInd w:val="0"/>
        <w:snapToGrid w:val="0"/>
        <w:spacing w:line="360" w:lineRule="auto"/>
        <w:ind w:firstLine="420" w:firstLineChars="200"/>
        <w:jc w:val="left"/>
      </w:pPr>
      <w:r>
        <w:t>施工机械主要有：挖掘机、推土机、打桩机、载重汽车、混凝土搅拌机、振捣棒、重型碾压机、起重机等。</w:t>
      </w:r>
    </w:p>
    <w:p>
      <w:pPr>
        <w:spacing w:line="360" w:lineRule="auto"/>
        <w:outlineLvl w:val="1"/>
        <w:rPr>
          <w:rFonts w:hint="eastAsia"/>
          <w:b/>
          <w:bCs/>
        </w:rPr>
      </w:pPr>
      <w:bookmarkStart w:id="283" w:name="_Toc276372244"/>
      <w:bookmarkStart w:id="284" w:name="_Toc227653654"/>
      <w:bookmarkStart w:id="285" w:name="_Toc238263239"/>
      <w:r>
        <w:rPr>
          <w:b/>
          <w:bCs/>
        </w:rPr>
        <w:t>7.2  主要污染源及污染防治对策</w:t>
      </w:r>
      <w:bookmarkEnd w:id="283"/>
      <w:bookmarkEnd w:id="284"/>
      <w:bookmarkEnd w:id="285"/>
    </w:p>
    <w:p>
      <w:pPr>
        <w:adjustRightInd w:val="0"/>
        <w:snapToGrid w:val="0"/>
        <w:spacing w:line="360" w:lineRule="auto"/>
        <w:ind w:firstLine="630"/>
        <w:jc w:val="left"/>
      </w:pPr>
      <w:r>
        <w:rPr>
          <w:rFonts w:hint="eastAsia"/>
        </w:rPr>
        <w:t>技改项目</w:t>
      </w:r>
      <w:r>
        <w:t>建设可分为旧厂房拆</w:t>
      </w:r>
      <w:r>
        <w:rPr>
          <w:rFonts w:hint="eastAsia"/>
        </w:rPr>
        <w:t>除</w:t>
      </w:r>
      <w:r>
        <w:t>、土石方开挖、打桩、建筑结构、设备安装调试4个阶段。各项施工活动将不可避免地对周围环境产生影响，主要包括废气和粉尘、噪声、固体废物、废水等对周围环境的影响，其中以粉尘和施工噪声影响较为明显。不同施工阶段主要污染源及污染物排放情况见表7</w:t>
      </w:r>
      <w:r>
        <w:rPr>
          <w:rFonts w:hint="eastAsia"/>
        </w:rPr>
        <w:t>-</w:t>
      </w:r>
      <w:r>
        <w:t>1。</w:t>
      </w:r>
    </w:p>
    <w:p>
      <w:pPr>
        <w:adjustRightInd w:val="0"/>
        <w:snapToGrid w:val="0"/>
        <w:spacing w:line="348" w:lineRule="auto"/>
        <w:ind w:firstLine="630"/>
        <w:jc w:val="center"/>
        <w:rPr>
          <w:b/>
          <w:snapToGrid w:val="0"/>
          <w:spacing w:val="8"/>
          <w:kern w:val="0"/>
        </w:rPr>
      </w:pPr>
      <w:r>
        <w:rPr>
          <w:b/>
          <w:snapToGrid w:val="0"/>
          <w:spacing w:val="8"/>
          <w:kern w:val="0"/>
        </w:rPr>
        <w:t>表7</w:t>
      </w:r>
      <w:r>
        <w:rPr>
          <w:rFonts w:hint="eastAsia"/>
          <w:b/>
          <w:snapToGrid w:val="0"/>
          <w:spacing w:val="8"/>
          <w:kern w:val="0"/>
        </w:rPr>
        <w:t>-</w:t>
      </w:r>
      <w:r>
        <w:rPr>
          <w:b/>
          <w:snapToGrid w:val="0"/>
          <w:spacing w:val="8"/>
          <w:kern w:val="0"/>
        </w:rPr>
        <w:t>1  不同施工阶段主要污染源及污染物排放情况</w:t>
      </w:r>
    </w:p>
    <w:tbl>
      <w:tblPr>
        <w:tblStyle w:val="22"/>
        <w:tblW w:w="9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4077"/>
        <w:gridCol w:w="3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6" w:type="dxa"/>
            <w:tcBorders>
              <w:top w:val="single" w:color="000000" w:sz="12" w:space="0"/>
              <w:left w:val="single" w:color="000000" w:sz="12" w:space="0"/>
              <w:bottom w:val="single" w:color="000000" w:sz="12" w:space="0"/>
              <w:right w:val="single" w:color="000000" w:sz="4" w:space="0"/>
            </w:tcBorders>
            <w:vAlign w:val="center"/>
          </w:tcPr>
          <w:p>
            <w:pPr>
              <w:adjustRightInd w:val="0"/>
              <w:snapToGrid w:val="0"/>
              <w:spacing w:after="60" w:line="240" w:lineRule="atLeast"/>
              <w:ind w:firstLine="512"/>
              <w:jc w:val="center"/>
              <w:rPr>
                <w:snapToGrid w:val="0"/>
                <w:spacing w:val="8"/>
                <w:kern w:val="0"/>
                <w:sz w:val="21"/>
                <w:szCs w:val="21"/>
              </w:rPr>
            </w:pPr>
            <w:r>
              <w:rPr>
                <w:snapToGrid w:val="0"/>
                <w:spacing w:val="8"/>
                <w:kern w:val="0"/>
                <w:sz w:val="21"/>
                <w:szCs w:val="21"/>
              </w:rPr>
              <w:t>施工阶段</w:t>
            </w:r>
          </w:p>
        </w:tc>
        <w:tc>
          <w:tcPr>
            <w:tcW w:w="4077" w:type="dxa"/>
            <w:tcBorders>
              <w:top w:val="single" w:color="000000" w:sz="12" w:space="0"/>
              <w:left w:val="single" w:color="000000" w:sz="4" w:space="0"/>
              <w:bottom w:val="single" w:color="000000" w:sz="12" w:space="0"/>
              <w:right w:val="single" w:color="000000" w:sz="4" w:space="0"/>
            </w:tcBorders>
            <w:vAlign w:val="center"/>
          </w:tcPr>
          <w:p>
            <w:pPr>
              <w:adjustRightInd w:val="0"/>
              <w:snapToGrid w:val="0"/>
              <w:spacing w:after="60" w:line="240" w:lineRule="atLeast"/>
              <w:ind w:firstLine="512"/>
              <w:jc w:val="center"/>
              <w:rPr>
                <w:snapToGrid w:val="0"/>
                <w:spacing w:val="8"/>
                <w:kern w:val="0"/>
                <w:sz w:val="21"/>
                <w:szCs w:val="21"/>
              </w:rPr>
            </w:pPr>
            <w:r>
              <w:rPr>
                <w:snapToGrid w:val="0"/>
                <w:spacing w:val="8"/>
                <w:kern w:val="0"/>
                <w:sz w:val="21"/>
                <w:szCs w:val="21"/>
              </w:rPr>
              <w:t>主要污染源</w:t>
            </w:r>
          </w:p>
        </w:tc>
        <w:tc>
          <w:tcPr>
            <w:tcW w:w="3028" w:type="dxa"/>
            <w:tcBorders>
              <w:top w:val="single" w:color="000000" w:sz="12" w:space="0"/>
              <w:left w:val="single" w:color="000000" w:sz="4" w:space="0"/>
              <w:bottom w:val="single" w:color="000000" w:sz="12" w:space="0"/>
              <w:right w:val="single" w:color="000000" w:sz="12" w:space="0"/>
            </w:tcBorders>
            <w:vAlign w:val="center"/>
          </w:tcPr>
          <w:p>
            <w:pPr>
              <w:adjustRightInd w:val="0"/>
              <w:snapToGrid w:val="0"/>
              <w:spacing w:after="60" w:line="240" w:lineRule="atLeast"/>
              <w:ind w:firstLine="512"/>
              <w:jc w:val="center"/>
              <w:rPr>
                <w:snapToGrid w:val="0"/>
                <w:spacing w:val="8"/>
                <w:kern w:val="0"/>
                <w:sz w:val="21"/>
                <w:szCs w:val="21"/>
              </w:rPr>
            </w:pPr>
            <w:r>
              <w:rPr>
                <w:snapToGrid w:val="0"/>
                <w:spacing w:val="8"/>
                <w:kern w:val="0"/>
                <w:sz w:val="21"/>
                <w:szCs w:val="21"/>
              </w:rPr>
              <w:t>主要污染物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6" w:type="dxa"/>
            <w:tcBorders>
              <w:top w:val="single" w:color="000000" w:sz="12" w:space="0"/>
              <w:left w:val="single" w:color="000000" w:sz="12" w:space="0"/>
              <w:bottom w:val="single" w:color="000000" w:sz="12" w:space="0"/>
              <w:right w:val="single" w:color="000000" w:sz="4" w:space="0"/>
            </w:tcBorders>
            <w:vAlign w:val="center"/>
          </w:tcPr>
          <w:p>
            <w:pPr>
              <w:adjustRightInd w:val="0"/>
              <w:snapToGrid w:val="0"/>
              <w:spacing w:after="60" w:line="240" w:lineRule="atLeast"/>
              <w:rPr>
                <w:snapToGrid w:val="0"/>
                <w:spacing w:val="8"/>
                <w:kern w:val="0"/>
                <w:sz w:val="21"/>
                <w:szCs w:val="21"/>
              </w:rPr>
            </w:pPr>
            <w:r>
              <w:rPr>
                <w:sz w:val="21"/>
                <w:szCs w:val="21"/>
              </w:rPr>
              <w:t>旧厂房</w:t>
            </w:r>
            <w:r>
              <w:rPr>
                <w:snapToGrid w:val="0"/>
                <w:spacing w:val="8"/>
                <w:kern w:val="0"/>
                <w:sz w:val="21"/>
                <w:szCs w:val="21"/>
              </w:rPr>
              <w:t>拆</w:t>
            </w:r>
            <w:r>
              <w:rPr>
                <w:rFonts w:hint="eastAsia"/>
                <w:snapToGrid w:val="0"/>
                <w:spacing w:val="8"/>
                <w:kern w:val="0"/>
                <w:sz w:val="21"/>
                <w:szCs w:val="21"/>
              </w:rPr>
              <w:t>除</w:t>
            </w:r>
          </w:p>
        </w:tc>
        <w:tc>
          <w:tcPr>
            <w:tcW w:w="4077" w:type="dxa"/>
            <w:tcBorders>
              <w:top w:val="single" w:color="000000" w:sz="12" w:space="0"/>
              <w:left w:val="single" w:color="000000" w:sz="4" w:space="0"/>
              <w:bottom w:val="single" w:color="000000" w:sz="12" w:space="0"/>
              <w:right w:val="single" w:color="000000" w:sz="4" w:space="0"/>
            </w:tcBorders>
            <w:vAlign w:val="center"/>
          </w:tcPr>
          <w:p>
            <w:pPr>
              <w:adjustRightInd w:val="0"/>
              <w:snapToGrid w:val="0"/>
              <w:spacing w:after="60" w:line="240" w:lineRule="atLeast"/>
              <w:ind w:firstLine="512"/>
              <w:jc w:val="center"/>
              <w:rPr>
                <w:rFonts w:hint="eastAsia"/>
                <w:snapToGrid w:val="0"/>
                <w:spacing w:val="8"/>
                <w:kern w:val="0"/>
                <w:sz w:val="21"/>
                <w:szCs w:val="21"/>
              </w:rPr>
            </w:pPr>
            <w:r>
              <w:rPr>
                <w:rFonts w:hint="eastAsia"/>
                <w:snapToGrid w:val="0"/>
                <w:spacing w:val="8"/>
                <w:kern w:val="0"/>
                <w:sz w:val="21"/>
                <w:szCs w:val="21"/>
              </w:rPr>
              <w:t>废旧厂房、</w:t>
            </w:r>
            <w:r>
              <w:rPr>
                <w:snapToGrid w:val="0"/>
                <w:spacing w:val="8"/>
                <w:kern w:val="0"/>
                <w:sz w:val="21"/>
                <w:szCs w:val="21"/>
              </w:rPr>
              <w:t>吊车、升降机、切割</w:t>
            </w:r>
            <w:r>
              <w:rPr>
                <w:rFonts w:hint="eastAsia"/>
                <w:snapToGrid w:val="0"/>
                <w:spacing w:val="8"/>
                <w:kern w:val="0"/>
                <w:sz w:val="21"/>
                <w:szCs w:val="21"/>
              </w:rPr>
              <w:t>机</w:t>
            </w:r>
          </w:p>
        </w:tc>
        <w:tc>
          <w:tcPr>
            <w:tcW w:w="3028" w:type="dxa"/>
            <w:tcBorders>
              <w:top w:val="single" w:color="000000" w:sz="12" w:space="0"/>
              <w:left w:val="single" w:color="000000" w:sz="4" w:space="0"/>
              <w:bottom w:val="single" w:color="000000" w:sz="12" w:space="0"/>
              <w:right w:val="single" w:color="000000" w:sz="12" w:space="0"/>
            </w:tcBorders>
            <w:vAlign w:val="center"/>
          </w:tcPr>
          <w:p>
            <w:pPr>
              <w:adjustRightInd w:val="0"/>
              <w:snapToGrid w:val="0"/>
              <w:spacing w:after="60" w:line="240" w:lineRule="atLeast"/>
              <w:ind w:firstLine="512"/>
              <w:jc w:val="center"/>
              <w:rPr>
                <w:snapToGrid w:val="0"/>
                <w:spacing w:val="8"/>
                <w:kern w:val="0"/>
                <w:sz w:val="21"/>
                <w:szCs w:val="21"/>
              </w:rPr>
            </w:pPr>
            <w:r>
              <w:rPr>
                <w:snapToGrid w:val="0"/>
                <w:spacing w:val="8"/>
                <w:kern w:val="0"/>
                <w:sz w:val="21"/>
                <w:szCs w:val="21"/>
              </w:rPr>
              <w:t>扬尘、噪声、垃圾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6" w:type="dxa"/>
            <w:tcBorders>
              <w:top w:val="single" w:color="000000" w:sz="12" w:space="0"/>
              <w:left w:val="single" w:color="000000" w:sz="12" w:space="0"/>
              <w:bottom w:val="single" w:color="000000" w:sz="4" w:space="0"/>
              <w:right w:val="single" w:color="000000" w:sz="4" w:space="0"/>
            </w:tcBorders>
            <w:vAlign w:val="center"/>
          </w:tcPr>
          <w:p>
            <w:pPr>
              <w:adjustRightInd w:val="0"/>
              <w:snapToGrid w:val="0"/>
              <w:spacing w:after="60" w:line="240" w:lineRule="atLeast"/>
              <w:rPr>
                <w:snapToGrid w:val="0"/>
                <w:spacing w:val="8"/>
                <w:kern w:val="0"/>
                <w:sz w:val="21"/>
                <w:szCs w:val="21"/>
              </w:rPr>
            </w:pPr>
            <w:r>
              <w:rPr>
                <w:snapToGrid w:val="0"/>
                <w:spacing w:val="8"/>
                <w:kern w:val="0"/>
                <w:sz w:val="21"/>
                <w:szCs w:val="21"/>
              </w:rPr>
              <w:t>土石方开挖阶段</w:t>
            </w:r>
          </w:p>
        </w:tc>
        <w:tc>
          <w:tcPr>
            <w:tcW w:w="4077"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spacing w:after="60" w:line="240" w:lineRule="atLeast"/>
              <w:ind w:firstLine="512"/>
              <w:jc w:val="center"/>
              <w:rPr>
                <w:snapToGrid w:val="0"/>
                <w:spacing w:val="8"/>
                <w:kern w:val="0"/>
                <w:sz w:val="21"/>
                <w:szCs w:val="21"/>
              </w:rPr>
            </w:pPr>
            <w:r>
              <w:rPr>
                <w:snapToGrid w:val="0"/>
                <w:spacing w:val="8"/>
                <w:kern w:val="0"/>
                <w:sz w:val="21"/>
                <w:szCs w:val="21"/>
              </w:rPr>
              <w:t>裸露地面、土方堆场、挖掘机、推土机、铲车、运输卡车</w:t>
            </w:r>
          </w:p>
        </w:tc>
        <w:tc>
          <w:tcPr>
            <w:tcW w:w="3028" w:type="dxa"/>
            <w:tcBorders>
              <w:top w:val="single" w:color="000000" w:sz="12" w:space="0"/>
              <w:left w:val="single" w:color="000000" w:sz="4" w:space="0"/>
              <w:bottom w:val="single" w:color="000000" w:sz="4" w:space="0"/>
              <w:right w:val="single" w:color="000000" w:sz="12" w:space="0"/>
            </w:tcBorders>
            <w:vAlign w:val="center"/>
          </w:tcPr>
          <w:p>
            <w:pPr>
              <w:adjustRightInd w:val="0"/>
              <w:snapToGrid w:val="0"/>
              <w:spacing w:after="60" w:line="240" w:lineRule="atLeast"/>
              <w:ind w:firstLine="512"/>
              <w:rPr>
                <w:rFonts w:hint="eastAsia"/>
                <w:snapToGrid w:val="0"/>
                <w:spacing w:val="8"/>
                <w:kern w:val="0"/>
                <w:sz w:val="21"/>
                <w:szCs w:val="21"/>
              </w:rPr>
            </w:pPr>
            <w:r>
              <w:rPr>
                <w:snapToGrid w:val="0"/>
                <w:spacing w:val="8"/>
                <w:kern w:val="0"/>
                <w:sz w:val="21"/>
                <w:szCs w:val="21"/>
              </w:rPr>
              <w:t>扬尘、噪声、垃圾、</w:t>
            </w:r>
          </w:p>
          <w:p>
            <w:pPr>
              <w:adjustRightInd w:val="0"/>
              <w:snapToGrid w:val="0"/>
              <w:spacing w:after="60" w:line="240" w:lineRule="atLeast"/>
              <w:ind w:firstLine="512"/>
              <w:rPr>
                <w:snapToGrid w:val="0"/>
                <w:spacing w:val="8"/>
                <w:kern w:val="0"/>
                <w:sz w:val="21"/>
                <w:szCs w:val="21"/>
              </w:rPr>
            </w:pPr>
            <w:r>
              <w:rPr>
                <w:snapToGrid w:val="0"/>
                <w:spacing w:val="8"/>
                <w:kern w:val="0"/>
                <w:sz w:val="21"/>
                <w:szCs w:val="21"/>
              </w:rPr>
              <w:t>车辆尾气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6"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spacing w:after="60" w:line="240" w:lineRule="atLeast"/>
              <w:ind w:firstLine="512"/>
              <w:jc w:val="center"/>
              <w:rPr>
                <w:snapToGrid w:val="0"/>
                <w:spacing w:val="8"/>
                <w:kern w:val="0"/>
                <w:sz w:val="21"/>
                <w:szCs w:val="21"/>
              </w:rPr>
            </w:pPr>
            <w:r>
              <w:rPr>
                <w:snapToGrid w:val="0"/>
                <w:spacing w:val="8"/>
                <w:kern w:val="0"/>
                <w:sz w:val="21"/>
                <w:szCs w:val="21"/>
              </w:rPr>
              <w:t>打桩阶段</w:t>
            </w:r>
          </w:p>
        </w:tc>
        <w:tc>
          <w:tcPr>
            <w:tcW w:w="407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after="60" w:line="240" w:lineRule="atLeast"/>
              <w:ind w:firstLine="512"/>
              <w:jc w:val="center"/>
              <w:rPr>
                <w:snapToGrid w:val="0"/>
                <w:spacing w:val="8"/>
                <w:kern w:val="0"/>
                <w:sz w:val="21"/>
                <w:szCs w:val="21"/>
              </w:rPr>
            </w:pPr>
            <w:r>
              <w:rPr>
                <w:snapToGrid w:val="0"/>
                <w:spacing w:val="8"/>
                <w:kern w:val="0"/>
                <w:sz w:val="21"/>
                <w:szCs w:val="21"/>
              </w:rPr>
              <w:t>打桩机、运输卡车等</w:t>
            </w:r>
          </w:p>
        </w:tc>
        <w:tc>
          <w:tcPr>
            <w:tcW w:w="3028" w:type="dxa"/>
            <w:tcBorders>
              <w:top w:val="single" w:color="000000" w:sz="4" w:space="0"/>
              <w:left w:val="single" w:color="000000" w:sz="4" w:space="0"/>
              <w:bottom w:val="single" w:color="000000" w:sz="4" w:space="0"/>
              <w:right w:val="single" w:color="000000" w:sz="12" w:space="0"/>
            </w:tcBorders>
            <w:vAlign w:val="center"/>
          </w:tcPr>
          <w:p>
            <w:pPr>
              <w:adjustRightInd w:val="0"/>
              <w:snapToGrid w:val="0"/>
              <w:spacing w:after="60" w:line="240" w:lineRule="atLeast"/>
              <w:ind w:firstLine="512"/>
              <w:rPr>
                <w:snapToGrid w:val="0"/>
                <w:spacing w:val="8"/>
                <w:kern w:val="0"/>
                <w:sz w:val="21"/>
                <w:szCs w:val="21"/>
              </w:rPr>
            </w:pPr>
            <w:r>
              <w:rPr>
                <w:snapToGrid w:val="0"/>
                <w:spacing w:val="8"/>
                <w:kern w:val="0"/>
                <w:sz w:val="21"/>
                <w:szCs w:val="21"/>
              </w:rPr>
              <w:t>扬尘、噪声、车辆尾气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6"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spacing w:after="60" w:line="240" w:lineRule="atLeast"/>
              <w:rPr>
                <w:snapToGrid w:val="0"/>
                <w:spacing w:val="8"/>
                <w:kern w:val="0"/>
                <w:sz w:val="21"/>
                <w:szCs w:val="21"/>
              </w:rPr>
            </w:pPr>
            <w:r>
              <w:rPr>
                <w:snapToGrid w:val="0"/>
                <w:spacing w:val="8"/>
                <w:kern w:val="0"/>
                <w:sz w:val="21"/>
                <w:szCs w:val="21"/>
              </w:rPr>
              <w:t>建筑结构阶段</w:t>
            </w:r>
          </w:p>
        </w:tc>
        <w:tc>
          <w:tcPr>
            <w:tcW w:w="407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after="60" w:line="240" w:lineRule="atLeast"/>
              <w:ind w:firstLine="512"/>
              <w:jc w:val="center"/>
              <w:rPr>
                <w:rFonts w:hint="eastAsia"/>
                <w:snapToGrid w:val="0"/>
                <w:spacing w:val="8"/>
                <w:kern w:val="0"/>
                <w:sz w:val="21"/>
                <w:szCs w:val="21"/>
              </w:rPr>
            </w:pPr>
            <w:r>
              <w:rPr>
                <w:snapToGrid w:val="0"/>
                <w:spacing w:val="8"/>
                <w:kern w:val="0"/>
                <w:sz w:val="21"/>
                <w:szCs w:val="21"/>
              </w:rPr>
              <w:t>建材堆场、进出场地车辆、</w:t>
            </w:r>
          </w:p>
          <w:p>
            <w:pPr>
              <w:adjustRightInd w:val="0"/>
              <w:snapToGrid w:val="0"/>
              <w:spacing w:after="60" w:line="240" w:lineRule="atLeast"/>
              <w:ind w:firstLine="512"/>
              <w:jc w:val="center"/>
              <w:rPr>
                <w:snapToGrid w:val="0"/>
                <w:spacing w:val="8"/>
                <w:kern w:val="0"/>
                <w:sz w:val="21"/>
                <w:szCs w:val="21"/>
              </w:rPr>
            </w:pPr>
            <w:r>
              <w:rPr>
                <w:snapToGrid w:val="0"/>
                <w:spacing w:val="8"/>
                <w:kern w:val="0"/>
                <w:sz w:val="21"/>
                <w:szCs w:val="21"/>
              </w:rPr>
              <w:t>振捣棒</w:t>
            </w:r>
          </w:p>
        </w:tc>
        <w:tc>
          <w:tcPr>
            <w:tcW w:w="3028" w:type="dxa"/>
            <w:tcBorders>
              <w:top w:val="single" w:color="000000" w:sz="4" w:space="0"/>
              <w:left w:val="single" w:color="000000" w:sz="4" w:space="0"/>
              <w:bottom w:val="single" w:color="000000" w:sz="4" w:space="0"/>
              <w:right w:val="single" w:color="000000" w:sz="12" w:space="0"/>
            </w:tcBorders>
            <w:vAlign w:val="center"/>
          </w:tcPr>
          <w:p>
            <w:pPr>
              <w:adjustRightInd w:val="0"/>
              <w:snapToGrid w:val="0"/>
              <w:spacing w:after="60" w:line="240" w:lineRule="atLeast"/>
              <w:ind w:firstLine="512"/>
              <w:rPr>
                <w:rFonts w:hint="eastAsia"/>
                <w:snapToGrid w:val="0"/>
                <w:spacing w:val="8"/>
                <w:kern w:val="0"/>
                <w:sz w:val="21"/>
                <w:szCs w:val="21"/>
              </w:rPr>
            </w:pPr>
            <w:r>
              <w:rPr>
                <w:snapToGrid w:val="0"/>
                <w:spacing w:val="8"/>
                <w:kern w:val="0"/>
                <w:sz w:val="21"/>
                <w:szCs w:val="21"/>
              </w:rPr>
              <w:t>扬尘、噪声、垃圾、</w:t>
            </w:r>
          </w:p>
          <w:p>
            <w:pPr>
              <w:adjustRightInd w:val="0"/>
              <w:snapToGrid w:val="0"/>
              <w:spacing w:after="60" w:line="240" w:lineRule="atLeast"/>
              <w:ind w:firstLine="512"/>
              <w:rPr>
                <w:snapToGrid w:val="0"/>
                <w:spacing w:val="8"/>
                <w:kern w:val="0"/>
                <w:sz w:val="21"/>
                <w:szCs w:val="21"/>
              </w:rPr>
            </w:pPr>
            <w:r>
              <w:rPr>
                <w:snapToGrid w:val="0"/>
                <w:spacing w:val="8"/>
                <w:kern w:val="0"/>
                <w:sz w:val="21"/>
                <w:szCs w:val="21"/>
              </w:rPr>
              <w:t>车辆尾气、施工排水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6" w:type="dxa"/>
            <w:tcBorders>
              <w:top w:val="single" w:color="000000" w:sz="4" w:space="0"/>
              <w:left w:val="single" w:color="000000" w:sz="12" w:space="0"/>
              <w:bottom w:val="single" w:color="000000" w:sz="12" w:space="0"/>
              <w:right w:val="single" w:color="000000" w:sz="4" w:space="0"/>
            </w:tcBorders>
            <w:vAlign w:val="center"/>
          </w:tcPr>
          <w:p>
            <w:pPr>
              <w:adjustRightInd w:val="0"/>
              <w:snapToGrid w:val="0"/>
              <w:spacing w:after="60" w:line="240" w:lineRule="atLeast"/>
              <w:rPr>
                <w:snapToGrid w:val="0"/>
                <w:spacing w:val="8"/>
                <w:kern w:val="0"/>
                <w:sz w:val="21"/>
                <w:szCs w:val="21"/>
              </w:rPr>
            </w:pPr>
            <w:r>
              <w:rPr>
                <w:snapToGrid w:val="0"/>
                <w:spacing w:val="8"/>
                <w:kern w:val="0"/>
                <w:sz w:val="21"/>
                <w:szCs w:val="21"/>
              </w:rPr>
              <w:t>设备安装调试阶段</w:t>
            </w:r>
          </w:p>
        </w:tc>
        <w:tc>
          <w:tcPr>
            <w:tcW w:w="4077"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spacing w:after="60" w:line="240" w:lineRule="atLeast"/>
              <w:ind w:firstLine="512"/>
              <w:jc w:val="center"/>
              <w:rPr>
                <w:snapToGrid w:val="0"/>
                <w:spacing w:val="8"/>
                <w:kern w:val="0"/>
                <w:sz w:val="21"/>
                <w:szCs w:val="21"/>
              </w:rPr>
            </w:pPr>
            <w:r>
              <w:rPr>
                <w:snapToGrid w:val="0"/>
                <w:spacing w:val="8"/>
                <w:kern w:val="0"/>
                <w:sz w:val="21"/>
                <w:szCs w:val="21"/>
              </w:rPr>
              <w:t>吊车、升降机、切割等机械</w:t>
            </w:r>
          </w:p>
        </w:tc>
        <w:tc>
          <w:tcPr>
            <w:tcW w:w="3028" w:type="dxa"/>
            <w:tcBorders>
              <w:top w:val="single" w:color="000000" w:sz="4" w:space="0"/>
              <w:left w:val="single" w:color="000000" w:sz="4" w:space="0"/>
              <w:bottom w:val="single" w:color="000000" w:sz="12" w:space="0"/>
              <w:right w:val="single" w:color="000000" w:sz="12" w:space="0"/>
            </w:tcBorders>
            <w:vAlign w:val="center"/>
          </w:tcPr>
          <w:p>
            <w:pPr>
              <w:adjustRightInd w:val="0"/>
              <w:snapToGrid w:val="0"/>
              <w:spacing w:after="60" w:line="240" w:lineRule="atLeast"/>
              <w:ind w:firstLine="512"/>
              <w:rPr>
                <w:snapToGrid w:val="0"/>
                <w:spacing w:val="8"/>
                <w:kern w:val="0"/>
                <w:sz w:val="21"/>
                <w:szCs w:val="21"/>
              </w:rPr>
            </w:pPr>
            <w:r>
              <w:rPr>
                <w:snapToGrid w:val="0"/>
                <w:spacing w:val="8"/>
                <w:kern w:val="0"/>
                <w:sz w:val="21"/>
                <w:szCs w:val="21"/>
              </w:rPr>
              <w:t>噪声、垃圾、车辆尾气</w:t>
            </w:r>
          </w:p>
        </w:tc>
      </w:tr>
    </w:tbl>
    <w:p>
      <w:pPr>
        <w:adjustRightInd w:val="0"/>
        <w:snapToGrid w:val="0"/>
        <w:spacing w:line="348" w:lineRule="auto"/>
        <w:ind w:firstLine="630"/>
        <w:jc w:val="left"/>
        <w:rPr>
          <w:snapToGrid w:val="0"/>
          <w:spacing w:val="8"/>
          <w:kern w:val="0"/>
          <w:sz w:val="28"/>
        </w:rPr>
      </w:pPr>
    </w:p>
    <w:p>
      <w:pPr>
        <w:adjustRightInd w:val="0"/>
        <w:snapToGrid w:val="0"/>
        <w:spacing w:line="360" w:lineRule="auto"/>
        <w:ind w:firstLine="630"/>
        <w:jc w:val="left"/>
      </w:pPr>
      <w:r>
        <w:t>为尽可能降低施工建设对环境的影响，首先要对各施工单位提出严格的施工建设环保要求，其次要求建设单位对各施工现场及施工队伍进行严格的监督管理，必要时可采用现场监测手段加以控制和管理。</w:t>
      </w:r>
    </w:p>
    <w:p>
      <w:pPr>
        <w:spacing w:line="360" w:lineRule="auto"/>
        <w:outlineLvl w:val="1"/>
        <w:rPr>
          <w:b/>
          <w:bCs/>
        </w:rPr>
      </w:pPr>
      <w:bookmarkStart w:id="286" w:name="_Toc238263240"/>
      <w:bookmarkStart w:id="287" w:name="_Toc276372245"/>
      <w:r>
        <w:rPr>
          <w:b/>
          <w:bCs/>
        </w:rPr>
        <w:t>7.3  施工期环境影响分析及减缓措施</w:t>
      </w:r>
      <w:bookmarkEnd w:id="286"/>
      <w:bookmarkEnd w:id="287"/>
    </w:p>
    <w:p>
      <w:pPr>
        <w:spacing w:line="360" w:lineRule="auto"/>
        <w:rPr>
          <w:b/>
          <w:bCs/>
        </w:rPr>
      </w:pPr>
      <w:r>
        <w:rPr>
          <w:b/>
          <w:bCs/>
        </w:rPr>
        <w:t>7.3.1  施工期环境空气影响分析及防治措施</w:t>
      </w:r>
    </w:p>
    <w:p>
      <w:pPr>
        <w:adjustRightInd w:val="0"/>
        <w:snapToGrid w:val="0"/>
        <w:spacing w:line="360" w:lineRule="auto"/>
        <w:ind w:firstLine="630"/>
        <w:jc w:val="left"/>
      </w:pPr>
      <w:r>
        <w:t>施工期主要环境空气污染源有：各类燃油动力机械进行场地清理平整、挖填、土石方运输等作业排放废气，装卸作业产生扬尘。这些污染源产生的污染物将导致施工期附近区域的环境空气质量下降。</w:t>
      </w:r>
    </w:p>
    <w:p>
      <w:pPr>
        <w:adjustRightInd w:val="0"/>
        <w:snapToGrid w:val="0"/>
        <w:spacing w:line="360" w:lineRule="auto"/>
        <w:ind w:firstLine="630"/>
        <w:jc w:val="left"/>
      </w:pPr>
      <w:r>
        <w:t>采取的防治措施主要有：</w:t>
      </w:r>
    </w:p>
    <w:p>
      <w:pPr>
        <w:autoSpaceDE w:val="0"/>
        <w:autoSpaceDN w:val="0"/>
        <w:adjustRightInd w:val="0"/>
        <w:snapToGrid w:val="0"/>
        <w:spacing w:line="360" w:lineRule="auto"/>
        <w:ind w:firstLine="420" w:firstLineChars="200"/>
        <w:jc w:val="left"/>
      </w:pPr>
      <w:r>
        <w:rPr>
          <w:rFonts w:hint="eastAsia"/>
        </w:rPr>
        <w:t>（1）</w:t>
      </w:r>
      <w:r>
        <w:t>施工单位必须做好现场管理和责任区内的环境保洁工作，并专人负责落实。对施工现场进行科学管理，砂石料应统一堆放，水泥应设专门库房堆放，尽量减少搬运环节。</w:t>
      </w:r>
    </w:p>
    <w:p>
      <w:pPr>
        <w:adjustRightInd w:val="0"/>
        <w:snapToGrid w:val="0"/>
        <w:spacing w:line="360" w:lineRule="auto"/>
        <w:ind w:firstLine="420" w:firstLineChars="200"/>
      </w:pPr>
      <w:r>
        <w:rPr>
          <w:rFonts w:hint="eastAsia"/>
        </w:rPr>
        <w:t>（2）旧建筑拆除、</w:t>
      </w:r>
      <w:r>
        <w:t>地面开挖时或爆破后，对作业面和土堆适当喷水，采用湿式作业，使其保持一定湿度，以减少扬尘产生量。</w:t>
      </w:r>
    </w:p>
    <w:p>
      <w:pPr>
        <w:adjustRightInd w:val="0"/>
        <w:snapToGrid w:val="0"/>
        <w:spacing w:line="360" w:lineRule="auto"/>
        <w:ind w:firstLine="420" w:firstLineChars="200"/>
      </w:pPr>
      <w:r>
        <w:rPr>
          <w:rFonts w:hint="eastAsia"/>
        </w:rPr>
        <w:t>（3）</w:t>
      </w:r>
      <w:r>
        <w:t>对施工场地未开工的裸露地面、废弃物堆放场地、建筑材料堆放场地采取遮盖措施，防止产生扬尘；对已开工的施工场地，除采取遮盖措施外，还应采取洒水等措施，防止产生扬尘。</w:t>
      </w:r>
    </w:p>
    <w:p>
      <w:pPr>
        <w:adjustRightInd w:val="0"/>
        <w:snapToGrid w:val="0"/>
        <w:spacing w:line="360" w:lineRule="auto"/>
        <w:ind w:firstLine="420" w:firstLineChars="200"/>
      </w:pPr>
      <w:r>
        <w:rPr>
          <w:rFonts w:hint="eastAsia"/>
        </w:rPr>
        <w:t>（4）</w:t>
      </w:r>
      <w:r>
        <w:t>设置汽车冲洗点，对运输车辆进行冲洗，抑制粉尘散发和运输中的二次扬尘，以减轻其对环境的影响；运输物料的车辆应控制物料的装载量和高度，并采用篷布遮盖，防止物料洒落；在物料上洒水增湿，抑制粉尘产生；合理安排运输计划，避免汽车空载，减少汽车往返次数，减少汽车尾气的排放量。</w:t>
      </w:r>
    </w:p>
    <w:p>
      <w:pPr>
        <w:adjustRightInd w:val="0"/>
        <w:snapToGrid w:val="0"/>
        <w:spacing w:line="360" w:lineRule="auto"/>
        <w:ind w:firstLine="420" w:firstLineChars="200"/>
      </w:pPr>
      <w:r>
        <w:rPr>
          <w:rFonts w:hint="eastAsia"/>
        </w:rPr>
        <w:t>（5）</w:t>
      </w:r>
      <w:r>
        <w:t xml:space="preserve"> 加强施工机械的使用管理和施工机械的维修和保养，合理降低同时使用次数，提高机械使用效率，减少废气排放，以减轻其对环境的影响。</w:t>
      </w:r>
    </w:p>
    <w:p>
      <w:pPr>
        <w:adjustRightInd w:val="0"/>
        <w:snapToGrid w:val="0"/>
        <w:spacing w:line="360" w:lineRule="auto"/>
        <w:ind w:firstLine="420" w:firstLineChars="200"/>
      </w:pPr>
      <w:r>
        <w:rPr>
          <w:rFonts w:hint="eastAsia"/>
        </w:rPr>
        <w:t>（6）</w:t>
      </w:r>
      <w:r>
        <w:t>文明施工，施工现场需设围栏或部分围栏，实行挂网式施工，减少施工扬尘扩散范围。</w:t>
      </w:r>
    </w:p>
    <w:p>
      <w:pPr>
        <w:autoSpaceDE w:val="0"/>
        <w:autoSpaceDN w:val="0"/>
        <w:adjustRightInd w:val="0"/>
        <w:snapToGrid w:val="0"/>
        <w:spacing w:line="360" w:lineRule="auto"/>
        <w:ind w:firstLine="420" w:firstLineChars="200"/>
        <w:jc w:val="left"/>
      </w:pPr>
      <w:r>
        <w:rPr>
          <w:rFonts w:hint="eastAsia"/>
        </w:rPr>
        <w:t>（7）</w:t>
      </w:r>
      <w:r>
        <w:t>风速过大时应停止施工作业，并对堆放的砂石等建筑材料进行遮盖处理。</w:t>
      </w:r>
    </w:p>
    <w:p>
      <w:pPr>
        <w:spacing w:line="360" w:lineRule="auto"/>
        <w:ind w:firstLine="480"/>
        <w:rPr>
          <w:rFonts w:hint="eastAsia"/>
        </w:rPr>
      </w:pPr>
      <w:r>
        <w:rPr>
          <w:rFonts w:hint="eastAsia"/>
        </w:rPr>
        <w:t>（8）旧建筑拆除后尽快</w:t>
      </w:r>
      <w:r>
        <w:t>清除建筑垃圾</w:t>
      </w:r>
      <w:r>
        <w:rPr>
          <w:rFonts w:hint="eastAsia"/>
        </w:rPr>
        <w:t>。</w:t>
      </w:r>
    </w:p>
    <w:p>
      <w:pPr>
        <w:spacing w:line="360" w:lineRule="auto"/>
        <w:ind w:firstLine="480"/>
        <w:rPr>
          <w:rFonts w:hint="eastAsia"/>
        </w:rPr>
      </w:pPr>
      <w:r>
        <w:t>（</w:t>
      </w:r>
      <w:r>
        <w:rPr>
          <w:rFonts w:hint="eastAsia"/>
        </w:rPr>
        <w:t>9</w:t>
      </w:r>
      <w:r>
        <w:t>）对</w:t>
      </w:r>
      <w:r>
        <w:rPr>
          <w:rFonts w:hint="eastAsia"/>
        </w:rPr>
        <w:t>标高在350米以上的建筑拆除后，尽快实施绿化</w:t>
      </w:r>
      <w:r>
        <w:t>。</w:t>
      </w:r>
    </w:p>
    <w:p>
      <w:pPr>
        <w:spacing w:line="360" w:lineRule="auto"/>
        <w:rPr>
          <w:b/>
          <w:bCs/>
        </w:rPr>
      </w:pPr>
      <w:r>
        <w:rPr>
          <w:b/>
          <w:bCs/>
        </w:rPr>
        <w:t>7.3.2  施工期声环境影响分析及防治措施</w:t>
      </w:r>
    </w:p>
    <w:p>
      <w:pPr>
        <w:adjustRightInd w:val="0"/>
        <w:snapToGrid w:val="0"/>
        <w:spacing w:line="360" w:lineRule="auto"/>
        <w:ind w:firstLine="420" w:firstLineChars="200"/>
      </w:pPr>
      <w:r>
        <w:rPr>
          <w:rFonts w:hint="eastAsia"/>
        </w:rPr>
        <w:t>（1）</w:t>
      </w:r>
      <w:r>
        <w:t>施工期主要噪声污染源</w:t>
      </w:r>
    </w:p>
    <w:p>
      <w:pPr>
        <w:autoSpaceDE w:val="0"/>
        <w:autoSpaceDN w:val="0"/>
        <w:adjustRightInd w:val="0"/>
        <w:snapToGrid w:val="0"/>
        <w:spacing w:line="360" w:lineRule="auto"/>
        <w:ind w:firstLine="420" w:firstLineChars="200"/>
        <w:jc w:val="left"/>
      </w:pPr>
      <w:r>
        <w:t>施工期噪声主要指建筑施工噪声和交通运输噪声两类。</w:t>
      </w:r>
    </w:p>
    <w:p>
      <w:pPr>
        <w:autoSpaceDE w:val="0"/>
        <w:autoSpaceDN w:val="0"/>
        <w:adjustRightInd w:val="0"/>
        <w:snapToGrid w:val="0"/>
        <w:spacing w:line="360" w:lineRule="auto"/>
        <w:ind w:firstLine="420" w:firstLineChars="200"/>
        <w:jc w:val="left"/>
      </w:pPr>
      <w:r>
        <w:t>在施工过程中，各种施工机械设备的运转以及各类车辆的运行将不可避免地产生噪声污染，各种施工机械、运输车辆等均属噪声源。</w:t>
      </w:r>
    </w:p>
    <w:p>
      <w:pPr>
        <w:adjustRightInd w:val="0"/>
        <w:snapToGrid w:val="0"/>
        <w:spacing w:line="360" w:lineRule="auto"/>
      </w:pPr>
      <w:r>
        <w:t>本工程的主要施工机械产生较大的噪声，根据实测资料，将主要施工机械在不同距离上的噪声值列于表7－</w:t>
      </w:r>
      <w:r>
        <w:rPr>
          <w:rFonts w:hint="eastAsia"/>
        </w:rPr>
        <w:t>2</w:t>
      </w:r>
      <w:r>
        <w:t>。</w:t>
      </w:r>
    </w:p>
    <w:p>
      <w:pPr>
        <w:adjustRightInd w:val="0"/>
        <w:snapToGrid w:val="0"/>
        <w:spacing w:line="348" w:lineRule="auto"/>
        <w:jc w:val="center"/>
        <w:rPr>
          <w:rFonts w:hint="eastAsia"/>
          <w:b/>
        </w:rPr>
      </w:pPr>
    </w:p>
    <w:p>
      <w:pPr>
        <w:adjustRightInd w:val="0"/>
        <w:snapToGrid w:val="0"/>
        <w:spacing w:line="348" w:lineRule="auto"/>
        <w:jc w:val="center"/>
        <w:rPr>
          <w:rFonts w:hint="eastAsia"/>
          <w:b/>
        </w:rPr>
      </w:pPr>
    </w:p>
    <w:p>
      <w:pPr>
        <w:adjustRightInd w:val="0"/>
        <w:snapToGrid w:val="0"/>
        <w:spacing w:line="348" w:lineRule="auto"/>
        <w:jc w:val="center"/>
        <w:rPr>
          <w:rFonts w:hint="eastAsia"/>
          <w:b/>
        </w:rPr>
      </w:pPr>
    </w:p>
    <w:p>
      <w:pPr>
        <w:adjustRightInd w:val="0"/>
        <w:snapToGrid w:val="0"/>
        <w:spacing w:line="348" w:lineRule="auto"/>
        <w:jc w:val="center"/>
        <w:rPr>
          <w:rFonts w:hint="eastAsia"/>
          <w:b/>
        </w:rPr>
      </w:pPr>
    </w:p>
    <w:p>
      <w:pPr>
        <w:adjustRightInd w:val="0"/>
        <w:snapToGrid w:val="0"/>
        <w:spacing w:line="348" w:lineRule="auto"/>
        <w:jc w:val="center"/>
        <w:rPr>
          <w:rFonts w:hint="eastAsia"/>
          <w:b/>
        </w:rPr>
      </w:pPr>
    </w:p>
    <w:p>
      <w:pPr>
        <w:adjustRightInd w:val="0"/>
        <w:snapToGrid w:val="0"/>
        <w:spacing w:line="348" w:lineRule="auto"/>
        <w:jc w:val="center"/>
        <w:rPr>
          <w:rFonts w:hint="eastAsia"/>
          <w:b/>
        </w:rPr>
      </w:pPr>
    </w:p>
    <w:p>
      <w:pPr>
        <w:adjustRightInd w:val="0"/>
        <w:snapToGrid w:val="0"/>
        <w:spacing w:line="348" w:lineRule="auto"/>
        <w:jc w:val="center"/>
        <w:rPr>
          <w:b/>
        </w:rPr>
      </w:pPr>
      <w:r>
        <w:rPr>
          <w:b/>
        </w:rPr>
        <w:t>表7－</w:t>
      </w:r>
      <w:r>
        <w:rPr>
          <w:rFonts w:hint="eastAsia"/>
          <w:b/>
        </w:rPr>
        <w:t>2</w:t>
      </w:r>
      <w:r>
        <w:rPr>
          <w:b/>
        </w:rPr>
        <w:t xml:space="preserve">  主要施工机械及不同距离上的噪声级</w:t>
      </w:r>
    </w:p>
    <w:tbl>
      <w:tblPr>
        <w:tblStyle w:val="21"/>
        <w:tblW w:w="928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635"/>
        <w:gridCol w:w="1363"/>
        <w:gridCol w:w="626"/>
        <w:gridCol w:w="761"/>
        <w:gridCol w:w="761"/>
        <w:gridCol w:w="761"/>
        <w:gridCol w:w="761"/>
        <w:gridCol w:w="897"/>
        <w:gridCol w:w="8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22" w:type="dxa"/>
            <w:vMerge w:val="restart"/>
            <w:tcBorders>
              <w:top w:val="single" w:color="000000" w:sz="12" w:space="0"/>
              <w:left w:val="single" w:color="000000" w:sz="12" w:space="0"/>
              <w:bottom w:val="single" w:color="auto" w:sz="12" w:space="0"/>
              <w:right w:val="single" w:color="000000" w:sz="4" w:space="0"/>
            </w:tcBorders>
            <w:vAlign w:val="center"/>
          </w:tcPr>
          <w:p>
            <w:pPr>
              <w:adjustRightInd w:val="0"/>
              <w:snapToGrid w:val="0"/>
              <w:spacing w:line="348" w:lineRule="auto"/>
              <w:jc w:val="center"/>
              <w:rPr>
                <w:szCs w:val="21"/>
              </w:rPr>
            </w:pPr>
            <w:r>
              <w:rPr>
                <w:szCs w:val="21"/>
              </w:rPr>
              <w:t>序号</w:t>
            </w:r>
          </w:p>
        </w:tc>
        <w:tc>
          <w:tcPr>
            <w:tcW w:w="1635" w:type="dxa"/>
            <w:vMerge w:val="restart"/>
            <w:tcBorders>
              <w:top w:val="single" w:color="000000" w:sz="12" w:space="0"/>
              <w:left w:val="single" w:color="000000" w:sz="4" w:space="0"/>
              <w:bottom w:val="single" w:color="auto" w:sz="12" w:space="0"/>
              <w:right w:val="single" w:color="000000" w:sz="4" w:space="0"/>
            </w:tcBorders>
            <w:vAlign w:val="center"/>
          </w:tcPr>
          <w:p>
            <w:pPr>
              <w:adjustRightInd w:val="0"/>
              <w:snapToGrid w:val="0"/>
              <w:spacing w:line="348" w:lineRule="auto"/>
              <w:jc w:val="center"/>
              <w:rPr>
                <w:szCs w:val="21"/>
              </w:rPr>
            </w:pPr>
            <w:r>
              <w:rPr>
                <w:szCs w:val="21"/>
              </w:rPr>
              <w:t>设备名称</w:t>
            </w:r>
          </w:p>
        </w:tc>
        <w:tc>
          <w:tcPr>
            <w:tcW w:w="6829" w:type="dxa"/>
            <w:gridSpan w:val="8"/>
            <w:tcBorders>
              <w:top w:val="single" w:color="000000" w:sz="12" w:space="0"/>
              <w:left w:val="single" w:color="000000" w:sz="4" w:space="0"/>
              <w:bottom w:val="single" w:color="000000" w:sz="4" w:space="0"/>
              <w:right w:val="single" w:color="000000" w:sz="12" w:space="0"/>
            </w:tcBorders>
            <w:vAlign w:val="center"/>
          </w:tcPr>
          <w:p>
            <w:pPr>
              <w:adjustRightInd w:val="0"/>
              <w:snapToGrid w:val="0"/>
              <w:spacing w:line="348" w:lineRule="auto"/>
              <w:jc w:val="center"/>
              <w:rPr>
                <w:szCs w:val="21"/>
              </w:rPr>
            </w:pPr>
            <w:r>
              <w:rPr>
                <w:szCs w:val="21"/>
              </w:rPr>
              <w:t>噪声级，dB(A)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22" w:type="dxa"/>
            <w:vMerge w:val="continue"/>
            <w:tcBorders>
              <w:top w:val="single" w:color="auto" w:sz="4" w:space="0"/>
              <w:left w:val="single" w:color="000000" w:sz="12" w:space="0"/>
              <w:bottom w:val="single" w:color="000000" w:sz="12" w:space="0"/>
              <w:right w:val="single" w:color="000000" w:sz="4" w:space="0"/>
            </w:tcBorders>
            <w:vAlign w:val="center"/>
          </w:tcPr>
          <w:p>
            <w:pPr>
              <w:pStyle w:val="31"/>
              <w:snapToGrid w:val="0"/>
              <w:spacing w:before="78" w:after="78" w:line="348" w:lineRule="auto"/>
              <w:ind w:right="-122"/>
              <w:rPr>
                <w:rFonts w:ascii="Times New Roman" w:hAnsi="Times New Roman"/>
                <w:color w:val="auto"/>
              </w:rPr>
            </w:pPr>
          </w:p>
        </w:tc>
        <w:tc>
          <w:tcPr>
            <w:tcW w:w="1635" w:type="dxa"/>
            <w:vMerge w:val="continue"/>
            <w:tcBorders>
              <w:top w:val="single" w:color="auto" w:sz="4" w:space="0"/>
              <w:left w:val="single" w:color="000000" w:sz="4" w:space="0"/>
              <w:bottom w:val="single" w:color="000000" w:sz="12" w:space="0"/>
              <w:right w:val="single" w:color="000000" w:sz="4" w:space="0"/>
            </w:tcBorders>
            <w:vAlign w:val="center"/>
          </w:tcPr>
          <w:p>
            <w:pPr>
              <w:adjustRightInd w:val="0"/>
              <w:snapToGrid w:val="0"/>
              <w:spacing w:line="348" w:lineRule="auto"/>
              <w:jc w:val="center"/>
              <w:rPr>
                <w:szCs w:val="21"/>
              </w:rPr>
            </w:pPr>
          </w:p>
        </w:tc>
        <w:tc>
          <w:tcPr>
            <w:tcW w:w="1363"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spacing w:line="348" w:lineRule="auto"/>
              <w:jc w:val="center"/>
              <w:rPr>
                <w:szCs w:val="21"/>
              </w:rPr>
            </w:pPr>
            <w:r>
              <w:rPr>
                <w:szCs w:val="21"/>
              </w:rPr>
              <w:t>频谱特性</w:t>
            </w:r>
          </w:p>
        </w:tc>
        <w:tc>
          <w:tcPr>
            <w:tcW w:w="626"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spacing w:line="348" w:lineRule="auto"/>
              <w:jc w:val="center"/>
              <w:rPr>
                <w:szCs w:val="21"/>
              </w:rPr>
            </w:pPr>
            <w:r>
              <w:rPr>
                <w:szCs w:val="21"/>
              </w:rPr>
              <w:t>5m</w:t>
            </w:r>
          </w:p>
        </w:tc>
        <w:tc>
          <w:tcPr>
            <w:tcW w:w="761"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spacing w:line="348" w:lineRule="auto"/>
              <w:jc w:val="center"/>
              <w:rPr>
                <w:szCs w:val="21"/>
              </w:rPr>
            </w:pPr>
            <w:r>
              <w:rPr>
                <w:szCs w:val="21"/>
              </w:rPr>
              <w:t>10m</w:t>
            </w:r>
          </w:p>
        </w:tc>
        <w:tc>
          <w:tcPr>
            <w:tcW w:w="761"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spacing w:line="348" w:lineRule="auto"/>
              <w:jc w:val="center"/>
              <w:rPr>
                <w:szCs w:val="21"/>
              </w:rPr>
            </w:pPr>
            <w:r>
              <w:rPr>
                <w:szCs w:val="21"/>
              </w:rPr>
              <w:t>20m</w:t>
            </w:r>
          </w:p>
        </w:tc>
        <w:tc>
          <w:tcPr>
            <w:tcW w:w="761"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spacing w:line="348" w:lineRule="auto"/>
              <w:jc w:val="center"/>
              <w:rPr>
                <w:szCs w:val="21"/>
              </w:rPr>
            </w:pPr>
            <w:r>
              <w:rPr>
                <w:szCs w:val="21"/>
              </w:rPr>
              <w:t>30m</w:t>
            </w:r>
          </w:p>
        </w:tc>
        <w:tc>
          <w:tcPr>
            <w:tcW w:w="761"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spacing w:line="348" w:lineRule="auto"/>
              <w:jc w:val="center"/>
              <w:rPr>
                <w:szCs w:val="21"/>
              </w:rPr>
            </w:pPr>
            <w:r>
              <w:rPr>
                <w:szCs w:val="21"/>
              </w:rPr>
              <w:t>50m</w:t>
            </w:r>
          </w:p>
        </w:tc>
        <w:tc>
          <w:tcPr>
            <w:tcW w:w="897"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spacing w:line="348" w:lineRule="auto"/>
              <w:jc w:val="center"/>
              <w:rPr>
                <w:szCs w:val="21"/>
              </w:rPr>
            </w:pPr>
            <w:r>
              <w:rPr>
                <w:szCs w:val="21"/>
              </w:rPr>
              <w:t>100m</w:t>
            </w:r>
          </w:p>
        </w:tc>
        <w:tc>
          <w:tcPr>
            <w:tcW w:w="899" w:type="dxa"/>
            <w:tcBorders>
              <w:top w:val="single" w:color="000000" w:sz="4" w:space="0"/>
              <w:left w:val="single" w:color="000000" w:sz="4" w:space="0"/>
              <w:bottom w:val="single" w:color="000000" w:sz="12" w:space="0"/>
              <w:right w:val="single" w:color="000000" w:sz="12" w:space="0"/>
            </w:tcBorders>
            <w:vAlign w:val="center"/>
          </w:tcPr>
          <w:p>
            <w:pPr>
              <w:adjustRightInd w:val="0"/>
              <w:snapToGrid w:val="0"/>
              <w:spacing w:line="348" w:lineRule="auto"/>
              <w:jc w:val="center"/>
              <w:rPr>
                <w:szCs w:val="21"/>
              </w:rPr>
            </w:pPr>
            <w:r>
              <w:rPr>
                <w:szCs w:val="21"/>
              </w:rPr>
              <w:t>200m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2" w:type="dxa"/>
            <w:tcBorders>
              <w:top w:val="single" w:color="000000" w:sz="12" w:space="0"/>
              <w:left w:val="single" w:color="000000" w:sz="12" w:space="0"/>
              <w:bottom w:val="single" w:color="000000" w:sz="4" w:space="0"/>
              <w:right w:val="single" w:color="000000" w:sz="4" w:space="0"/>
            </w:tcBorders>
            <w:vAlign w:val="center"/>
          </w:tcPr>
          <w:p>
            <w:pPr>
              <w:pStyle w:val="31"/>
              <w:snapToGrid w:val="0"/>
              <w:spacing w:before="48" w:beforeLines="20" w:after="78" w:line="288" w:lineRule="auto"/>
              <w:ind w:right="-122"/>
              <w:rPr>
                <w:rFonts w:ascii="Times New Roman" w:hAnsi="Times New Roman"/>
                <w:color w:val="auto"/>
              </w:rPr>
            </w:pPr>
            <w:r>
              <w:rPr>
                <w:rFonts w:ascii="Times New Roman" w:hAnsi="Times New Roman"/>
                <w:color w:val="auto"/>
              </w:rPr>
              <w:t>1</w:t>
            </w:r>
          </w:p>
        </w:tc>
        <w:tc>
          <w:tcPr>
            <w:tcW w:w="1635" w:type="dxa"/>
            <w:tcBorders>
              <w:top w:val="single" w:color="000000" w:sz="12" w:space="0"/>
              <w:left w:val="single" w:color="000000" w:sz="4" w:space="0"/>
              <w:bottom w:val="single" w:color="000000" w:sz="4" w:space="0"/>
              <w:right w:val="single" w:color="000000" w:sz="4" w:space="0"/>
            </w:tcBorders>
            <w:vAlign w:val="center"/>
          </w:tcPr>
          <w:p>
            <w:pPr>
              <w:pStyle w:val="31"/>
              <w:snapToGrid w:val="0"/>
              <w:spacing w:before="48" w:beforeLines="20" w:after="78" w:line="288" w:lineRule="auto"/>
              <w:ind w:right="-122"/>
              <w:rPr>
                <w:rFonts w:ascii="Times New Roman" w:hAnsi="Times New Roman"/>
                <w:color w:val="auto"/>
              </w:rPr>
            </w:pPr>
            <w:r>
              <w:rPr>
                <w:rFonts w:ascii="Times New Roman" w:hAnsi="Times New Roman"/>
                <w:color w:val="auto"/>
              </w:rPr>
              <w:t>挖掘机</w:t>
            </w:r>
          </w:p>
        </w:tc>
        <w:tc>
          <w:tcPr>
            <w:tcW w:w="1363"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低中频</w:t>
            </w:r>
          </w:p>
        </w:tc>
        <w:tc>
          <w:tcPr>
            <w:tcW w:w="626"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84</w:t>
            </w:r>
          </w:p>
        </w:tc>
        <w:tc>
          <w:tcPr>
            <w:tcW w:w="76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80</w:t>
            </w:r>
          </w:p>
        </w:tc>
        <w:tc>
          <w:tcPr>
            <w:tcW w:w="76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76</w:t>
            </w:r>
          </w:p>
        </w:tc>
        <w:tc>
          <w:tcPr>
            <w:tcW w:w="76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72</w:t>
            </w:r>
          </w:p>
        </w:tc>
        <w:tc>
          <w:tcPr>
            <w:tcW w:w="76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67</w:t>
            </w:r>
          </w:p>
        </w:tc>
        <w:tc>
          <w:tcPr>
            <w:tcW w:w="897"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61</w:t>
            </w:r>
          </w:p>
        </w:tc>
        <w:tc>
          <w:tcPr>
            <w:tcW w:w="899" w:type="dxa"/>
            <w:tcBorders>
              <w:top w:val="single" w:color="000000" w:sz="12" w:space="0"/>
              <w:left w:val="single" w:color="000000" w:sz="4" w:space="0"/>
              <w:right w:val="single" w:color="000000" w:sz="12" w:space="0"/>
            </w:tcBorders>
            <w:vAlign w:val="center"/>
          </w:tcPr>
          <w:p>
            <w:pPr>
              <w:adjustRightInd w:val="0"/>
              <w:snapToGrid w:val="0"/>
              <w:spacing w:before="48" w:beforeLines="20" w:line="288" w:lineRule="auto"/>
              <w:jc w:val="center"/>
              <w:rPr>
                <w:szCs w:val="21"/>
              </w:rPr>
            </w:pPr>
            <w:r>
              <w:rPr>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2"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2</w:t>
            </w:r>
          </w:p>
        </w:tc>
        <w:tc>
          <w:tcPr>
            <w:tcW w:w="16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推土机</w:t>
            </w:r>
          </w:p>
        </w:tc>
        <w:tc>
          <w:tcPr>
            <w:tcW w:w="136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低中频</w:t>
            </w:r>
          </w:p>
        </w:tc>
        <w:tc>
          <w:tcPr>
            <w:tcW w:w="62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84</w:t>
            </w:r>
          </w:p>
        </w:tc>
        <w:tc>
          <w:tcPr>
            <w:tcW w:w="7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80</w:t>
            </w:r>
          </w:p>
        </w:tc>
        <w:tc>
          <w:tcPr>
            <w:tcW w:w="7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76</w:t>
            </w:r>
          </w:p>
        </w:tc>
        <w:tc>
          <w:tcPr>
            <w:tcW w:w="7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72</w:t>
            </w:r>
          </w:p>
        </w:tc>
        <w:tc>
          <w:tcPr>
            <w:tcW w:w="7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67</w:t>
            </w:r>
          </w:p>
        </w:tc>
        <w:tc>
          <w:tcPr>
            <w:tcW w:w="89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61</w:t>
            </w:r>
          </w:p>
        </w:tc>
        <w:tc>
          <w:tcPr>
            <w:tcW w:w="899" w:type="dxa"/>
            <w:tcBorders>
              <w:left w:val="single" w:color="000000" w:sz="4" w:space="0"/>
              <w:bottom w:val="single" w:color="000000" w:sz="4" w:space="0"/>
              <w:right w:val="single" w:color="000000" w:sz="12" w:space="0"/>
            </w:tcBorders>
            <w:vAlign w:val="center"/>
          </w:tcPr>
          <w:p>
            <w:pPr>
              <w:adjustRightInd w:val="0"/>
              <w:snapToGrid w:val="0"/>
              <w:spacing w:before="48" w:beforeLines="20" w:line="288" w:lineRule="auto"/>
              <w:jc w:val="center"/>
              <w:rPr>
                <w:szCs w:val="21"/>
              </w:rPr>
            </w:pPr>
            <w:r>
              <w:rPr>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2" w:type="dxa"/>
            <w:tcBorders>
              <w:top w:val="single" w:color="000000" w:sz="4" w:space="0"/>
              <w:left w:val="single" w:color="000000" w:sz="12"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3</w:t>
            </w:r>
          </w:p>
        </w:tc>
        <w:tc>
          <w:tcPr>
            <w:tcW w:w="163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振捣棒</w:t>
            </w:r>
          </w:p>
        </w:tc>
        <w:tc>
          <w:tcPr>
            <w:tcW w:w="136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低中频</w:t>
            </w:r>
          </w:p>
        </w:tc>
        <w:tc>
          <w:tcPr>
            <w:tcW w:w="62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82</w:t>
            </w:r>
          </w:p>
        </w:tc>
        <w:tc>
          <w:tcPr>
            <w:tcW w:w="7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78</w:t>
            </w:r>
          </w:p>
        </w:tc>
        <w:tc>
          <w:tcPr>
            <w:tcW w:w="7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74</w:t>
            </w:r>
          </w:p>
        </w:tc>
        <w:tc>
          <w:tcPr>
            <w:tcW w:w="7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70</w:t>
            </w:r>
          </w:p>
        </w:tc>
        <w:tc>
          <w:tcPr>
            <w:tcW w:w="76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65</w:t>
            </w:r>
          </w:p>
        </w:tc>
        <w:tc>
          <w:tcPr>
            <w:tcW w:w="89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59</w:t>
            </w:r>
          </w:p>
        </w:tc>
        <w:tc>
          <w:tcPr>
            <w:tcW w:w="899" w:type="dxa"/>
            <w:tcBorders>
              <w:top w:val="single" w:color="000000" w:sz="4" w:space="0"/>
              <w:left w:val="single" w:color="000000" w:sz="4" w:space="0"/>
              <w:bottom w:val="single" w:color="000000" w:sz="4" w:space="0"/>
              <w:right w:val="single" w:color="000000" w:sz="12" w:space="0"/>
            </w:tcBorders>
            <w:vAlign w:val="center"/>
          </w:tcPr>
          <w:p>
            <w:pPr>
              <w:adjustRightInd w:val="0"/>
              <w:snapToGrid w:val="0"/>
              <w:spacing w:before="48" w:beforeLines="20" w:line="288" w:lineRule="auto"/>
              <w:jc w:val="center"/>
              <w:rPr>
                <w:szCs w:val="21"/>
              </w:rPr>
            </w:pPr>
            <w:r>
              <w:rPr>
                <w:szCs w:val="21"/>
              </w:rP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2" w:type="dxa"/>
            <w:tcBorders>
              <w:left w:val="single" w:color="000000" w:sz="12"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4</w:t>
            </w:r>
          </w:p>
        </w:tc>
        <w:tc>
          <w:tcPr>
            <w:tcW w:w="1635" w:type="dxa"/>
            <w:tcBorders>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重型碾压机</w:t>
            </w:r>
          </w:p>
        </w:tc>
        <w:tc>
          <w:tcPr>
            <w:tcW w:w="1363" w:type="dxa"/>
            <w:tcBorders>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低中频</w:t>
            </w:r>
          </w:p>
        </w:tc>
        <w:tc>
          <w:tcPr>
            <w:tcW w:w="626" w:type="dxa"/>
            <w:tcBorders>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86</w:t>
            </w:r>
          </w:p>
        </w:tc>
        <w:tc>
          <w:tcPr>
            <w:tcW w:w="761" w:type="dxa"/>
            <w:tcBorders>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83</w:t>
            </w:r>
          </w:p>
        </w:tc>
        <w:tc>
          <w:tcPr>
            <w:tcW w:w="761" w:type="dxa"/>
            <w:tcBorders>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79</w:t>
            </w:r>
          </w:p>
        </w:tc>
        <w:tc>
          <w:tcPr>
            <w:tcW w:w="761" w:type="dxa"/>
            <w:tcBorders>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75</w:t>
            </w:r>
          </w:p>
        </w:tc>
        <w:tc>
          <w:tcPr>
            <w:tcW w:w="761" w:type="dxa"/>
            <w:tcBorders>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70</w:t>
            </w:r>
          </w:p>
        </w:tc>
        <w:tc>
          <w:tcPr>
            <w:tcW w:w="897" w:type="dxa"/>
            <w:tcBorders>
              <w:left w:val="single" w:color="000000" w:sz="4" w:space="0"/>
              <w:bottom w:val="single" w:color="000000" w:sz="4" w:space="0"/>
              <w:right w:val="single" w:color="000000" w:sz="4" w:space="0"/>
            </w:tcBorders>
            <w:vAlign w:val="center"/>
          </w:tcPr>
          <w:p>
            <w:pPr>
              <w:adjustRightInd w:val="0"/>
              <w:snapToGrid w:val="0"/>
              <w:spacing w:before="48" w:beforeLines="20" w:line="288" w:lineRule="auto"/>
              <w:jc w:val="center"/>
              <w:rPr>
                <w:szCs w:val="21"/>
              </w:rPr>
            </w:pPr>
            <w:r>
              <w:rPr>
                <w:szCs w:val="21"/>
              </w:rPr>
              <w:t>64</w:t>
            </w:r>
          </w:p>
        </w:tc>
        <w:tc>
          <w:tcPr>
            <w:tcW w:w="899" w:type="dxa"/>
            <w:tcBorders>
              <w:left w:val="single" w:color="000000" w:sz="4" w:space="0"/>
              <w:bottom w:val="single" w:color="000000" w:sz="4" w:space="0"/>
              <w:right w:val="single" w:color="000000" w:sz="12" w:space="0"/>
            </w:tcBorders>
            <w:vAlign w:val="center"/>
          </w:tcPr>
          <w:p>
            <w:pPr>
              <w:adjustRightInd w:val="0"/>
              <w:snapToGrid w:val="0"/>
              <w:spacing w:before="48" w:beforeLines="20" w:line="288" w:lineRule="auto"/>
              <w:jc w:val="center"/>
              <w:rPr>
                <w:szCs w:val="21"/>
              </w:rPr>
            </w:pPr>
            <w:r>
              <w:rPr>
                <w:szCs w:val="21"/>
              </w:rPr>
              <w:t>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822" w:type="dxa"/>
            <w:tcBorders>
              <w:top w:val="single" w:color="000000" w:sz="4" w:space="0"/>
              <w:left w:val="single" w:color="000000" w:sz="12" w:space="0"/>
              <w:bottom w:val="single" w:color="000000" w:sz="12" w:space="0"/>
              <w:right w:val="single" w:color="000000" w:sz="4" w:space="0"/>
            </w:tcBorders>
            <w:vAlign w:val="top"/>
          </w:tcPr>
          <w:p>
            <w:pPr>
              <w:pStyle w:val="31"/>
              <w:snapToGrid w:val="0"/>
              <w:spacing w:before="48" w:beforeLines="20" w:after="78" w:line="288" w:lineRule="auto"/>
              <w:ind w:right="-122"/>
              <w:rPr>
                <w:rFonts w:ascii="Times New Roman" w:hAnsi="Times New Roman"/>
                <w:color w:val="auto"/>
              </w:rPr>
            </w:pPr>
            <w:r>
              <w:rPr>
                <w:rFonts w:ascii="Times New Roman" w:hAnsi="Times New Roman"/>
                <w:color w:val="auto"/>
              </w:rPr>
              <w:t>5</w:t>
            </w:r>
          </w:p>
        </w:tc>
        <w:tc>
          <w:tcPr>
            <w:tcW w:w="1635" w:type="dxa"/>
            <w:tcBorders>
              <w:top w:val="single" w:color="000000" w:sz="4" w:space="0"/>
              <w:left w:val="single" w:color="000000" w:sz="4" w:space="0"/>
              <w:bottom w:val="single" w:color="000000" w:sz="12" w:space="0"/>
              <w:right w:val="single" w:color="000000" w:sz="4" w:space="0"/>
            </w:tcBorders>
            <w:vAlign w:val="top"/>
          </w:tcPr>
          <w:p>
            <w:pPr>
              <w:pStyle w:val="31"/>
              <w:snapToGrid w:val="0"/>
              <w:spacing w:before="48" w:beforeLines="20" w:after="78" w:line="288" w:lineRule="auto"/>
              <w:ind w:right="-122"/>
              <w:rPr>
                <w:rFonts w:ascii="Times New Roman" w:hAnsi="Times New Roman"/>
                <w:color w:val="auto"/>
              </w:rPr>
            </w:pPr>
            <w:r>
              <w:rPr>
                <w:rFonts w:ascii="Times New Roman" w:hAnsi="Times New Roman"/>
                <w:color w:val="auto"/>
              </w:rPr>
              <w:t>载重汽车</w:t>
            </w:r>
          </w:p>
        </w:tc>
        <w:tc>
          <w:tcPr>
            <w:tcW w:w="1363" w:type="dxa"/>
            <w:tcBorders>
              <w:top w:val="single" w:color="000000" w:sz="4" w:space="0"/>
              <w:left w:val="single" w:color="000000" w:sz="4" w:space="0"/>
              <w:bottom w:val="single" w:color="000000" w:sz="12" w:space="0"/>
              <w:right w:val="single" w:color="000000" w:sz="4" w:space="0"/>
            </w:tcBorders>
            <w:vAlign w:val="top"/>
          </w:tcPr>
          <w:p>
            <w:pPr>
              <w:pStyle w:val="31"/>
              <w:snapToGrid w:val="0"/>
              <w:spacing w:before="48" w:beforeLines="20" w:after="78" w:line="288" w:lineRule="auto"/>
              <w:ind w:right="-122"/>
              <w:rPr>
                <w:rFonts w:ascii="Times New Roman" w:hAnsi="Times New Roman"/>
                <w:color w:val="auto"/>
              </w:rPr>
            </w:pPr>
            <w:r>
              <w:rPr>
                <w:rFonts w:ascii="Times New Roman" w:hAnsi="Times New Roman"/>
                <w:color w:val="auto"/>
              </w:rPr>
              <w:t>宽频</w:t>
            </w:r>
          </w:p>
        </w:tc>
        <w:tc>
          <w:tcPr>
            <w:tcW w:w="626" w:type="dxa"/>
            <w:tcBorders>
              <w:top w:val="single" w:color="000000" w:sz="4" w:space="0"/>
              <w:left w:val="single" w:color="000000" w:sz="4" w:space="0"/>
              <w:bottom w:val="single" w:color="000000" w:sz="12" w:space="0"/>
              <w:right w:val="single" w:color="000000" w:sz="4" w:space="0"/>
            </w:tcBorders>
            <w:vAlign w:val="top"/>
          </w:tcPr>
          <w:p>
            <w:pPr>
              <w:pStyle w:val="31"/>
              <w:snapToGrid w:val="0"/>
              <w:spacing w:before="48" w:beforeLines="20" w:after="78" w:line="288" w:lineRule="auto"/>
              <w:ind w:right="-122"/>
              <w:rPr>
                <w:rFonts w:ascii="Times New Roman" w:hAnsi="Times New Roman"/>
                <w:color w:val="auto"/>
              </w:rPr>
            </w:pPr>
            <w:r>
              <w:rPr>
                <w:rFonts w:ascii="Times New Roman" w:hAnsi="Times New Roman"/>
                <w:color w:val="auto"/>
              </w:rPr>
              <w:t>82</w:t>
            </w:r>
          </w:p>
        </w:tc>
        <w:tc>
          <w:tcPr>
            <w:tcW w:w="761" w:type="dxa"/>
            <w:tcBorders>
              <w:top w:val="single" w:color="000000" w:sz="4" w:space="0"/>
              <w:left w:val="single" w:color="000000" w:sz="4" w:space="0"/>
              <w:bottom w:val="single" w:color="000000" w:sz="12" w:space="0"/>
              <w:right w:val="single" w:color="000000" w:sz="4" w:space="0"/>
            </w:tcBorders>
            <w:vAlign w:val="top"/>
          </w:tcPr>
          <w:p>
            <w:pPr>
              <w:pStyle w:val="31"/>
              <w:snapToGrid w:val="0"/>
              <w:spacing w:before="48" w:beforeLines="20" w:after="78" w:line="288" w:lineRule="auto"/>
              <w:ind w:right="-122"/>
              <w:rPr>
                <w:rFonts w:ascii="Times New Roman" w:hAnsi="Times New Roman"/>
                <w:color w:val="auto"/>
              </w:rPr>
            </w:pPr>
            <w:r>
              <w:rPr>
                <w:rFonts w:ascii="Times New Roman" w:hAnsi="Times New Roman"/>
                <w:color w:val="auto"/>
              </w:rPr>
              <w:t>78</w:t>
            </w:r>
          </w:p>
        </w:tc>
        <w:tc>
          <w:tcPr>
            <w:tcW w:w="761" w:type="dxa"/>
            <w:tcBorders>
              <w:top w:val="single" w:color="000000" w:sz="4" w:space="0"/>
              <w:left w:val="single" w:color="000000" w:sz="4" w:space="0"/>
              <w:bottom w:val="single" w:color="000000" w:sz="12" w:space="0"/>
              <w:right w:val="single" w:color="000000" w:sz="4" w:space="0"/>
            </w:tcBorders>
            <w:vAlign w:val="top"/>
          </w:tcPr>
          <w:p>
            <w:pPr>
              <w:pStyle w:val="31"/>
              <w:snapToGrid w:val="0"/>
              <w:spacing w:before="48" w:beforeLines="20" w:after="78" w:line="288" w:lineRule="auto"/>
              <w:ind w:right="-122"/>
              <w:rPr>
                <w:rFonts w:ascii="Times New Roman" w:hAnsi="Times New Roman"/>
                <w:color w:val="auto"/>
              </w:rPr>
            </w:pPr>
            <w:r>
              <w:rPr>
                <w:rFonts w:ascii="Times New Roman" w:hAnsi="Times New Roman"/>
                <w:color w:val="auto"/>
              </w:rPr>
              <w:t>74</w:t>
            </w:r>
          </w:p>
        </w:tc>
        <w:tc>
          <w:tcPr>
            <w:tcW w:w="761" w:type="dxa"/>
            <w:tcBorders>
              <w:top w:val="single" w:color="000000" w:sz="4" w:space="0"/>
              <w:left w:val="single" w:color="000000" w:sz="4" w:space="0"/>
              <w:bottom w:val="single" w:color="000000" w:sz="12" w:space="0"/>
              <w:right w:val="single" w:color="000000" w:sz="4" w:space="0"/>
            </w:tcBorders>
            <w:vAlign w:val="top"/>
          </w:tcPr>
          <w:p>
            <w:pPr>
              <w:pStyle w:val="31"/>
              <w:snapToGrid w:val="0"/>
              <w:spacing w:before="48" w:beforeLines="20" w:after="78" w:line="288" w:lineRule="auto"/>
              <w:ind w:right="-122"/>
              <w:rPr>
                <w:rFonts w:ascii="Times New Roman" w:hAnsi="Times New Roman"/>
                <w:color w:val="auto"/>
              </w:rPr>
            </w:pPr>
            <w:r>
              <w:rPr>
                <w:rFonts w:ascii="Times New Roman" w:hAnsi="Times New Roman"/>
                <w:color w:val="auto"/>
              </w:rPr>
              <w:t>70</w:t>
            </w:r>
          </w:p>
        </w:tc>
        <w:tc>
          <w:tcPr>
            <w:tcW w:w="761" w:type="dxa"/>
            <w:tcBorders>
              <w:top w:val="single" w:color="000000" w:sz="4" w:space="0"/>
              <w:left w:val="single" w:color="000000" w:sz="4" w:space="0"/>
              <w:bottom w:val="single" w:color="000000" w:sz="12" w:space="0"/>
              <w:right w:val="single" w:color="000000" w:sz="4" w:space="0"/>
            </w:tcBorders>
            <w:vAlign w:val="top"/>
          </w:tcPr>
          <w:p>
            <w:pPr>
              <w:pStyle w:val="31"/>
              <w:snapToGrid w:val="0"/>
              <w:spacing w:before="48" w:beforeLines="20" w:after="78" w:line="288" w:lineRule="auto"/>
              <w:ind w:right="-122"/>
              <w:rPr>
                <w:rFonts w:ascii="Times New Roman" w:hAnsi="Times New Roman"/>
                <w:color w:val="auto"/>
              </w:rPr>
            </w:pPr>
            <w:r>
              <w:rPr>
                <w:rFonts w:ascii="Times New Roman" w:hAnsi="Times New Roman"/>
                <w:color w:val="auto"/>
              </w:rPr>
              <w:t>65</w:t>
            </w:r>
          </w:p>
        </w:tc>
        <w:tc>
          <w:tcPr>
            <w:tcW w:w="897" w:type="dxa"/>
            <w:tcBorders>
              <w:top w:val="single" w:color="000000" w:sz="4" w:space="0"/>
              <w:left w:val="single" w:color="000000" w:sz="4" w:space="0"/>
              <w:bottom w:val="single" w:color="000000" w:sz="12" w:space="0"/>
              <w:right w:val="single" w:color="000000" w:sz="4" w:space="0"/>
            </w:tcBorders>
            <w:vAlign w:val="top"/>
          </w:tcPr>
          <w:p>
            <w:pPr>
              <w:pStyle w:val="31"/>
              <w:snapToGrid w:val="0"/>
              <w:spacing w:before="48" w:beforeLines="20" w:after="78" w:line="288" w:lineRule="auto"/>
              <w:ind w:right="-122"/>
              <w:rPr>
                <w:rFonts w:ascii="Times New Roman" w:hAnsi="Times New Roman"/>
                <w:color w:val="auto"/>
              </w:rPr>
            </w:pPr>
            <w:r>
              <w:rPr>
                <w:rFonts w:ascii="Times New Roman" w:hAnsi="Times New Roman"/>
                <w:color w:val="auto"/>
              </w:rPr>
              <w:t>59</w:t>
            </w:r>
          </w:p>
        </w:tc>
        <w:tc>
          <w:tcPr>
            <w:tcW w:w="899" w:type="dxa"/>
            <w:tcBorders>
              <w:top w:val="single" w:color="000000" w:sz="4" w:space="0"/>
              <w:left w:val="single" w:color="000000" w:sz="4" w:space="0"/>
              <w:bottom w:val="single" w:color="000000" w:sz="12" w:space="0"/>
              <w:right w:val="single" w:color="000000" w:sz="12" w:space="0"/>
            </w:tcBorders>
            <w:vAlign w:val="top"/>
          </w:tcPr>
          <w:p>
            <w:pPr>
              <w:pStyle w:val="31"/>
              <w:snapToGrid w:val="0"/>
              <w:spacing w:before="48" w:beforeLines="20" w:after="78" w:line="288" w:lineRule="auto"/>
              <w:ind w:right="-122"/>
              <w:rPr>
                <w:rFonts w:ascii="Times New Roman" w:hAnsi="Times New Roman"/>
                <w:color w:val="auto"/>
              </w:rPr>
            </w:pPr>
            <w:r>
              <w:rPr>
                <w:rFonts w:ascii="Times New Roman" w:hAnsi="Times New Roman"/>
                <w:color w:val="auto"/>
              </w:rPr>
              <w:t>53</w:t>
            </w:r>
          </w:p>
        </w:tc>
      </w:tr>
    </w:tbl>
    <w:p>
      <w:pPr>
        <w:autoSpaceDE w:val="0"/>
        <w:autoSpaceDN w:val="0"/>
        <w:adjustRightInd w:val="0"/>
        <w:snapToGrid w:val="0"/>
        <w:spacing w:line="348" w:lineRule="auto"/>
        <w:ind w:firstLine="420" w:firstLineChars="200"/>
        <w:jc w:val="left"/>
      </w:pPr>
    </w:p>
    <w:p>
      <w:pPr>
        <w:autoSpaceDE w:val="0"/>
        <w:autoSpaceDN w:val="0"/>
        <w:adjustRightInd w:val="0"/>
        <w:snapToGrid w:val="0"/>
        <w:spacing w:line="360" w:lineRule="auto"/>
        <w:ind w:firstLine="420" w:firstLineChars="200"/>
        <w:jc w:val="left"/>
      </w:pPr>
      <w:r>
        <w:t>由于施工场界为拟建工程厂界，当施工机械位于厂界边缘施工时，厂界噪声将超过标准；靠近厂界南侧和西侧</w:t>
      </w:r>
      <w:r>
        <w:rPr>
          <w:rFonts w:hint="eastAsia"/>
        </w:rPr>
        <w:t>5</w:t>
      </w:r>
      <w:r>
        <w:t>0m内约有十几户居民，预计</w:t>
      </w:r>
      <w:r>
        <w:rPr>
          <w:rFonts w:hint="eastAsia"/>
        </w:rPr>
        <w:t>两处</w:t>
      </w:r>
      <w:r>
        <w:t>居民点将受施工噪声的影响，影响值在</w:t>
      </w:r>
      <w:r>
        <w:rPr>
          <w:rFonts w:hint="eastAsia"/>
        </w:rPr>
        <w:t>65</w:t>
      </w:r>
      <w:r>
        <w:t>～7</w:t>
      </w:r>
      <w:r>
        <w:rPr>
          <w:rFonts w:hint="eastAsia"/>
        </w:rPr>
        <w:t>9</w:t>
      </w:r>
      <w:r>
        <w:t>dB(A)之间。</w:t>
      </w:r>
    </w:p>
    <w:p>
      <w:pPr>
        <w:autoSpaceDE w:val="0"/>
        <w:autoSpaceDN w:val="0"/>
        <w:adjustRightInd w:val="0"/>
        <w:snapToGrid w:val="0"/>
        <w:spacing w:line="360" w:lineRule="auto"/>
        <w:ind w:firstLine="420" w:firstLineChars="200"/>
        <w:jc w:val="left"/>
      </w:pPr>
      <w:r>
        <w:rPr>
          <w:rFonts w:hint="eastAsia"/>
        </w:rPr>
        <w:t>（2）</w:t>
      </w:r>
      <w:r>
        <w:t>防治措施</w:t>
      </w:r>
    </w:p>
    <w:p>
      <w:pPr>
        <w:autoSpaceDE w:val="0"/>
        <w:autoSpaceDN w:val="0"/>
        <w:adjustRightInd w:val="0"/>
        <w:snapToGrid w:val="0"/>
        <w:spacing w:line="360" w:lineRule="auto"/>
        <w:ind w:firstLine="420" w:firstLineChars="200"/>
        <w:jc w:val="left"/>
      </w:pPr>
      <w:r>
        <w:t>为了减轻拟建工程施工期噪声的环境影响，建设单位和施工单位必须严格执行渝府令第126号《重庆市环境噪声污染防治管理办法》的各项要求，文明施工。</w:t>
      </w:r>
    </w:p>
    <w:p>
      <w:pPr>
        <w:autoSpaceDE w:val="0"/>
        <w:autoSpaceDN w:val="0"/>
        <w:adjustRightInd w:val="0"/>
        <w:snapToGrid w:val="0"/>
        <w:spacing w:line="360" w:lineRule="auto"/>
        <w:ind w:firstLine="420" w:firstLineChars="200"/>
        <w:jc w:val="left"/>
      </w:pPr>
      <w:r>
        <w:rPr>
          <w:rFonts w:hint="eastAsia"/>
        </w:rPr>
        <w:t>①</w:t>
      </w:r>
      <w:r>
        <w:t>施工作业应尽量安排在白天进行，若必须夜间连续施工作业，应征得当地环保部门的同意，并将施工的时间及内容张榜公布。</w:t>
      </w:r>
    </w:p>
    <w:p>
      <w:pPr>
        <w:autoSpaceDE w:val="0"/>
        <w:autoSpaceDN w:val="0"/>
        <w:adjustRightInd w:val="0"/>
        <w:snapToGrid w:val="0"/>
        <w:spacing w:line="360" w:lineRule="auto"/>
        <w:ind w:firstLine="420" w:firstLineChars="200"/>
        <w:jc w:val="left"/>
      </w:pPr>
      <w:r>
        <w:rPr>
          <w:rFonts w:hint="eastAsia"/>
        </w:rPr>
        <w:t>②</w:t>
      </w:r>
      <w:r>
        <w:t>尽可能选取低噪声、低振动的施工机械和运输车辆。</w:t>
      </w:r>
    </w:p>
    <w:p>
      <w:pPr>
        <w:autoSpaceDE w:val="0"/>
        <w:autoSpaceDN w:val="0"/>
        <w:adjustRightInd w:val="0"/>
        <w:snapToGrid w:val="0"/>
        <w:spacing w:line="360" w:lineRule="auto"/>
        <w:ind w:firstLine="420" w:firstLineChars="200"/>
        <w:jc w:val="left"/>
      </w:pPr>
      <w:r>
        <w:rPr>
          <w:rFonts w:hint="eastAsia"/>
        </w:rPr>
        <w:t>③</w:t>
      </w:r>
      <w:r>
        <w:t>在高噪声设备周围设置声波遮挡物，不允许抛扔施工所用物件。</w:t>
      </w:r>
    </w:p>
    <w:p>
      <w:pPr>
        <w:autoSpaceDE w:val="0"/>
        <w:autoSpaceDN w:val="0"/>
        <w:adjustRightInd w:val="0"/>
        <w:snapToGrid w:val="0"/>
        <w:spacing w:line="360" w:lineRule="auto"/>
        <w:ind w:firstLine="420" w:firstLineChars="200"/>
        <w:jc w:val="left"/>
      </w:pPr>
      <w:r>
        <w:rPr>
          <w:rFonts w:hint="eastAsia"/>
        </w:rPr>
        <w:t>④</w:t>
      </w:r>
      <w:r>
        <w:t>尽可能减少车辆鸣笛，并适当降低车辆速度。</w:t>
      </w:r>
    </w:p>
    <w:p>
      <w:pPr>
        <w:autoSpaceDE w:val="0"/>
        <w:autoSpaceDN w:val="0"/>
        <w:adjustRightInd w:val="0"/>
        <w:snapToGrid w:val="0"/>
        <w:spacing w:line="360" w:lineRule="auto"/>
        <w:ind w:firstLine="420" w:firstLineChars="200"/>
        <w:jc w:val="left"/>
      </w:pPr>
      <w:r>
        <w:rPr>
          <w:rFonts w:hint="eastAsia"/>
        </w:rPr>
        <w:t>⑤</w:t>
      </w:r>
      <w:r>
        <w:t>提高施工机械的工作效率，尽量减少施工机械工作时间，并将有固定工作地点的施工机械如搅拌机、空压机等设置在远离环境敏感点的位置上，以减轻施工噪声对周边环境的影响。</w:t>
      </w:r>
    </w:p>
    <w:p>
      <w:pPr>
        <w:spacing w:line="360" w:lineRule="auto"/>
        <w:rPr>
          <w:b/>
          <w:bCs/>
        </w:rPr>
      </w:pPr>
      <w:r>
        <w:rPr>
          <w:b/>
          <w:bCs/>
        </w:rPr>
        <w:t>7.3.3  施工期地表水环境影响分析</w:t>
      </w:r>
    </w:p>
    <w:p>
      <w:pPr>
        <w:autoSpaceDE w:val="0"/>
        <w:autoSpaceDN w:val="0"/>
        <w:adjustRightInd w:val="0"/>
        <w:snapToGrid w:val="0"/>
        <w:spacing w:line="360" w:lineRule="auto"/>
        <w:ind w:firstLine="420" w:firstLineChars="200"/>
        <w:jc w:val="left"/>
      </w:pPr>
      <w:r>
        <w:t>施工过程产生的废水主要有施工生产废水、生活污水和场地冲洗废水。</w:t>
      </w:r>
    </w:p>
    <w:p>
      <w:pPr>
        <w:autoSpaceDE w:val="0"/>
        <w:autoSpaceDN w:val="0"/>
        <w:adjustRightInd w:val="0"/>
        <w:snapToGrid w:val="0"/>
        <w:spacing w:line="360" w:lineRule="auto"/>
        <w:ind w:firstLine="420" w:firstLineChars="200"/>
        <w:jc w:val="left"/>
      </w:pPr>
      <w:r>
        <w:t>施工期生产废水包括开挖、钻孔产生的泥浆水和各种施工机械设备运转的冷却及清洗用水，约5m3/d。开挖、钻孔产生的泥浆水含有大量的泥砂，各种施工机械设备运转的冷却及清洗用水含有一定量的油。</w:t>
      </w:r>
    </w:p>
    <w:p>
      <w:pPr>
        <w:autoSpaceDE w:val="0"/>
        <w:autoSpaceDN w:val="0"/>
        <w:adjustRightInd w:val="0"/>
        <w:snapToGrid w:val="0"/>
        <w:spacing w:line="360" w:lineRule="auto"/>
        <w:ind w:firstLine="420" w:firstLineChars="200"/>
        <w:jc w:val="left"/>
      </w:pPr>
      <w:r>
        <w:t>施工期生活污水来自施工队伍的生活活动，主要包括盥洗废水和冲厕水等，约2m3/d。</w:t>
      </w:r>
    </w:p>
    <w:p>
      <w:pPr>
        <w:autoSpaceDE w:val="0"/>
        <w:autoSpaceDN w:val="0"/>
        <w:adjustRightInd w:val="0"/>
        <w:snapToGrid w:val="0"/>
        <w:spacing w:line="360" w:lineRule="auto"/>
        <w:ind w:firstLine="420" w:firstLineChars="200"/>
        <w:jc w:val="left"/>
      </w:pPr>
      <w:r>
        <w:t>施工生产废水的主要污染物为SS和矿物油，生活污水含有机物和悬浮物。施工现场冲洗废水中虽无大量有毒有害物质，但其中可能含有较多的泥土、砂石和一定量的地表油污等。施工废水水量虽然不大，但如不经处理或处理不当直接外排，会对地表水环境产生不利影响。因此，应对施工期废水进行处理。</w:t>
      </w:r>
    </w:p>
    <w:p>
      <w:pPr>
        <w:autoSpaceDE w:val="0"/>
        <w:autoSpaceDN w:val="0"/>
        <w:adjustRightInd w:val="0"/>
        <w:snapToGrid w:val="0"/>
        <w:spacing w:line="360" w:lineRule="auto"/>
        <w:ind w:firstLine="420" w:firstLineChars="200"/>
        <w:jc w:val="left"/>
      </w:pPr>
      <w:r>
        <w:t>防治措施：施工单位必须在施工现场设置集水池、沉砂池、简易生化处理装置、沉淀蒸发池等水处理构筑物，对施工废水，按其不同性质分类收集，对于冲洗水等以SS为主要污染物的废水，经沉砂池沉淀后回用于地面洒水；设置旱厕收集和处理冲厕水和其他生活污水，处理后用于农业灌溉，建议施工现场设置沉淀蒸发池，收集不能及时回用的生活、生产污水，施工结束后掩埋。</w:t>
      </w:r>
    </w:p>
    <w:p>
      <w:pPr>
        <w:spacing w:line="360" w:lineRule="auto"/>
        <w:rPr>
          <w:b/>
          <w:bCs/>
        </w:rPr>
      </w:pPr>
      <w:bookmarkStart w:id="288" w:name="_Toc158348156"/>
      <w:bookmarkStart w:id="289" w:name="_Toc148057410"/>
      <w:r>
        <w:rPr>
          <w:b/>
          <w:bCs/>
        </w:rPr>
        <w:t>7.3.4  施工期固体废物环境影响分析</w:t>
      </w:r>
      <w:bookmarkEnd w:id="288"/>
      <w:bookmarkEnd w:id="289"/>
    </w:p>
    <w:p>
      <w:pPr>
        <w:adjustRightInd w:val="0"/>
        <w:snapToGrid w:val="0"/>
        <w:spacing w:line="360" w:lineRule="auto"/>
        <w:ind w:firstLine="560"/>
      </w:pPr>
      <w:r>
        <w:t>施工期固体废物主要是建筑垃圾和生活垃圾。</w:t>
      </w:r>
    </w:p>
    <w:p>
      <w:pPr>
        <w:autoSpaceDE w:val="0"/>
        <w:autoSpaceDN w:val="0"/>
        <w:adjustRightInd w:val="0"/>
        <w:snapToGrid w:val="0"/>
        <w:spacing w:line="360" w:lineRule="auto"/>
        <w:ind w:firstLine="420" w:firstLineChars="200"/>
      </w:pPr>
      <w:r>
        <w:t>建筑垃圾包括废弃建材(如砂石、石灰、混凝土、木材、废砖等)以及设备安装过程中产生的废包装材料等，属于一般固体废物。</w:t>
      </w:r>
    </w:p>
    <w:p>
      <w:pPr>
        <w:autoSpaceDE w:val="0"/>
        <w:autoSpaceDN w:val="0"/>
        <w:adjustRightInd w:val="0"/>
        <w:snapToGrid w:val="0"/>
        <w:spacing w:line="360" w:lineRule="auto"/>
        <w:ind w:firstLine="420" w:firstLineChars="200"/>
      </w:pPr>
      <w:r>
        <w:t>生活垃圾主要包括废弃的各种生活用品以及饮食垃圾，属于一般固体废物。</w:t>
      </w:r>
    </w:p>
    <w:p>
      <w:pPr>
        <w:adjustRightInd w:val="0"/>
        <w:snapToGrid w:val="0"/>
        <w:spacing w:line="360" w:lineRule="auto"/>
        <w:ind w:firstLine="560"/>
      </w:pPr>
      <w:r>
        <w:t>土石方工程产生的弃土若堆放不当，在大雨或暴雨时易造成水土流失；房屋拆除废料、施工废料若进入河流，可能会淤塞河道，影响排洪；生活垃圾可能影响施工区环境卫生和景观。</w:t>
      </w:r>
    </w:p>
    <w:p>
      <w:pPr>
        <w:autoSpaceDE w:val="0"/>
        <w:autoSpaceDN w:val="0"/>
        <w:adjustRightInd w:val="0"/>
        <w:snapToGrid w:val="0"/>
        <w:spacing w:line="360" w:lineRule="auto"/>
        <w:ind w:firstLine="420" w:firstLineChars="200"/>
      </w:pPr>
      <w:bookmarkStart w:id="290" w:name="_Toc186182403"/>
      <w:bookmarkStart w:id="291" w:name="_Toc186181708"/>
      <w:r>
        <w:t>防治措施</w:t>
      </w:r>
      <w:bookmarkEnd w:id="290"/>
      <w:bookmarkEnd w:id="291"/>
      <w:r>
        <w:t>：</w:t>
      </w:r>
    </w:p>
    <w:p>
      <w:pPr>
        <w:autoSpaceDE w:val="0"/>
        <w:autoSpaceDN w:val="0"/>
        <w:adjustRightInd w:val="0"/>
        <w:snapToGrid w:val="0"/>
        <w:spacing w:line="360" w:lineRule="auto"/>
        <w:ind w:firstLine="420" w:firstLineChars="200"/>
      </w:pPr>
      <w:r>
        <w:rPr>
          <w:rFonts w:hint="eastAsia"/>
        </w:rPr>
        <w:t>（1）</w:t>
      </w:r>
      <w:r>
        <w:t>施工过程中的建筑垃圾要及时清运，并尽量加以回收利用，防止因长期堆存而产生扬尘等污染。</w:t>
      </w:r>
    </w:p>
    <w:p>
      <w:pPr>
        <w:autoSpaceDE w:val="0"/>
        <w:autoSpaceDN w:val="0"/>
        <w:adjustRightInd w:val="0"/>
        <w:snapToGrid w:val="0"/>
        <w:spacing w:line="360" w:lineRule="auto"/>
        <w:ind w:firstLine="420" w:firstLineChars="200"/>
      </w:pPr>
      <w:r>
        <w:rPr>
          <w:rFonts w:hint="eastAsia"/>
        </w:rPr>
        <w:t>（2）</w:t>
      </w:r>
      <w:r>
        <w:t>场地平整产生的土石方应尽量做到挖、填平衡，减少弃土产生量，避免大量弃土滑坡、流失。</w:t>
      </w:r>
    </w:p>
    <w:p>
      <w:pPr>
        <w:autoSpaceDE w:val="0"/>
        <w:autoSpaceDN w:val="0"/>
        <w:adjustRightInd w:val="0"/>
        <w:snapToGrid w:val="0"/>
        <w:spacing w:line="360" w:lineRule="auto"/>
        <w:ind w:firstLine="420" w:firstLineChars="200"/>
      </w:pPr>
      <w:r>
        <w:rPr>
          <w:rFonts w:hint="eastAsia"/>
        </w:rPr>
        <w:t>（3）</w:t>
      </w:r>
      <w:r>
        <w:t>生活垃圾如不及时清运处理，容易腐烂变质、滋生苍蝇蚊虫、产生恶臭、传染疾病，会对周围环境和作业人员健康带来不利影响。因此，施工场地内须设临时生活垃圾收集站，收集的生活垃圾送</w:t>
      </w:r>
      <w:r>
        <w:rPr>
          <w:rFonts w:hint="eastAsia"/>
        </w:rPr>
        <w:t>酉阳</w:t>
      </w:r>
      <w:r>
        <w:t>生活垃圾</w:t>
      </w:r>
      <w:r>
        <w:rPr>
          <w:rFonts w:hint="eastAsia"/>
        </w:rPr>
        <w:t>填埋</w:t>
      </w:r>
      <w:r>
        <w:t>场进行处理。</w:t>
      </w:r>
    </w:p>
    <w:p>
      <w:pPr>
        <w:spacing w:line="360" w:lineRule="auto"/>
        <w:rPr>
          <w:b/>
          <w:bCs/>
        </w:rPr>
      </w:pPr>
      <w:bookmarkStart w:id="292" w:name="_Toc158348157"/>
      <w:r>
        <w:rPr>
          <w:b/>
          <w:bCs/>
        </w:rPr>
        <w:t xml:space="preserve">7.3.5  </w:t>
      </w:r>
      <w:bookmarkEnd w:id="292"/>
      <w:bookmarkStart w:id="293" w:name="_Toc238263241"/>
      <w:r>
        <w:rPr>
          <w:b/>
          <w:bCs/>
        </w:rPr>
        <w:t>施工期社会环境、生活质量影响及减缓措施</w:t>
      </w:r>
    </w:p>
    <w:p>
      <w:pPr>
        <w:adjustRightInd w:val="0"/>
        <w:snapToGrid w:val="0"/>
        <w:spacing w:line="360" w:lineRule="auto"/>
        <w:ind w:firstLine="420" w:firstLineChars="200"/>
      </w:pPr>
      <w:r>
        <w:t>施工期可为施工承建单位带来经济效益，同时提供一定数量的就业岗位，增加部分人员收入。</w:t>
      </w:r>
    </w:p>
    <w:p>
      <w:pPr>
        <w:adjustRightInd w:val="0"/>
        <w:snapToGrid w:val="0"/>
        <w:spacing w:line="360" w:lineRule="auto"/>
        <w:ind w:firstLine="420" w:firstLineChars="200"/>
      </w:pPr>
      <w:r>
        <w:t>施工期大量物料通过汽车运往施工场地，可能造成现有道路运输繁忙。</w:t>
      </w:r>
    </w:p>
    <w:p>
      <w:pPr>
        <w:spacing w:line="360" w:lineRule="auto"/>
        <w:rPr>
          <w:rFonts w:hint="eastAsia"/>
          <w:b/>
          <w:bCs/>
        </w:rPr>
      </w:pPr>
      <w:r>
        <w:t>减缓措施：加强施工区的环境管理和监督，加强施工区及相关道路的交通管理，合理安排施工顺序尽可能减少施工期对社会环境和生活质量的影响。</w:t>
      </w:r>
    </w:p>
    <w:p>
      <w:pPr>
        <w:spacing w:line="360" w:lineRule="auto"/>
        <w:outlineLvl w:val="1"/>
        <w:rPr>
          <w:b/>
          <w:bCs/>
        </w:rPr>
      </w:pPr>
      <w:bookmarkStart w:id="294" w:name="_Toc276372246"/>
      <w:r>
        <w:rPr>
          <w:b/>
          <w:bCs/>
        </w:rPr>
        <w:t>7.4  水土流失环境影响分析及水土保持初步方案</w:t>
      </w:r>
      <w:bookmarkEnd w:id="293"/>
      <w:bookmarkEnd w:id="294"/>
    </w:p>
    <w:p>
      <w:pPr>
        <w:spacing w:line="360" w:lineRule="auto"/>
        <w:rPr>
          <w:b/>
          <w:bCs/>
        </w:rPr>
      </w:pPr>
      <w:bookmarkStart w:id="295" w:name="_Toc118366880"/>
      <w:bookmarkStart w:id="296" w:name="_Toc117743249"/>
      <w:bookmarkStart w:id="297" w:name="_Toc118186843"/>
      <w:bookmarkStart w:id="298" w:name="_Toc92708790"/>
      <w:bookmarkStart w:id="299" w:name="_Toc117053169"/>
      <w:r>
        <w:rPr>
          <w:b/>
          <w:bCs/>
        </w:rPr>
        <w:t>7.4.</w:t>
      </w:r>
      <w:r>
        <w:rPr>
          <w:rFonts w:hint="eastAsia"/>
          <w:b/>
          <w:bCs/>
        </w:rPr>
        <w:t>1</w:t>
      </w:r>
      <w:r>
        <w:rPr>
          <w:b/>
          <w:bCs/>
        </w:rPr>
        <w:t xml:space="preserve">  工程水土流失可能性分析</w:t>
      </w:r>
      <w:bookmarkEnd w:id="295"/>
      <w:bookmarkEnd w:id="296"/>
      <w:bookmarkEnd w:id="297"/>
      <w:bookmarkEnd w:id="298"/>
      <w:bookmarkEnd w:id="299"/>
    </w:p>
    <w:p>
      <w:pPr>
        <w:adjustRightInd w:val="0"/>
        <w:snapToGrid w:val="0"/>
        <w:spacing w:line="360" w:lineRule="auto"/>
        <w:ind w:firstLine="420" w:firstLineChars="200"/>
      </w:pPr>
      <w:r>
        <w:rPr>
          <w:rFonts w:hint="eastAsia"/>
        </w:rPr>
        <w:t>技改项目</w:t>
      </w:r>
      <w:r>
        <w:t>水土流失主要是在项目的施工期。</w:t>
      </w:r>
    </w:p>
    <w:p>
      <w:pPr>
        <w:adjustRightInd w:val="0"/>
        <w:snapToGrid w:val="0"/>
        <w:spacing w:line="360" w:lineRule="auto"/>
        <w:ind w:firstLine="420" w:firstLineChars="200"/>
      </w:pPr>
      <w:r>
        <w:rPr>
          <w:rFonts w:hint="eastAsia"/>
        </w:rPr>
        <w:t>项目</w:t>
      </w:r>
      <w:r>
        <w:t>施工中扰动地面面积大，可能引起水土流失的因素主要是人为因素，分析如下：</w:t>
      </w:r>
    </w:p>
    <w:p>
      <w:pPr>
        <w:adjustRightInd w:val="0"/>
        <w:snapToGrid w:val="0"/>
        <w:spacing w:line="360" w:lineRule="auto"/>
        <w:ind w:firstLine="420" w:firstLineChars="200"/>
      </w:pPr>
      <w:r>
        <w:rPr>
          <w:rFonts w:hint="eastAsia"/>
        </w:rPr>
        <w:t>（1）</w:t>
      </w:r>
      <w:r>
        <w:t xml:space="preserve"> 施工过程中由于机械碾压、人员践踏、土体翻出地表及埋放等过程，使植被遭到砍伐、铲除、淹覆。植被的破坏易使土壤受到外界的干扰，土层厚度、土体构型、理化性质或多或少地发生变化，虽然这种变化比较缓慢，若一旦受到强烈的干扰侵蚀（如遇降雨，特别是暴雨季节），泥沙物质随地表径流流向低洼区域，进入</w:t>
      </w:r>
      <w:r>
        <w:rPr>
          <w:rFonts w:hint="eastAsia"/>
        </w:rPr>
        <w:t>附近溪沟</w:t>
      </w:r>
      <w:r>
        <w:t>，从而形成水土流失。</w:t>
      </w:r>
    </w:p>
    <w:p>
      <w:pPr>
        <w:adjustRightInd w:val="0"/>
        <w:snapToGrid w:val="0"/>
        <w:spacing w:line="360" w:lineRule="auto"/>
        <w:ind w:firstLine="420" w:firstLineChars="200"/>
      </w:pPr>
      <w:r>
        <w:rPr>
          <w:rFonts w:hint="eastAsia"/>
        </w:rPr>
        <w:t>（2）</w:t>
      </w:r>
      <w:r>
        <w:t>厂房及设备基础施工时有一定量挖方和填方，临时堆积的弃土遇雨水会产生水土流失。</w:t>
      </w:r>
    </w:p>
    <w:p>
      <w:pPr>
        <w:spacing w:line="360" w:lineRule="auto"/>
        <w:rPr>
          <w:b/>
          <w:bCs/>
        </w:rPr>
      </w:pPr>
      <w:bookmarkStart w:id="300" w:name="_Toc117053170"/>
      <w:bookmarkStart w:id="301" w:name="_Toc92708791"/>
      <w:bookmarkStart w:id="302" w:name="_Toc118366881"/>
      <w:bookmarkStart w:id="303" w:name="_Toc118186844"/>
      <w:bookmarkStart w:id="304" w:name="_Toc117743250"/>
      <w:r>
        <w:rPr>
          <w:b/>
          <w:bCs/>
        </w:rPr>
        <w:t>7.4.</w:t>
      </w:r>
      <w:r>
        <w:rPr>
          <w:rFonts w:hint="eastAsia"/>
          <w:b/>
          <w:bCs/>
        </w:rPr>
        <w:t>2</w:t>
      </w:r>
      <w:r>
        <w:rPr>
          <w:b/>
          <w:bCs/>
        </w:rPr>
        <w:t xml:space="preserve">  水土流失影响分析</w:t>
      </w:r>
      <w:bookmarkEnd w:id="300"/>
      <w:bookmarkEnd w:id="301"/>
      <w:bookmarkEnd w:id="302"/>
      <w:bookmarkEnd w:id="303"/>
      <w:bookmarkEnd w:id="304"/>
    </w:p>
    <w:p>
      <w:pPr>
        <w:adjustRightInd w:val="0"/>
        <w:snapToGrid w:val="0"/>
        <w:spacing w:line="360" w:lineRule="auto"/>
        <w:ind w:firstLine="420" w:firstLineChars="200"/>
        <w:jc w:val="left"/>
      </w:pPr>
      <w:r>
        <w:rPr>
          <w:rFonts w:hint="eastAsia"/>
        </w:rPr>
        <w:t>（1）</w:t>
      </w:r>
      <w:r>
        <w:t>工程扰动原地貌、损坏土地和植被的面积</w:t>
      </w:r>
    </w:p>
    <w:p>
      <w:pPr>
        <w:adjustRightInd w:val="0"/>
        <w:snapToGrid w:val="0"/>
        <w:spacing w:line="360" w:lineRule="auto"/>
        <w:ind w:firstLine="420" w:firstLineChars="200"/>
        <w:jc w:val="left"/>
      </w:pPr>
      <w:r>
        <w:t>工程扰动土地主要包括项目建设区面积</w:t>
      </w:r>
      <w:r>
        <w:rPr>
          <w:rFonts w:hint="eastAsia"/>
        </w:rPr>
        <w:t>2.42</w:t>
      </w:r>
      <w:r>
        <w:t>hm2。</w:t>
      </w:r>
    </w:p>
    <w:p>
      <w:pPr>
        <w:adjustRightInd w:val="0"/>
        <w:snapToGrid w:val="0"/>
        <w:spacing w:line="360" w:lineRule="auto"/>
        <w:ind w:firstLine="420" w:firstLineChars="200"/>
        <w:jc w:val="left"/>
      </w:pPr>
      <w:r>
        <w:rPr>
          <w:rFonts w:hint="eastAsia"/>
        </w:rPr>
        <w:t>（2）</w:t>
      </w:r>
      <w:r>
        <w:t>土石方平衡</w:t>
      </w:r>
    </w:p>
    <w:p>
      <w:pPr>
        <w:adjustRightInd w:val="0"/>
        <w:snapToGrid w:val="0"/>
        <w:spacing w:line="360" w:lineRule="auto"/>
        <w:ind w:firstLine="630"/>
        <w:jc w:val="left"/>
        <w:rPr>
          <w:rFonts w:hint="eastAsia"/>
        </w:rPr>
      </w:pPr>
      <w:r>
        <w:t>本工程共开挖土石方约</w:t>
      </w:r>
      <w:r>
        <w:rPr>
          <w:rFonts w:hint="eastAsia"/>
        </w:rPr>
        <w:t>3.75</w:t>
      </w:r>
      <w:r>
        <w:t>万m3，</w:t>
      </w:r>
      <w:r>
        <w:rPr>
          <w:rFonts w:hint="eastAsia"/>
        </w:rPr>
        <w:t>全部在工程区域内平衡</w:t>
      </w:r>
      <w:r>
        <w:t>，不产生施工弃土</w:t>
      </w:r>
      <w:r>
        <w:rPr>
          <w:rFonts w:hint="eastAsia"/>
        </w:rPr>
        <w:t>和借方</w:t>
      </w:r>
      <w:r>
        <w:t>。</w:t>
      </w:r>
    </w:p>
    <w:p>
      <w:pPr>
        <w:adjustRightInd w:val="0"/>
        <w:snapToGrid w:val="0"/>
        <w:spacing w:line="360" w:lineRule="auto"/>
        <w:ind w:firstLine="420" w:firstLineChars="200"/>
        <w:jc w:val="left"/>
      </w:pPr>
      <w:r>
        <w:rPr>
          <w:rFonts w:hint="eastAsia"/>
        </w:rPr>
        <w:t>（3）</w:t>
      </w:r>
      <w:r>
        <w:t>水土流失的危害</w:t>
      </w:r>
    </w:p>
    <w:p>
      <w:pPr>
        <w:adjustRightInd w:val="0"/>
        <w:snapToGrid w:val="0"/>
        <w:spacing w:line="360" w:lineRule="auto"/>
        <w:ind w:firstLine="630"/>
        <w:jc w:val="left"/>
      </w:pPr>
      <w:r>
        <w:rPr>
          <w:rFonts w:hint="eastAsia" w:ascii="宋体" w:hAnsi="宋体"/>
        </w:rPr>
        <w:t>①</w:t>
      </w:r>
      <w:r>
        <w:t>表土流失，破坏土体构型。正常的自然土壤具有A、B和C层等发生层次，土壤侵蚀致使土壤流失，土层变薄，土壤发生层次缺失，破坏土体结构。</w:t>
      </w:r>
    </w:p>
    <w:p>
      <w:pPr>
        <w:adjustRightInd w:val="0"/>
        <w:snapToGrid w:val="0"/>
        <w:spacing w:line="360" w:lineRule="auto"/>
        <w:ind w:firstLine="630"/>
        <w:jc w:val="left"/>
      </w:pPr>
      <w:r>
        <w:rPr>
          <w:rFonts w:hint="eastAsia" w:ascii="宋体" w:hAnsi="宋体"/>
        </w:rPr>
        <w:t>②</w:t>
      </w:r>
      <w:r>
        <w:t xml:space="preserve"> 土壤养分流失，降低土壤肥力。土壤无论受到何种形式干扰，首先破坏肥力最高、养分最多、结构最好的表层土壤，土壤有机质、全氮、全磷含量随着土壤侵蚀强度的加剧而降低。</w:t>
      </w:r>
    </w:p>
    <w:p>
      <w:pPr>
        <w:adjustRightInd w:val="0"/>
        <w:snapToGrid w:val="0"/>
        <w:spacing w:line="360" w:lineRule="auto"/>
        <w:ind w:firstLine="630"/>
        <w:jc w:val="left"/>
      </w:pPr>
      <w:r>
        <w:rPr>
          <w:rFonts w:hint="eastAsia" w:ascii="宋体" w:hAnsi="宋体"/>
        </w:rPr>
        <w:t>③</w:t>
      </w:r>
      <w:r>
        <w:t>降低河道防洪标准，使洪水灾害频繁发生；淤埋房屋；桥（涵）、行洪道以超常速度淤积，破坏基础设施建设、危及交通、电力线安全；严重影响水源地。</w:t>
      </w:r>
    </w:p>
    <w:p>
      <w:pPr>
        <w:adjustRightInd w:val="0"/>
        <w:snapToGrid w:val="0"/>
        <w:spacing w:line="360" w:lineRule="auto"/>
        <w:ind w:firstLine="630"/>
        <w:jc w:val="left"/>
      </w:pPr>
      <w:r>
        <w:rPr>
          <w:rFonts w:hint="eastAsia" w:ascii="宋体" w:hAnsi="宋体"/>
        </w:rPr>
        <w:t>④</w:t>
      </w:r>
      <w:r>
        <w:t xml:space="preserve"> 生态环境恶化、景观破坏。特别是汛期暴雨期间，满地是黄泥污水，景观差。</w:t>
      </w:r>
    </w:p>
    <w:p>
      <w:pPr>
        <w:spacing w:line="360" w:lineRule="auto"/>
        <w:rPr>
          <w:b/>
          <w:bCs/>
        </w:rPr>
      </w:pPr>
      <w:bookmarkStart w:id="305" w:name="_Toc118366882"/>
      <w:bookmarkStart w:id="306" w:name="_Toc117053171"/>
      <w:bookmarkStart w:id="307" w:name="_Toc118186845"/>
      <w:bookmarkStart w:id="308" w:name="_Toc92708792"/>
      <w:bookmarkStart w:id="309" w:name="_Toc117743251"/>
      <w:r>
        <w:rPr>
          <w:b/>
          <w:bCs/>
        </w:rPr>
        <w:t>7.4.</w:t>
      </w:r>
      <w:r>
        <w:rPr>
          <w:rFonts w:hint="eastAsia"/>
          <w:b/>
          <w:bCs/>
        </w:rPr>
        <w:t>3</w:t>
      </w:r>
      <w:r>
        <w:rPr>
          <w:b/>
          <w:bCs/>
        </w:rPr>
        <w:t xml:space="preserve">  水土流失防治措施</w:t>
      </w:r>
      <w:bookmarkEnd w:id="305"/>
      <w:bookmarkEnd w:id="306"/>
      <w:bookmarkEnd w:id="307"/>
      <w:bookmarkEnd w:id="308"/>
      <w:bookmarkEnd w:id="309"/>
    </w:p>
    <w:p>
      <w:pPr>
        <w:adjustRightInd w:val="0"/>
        <w:snapToGrid w:val="0"/>
        <w:spacing w:line="360" w:lineRule="auto"/>
        <w:ind w:firstLine="630"/>
        <w:jc w:val="left"/>
      </w:pPr>
      <w:r>
        <w:t>为了防治水土流失，本工程以施工期为重点防治时段，因地制宜地采取各类水土流失防治措施，有效地预防和治理征地范围内的各类水土流失，使工程区域地面土壤侵蚀量减少，保障主体工程安全，改善区域生态环境质量，促进生产、生活、生态协调发展。本工程拟实行以下水土流失防治措施：</w:t>
      </w:r>
    </w:p>
    <w:p>
      <w:pPr>
        <w:adjustRightInd w:val="0"/>
        <w:snapToGrid w:val="0"/>
        <w:spacing w:line="360" w:lineRule="auto"/>
        <w:ind w:firstLine="630"/>
        <w:jc w:val="left"/>
      </w:pPr>
      <w:r>
        <w:t>(1)</w:t>
      </w:r>
      <w:r>
        <w:rPr>
          <w:rFonts w:hint="eastAsia"/>
        </w:rPr>
        <w:t xml:space="preserve"> </w:t>
      </w:r>
      <w:r>
        <w:t>修</w:t>
      </w:r>
      <w:r>
        <w:rPr>
          <w:rFonts w:hint="eastAsia"/>
        </w:rPr>
        <w:t>筑</w:t>
      </w:r>
      <w:r>
        <w:t>围墙，进行封闭性施工，严格控制施工范围；</w:t>
      </w:r>
    </w:p>
    <w:p>
      <w:pPr>
        <w:adjustRightInd w:val="0"/>
        <w:snapToGrid w:val="0"/>
        <w:spacing w:line="360" w:lineRule="auto"/>
        <w:ind w:firstLine="630"/>
        <w:jc w:val="left"/>
      </w:pPr>
      <w:r>
        <w:t>(2) 合理选择施工工序，回填土石方应分层碾压夯实；工程建设期间合理堆放建筑材料以及临时土石方，及时拦挡以控制渣量流失。在不影响主体工程建设的情况下，尽量对场地内道路进行提前硬化或同步施工；</w:t>
      </w:r>
    </w:p>
    <w:p>
      <w:pPr>
        <w:adjustRightInd w:val="0"/>
        <w:snapToGrid w:val="0"/>
        <w:spacing w:line="360" w:lineRule="auto"/>
        <w:ind w:firstLine="630"/>
        <w:jc w:val="left"/>
      </w:pPr>
      <w:r>
        <w:t>(3) 合理选择施工工期，尽量避免在雨季进行各种基础开挖，在不可避免的雨天施工时，为防止临时堆料、弃渣及开挖裸露土质边坡坡面等被雨水冲刷，</w:t>
      </w:r>
      <w:r>
        <w:rPr>
          <w:rFonts w:hint="eastAsia"/>
        </w:rPr>
        <w:t>应</w:t>
      </w:r>
      <w:r>
        <w:t>选用塑料薄膜进行覆盖，以避免水土流失；</w:t>
      </w:r>
    </w:p>
    <w:p>
      <w:pPr>
        <w:adjustRightInd w:val="0"/>
        <w:snapToGrid w:val="0"/>
        <w:spacing w:line="360" w:lineRule="auto"/>
        <w:ind w:firstLine="630"/>
        <w:jc w:val="left"/>
      </w:pPr>
      <w:r>
        <w:t>(4) 严格控制运输流失，对出入场区的工程车辆严格管理，严禁超载，防止在运输过程中洒落物料</w:t>
      </w:r>
      <w:r>
        <w:rPr>
          <w:rFonts w:hint="eastAsia"/>
        </w:rPr>
        <w:t>，</w:t>
      </w:r>
      <w:r>
        <w:t>车辆必须加盖防护，且车辆在驶出工程区时必须进行清洗</w:t>
      </w:r>
      <w:r>
        <w:rPr>
          <w:rFonts w:hint="eastAsia"/>
        </w:rPr>
        <w:t>，</w:t>
      </w:r>
      <w:r>
        <w:t>车辆冲洗站设置沉沙池；</w:t>
      </w:r>
    </w:p>
    <w:p>
      <w:pPr>
        <w:adjustRightInd w:val="0"/>
        <w:snapToGrid w:val="0"/>
        <w:spacing w:line="360" w:lineRule="auto"/>
        <w:ind w:firstLine="630"/>
        <w:jc w:val="left"/>
      </w:pPr>
      <w:r>
        <w:t>(5) 针对场区土石方平衡形成的裸露页岩边坡进行防护设计，采用喷浆机进行喷浆护坡，防止基岩风化剥落；</w:t>
      </w:r>
    </w:p>
    <w:p>
      <w:pPr>
        <w:adjustRightInd w:val="0"/>
        <w:snapToGrid w:val="0"/>
        <w:spacing w:line="360" w:lineRule="auto"/>
        <w:ind w:firstLine="630"/>
        <w:jc w:val="left"/>
      </w:pPr>
      <w:r>
        <w:t>(6) 场地内设置浆砌块石的截、排水沟，施工完后需进行场地平整；</w:t>
      </w:r>
    </w:p>
    <w:p>
      <w:pPr>
        <w:adjustRightInd w:val="0"/>
        <w:snapToGrid w:val="0"/>
        <w:spacing w:line="360" w:lineRule="auto"/>
        <w:ind w:firstLine="630"/>
        <w:jc w:val="left"/>
      </w:pPr>
      <w:r>
        <w:t>(7) 在临时堆土场采用填土编织袋进行拦挡，并在周边设临时排水沟和临时沉沙池；增加对沙砾等建筑材料的拦挡和覆盖；在雨季采用塑料薄膜对开挖坡面进行遮盖。</w:t>
      </w:r>
    </w:p>
    <w:p>
      <w:pPr>
        <w:adjustRightInd w:val="0"/>
        <w:snapToGrid w:val="0"/>
        <w:spacing w:line="360" w:lineRule="auto"/>
        <w:ind w:firstLine="630"/>
        <w:jc w:val="left"/>
        <w:rPr>
          <w:rFonts w:hint="eastAsia"/>
        </w:rPr>
      </w:pPr>
      <w:r>
        <w:t>(8) 植物可以阻止水土流失，植物的地上部分可以拦截降水，减轻雨滴溅击，削弱降水对土壤的破坏作用；因此在施工期间同时进行绿化工程建设，不仅可以有效降低水土流失，还可以减轻扬尘、噪声污染。绿化时首先应对场地四周进行绿化，分期对干道边和内场地进行绿化。</w:t>
      </w:r>
    </w:p>
    <w:p>
      <w:pPr>
        <w:spacing w:line="360" w:lineRule="auto"/>
        <w:rPr>
          <w:b/>
          <w:bCs/>
        </w:rPr>
      </w:pPr>
      <w:r>
        <w:rPr>
          <w:b/>
          <w:bCs/>
        </w:rPr>
        <w:t>7.4.</w:t>
      </w:r>
      <w:r>
        <w:rPr>
          <w:rFonts w:hint="eastAsia"/>
          <w:b/>
          <w:bCs/>
        </w:rPr>
        <w:t>4</w:t>
      </w:r>
      <w:r>
        <w:rPr>
          <w:b/>
          <w:bCs/>
        </w:rPr>
        <w:t xml:space="preserve">  水土保持效益分析</w:t>
      </w:r>
    </w:p>
    <w:p>
      <w:pPr>
        <w:adjustRightInd w:val="0"/>
        <w:snapToGrid w:val="0"/>
        <w:spacing w:line="360" w:lineRule="auto"/>
        <w:ind w:firstLine="420" w:firstLineChars="200"/>
        <w:jc w:val="left"/>
        <w:rPr>
          <w:rFonts w:hint="eastAsia"/>
          <w:snapToGrid w:val="0"/>
          <w:kern w:val="0"/>
        </w:rPr>
      </w:pPr>
      <w:r>
        <w:rPr>
          <w:snapToGrid w:val="0"/>
          <w:kern w:val="0"/>
        </w:rPr>
        <w:t>水土保持措施可有效减少洪水流量，改善土壤理化性质，提高土壤肥力，改善贴地层的温度、湿度，提高林草覆盖率。</w:t>
      </w:r>
      <w:r>
        <w:rPr>
          <w:rFonts w:hint="eastAsia"/>
          <w:snapToGrid w:val="0"/>
          <w:kern w:val="0"/>
        </w:rPr>
        <w:t>技改项目</w:t>
      </w:r>
      <w:r>
        <w:rPr>
          <w:snapToGrid w:val="0"/>
          <w:kern w:val="0"/>
        </w:rPr>
        <w:t>植物措施的实施，有利于维持厂区周围生态环境的稳定，提高保水保土能力，减少自然灾害的发生，并能取得一定的景观效益，提升</w:t>
      </w:r>
      <w:r>
        <w:rPr>
          <w:rFonts w:hint="eastAsia"/>
          <w:snapToGrid w:val="0"/>
          <w:kern w:val="0"/>
        </w:rPr>
        <w:t>厂区</w:t>
      </w:r>
      <w:r>
        <w:rPr>
          <w:snapToGrid w:val="0"/>
          <w:kern w:val="0"/>
        </w:rPr>
        <w:t>周围环境的品质。</w:t>
      </w:r>
      <w:bookmarkStart w:id="310" w:name="_Toc148057412"/>
      <w:bookmarkStart w:id="311" w:name="_Toc207187986"/>
      <w:bookmarkStart w:id="312" w:name="_Toc186182404"/>
      <w:bookmarkStart w:id="313" w:name="_Toc238263242"/>
      <w:bookmarkStart w:id="314" w:name="_Toc227653656"/>
      <w:bookmarkStart w:id="315" w:name="_Toc162694581"/>
      <w:bookmarkStart w:id="316" w:name="_Toc186181709"/>
    </w:p>
    <w:bookmarkEnd w:id="310"/>
    <w:p>
      <w:pPr>
        <w:spacing w:line="360" w:lineRule="auto"/>
        <w:outlineLvl w:val="1"/>
        <w:rPr>
          <w:rFonts w:hint="eastAsia"/>
          <w:b/>
          <w:bCs/>
        </w:rPr>
      </w:pPr>
      <w:bookmarkStart w:id="317" w:name="_Toc276372247"/>
      <w:r>
        <w:rPr>
          <w:rFonts w:hint="eastAsia"/>
          <w:b/>
          <w:bCs/>
        </w:rPr>
        <w:t>7.5 废弃放射源处置</w:t>
      </w:r>
      <w:bookmarkEnd w:id="317"/>
    </w:p>
    <w:p>
      <w:pPr>
        <w:spacing w:line="360" w:lineRule="auto"/>
        <w:ind w:firstLine="472" w:firstLineChars="225"/>
        <w:rPr>
          <w:rFonts w:hint="eastAsia"/>
          <w:snapToGrid w:val="0"/>
          <w:color w:val="FF0000"/>
          <w:kern w:val="0"/>
        </w:rPr>
      </w:pPr>
      <w:bookmarkStart w:id="318" w:name="_Toc276372161"/>
      <w:bookmarkStart w:id="319" w:name="_Toc276372248"/>
      <w:r>
        <w:rPr>
          <w:rFonts w:hint="eastAsia"/>
          <w:snapToGrid w:val="0"/>
          <w:color w:val="FF0000"/>
          <w:kern w:val="0"/>
        </w:rPr>
        <w:t>现有机立窑生产线生产过程中涉及6枚放射源，在立窑拆除后，青鹏公司应做好废弃放射源的安全处置工作，对拆卸的放射源实施封存，严禁转让、买卖含放射源设备，及时主动与重庆市辐射环境管理站联系，协调安全转移放射源的有关事项，确保放射源全部得到妥善安全处置。</w:t>
      </w:r>
      <w:bookmarkEnd w:id="318"/>
      <w:bookmarkEnd w:id="319"/>
    </w:p>
    <w:p>
      <w:pPr>
        <w:spacing w:line="360" w:lineRule="auto"/>
        <w:outlineLvl w:val="1"/>
        <w:rPr>
          <w:b/>
          <w:bCs/>
        </w:rPr>
      </w:pPr>
      <w:bookmarkStart w:id="320" w:name="_Toc276372249"/>
      <w:r>
        <w:rPr>
          <w:rFonts w:hint="eastAsia"/>
          <w:b/>
          <w:bCs/>
        </w:rPr>
        <w:t xml:space="preserve">7.6 </w:t>
      </w:r>
      <w:r>
        <w:rPr>
          <w:b/>
          <w:bCs/>
        </w:rPr>
        <w:t>小结</w:t>
      </w:r>
      <w:bookmarkEnd w:id="311"/>
      <w:bookmarkEnd w:id="312"/>
      <w:bookmarkEnd w:id="313"/>
      <w:bookmarkEnd w:id="314"/>
      <w:bookmarkEnd w:id="315"/>
      <w:bookmarkEnd w:id="316"/>
      <w:bookmarkEnd w:id="320"/>
    </w:p>
    <w:p>
      <w:pPr>
        <w:spacing w:line="360" w:lineRule="auto"/>
        <w:ind w:firstLine="420" w:firstLineChars="200"/>
        <w:rPr>
          <w:rFonts w:hint="eastAsia"/>
          <w:snapToGrid w:val="0"/>
          <w:kern w:val="0"/>
        </w:rPr>
      </w:pPr>
      <w:r>
        <w:rPr>
          <w:rFonts w:hint="eastAsia"/>
          <w:snapToGrid w:val="0"/>
          <w:kern w:val="0"/>
        </w:rPr>
        <w:t>技改项目</w:t>
      </w:r>
      <w:r>
        <w:rPr>
          <w:snapToGrid w:val="0"/>
          <w:kern w:val="0"/>
        </w:rPr>
        <w:t>在施工活动中将不可避免地在一定程度上对施工区附近环境产生短期的影响。在对施工期产生的噪声、废气、废水、固体废物</w:t>
      </w:r>
      <w:r>
        <w:rPr>
          <w:rFonts w:hint="eastAsia"/>
          <w:snapToGrid w:val="0"/>
          <w:kern w:val="0"/>
        </w:rPr>
        <w:t>及放射源</w:t>
      </w:r>
      <w:r>
        <w:rPr>
          <w:snapToGrid w:val="0"/>
          <w:kern w:val="0"/>
        </w:rPr>
        <w:t>采取相应的防治和减缓措施后，施工活动对环境产生的影响可得到有效的控制，对周围环境影响较小。</w:t>
      </w:r>
    </w:p>
    <w:p>
      <w:pPr>
        <w:spacing w:line="360" w:lineRule="auto"/>
        <w:rPr>
          <w:rFonts w:hint="eastAsia" w:ascii="Tunga" w:hAnsi="Tunga" w:cs="Tunga"/>
        </w:rPr>
      </w:pPr>
    </w:p>
    <w:p>
      <w:pPr>
        <w:spacing w:line="460" w:lineRule="exact"/>
        <w:ind w:firstLine="420" w:firstLineChars="200"/>
        <w:rPr>
          <w:rFonts w:ascii="宋体" w:hAnsi="宋体"/>
        </w:rPr>
        <w:sectPr>
          <w:pgSz w:w="11906" w:h="16838"/>
          <w:pgMar w:top="1134" w:right="1418" w:bottom="1134" w:left="1418" w:header="851" w:footer="992" w:gutter="0"/>
          <w:paperSrc w:first="20070" w:other="20070"/>
          <w:cols w:space="425" w:num="1"/>
          <w:docGrid w:linePitch="312" w:charSpace="0"/>
        </w:sectPr>
      </w:pPr>
      <w:bookmarkStart w:id="321" w:name="_Toc175479827"/>
    </w:p>
    <w:bookmarkEnd w:id="321"/>
    <w:p>
      <w:pPr>
        <w:spacing w:line="360" w:lineRule="auto"/>
        <w:outlineLvl w:val="0"/>
        <w:rPr>
          <w:b/>
          <w:sz w:val="28"/>
          <w:szCs w:val="28"/>
        </w:rPr>
      </w:pPr>
      <w:bookmarkStart w:id="322" w:name="_Toc276372250"/>
      <w:bookmarkStart w:id="323" w:name="_Toc473281529"/>
      <w:bookmarkStart w:id="324" w:name="_Toc240769621"/>
      <w:bookmarkStart w:id="325" w:name="_Toc175479831"/>
      <w:bookmarkStart w:id="326" w:name="_Toc189814171"/>
      <w:r>
        <w:rPr>
          <w:rFonts w:hint="eastAsia"/>
          <w:b/>
          <w:sz w:val="28"/>
          <w:szCs w:val="28"/>
        </w:rPr>
        <w:t>8</w:t>
      </w:r>
      <w:r>
        <w:rPr>
          <w:b/>
          <w:sz w:val="28"/>
          <w:szCs w:val="28"/>
        </w:rPr>
        <w:t xml:space="preserve"> 环境影响预测与评价</w:t>
      </w:r>
      <w:bookmarkEnd w:id="322"/>
    </w:p>
    <w:p>
      <w:pPr>
        <w:spacing w:line="360" w:lineRule="auto"/>
        <w:outlineLvl w:val="1"/>
        <w:rPr>
          <w:b/>
          <w:bCs/>
        </w:rPr>
      </w:pPr>
      <w:bookmarkStart w:id="327" w:name="_Toc175479828"/>
      <w:bookmarkStart w:id="328" w:name="_Toc276372251"/>
      <w:bookmarkStart w:id="329" w:name="_Toc473281528"/>
      <w:bookmarkStart w:id="330" w:name="_Toc189814170"/>
      <w:r>
        <w:rPr>
          <w:rFonts w:hint="eastAsia"/>
          <w:b/>
          <w:bCs/>
        </w:rPr>
        <w:t>8</w:t>
      </w:r>
      <w:r>
        <w:rPr>
          <w:b/>
          <w:bCs/>
        </w:rPr>
        <w:t>.1环境空气影响预测与评价</w:t>
      </w:r>
      <w:bookmarkEnd w:id="327"/>
      <w:bookmarkEnd w:id="328"/>
      <w:bookmarkEnd w:id="329"/>
      <w:bookmarkEnd w:id="330"/>
    </w:p>
    <w:p>
      <w:pPr>
        <w:adjustRightInd w:val="0"/>
        <w:snapToGrid w:val="0"/>
        <w:spacing w:line="360" w:lineRule="auto"/>
      </w:pPr>
      <w:r>
        <w:rPr>
          <w:rFonts w:hint="eastAsia"/>
          <w:b/>
        </w:rPr>
        <w:t>8</w:t>
      </w:r>
      <w:r>
        <w:rPr>
          <w:b/>
        </w:rPr>
        <w:t>.1.1主要污染气象特征</w:t>
      </w:r>
    </w:p>
    <w:p>
      <w:pPr>
        <w:adjustRightInd w:val="0"/>
        <w:snapToGrid w:val="0"/>
        <w:spacing w:line="360" w:lineRule="auto"/>
        <w:ind w:firstLine="420" w:firstLineChars="200"/>
      </w:pPr>
      <w:r>
        <w:t>本次评价</w:t>
      </w:r>
      <w:r>
        <w:rPr>
          <w:rFonts w:hint="eastAsia"/>
        </w:rPr>
        <w:t>常规气象资料</w:t>
      </w:r>
      <w:r>
        <w:t>采用沙坪坝</w:t>
      </w:r>
      <w:r>
        <w:rPr>
          <w:rFonts w:hint="eastAsia"/>
        </w:rPr>
        <w:t>区</w:t>
      </w:r>
      <w:r>
        <w:t>气象站</w:t>
      </w:r>
      <w:r>
        <w:rPr>
          <w:rFonts w:hint="eastAsia"/>
        </w:rPr>
        <w:t>和白市驿站</w:t>
      </w:r>
      <w:r>
        <w:t>近</w:t>
      </w:r>
      <w:r>
        <w:rPr>
          <w:rFonts w:hint="eastAsia"/>
        </w:rPr>
        <w:t>20</w:t>
      </w:r>
      <w:r>
        <w:t>年气候观测资料</w:t>
      </w:r>
      <w:r>
        <w:rPr>
          <w:rFonts w:hint="eastAsia"/>
        </w:rPr>
        <w:t>，预测采用沙坪坝区</w:t>
      </w:r>
      <w:r>
        <w:t>200</w:t>
      </w:r>
      <w:r>
        <w:rPr>
          <w:rFonts w:hint="eastAsia"/>
        </w:rPr>
        <w:t>7</w:t>
      </w:r>
      <w:r>
        <w:t>年</w:t>
      </w:r>
      <w:r>
        <w:rPr>
          <w:rFonts w:hint="eastAsia"/>
        </w:rPr>
        <w:t>全年</w:t>
      </w:r>
      <w:r>
        <w:t>地面气象小时连续观测资料，主要包括风向、风速、气温、云量</w:t>
      </w:r>
      <w:r>
        <w:rPr>
          <w:rFonts w:hint="eastAsia"/>
        </w:rPr>
        <w:t>等</w:t>
      </w:r>
      <w:r>
        <w:t>。</w:t>
      </w:r>
      <w:r>
        <w:rPr>
          <w:rFonts w:hint="eastAsia"/>
        </w:rPr>
        <w:t>白市驿气象站</w:t>
      </w:r>
      <w:r>
        <w:t>距技改项目直线距离约</w:t>
      </w:r>
      <w:r>
        <w:rPr>
          <w:rFonts w:hint="eastAsia"/>
        </w:rPr>
        <w:t>20.56</w:t>
      </w:r>
      <w:r>
        <w:t>km，沙坪坝气象站距技改项目直线距离约</w:t>
      </w:r>
      <w:r>
        <w:rPr>
          <w:rFonts w:hint="eastAsia"/>
        </w:rPr>
        <w:t>19.68</w:t>
      </w:r>
      <w:r>
        <w:t>km，</w:t>
      </w:r>
      <w:r>
        <w:rPr>
          <w:rFonts w:hint="eastAsia"/>
        </w:rPr>
        <w:t>两个</w:t>
      </w:r>
      <w:r>
        <w:t>气象站与技改项目所在地的地理条件基本一致，</w:t>
      </w:r>
      <w:r>
        <w:rPr>
          <w:rFonts w:hint="eastAsia"/>
        </w:rPr>
        <w:t>能满足气象观测资料调查要求。</w:t>
      </w:r>
      <w:r>
        <w:t xml:space="preserve"> </w:t>
      </w:r>
    </w:p>
    <w:p>
      <w:pPr>
        <w:adjustRightInd w:val="0"/>
        <w:snapToGrid w:val="0"/>
        <w:spacing w:line="360" w:lineRule="auto"/>
        <w:ind w:firstLine="420" w:firstLineChars="200"/>
        <w:textAlignment w:val="baseline"/>
      </w:pPr>
      <w:r>
        <w:t>（1）常规气象资料分析</w:t>
      </w:r>
    </w:p>
    <w:p>
      <w:pPr>
        <w:adjustRightInd w:val="0"/>
        <w:snapToGrid w:val="0"/>
        <w:spacing w:line="360" w:lineRule="auto"/>
        <w:ind w:firstLine="420" w:firstLineChars="200"/>
      </w:pPr>
      <w:r>
        <w:rPr>
          <w:rFonts w:hAnsi="宋体"/>
        </w:rPr>
        <w:t>沙坪坝区属于四川盆地亚热带委风湿润气候区的盆地南部长江河谷区，从纬度位置看，是全球的副热带高压带，气候应干热少雨，但由于受东亚季风环境影响显著，因此具有明显的季风气候特点。其气候特征是：气候温和、雨量充沛、冬暖春早、秋短夏长、初夏多雨、盛夏炎热多伏旱、秋多阴雨、雨热同季、无霜期长、湿度大、风速小、云雾多、日照少的气候特点。</w:t>
      </w:r>
    </w:p>
    <w:p>
      <w:pPr>
        <w:adjustRightInd w:val="0"/>
        <w:snapToGrid w:val="0"/>
        <w:spacing w:line="360" w:lineRule="auto"/>
        <w:ind w:firstLine="420" w:firstLineChars="200"/>
        <w:textAlignment w:val="baseline"/>
        <w:rPr>
          <w:rFonts w:hint="eastAsia" w:ascii="宋体" w:hAnsi="宋体"/>
        </w:rPr>
      </w:pPr>
      <w:r>
        <w:rPr>
          <w:rFonts w:hint="eastAsia" w:ascii="宋体" w:hAnsi="宋体"/>
        </w:rPr>
        <w:t>◆气温</w:t>
      </w:r>
    </w:p>
    <w:p>
      <w:pPr>
        <w:adjustRightInd w:val="0"/>
        <w:snapToGrid w:val="0"/>
        <w:spacing w:line="360" w:lineRule="auto"/>
        <w:ind w:firstLine="420" w:firstLineChars="200"/>
        <w:textAlignment w:val="baseline"/>
      </w:pPr>
      <w:r>
        <w:t>沙坪坝区多年月平均温度1月最低，为8.</w:t>
      </w:r>
      <w:r>
        <w:rPr>
          <w:rFonts w:hint="eastAsia"/>
        </w:rPr>
        <w:t>0</w:t>
      </w:r>
      <w:r>
        <w:t>℃，7月份平均温度最高，为28.</w:t>
      </w:r>
      <w:r>
        <w:rPr>
          <w:rFonts w:hint="eastAsia"/>
        </w:rPr>
        <w:t>8</w:t>
      </w:r>
      <w:r>
        <w:t>℃，全年平均温度为18.</w:t>
      </w:r>
      <w:r>
        <w:rPr>
          <w:rFonts w:hint="eastAsia"/>
        </w:rPr>
        <w:t>7</w:t>
      </w:r>
      <w:r>
        <w:t>℃。沙坪坝区年平均温度的月变化情况见表</w:t>
      </w:r>
      <w:r>
        <w:rPr>
          <w:rFonts w:hint="eastAsia"/>
        </w:rPr>
        <w:t>8</w:t>
      </w:r>
      <w:r>
        <w:t>-1和图</w:t>
      </w:r>
      <w:r>
        <w:rPr>
          <w:rFonts w:hint="eastAsia"/>
        </w:rPr>
        <w:t>8</w:t>
      </w:r>
      <w:r>
        <w:t>.1。</w:t>
      </w:r>
    </w:p>
    <w:p>
      <w:pPr>
        <w:adjustRightInd w:val="0"/>
        <w:snapToGrid w:val="0"/>
        <w:spacing w:line="348" w:lineRule="auto"/>
        <w:jc w:val="center"/>
        <w:rPr>
          <w:b/>
        </w:rPr>
      </w:pPr>
      <w:r>
        <w:rPr>
          <w:b/>
        </w:rPr>
        <w:t>表</w:t>
      </w:r>
      <w:r>
        <w:rPr>
          <w:rFonts w:hint="eastAsia"/>
          <w:b/>
        </w:rPr>
        <w:t>8</w:t>
      </w:r>
      <w:r>
        <w:rPr>
          <w:b/>
        </w:rPr>
        <w:t>-1  年平均温度的月变化</w:t>
      </w:r>
    </w:p>
    <w:tbl>
      <w:tblPr>
        <w:tblStyle w:val="22"/>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573"/>
        <w:gridCol w:w="658"/>
        <w:gridCol w:w="703"/>
        <w:gridCol w:w="702"/>
        <w:gridCol w:w="702"/>
        <w:gridCol w:w="702"/>
        <w:gridCol w:w="702"/>
        <w:gridCol w:w="702"/>
        <w:gridCol w:w="702"/>
        <w:gridCol w:w="702"/>
        <w:gridCol w:w="702"/>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1034" w:type="dxa"/>
            <w:vAlign w:val="center"/>
          </w:tcPr>
          <w:p>
            <w:pPr>
              <w:spacing w:line="360" w:lineRule="auto"/>
              <w:jc w:val="center"/>
              <w:rPr>
                <w:sz w:val="21"/>
                <w:szCs w:val="21"/>
              </w:rPr>
            </w:pPr>
            <w:r>
              <w:rPr>
                <w:sz w:val="21"/>
                <w:szCs w:val="21"/>
              </w:rPr>
              <w:t>月份</w:t>
            </w:r>
          </w:p>
        </w:tc>
        <w:tc>
          <w:tcPr>
            <w:tcW w:w="573" w:type="dxa"/>
            <w:vAlign w:val="center"/>
          </w:tcPr>
          <w:p>
            <w:pPr>
              <w:spacing w:line="360" w:lineRule="auto"/>
              <w:jc w:val="center"/>
              <w:rPr>
                <w:sz w:val="21"/>
                <w:szCs w:val="21"/>
              </w:rPr>
            </w:pPr>
            <w:r>
              <w:rPr>
                <w:sz w:val="21"/>
                <w:szCs w:val="21"/>
              </w:rPr>
              <w:t>1月</w:t>
            </w:r>
          </w:p>
        </w:tc>
        <w:tc>
          <w:tcPr>
            <w:tcW w:w="658" w:type="dxa"/>
            <w:vAlign w:val="center"/>
          </w:tcPr>
          <w:p>
            <w:pPr>
              <w:spacing w:line="360" w:lineRule="auto"/>
              <w:jc w:val="center"/>
              <w:rPr>
                <w:sz w:val="21"/>
                <w:szCs w:val="21"/>
              </w:rPr>
            </w:pPr>
            <w:r>
              <w:rPr>
                <w:sz w:val="21"/>
                <w:szCs w:val="21"/>
              </w:rPr>
              <w:t>2月</w:t>
            </w:r>
          </w:p>
        </w:tc>
        <w:tc>
          <w:tcPr>
            <w:tcW w:w="703" w:type="dxa"/>
            <w:vAlign w:val="center"/>
          </w:tcPr>
          <w:p>
            <w:pPr>
              <w:spacing w:line="360" w:lineRule="auto"/>
              <w:jc w:val="center"/>
              <w:rPr>
                <w:sz w:val="21"/>
                <w:szCs w:val="21"/>
              </w:rPr>
            </w:pPr>
            <w:r>
              <w:rPr>
                <w:sz w:val="21"/>
                <w:szCs w:val="21"/>
              </w:rPr>
              <w:t>3月</w:t>
            </w:r>
          </w:p>
        </w:tc>
        <w:tc>
          <w:tcPr>
            <w:tcW w:w="702" w:type="dxa"/>
            <w:vAlign w:val="center"/>
          </w:tcPr>
          <w:p>
            <w:pPr>
              <w:spacing w:line="360" w:lineRule="auto"/>
              <w:jc w:val="center"/>
              <w:rPr>
                <w:sz w:val="21"/>
                <w:szCs w:val="21"/>
              </w:rPr>
            </w:pPr>
            <w:r>
              <w:rPr>
                <w:sz w:val="21"/>
                <w:szCs w:val="21"/>
              </w:rPr>
              <w:t>4月</w:t>
            </w:r>
          </w:p>
        </w:tc>
        <w:tc>
          <w:tcPr>
            <w:tcW w:w="702" w:type="dxa"/>
            <w:vAlign w:val="center"/>
          </w:tcPr>
          <w:p>
            <w:pPr>
              <w:spacing w:line="360" w:lineRule="auto"/>
              <w:jc w:val="center"/>
              <w:rPr>
                <w:sz w:val="21"/>
                <w:szCs w:val="21"/>
              </w:rPr>
            </w:pPr>
            <w:r>
              <w:rPr>
                <w:sz w:val="21"/>
                <w:szCs w:val="21"/>
              </w:rPr>
              <w:t>5月</w:t>
            </w:r>
          </w:p>
        </w:tc>
        <w:tc>
          <w:tcPr>
            <w:tcW w:w="702" w:type="dxa"/>
            <w:vAlign w:val="center"/>
          </w:tcPr>
          <w:p>
            <w:pPr>
              <w:spacing w:line="360" w:lineRule="auto"/>
              <w:jc w:val="center"/>
              <w:rPr>
                <w:sz w:val="21"/>
                <w:szCs w:val="21"/>
              </w:rPr>
            </w:pPr>
            <w:r>
              <w:rPr>
                <w:sz w:val="21"/>
                <w:szCs w:val="21"/>
              </w:rPr>
              <w:t>6月</w:t>
            </w:r>
          </w:p>
        </w:tc>
        <w:tc>
          <w:tcPr>
            <w:tcW w:w="702" w:type="dxa"/>
            <w:vAlign w:val="center"/>
          </w:tcPr>
          <w:p>
            <w:pPr>
              <w:spacing w:line="360" w:lineRule="auto"/>
              <w:jc w:val="center"/>
              <w:rPr>
                <w:sz w:val="21"/>
                <w:szCs w:val="21"/>
              </w:rPr>
            </w:pPr>
            <w:r>
              <w:rPr>
                <w:sz w:val="21"/>
                <w:szCs w:val="21"/>
              </w:rPr>
              <w:t>7月</w:t>
            </w:r>
          </w:p>
        </w:tc>
        <w:tc>
          <w:tcPr>
            <w:tcW w:w="702" w:type="dxa"/>
            <w:vAlign w:val="center"/>
          </w:tcPr>
          <w:p>
            <w:pPr>
              <w:spacing w:line="360" w:lineRule="auto"/>
              <w:jc w:val="center"/>
              <w:rPr>
                <w:sz w:val="21"/>
                <w:szCs w:val="21"/>
              </w:rPr>
            </w:pPr>
            <w:r>
              <w:rPr>
                <w:sz w:val="21"/>
                <w:szCs w:val="21"/>
              </w:rPr>
              <w:t>8月</w:t>
            </w:r>
          </w:p>
        </w:tc>
        <w:tc>
          <w:tcPr>
            <w:tcW w:w="702" w:type="dxa"/>
            <w:vAlign w:val="center"/>
          </w:tcPr>
          <w:p>
            <w:pPr>
              <w:spacing w:line="360" w:lineRule="auto"/>
              <w:jc w:val="center"/>
              <w:rPr>
                <w:sz w:val="21"/>
                <w:szCs w:val="21"/>
              </w:rPr>
            </w:pPr>
            <w:r>
              <w:rPr>
                <w:sz w:val="21"/>
                <w:szCs w:val="21"/>
              </w:rPr>
              <w:t>9月</w:t>
            </w:r>
          </w:p>
        </w:tc>
        <w:tc>
          <w:tcPr>
            <w:tcW w:w="702" w:type="dxa"/>
            <w:vAlign w:val="center"/>
          </w:tcPr>
          <w:p>
            <w:pPr>
              <w:spacing w:line="360" w:lineRule="auto"/>
              <w:jc w:val="center"/>
              <w:rPr>
                <w:sz w:val="21"/>
                <w:szCs w:val="21"/>
              </w:rPr>
            </w:pPr>
            <w:r>
              <w:rPr>
                <w:sz w:val="21"/>
                <w:szCs w:val="21"/>
              </w:rPr>
              <w:t>10月</w:t>
            </w:r>
          </w:p>
        </w:tc>
        <w:tc>
          <w:tcPr>
            <w:tcW w:w="702" w:type="dxa"/>
            <w:vAlign w:val="center"/>
          </w:tcPr>
          <w:p>
            <w:pPr>
              <w:spacing w:line="360" w:lineRule="auto"/>
              <w:jc w:val="center"/>
              <w:rPr>
                <w:sz w:val="21"/>
                <w:szCs w:val="21"/>
              </w:rPr>
            </w:pPr>
            <w:r>
              <w:rPr>
                <w:sz w:val="21"/>
                <w:szCs w:val="21"/>
              </w:rPr>
              <w:t>11月</w:t>
            </w:r>
          </w:p>
        </w:tc>
        <w:tc>
          <w:tcPr>
            <w:tcW w:w="702" w:type="dxa"/>
            <w:vAlign w:val="center"/>
          </w:tcPr>
          <w:p>
            <w:pPr>
              <w:spacing w:line="360" w:lineRule="auto"/>
              <w:jc w:val="center"/>
              <w:rPr>
                <w:sz w:val="21"/>
                <w:szCs w:val="21"/>
              </w:rPr>
            </w:pPr>
            <w:r>
              <w:rPr>
                <w:sz w:val="21"/>
                <w:szCs w:val="21"/>
              </w:rP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1034" w:type="dxa"/>
            <w:vAlign w:val="center"/>
          </w:tcPr>
          <w:p>
            <w:pPr>
              <w:spacing w:line="360" w:lineRule="auto"/>
              <w:jc w:val="center"/>
              <w:rPr>
                <w:sz w:val="21"/>
                <w:szCs w:val="21"/>
              </w:rPr>
            </w:pPr>
            <w:r>
              <w:rPr>
                <w:sz w:val="21"/>
                <w:szCs w:val="21"/>
              </w:rPr>
              <w:t>温度（℃）</w:t>
            </w:r>
          </w:p>
        </w:tc>
        <w:tc>
          <w:tcPr>
            <w:tcW w:w="573" w:type="dxa"/>
            <w:vAlign w:val="center"/>
          </w:tcPr>
          <w:p>
            <w:pPr>
              <w:spacing w:line="360" w:lineRule="auto"/>
              <w:jc w:val="center"/>
              <w:rPr>
                <w:rFonts w:hint="eastAsia"/>
                <w:sz w:val="21"/>
                <w:szCs w:val="21"/>
              </w:rPr>
            </w:pPr>
            <w:r>
              <w:rPr>
                <w:rFonts w:hint="eastAsia"/>
                <w:sz w:val="21"/>
                <w:szCs w:val="21"/>
              </w:rPr>
              <w:t>8.0</w:t>
            </w:r>
          </w:p>
        </w:tc>
        <w:tc>
          <w:tcPr>
            <w:tcW w:w="658" w:type="dxa"/>
            <w:vAlign w:val="center"/>
          </w:tcPr>
          <w:p>
            <w:pPr>
              <w:spacing w:line="360" w:lineRule="auto"/>
              <w:jc w:val="center"/>
              <w:rPr>
                <w:rFonts w:hint="eastAsia"/>
                <w:sz w:val="21"/>
                <w:szCs w:val="21"/>
              </w:rPr>
            </w:pPr>
            <w:r>
              <w:rPr>
                <w:rFonts w:hint="eastAsia"/>
                <w:sz w:val="21"/>
                <w:szCs w:val="21"/>
              </w:rPr>
              <w:t>10.4</w:t>
            </w:r>
          </w:p>
        </w:tc>
        <w:tc>
          <w:tcPr>
            <w:tcW w:w="703" w:type="dxa"/>
            <w:vAlign w:val="center"/>
          </w:tcPr>
          <w:p>
            <w:pPr>
              <w:spacing w:line="360" w:lineRule="auto"/>
              <w:jc w:val="center"/>
              <w:rPr>
                <w:rFonts w:hint="eastAsia"/>
                <w:sz w:val="21"/>
                <w:szCs w:val="21"/>
              </w:rPr>
            </w:pPr>
            <w:r>
              <w:rPr>
                <w:rFonts w:hint="eastAsia"/>
                <w:sz w:val="21"/>
                <w:szCs w:val="21"/>
              </w:rPr>
              <w:t>14.5</w:t>
            </w:r>
          </w:p>
        </w:tc>
        <w:tc>
          <w:tcPr>
            <w:tcW w:w="702" w:type="dxa"/>
            <w:vAlign w:val="center"/>
          </w:tcPr>
          <w:p>
            <w:pPr>
              <w:spacing w:line="360" w:lineRule="auto"/>
              <w:jc w:val="center"/>
              <w:rPr>
                <w:rFonts w:hint="eastAsia"/>
                <w:sz w:val="21"/>
                <w:szCs w:val="21"/>
              </w:rPr>
            </w:pPr>
            <w:r>
              <w:rPr>
                <w:rFonts w:hint="eastAsia"/>
                <w:sz w:val="21"/>
                <w:szCs w:val="21"/>
              </w:rPr>
              <w:t>19.3</w:t>
            </w:r>
          </w:p>
        </w:tc>
        <w:tc>
          <w:tcPr>
            <w:tcW w:w="702" w:type="dxa"/>
            <w:vAlign w:val="center"/>
          </w:tcPr>
          <w:p>
            <w:pPr>
              <w:spacing w:line="360" w:lineRule="auto"/>
              <w:jc w:val="center"/>
              <w:rPr>
                <w:rFonts w:hint="eastAsia"/>
                <w:sz w:val="21"/>
                <w:szCs w:val="21"/>
              </w:rPr>
            </w:pPr>
            <w:r>
              <w:rPr>
                <w:rFonts w:hint="eastAsia"/>
                <w:sz w:val="21"/>
                <w:szCs w:val="21"/>
              </w:rPr>
              <w:t>22.9</w:t>
            </w:r>
          </w:p>
        </w:tc>
        <w:tc>
          <w:tcPr>
            <w:tcW w:w="702" w:type="dxa"/>
            <w:vAlign w:val="center"/>
          </w:tcPr>
          <w:p>
            <w:pPr>
              <w:spacing w:line="360" w:lineRule="auto"/>
              <w:jc w:val="center"/>
              <w:rPr>
                <w:rFonts w:hint="eastAsia"/>
                <w:sz w:val="21"/>
                <w:szCs w:val="21"/>
              </w:rPr>
            </w:pPr>
            <w:r>
              <w:rPr>
                <w:rFonts w:hint="eastAsia"/>
                <w:sz w:val="21"/>
                <w:szCs w:val="21"/>
              </w:rPr>
              <w:t>25.0</w:t>
            </w:r>
          </w:p>
        </w:tc>
        <w:tc>
          <w:tcPr>
            <w:tcW w:w="702" w:type="dxa"/>
            <w:vAlign w:val="center"/>
          </w:tcPr>
          <w:p>
            <w:pPr>
              <w:spacing w:line="360" w:lineRule="auto"/>
              <w:jc w:val="center"/>
              <w:rPr>
                <w:rFonts w:hint="eastAsia"/>
                <w:sz w:val="21"/>
                <w:szCs w:val="21"/>
              </w:rPr>
            </w:pPr>
            <w:r>
              <w:rPr>
                <w:rFonts w:hint="eastAsia"/>
                <w:sz w:val="21"/>
                <w:szCs w:val="21"/>
              </w:rPr>
              <w:t>28.8</w:t>
            </w:r>
          </w:p>
        </w:tc>
        <w:tc>
          <w:tcPr>
            <w:tcW w:w="702" w:type="dxa"/>
            <w:vAlign w:val="center"/>
          </w:tcPr>
          <w:p>
            <w:pPr>
              <w:spacing w:line="360" w:lineRule="auto"/>
              <w:jc w:val="center"/>
              <w:rPr>
                <w:rFonts w:hint="eastAsia"/>
                <w:sz w:val="21"/>
                <w:szCs w:val="21"/>
              </w:rPr>
            </w:pPr>
            <w:r>
              <w:rPr>
                <w:rFonts w:hint="eastAsia"/>
                <w:sz w:val="21"/>
                <w:szCs w:val="21"/>
              </w:rPr>
              <w:t>28.2</w:t>
            </w:r>
          </w:p>
        </w:tc>
        <w:tc>
          <w:tcPr>
            <w:tcW w:w="702" w:type="dxa"/>
            <w:vAlign w:val="center"/>
          </w:tcPr>
          <w:p>
            <w:pPr>
              <w:spacing w:line="360" w:lineRule="auto"/>
              <w:jc w:val="center"/>
              <w:rPr>
                <w:rFonts w:hint="eastAsia"/>
                <w:sz w:val="21"/>
                <w:szCs w:val="21"/>
              </w:rPr>
            </w:pPr>
            <w:r>
              <w:rPr>
                <w:rFonts w:hint="eastAsia"/>
                <w:sz w:val="21"/>
                <w:szCs w:val="21"/>
              </w:rPr>
              <w:t>24.7</w:t>
            </w:r>
          </w:p>
        </w:tc>
        <w:tc>
          <w:tcPr>
            <w:tcW w:w="702" w:type="dxa"/>
            <w:vAlign w:val="center"/>
          </w:tcPr>
          <w:p>
            <w:pPr>
              <w:spacing w:line="360" w:lineRule="auto"/>
              <w:jc w:val="center"/>
              <w:rPr>
                <w:rFonts w:hint="eastAsia"/>
                <w:sz w:val="21"/>
                <w:szCs w:val="21"/>
              </w:rPr>
            </w:pPr>
            <w:r>
              <w:rPr>
                <w:rFonts w:hint="eastAsia"/>
                <w:sz w:val="21"/>
                <w:szCs w:val="21"/>
              </w:rPr>
              <w:t>19.1</w:t>
            </w:r>
          </w:p>
        </w:tc>
        <w:tc>
          <w:tcPr>
            <w:tcW w:w="702" w:type="dxa"/>
            <w:vAlign w:val="center"/>
          </w:tcPr>
          <w:p>
            <w:pPr>
              <w:spacing w:line="360" w:lineRule="auto"/>
              <w:jc w:val="center"/>
              <w:rPr>
                <w:rFonts w:hint="eastAsia"/>
                <w:sz w:val="21"/>
                <w:szCs w:val="21"/>
              </w:rPr>
            </w:pPr>
            <w:r>
              <w:rPr>
                <w:rFonts w:hint="eastAsia"/>
                <w:sz w:val="21"/>
                <w:szCs w:val="21"/>
              </w:rPr>
              <w:t>14.5</w:t>
            </w:r>
          </w:p>
        </w:tc>
        <w:tc>
          <w:tcPr>
            <w:tcW w:w="702" w:type="dxa"/>
            <w:vAlign w:val="center"/>
          </w:tcPr>
          <w:p>
            <w:pPr>
              <w:spacing w:line="360" w:lineRule="auto"/>
              <w:jc w:val="center"/>
              <w:rPr>
                <w:rFonts w:hint="eastAsia"/>
                <w:sz w:val="21"/>
                <w:szCs w:val="21"/>
              </w:rPr>
            </w:pPr>
            <w:r>
              <w:rPr>
                <w:rFonts w:hint="eastAsia"/>
                <w:sz w:val="21"/>
                <w:szCs w:val="21"/>
              </w:rPr>
              <w:t>9.4</w:t>
            </w:r>
          </w:p>
        </w:tc>
      </w:tr>
    </w:tbl>
    <w:p>
      <w:pPr>
        <w:spacing w:line="360" w:lineRule="auto"/>
        <w:ind w:firstLine="480"/>
      </w:pPr>
    </w:p>
    <w:p>
      <w:pPr>
        <w:adjustRightInd w:val="0"/>
        <w:snapToGrid w:val="0"/>
        <w:spacing w:line="348" w:lineRule="auto"/>
        <w:ind w:firstLine="420" w:firstLineChars="200"/>
        <w:rPr>
          <w:rFonts w:hint="eastAsia"/>
        </w:rPr>
      </w:pPr>
      <w:r>
        <w:t>◆</w:t>
      </w:r>
      <w:r>
        <w:rPr>
          <w:rFonts w:hint="eastAsia"/>
        </w:rPr>
        <w:t xml:space="preserve"> </w:t>
      </w:r>
      <w:r>
        <w:t>风速</w:t>
      </w:r>
    </w:p>
    <w:p>
      <w:pPr>
        <w:adjustRightInd w:val="0"/>
        <w:snapToGrid w:val="0"/>
        <w:spacing w:line="348" w:lineRule="auto"/>
        <w:ind w:firstLine="420" w:firstLineChars="200"/>
      </w:pPr>
      <w:r>
        <w:t>沙坪坝区年平均风速为</w:t>
      </w:r>
      <w:r>
        <w:rPr>
          <w:rFonts w:hint="eastAsia"/>
        </w:rPr>
        <w:t>1.46</w:t>
      </w:r>
      <w:r>
        <w:t>m/s，年内各月之间平均风速变幅较小，在0.</w:t>
      </w:r>
      <w:r>
        <w:rPr>
          <w:rFonts w:hint="eastAsia"/>
        </w:rPr>
        <w:t>8</w:t>
      </w:r>
      <w:r>
        <w:t>m/s～</w:t>
      </w:r>
      <w:r>
        <w:rPr>
          <w:rFonts w:hint="eastAsia"/>
        </w:rPr>
        <w:t>2</w:t>
      </w:r>
      <w:r>
        <w:t>.1m/s之间，7月风速最大，为</w:t>
      </w:r>
      <w:r>
        <w:rPr>
          <w:rFonts w:hint="eastAsia"/>
        </w:rPr>
        <w:t>1.65</w:t>
      </w:r>
      <w:r>
        <w:t>m/s。沙坪坝区多年平均风速的月变化见表</w:t>
      </w:r>
      <w:r>
        <w:rPr>
          <w:rFonts w:hint="eastAsia"/>
        </w:rPr>
        <w:t>8</w:t>
      </w:r>
      <w:r>
        <w:t>-2和图</w:t>
      </w:r>
      <w:r>
        <w:rPr>
          <w:rFonts w:hint="eastAsia"/>
        </w:rPr>
        <w:t>8</w:t>
      </w:r>
      <w:r>
        <w:t>.2。</w:t>
      </w:r>
    </w:p>
    <w:p>
      <w:pPr>
        <w:adjustRightInd w:val="0"/>
        <w:snapToGrid w:val="0"/>
        <w:spacing w:line="348" w:lineRule="auto"/>
        <w:jc w:val="center"/>
        <w:rPr>
          <w:b/>
        </w:rPr>
      </w:pPr>
      <w:r>
        <w:rPr>
          <w:b/>
        </w:rPr>
        <w:t>表</w:t>
      </w:r>
      <w:r>
        <w:rPr>
          <w:rFonts w:hint="eastAsia"/>
          <w:b/>
        </w:rPr>
        <w:t>8</w:t>
      </w:r>
      <w:r>
        <w:rPr>
          <w:b/>
        </w:rPr>
        <w:t>-2  年平均风速的月变化</w:t>
      </w:r>
    </w:p>
    <w:tbl>
      <w:tblPr>
        <w:tblStyle w:val="22"/>
        <w:tblW w:w="9310" w:type="dxa"/>
        <w:jc w:val="center"/>
        <w:tblInd w:w="4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654"/>
        <w:gridCol w:w="654"/>
        <w:gridCol w:w="591"/>
        <w:gridCol w:w="720"/>
        <w:gridCol w:w="720"/>
        <w:gridCol w:w="720"/>
        <w:gridCol w:w="720"/>
        <w:gridCol w:w="720"/>
        <w:gridCol w:w="720"/>
        <w:gridCol w:w="72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931" w:type="dxa"/>
            <w:vAlign w:val="center"/>
          </w:tcPr>
          <w:p>
            <w:pPr>
              <w:jc w:val="center"/>
              <w:rPr>
                <w:sz w:val="21"/>
                <w:szCs w:val="21"/>
              </w:rPr>
            </w:pPr>
            <w:r>
              <w:rPr>
                <w:sz w:val="21"/>
                <w:szCs w:val="21"/>
              </w:rPr>
              <w:t>月份</w:t>
            </w:r>
          </w:p>
        </w:tc>
        <w:tc>
          <w:tcPr>
            <w:tcW w:w="654" w:type="dxa"/>
            <w:vAlign w:val="center"/>
          </w:tcPr>
          <w:p>
            <w:pPr>
              <w:jc w:val="center"/>
              <w:rPr>
                <w:sz w:val="21"/>
                <w:szCs w:val="21"/>
              </w:rPr>
            </w:pPr>
            <w:r>
              <w:rPr>
                <w:sz w:val="21"/>
                <w:szCs w:val="21"/>
              </w:rPr>
              <w:t>1月</w:t>
            </w:r>
          </w:p>
        </w:tc>
        <w:tc>
          <w:tcPr>
            <w:tcW w:w="654" w:type="dxa"/>
            <w:vAlign w:val="center"/>
          </w:tcPr>
          <w:p>
            <w:pPr>
              <w:jc w:val="center"/>
              <w:rPr>
                <w:sz w:val="21"/>
                <w:szCs w:val="21"/>
              </w:rPr>
            </w:pPr>
            <w:r>
              <w:rPr>
                <w:sz w:val="21"/>
                <w:szCs w:val="21"/>
              </w:rPr>
              <w:t>2月</w:t>
            </w:r>
          </w:p>
        </w:tc>
        <w:tc>
          <w:tcPr>
            <w:tcW w:w="591" w:type="dxa"/>
            <w:vAlign w:val="center"/>
          </w:tcPr>
          <w:p>
            <w:pPr>
              <w:jc w:val="center"/>
              <w:rPr>
                <w:sz w:val="21"/>
                <w:szCs w:val="21"/>
              </w:rPr>
            </w:pPr>
            <w:r>
              <w:rPr>
                <w:sz w:val="21"/>
                <w:szCs w:val="21"/>
              </w:rPr>
              <w:t>3月</w:t>
            </w:r>
          </w:p>
        </w:tc>
        <w:tc>
          <w:tcPr>
            <w:tcW w:w="720" w:type="dxa"/>
            <w:vAlign w:val="center"/>
          </w:tcPr>
          <w:p>
            <w:pPr>
              <w:jc w:val="center"/>
              <w:rPr>
                <w:sz w:val="21"/>
                <w:szCs w:val="21"/>
              </w:rPr>
            </w:pPr>
            <w:r>
              <w:rPr>
                <w:sz w:val="21"/>
                <w:szCs w:val="21"/>
              </w:rPr>
              <w:t>4月</w:t>
            </w:r>
          </w:p>
        </w:tc>
        <w:tc>
          <w:tcPr>
            <w:tcW w:w="720" w:type="dxa"/>
            <w:vAlign w:val="center"/>
          </w:tcPr>
          <w:p>
            <w:pPr>
              <w:jc w:val="center"/>
              <w:rPr>
                <w:sz w:val="21"/>
                <w:szCs w:val="21"/>
              </w:rPr>
            </w:pPr>
            <w:r>
              <w:rPr>
                <w:sz w:val="21"/>
                <w:szCs w:val="21"/>
              </w:rPr>
              <w:t>5月</w:t>
            </w:r>
          </w:p>
        </w:tc>
        <w:tc>
          <w:tcPr>
            <w:tcW w:w="720" w:type="dxa"/>
            <w:vAlign w:val="center"/>
          </w:tcPr>
          <w:p>
            <w:pPr>
              <w:jc w:val="center"/>
              <w:rPr>
                <w:sz w:val="21"/>
                <w:szCs w:val="21"/>
              </w:rPr>
            </w:pPr>
            <w:r>
              <w:rPr>
                <w:sz w:val="21"/>
                <w:szCs w:val="21"/>
              </w:rPr>
              <w:t>6月</w:t>
            </w:r>
          </w:p>
        </w:tc>
        <w:tc>
          <w:tcPr>
            <w:tcW w:w="720" w:type="dxa"/>
            <w:vAlign w:val="center"/>
          </w:tcPr>
          <w:p>
            <w:pPr>
              <w:jc w:val="center"/>
              <w:rPr>
                <w:sz w:val="21"/>
                <w:szCs w:val="21"/>
              </w:rPr>
            </w:pPr>
            <w:r>
              <w:rPr>
                <w:sz w:val="21"/>
                <w:szCs w:val="21"/>
              </w:rPr>
              <w:t>7月</w:t>
            </w:r>
          </w:p>
        </w:tc>
        <w:tc>
          <w:tcPr>
            <w:tcW w:w="720" w:type="dxa"/>
            <w:vAlign w:val="center"/>
          </w:tcPr>
          <w:p>
            <w:pPr>
              <w:jc w:val="center"/>
              <w:rPr>
                <w:sz w:val="21"/>
                <w:szCs w:val="21"/>
              </w:rPr>
            </w:pPr>
            <w:r>
              <w:rPr>
                <w:sz w:val="21"/>
                <w:szCs w:val="21"/>
              </w:rPr>
              <w:t>8月</w:t>
            </w:r>
          </w:p>
        </w:tc>
        <w:tc>
          <w:tcPr>
            <w:tcW w:w="720" w:type="dxa"/>
            <w:vAlign w:val="center"/>
          </w:tcPr>
          <w:p>
            <w:pPr>
              <w:jc w:val="center"/>
              <w:rPr>
                <w:sz w:val="21"/>
                <w:szCs w:val="21"/>
              </w:rPr>
            </w:pPr>
            <w:r>
              <w:rPr>
                <w:sz w:val="21"/>
                <w:szCs w:val="21"/>
              </w:rPr>
              <w:t>9月</w:t>
            </w:r>
          </w:p>
        </w:tc>
        <w:tc>
          <w:tcPr>
            <w:tcW w:w="720" w:type="dxa"/>
            <w:vAlign w:val="center"/>
          </w:tcPr>
          <w:p>
            <w:pPr>
              <w:jc w:val="center"/>
              <w:rPr>
                <w:sz w:val="21"/>
                <w:szCs w:val="21"/>
              </w:rPr>
            </w:pPr>
            <w:r>
              <w:rPr>
                <w:sz w:val="21"/>
                <w:szCs w:val="21"/>
              </w:rPr>
              <w:t>10月</w:t>
            </w:r>
          </w:p>
        </w:tc>
        <w:tc>
          <w:tcPr>
            <w:tcW w:w="720" w:type="dxa"/>
            <w:vAlign w:val="center"/>
          </w:tcPr>
          <w:p>
            <w:pPr>
              <w:jc w:val="center"/>
              <w:rPr>
                <w:sz w:val="21"/>
                <w:szCs w:val="21"/>
              </w:rPr>
            </w:pPr>
            <w:r>
              <w:rPr>
                <w:sz w:val="21"/>
                <w:szCs w:val="21"/>
              </w:rPr>
              <w:t>11月</w:t>
            </w:r>
          </w:p>
        </w:tc>
        <w:tc>
          <w:tcPr>
            <w:tcW w:w="720" w:type="dxa"/>
            <w:vAlign w:val="center"/>
          </w:tcPr>
          <w:p>
            <w:pPr>
              <w:jc w:val="center"/>
              <w:rPr>
                <w:sz w:val="21"/>
                <w:szCs w:val="21"/>
              </w:rPr>
            </w:pPr>
            <w:r>
              <w:rPr>
                <w:sz w:val="21"/>
                <w:szCs w:val="21"/>
              </w:rP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931" w:type="dxa"/>
            <w:vAlign w:val="center"/>
          </w:tcPr>
          <w:p>
            <w:pPr>
              <w:jc w:val="center"/>
              <w:rPr>
                <w:sz w:val="21"/>
                <w:szCs w:val="21"/>
              </w:rPr>
            </w:pPr>
            <w:r>
              <w:rPr>
                <w:sz w:val="21"/>
                <w:szCs w:val="21"/>
              </w:rPr>
              <w:t>风速(m/s)</w:t>
            </w:r>
          </w:p>
        </w:tc>
        <w:tc>
          <w:tcPr>
            <w:tcW w:w="654" w:type="dxa"/>
            <w:vAlign w:val="center"/>
          </w:tcPr>
          <w:p>
            <w:pPr>
              <w:jc w:val="center"/>
              <w:rPr>
                <w:rFonts w:hint="eastAsia"/>
                <w:sz w:val="21"/>
                <w:szCs w:val="21"/>
              </w:rPr>
            </w:pPr>
            <w:r>
              <w:rPr>
                <w:rFonts w:hint="eastAsia"/>
                <w:sz w:val="21"/>
                <w:szCs w:val="21"/>
              </w:rPr>
              <w:t>1.25</w:t>
            </w:r>
          </w:p>
        </w:tc>
        <w:tc>
          <w:tcPr>
            <w:tcW w:w="654" w:type="dxa"/>
            <w:vAlign w:val="center"/>
          </w:tcPr>
          <w:p>
            <w:pPr>
              <w:jc w:val="center"/>
              <w:rPr>
                <w:rFonts w:hint="eastAsia"/>
                <w:sz w:val="21"/>
                <w:szCs w:val="21"/>
              </w:rPr>
            </w:pPr>
            <w:r>
              <w:rPr>
                <w:rFonts w:hint="eastAsia"/>
                <w:sz w:val="21"/>
                <w:szCs w:val="21"/>
              </w:rPr>
              <w:t>1.36</w:t>
            </w:r>
          </w:p>
        </w:tc>
        <w:tc>
          <w:tcPr>
            <w:tcW w:w="591" w:type="dxa"/>
            <w:vAlign w:val="center"/>
          </w:tcPr>
          <w:p>
            <w:pPr>
              <w:jc w:val="center"/>
              <w:rPr>
                <w:rFonts w:hint="eastAsia"/>
                <w:sz w:val="21"/>
                <w:szCs w:val="21"/>
              </w:rPr>
            </w:pPr>
            <w:r>
              <w:rPr>
                <w:rFonts w:hint="eastAsia"/>
                <w:sz w:val="21"/>
                <w:szCs w:val="21"/>
              </w:rPr>
              <w:t>1.54</w:t>
            </w:r>
          </w:p>
        </w:tc>
        <w:tc>
          <w:tcPr>
            <w:tcW w:w="720" w:type="dxa"/>
            <w:vAlign w:val="center"/>
          </w:tcPr>
          <w:p>
            <w:pPr>
              <w:jc w:val="center"/>
              <w:rPr>
                <w:rFonts w:hint="eastAsia"/>
                <w:sz w:val="21"/>
                <w:szCs w:val="21"/>
              </w:rPr>
            </w:pPr>
            <w:r>
              <w:rPr>
                <w:rFonts w:hint="eastAsia"/>
                <w:sz w:val="21"/>
                <w:szCs w:val="21"/>
              </w:rPr>
              <w:t>1.63</w:t>
            </w:r>
          </w:p>
        </w:tc>
        <w:tc>
          <w:tcPr>
            <w:tcW w:w="720" w:type="dxa"/>
            <w:vAlign w:val="center"/>
          </w:tcPr>
          <w:p>
            <w:pPr>
              <w:jc w:val="center"/>
              <w:rPr>
                <w:rFonts w:hint="eastAsia"/>
                <w:sz w:val="21"/>
                <w:szCs w:val="21"/>
              </w:rPr>
            </w:pPr>
            <w:r>
              <w:rPr>
                <w:rFonts w:hint="eastAsia"/>
                <w:sz w:val="21"/>
                <w:szCs w:val="21"/>
              </w:rPr>
              <w:t>1.62</w:t>
            </w:r>
          </w:p>
        </w:tc>
        <w:tc>
          <w:tcPr>
            <w:tcW w:w="720" w:type="dxa"/>
            <w:vAlign w:val="center"/>
          </w:tcPr>
          <w:p>
            <w:pPr>
              <w:jc w:val="center"/>
              <w:rPr>
                <w:rFonts w:hint="eastAsia"/>
                <w:sz w:val="21"/>
                <w:szCs w:val="21"/>
              </w:rPr>
            </w:pPr>
            <w:r>
              <w:rPr>
                <w:rFonts w:hint="eastAsia"/>
                <w:sz w:val="21"/>
                <w:szCs w:val="21"/>
              </w:rPr>
              <w:t>1.44</w:t>
            </w:r>
          </w:p>
        </w:tc>
        <w:tc>
          <w:tcPr>
            <w:tcW w:w="720" w:type="dxa"/>
            <w:vAlign w:val="center"/>
          </w:tcPr>
          <w:p>
            <w:pPr>
              <w:jc w:val="center"/>
              <w:rPr>
                <w:rFonts w:hint="eastAsia"/>
                <w:sz w:val="21"/>
                <w:szCs w:val="21"/>
              </w:rPr>
            </w:pPr>
            <w:r>
              <w:rPr>
                <w:rFonts w:hint="eastAsia"/>
                <w:sz w:val="21"/>
                <w:szCs w:val="21"/>
              </w:rPr>
              <w:t>1.65</w:t>
            </w:r>
          </w:p>
        </w:tc>
        <w:tc>
          <w:tcPr>
            <w:tcW w:w="720" w:type="dxa"/>
            <w:vAlign w:val="center"/>
          </w:tcPr>
          <w:p>
            <w:pPr>
              <w:jc w:val="center"/>
              <w:rPr>
                <w:rFonts w:hint="eastAsia"/>
                <w:sz w:val="21"/>
                <w:szCs w:val="21"/>
              </w:rPr>
            </w:pPr>
            <w:r>
              <w:rPr>
                <w:rFonts w:hint="eastAsia"/>
                <w:sz w:val="21"/>
                <w:szCs w:val="21"/>
              </w:rPr>
              <w:t>1.64</w:t>
            </w:r>
          </w:p>
        </w:tc>
        <w:tc>
          <w:tcPr>
            <w:tcW w:w="720" w:type="dxa"/>
            <w:vAlign w:val="center"/>
          </w:tcPr>
          <w:p>
            <w:pPr>
              <w:jc w:val="center"/>
              <w:rPr>
                <w:rFonts w:hint="eastAsia"/>
                <w:sz w:val="21"/>
                <w:szCs w:val="21"/>
              </w:rPr>
            </w:pPr>
            <w:r>
              <w:rPr>
                <w:rFonts w:hint="eastAsia"/>
                <w:sz w:val="21"/>
                <w:szCs w:val="21"/>
              </w:rPr>
              <w:t>1.60</w:t>
            </w:r>
          </w:p>
        </w:tc>
        <w:tc>
          <w:tcPr>
            <w:tcW w:w="720" w:type="dxa"/>
            <w:vAlign w:val="center"/>
          </w:tcPr>
          <w:p>
            <w:pPr>
              <w:jc w:val="center"/>
              <w:rPr>
                <w:rFonts w:hint="eastAsia"/>
                <w:sz w:val="21"/>
                <w:szCs w:val="21"/>
              </w:rPr>
            </w:pPr>
            <w:r>
              <w:rPr>
                <w:rFonts w:hint="eastAsia"/>
                <w:sz w:val="21"/>
                <w:szCs w:val="21"/>
              </w:rPr>
              <w:t>1.27</w:t>
            </w:r>
          </w:p>
        </w:tc>
        <w:tc>
          <w:tcPr>
            <w:tcW w:w="720" w:type="dxa"/>
            <w:vAlign w:val="center"/>
          </w:tcPr>
          <w:p>
            <w:pPr>
              <w:jc w:val="center"/>
              <w:rPr>
                <w:rFonts w:hint="eastAsia"/>
                <w:sz w:val="21"/>
                <w:szCs w:val="21"/>
              </w:rPr>
            </w:pPr>
            <w:r>
              <w:rPr>
                <w:rFonts w:hint="eastAsia"/>
                <w:sz w:val="21"/>
                <w:szCs w:val="21"/>
              </w:rPr>
              <w:t>1.33</w:t>
            </w:r>
          </w:p>
        </w:tc>
        <w:tc>
          <w:tcPr>
            <w:tcW w:w="720" w:type="dxa"/>
            <w:vAlign w:val="center"/>
          </w:tcPr>
          <w:p>
            <w:pPr>
              <w:jc w:val="center"/>
              <w:rPr>
                <w:rFonts w:hint="eastAsia"/>
                <w:sz w:val="21"/>
                <w:szCs w:val="21"/>
              </w:rPr>
            </w:pPr>
            <w:r>
              <w:rPr>
                <w:rFonts w:hint="eastAsia"/>
                <w:sz w:val="21"/>
                <w:szCs w:val="21"/>
              </w:rPr>
              <w:t>1.24</w:t>
            </w:r>
          </w:p>
        </w:tc>
      </w:tr>
    </w:tbl>
    <w:p>
      <w:pPr>
        <w:adjustRightInd w:val="0"/>
        <w:snapToGrid w:val="0"/>
        <w:spacing w:line="348" w:lineRule="auto"/>
        <w:ind w:firstLine="560" w:firstLineChars="200"/>
        <w:rPr>
          <w:sz w:val="28"/>
        </w:rPr>
      </w:pPr>
    </w:p>
    <w:p>
      <w:pPr>
        <w:adjustRightInd w:val="0"/>
        <w:snapToGrid w:val="0"/>
        <w:spacing w:line="348" w:lineRule="auto"/>
        <w:jc w:val="center"/>
      </w:pPr>
      <w:r>
        <mc:AlternateContent>
          <mc:Choice Requires="wpc">
            <w:drawing>
              <wp:inline distT="0" distB="0" distL="114300" distR="114300">
                <wp:extent cx="5711190" cy="2621915"/>
                <wp:effectExtent l="0" t="0" r="22860" b="6985"/>
                <wp:docPr id="148" name="画布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72" name="矩形 72"/>
                        <wps:cNvSpPr/>
                        <wps:spPr>
                          <a:xfrm>
                            <a:off x="35560" y="34925"/>
                            <a:ext cx="5675630" cy="2586990"/>
                          </a:xfrm>
                          <a:prstGeom prst="rect">
                            <a:avLst/>
                          </a:prstGeom>
                          <a:solidFill>
                            <a:srgbClr val="FFFFFF"/>
                          </a:solidFill>
                          <a:ln w="6985" cap="flat" cmpd="sng">
                            <a:solidFill>
                              <a:srgbClr val="000000"/>
                            </a:solidFill>
                            <a:prstDash val="solid"/>
                            <a:miter/>
                            <a:headEnd type="none" w="med" len="med"/>
                            <a:tailEnd type="none" w="med" len="med"/>
                          </a:ln>
                        </wps:spPr>
                        <wps:bodyPr upright="1"/>
                      </wps:wsp>
                      <wps:wsp>
                        <wps:cNvPr id="73" name="矩形 73"/>
                        <wps:cNvSpPr/>
                        <wps:spPr>
                          <a:xfrm>
                            <a:off x="571500" y="198120"/>
                            <a:ext cx="5090160" cy="1965960"/>
                          </a:xfrm>
                          <a:prstGeom prst="rect">
                            <a:avLst/>
                          </a:prstGeom>
                          <a:solidFill>
                            <a:srgbClr val="FFFFFF"/>
                          </a:solidFill>
                          <a:ln>
                            <a:noFill/>
                          </a:ln>
                        </wps:spPr>
                        <wps:bodyPr upright="1"/>
                      </wps:wsp>
                      <wps:wsp>
                        <wps:cNvPr id="74" name="直接连接符 74"/>
                        <wps:cNvCnPr/>
                        <wps:spPr>
                          <a:xfrm>
                            <a:off x="487045" y="183515"/>
                            <a:ext cx="0" cy="1965960"/>
                          </a:xfrm>
                          <a:prstGeom prst="line">
                            <a:avLst/>
                          </a:prstGeom>
                          <a:ln w="0" cap="flat" cmpd="sng">
                            <a:solidFill>
                              <a:srgbClr val="000000"/>
                            </a:solidFill>
                            <a:prstDash val="solid"/>
                            <a:headEnd type="none" w="med" len="med"/>
                            <a:tailEnd type="none" w="med" len="med"/>
                          </a:ln>
                        </wps:spPr>
                        <wps:bodyPr upright="1"/>
                      </wps:wsp>
                      <wps:wsp>
                        <wps:cNvPr id="75" name="直接连接符 75"/>
                        <wps:cNvCnPr/>
                        <wps:spPr>
                          <a:xfrm>
                            <a:off x="487045" y="2149475"/>
                            <a:ext cx="35560" cy="0"/>
                          </a:xfrm>
                          <a:prstGeom prst="line">
                            <a:avLst/>
                          </a:prstGeom>
                          <a:ln w="0" cap="flat" cmpd="sng">
                            <a:solidFill>
                              <a:srgbClr val="000000"/>
                            </a:solidFill>
                            <a:prstDash val="solid"/>
                            <a:headEnd type="none" w="med" len="med"/>
                            <a:tailEnd type="none" w="med" len="med"/>
                          </a:ln>
                        </wps:spPr>
                        <wps:bodyPr upright="1"/>
                      </wps:wsp>
                      <wps:wsp>
                        <wps:cNvPr id="76" name="直接连接符 76"/>
                        <wps:cNvCnPr/>
                        <wps:spPr>
                          <a:xfrm>
                            <a:off x="487045" y="2015490"/>
                            <a:ext cx="35560" cy="0"/>
                          </a:xfrm>
                          <a:prstGeom prst="line">
                            <a:avLst/>
                          </a:prstGeom>
                          <a:ln w="0" cap="flat" cmpd="sng">
                            <a:solidFill>
                              <a:srgbClr val="000000"/>
                            </a:solidFill>
                            <a:prstDash val="solid"/>
                            <a:headEnd type="none" w="med" len="med"/>
                            <a:tailEnd type="none" w="med" len="med"/>
                          </a:ln>
                        </wps:spPr>
                        <wps:bodyPr upright="1"/>
                      </wps:wsp>
                      <wps:wsp>
                        <wps:cNvPr id="77" name="直接连接符 77"/>
                        <wps:cNvCnPr/>
                        <wps:spPr>
                          <a:xfrm>
                            <a:off x="487045" y="1888490"/>
                            <a:ext cx="35560" cy="0"/>
                          </a:xfrm>
                          <a:prstGeom prst="line">
                            <a:avLst/>
                          </a:prstGeom>
                          <a:ln w="0" cap="flat" cmpd="sng">
                            <a:solidFill>
                              <a:srgbClr val="000000"/>
                            </a:solidFill>
                            <a:prstDash val="solid"/>
                            <a:headEnd type="none" w="med" len="med"/>
                            <a:tailEnd type="none" w="med" len="med"/>
                          </a:ln>
                        </wps:spPr>
                        <wps:bodyPr upright="1"/>
                      </wps:wsp>
                      <wps:wsp>
                        <wps:cNvPr id="78" name="直接连接符 78"/>
                        <wps:cNvCnPr/>
                        <wps:spPr>
                          <a:xfrm>
                            <a:off x="487045" y="1755140"/>
                            <a:ext cx="35560" cy="0"/>
                          </a:xfrm>
                          <a:prstGeom prst="line">
                            <a:avLst/>
                          </a:prstGeom>
                          <a:ln w="0" cap="flat" cmpd="sng">
                            <a:solidFill>
                              <a:srgbClr val="000000"/>
                            </a:solidFill>
                            <a:prstDash val="solid"/>
                            <a:headEnd type="none" w="med" len="med"/>
                            <a:tailEnd type="none" w="med" len="med"/>
                          </a:ln>
                        </wps:spPr>
                        <wps:bodyPr upright="1"/>
                      </wps:wsp>
                      <wps:wsp>
                        <wps:cNvPr id="79" name="直接连接符 79"/>
                        <wps:cNvCnPr/>
                        <wps:spPr>
                          <a:xfrm>
                            <a:off x="487045" y="1628140"/>
                            <a:ext cx="35560" cy="0"/>
                          </a:xfrm>
                          <a:prstGeom prst="line">
                            <a:avLst/>
                          </a:prstGeom>
                          <a:ln w="0" cap="flat" cmpd="sng">
                            <a:solidFill>
                              <a:srgbClr val="000000"/>
                            </a:solidFill>
                            <a:prstDash val="solid"/>
                            <a:headEnd type="none" w="med" len="med"/>
                            <a:tailEnd type="none" w="med" len="med"/>
                          </a:ln>
                        </wps:spPr>
                        <wps:bodyPr upright="1"/>
                      </wps:wsp>
                      <wps:wsp>
                        <wps:cNvPr id="80" name="直接连接符 80"/>
                        <wps:cNvCnPr/>
                        <wps:spPr>
                          <a:xfrm>
                            <a:off x="487045" y="1494155"/>
                            <a:ext cx="35560" cy="0"/>
                          </a:xfrm>
                          <a:prstGeom prst="line">
                            <a:avLst/>
                          </a:prstGeom>
                          <a:ln w="0" cap="flat" cmpd="sng">
                            <a:solidFill>
                              <a:srgbClr val="000000"/>
                            </a:solidFill>
                            <a:prstDash val="solid"/>
                            <a:headEnd type="none" w="med" len="med"/>
                            <a:tailEnd type="none" w="med" len="med"/>
                          </a:ln>
                        </wps:spPr>
                        <wps:bodyPr upright="1"/>
                      </wps:wsp>
                      <wps:wsp>
                        <wps:cNvPr id="81" name="直接连接符 81"/>
                        <wps:cNvCnPr/>
                        <wps:spPr>
                          <a:xfrm>
                            <a:off x="487045" y="1360170"/>
                            <a:ext cx="35560" cy="0"/>
                          </a:xfrm>
                          <a:prstGeom prst="line">
                            <a:avLst/>
                          </a:prstGeom>
                          <a:ln w="0" cap="flat" cmpd="sng">
                            <a:solidFill>
                              <a:srgbClr val="000000"/>
                            </a:solidFill>
                            <a:prstDash val="solid"/>
                            <a:headEnd type="none" w="med" len="med"/>
                            <a:tailEnd type="none" w="med" len="med"/>
                          </a:ln>
                        </wps:spPr>
                        <wps:bodyPr upright="1"/>
                      </wps:wsp>
                      <wps:wsp>
                        <wps:cNvPr id="82" name="直接连接符 82"/>
                        <wps:cNvCnPr/>
                        <wps:spPr>
                          <a:xfrm>
                            <a:off x="487045" y="1233170"/>
                            <a:ext cx="35560" cy="0"/>
                          </a:xfrm>
                          <a:prstGeom prst="line">
                            <a:avLst/>
                          </a:prstGeom>
                          <a:ln w="0" cap="flat" cmpd="sng">
                            <a:solidFill>
                              <a:srgbClr val="000000"/>
                            </a:solidFill>
                            <a:prstDash val="solid"/>
                            <a:headEnd type="none" w="med" len="med"/>
                            <a:tailEnd type="none" w="med" len="med"/>
                          </a:ln>
                        </wps:spPr>
                        <wps:bodyPr upright="1"/>
                      </wps:wsp>
                      <wps:wsp>
                        <wps:cNvPr id="83" name="直接连接符 83"/>
                        <wps:cNvCnPr/>
                        <wps:spPr>
                          <a:xfrm>
                            <a:off x="487045" y="1099185"/>
                            <a:ext cx="35560" cy="0"/>
                          </a:xfrm>
                          <a:prstGeom prst="line">
                            <a:avLst/>
                          </a:prstGeom>
                          <a:ln w="0" cap="flat" cmpd="sng">
                            <a:solidFill>
                              <a:srgbClr val="000000"/>
                            </a:solidFill>
                            <a:prstDash val="solid"/>
                            <a:headEnd type="none" w="med" len="med"/>
                            <a:tailEnd type="none" w="med" len="med"/>
                          </a:ln>
                        </wps:spPr>
                        <wps:bodyPr upright="1"/>
                      </wps:wsp>
                      <wps:wsp>
                        <wps:cNvPr id="84" name="直接连接符 84"/>
                        <wps:cNvCnPr/>
                        <wps:spPr>
                          <a:xfrm>
                            <a:off x="487045" y="972820"/>
                            <a:ext cx="35560" cy="0"/>
                          </a:xfrm>
                          <a:prstGeom prst="line">
                            <a:avLst/>
                          </a:prstGeom>
                          <a:ln w="0" cap="flat" cmpd="sng">
                            <a:solidFill>
                              <a:srgbClr val="000000"/>
                            </a:solidFill>
                            <a:prstDash val="solid"/>
                            <a:headEnd type="none" w="med" len="med"/>
                            <a:tailEnd type="none" w="med" len="med"/>
                          </a:ln>
                        </wps:spPr>
                        <wps:bodyPr upright="1"/>
                      </wps:wsp>
                      <wps:wsp>
                        <wps:cNvPr id="85" name="直接连接符 85"/>
                        <wps:cNvCnPr/>
                        <wps:spPr>
                          <a:xfrm>
                            <a:off x="487045" y="838835"/>
                            <a:ext cx="35560" cy="0"/>
                          </a:xfrm>
                          <a:prstGeom prst="line">
                            <a:avLst/>
                          </a:prstGeom>
                          <a:ln w="0" cap="flat" cmpd="sng">
                            <a:solidFill>
                              <a:srgbClr val="000000"/>
                            </a:solidFill>
                            <a:prstDash val="solid"/>
                            <a:headEnd type="none" w="med" len="med"/>
                            <a:tailEnd type="none" w="med" len="med"/>
                          </a:ln>
                        </wps:spPr>
                        <wps:bodyPr upright="1"/>
                      </wps:wsp>
                      <wps:wsp>
                        <wps:cNvPr id="86" name="直接连接符 86"/>
                        <wps:cNvCnPr/>
                        <wps:spPr>
                          <a:xfrm>
                            <a:off x="487045" y="704850"/>
                            <a:ext cx="35560" cy="0"/>
                          </a:xfrm>
                          <a:prstGeom prst="line">
                            <a:avLst/>
                          </a:prstGeom>
                          <a:ln w="0" cap="flat" cmpd="sng">
                            <a:solidFill>
                              <a:srgbClr val="000000"/>
                            </a:solidFill>
                            <a:prstDash val="solid"/>
                            <a:headEnd type="none" w="med" len="med"/>
                            <a:tailEnd type="none" w="med" len="med"/>
                          </a:ln>
                        </wps:spPr>
                        <wps:bodyPr upright="1"/>
                      </wps:wsp>
                      <wps:wsp>
                        <wps:cNvPr id="87" name="直接连接符 87"/>
                        <wps:cNvCnPr/>
                        <wps:spPr>
                          <a:xfrm>
                            <a:off x="487045" y="577850"/>
                            <a:ext cx="35560" cy="0"/>
                          </a:xfrm>
                          <a:prstGeom prst="line">
                            <a:avLst/>
                          </a:prstGeom>
                          <a:ln w="0" cap="flat" cmpd="sng">
                            <a:solidFill>
                              <a:srgbClr val="000000"/>
                            </a:solidFill>
                            <a:prstDash val="solid"/>
                            <a:headEnd type="none" w="med" len="med"/>
                            <a:tailEnd type="none" w="med" len="med"/>
                          </a:ln>
                        </wps:spPr>
                        <wps:bodyPr upright="1"/>
                      </wps:wsp>
                      <wps:wsp>
                        <wps:cNvPr id="88" name="直接连接符 88"/>
                        <wps:cNvCnPr/>
                        <wps:spPr>
                          <a:xfrm>
                            <a:off x="487045" y="443865"/>
                            <a:ext cx="35560" cy="0"/>
                          </a:xfrm>
                          <a:prstGeom prst="line">
                            <a:avLst/>
                          </a:prstGeom>
                          <a:ln w="0" cap="flat" cmpd="sng">
                            <a:solidFill>
                              <a:srgbClr val="000000"/>
                            </a:solidFill>
                            <a:prstDash val="solid"/>
                            <a:headEnd type="none" w="med" len="med"/>
                            <a:tailEnd type="none" w="med" len="med"/>
                          </a:ln>
                        </wps:spPr>
                        <wps:bodyPr upright="1"/>
                      </wps:wsp>
                      <wps:wsp>
                        <wps:cNvPr id="89" name="直接连接符 89"/>
                        <wps:cNvCnPr/>
                        <wps:spPr>
                          <a:xfrm>
                            <a:off x="487045" y="316865"/>
                            <a:ext cx="35560" cy="0"/>
                          </a:xfrm>
                          <a:prstGeom prst="line">
                            <a:avLst/>
                          </a:prstGeom>
                          <a:ln w="0" cap="flat" cmpd="sng">
                            <a:solidFill>
                              <a:srgbClr val="000000"/>
                            </a:solidFill>
                            <a:prstDash val="solid"/>
                            <a:headEnd type="none" w="med" len="med"/>
                            <a:tailEnd type="none" w="med" len="med"/>
                          </a:ln>
                        </wps:spPr>
                        <wps:bodyPr upright="1"/>
                      </wps:wsp>
                      <wps:wsp>
                        <wps:cNvPr id="90" name="直接连接符 90"/>
                        <wps:cNvCnPr/>
                        <wps:spPr>
                          <a:xfrm>
                            <a:off x="487045" y="183515"/>
                            <a:ext cx="35560" cy="0"/>
                          </a:xfrm>
                          <a:prstGeom prst="line">
                            <a:avLst/>
                          </a:prstGeom>
                          <a:ln w="0" cap="flat" cmpd="sng">
                            <a:solidFill>
                              <a:srgbClr val="000000"/>
                            </a:solidFill>
                            <a:prstDash val="solid"/>
                            <a:headEnd type="none" w="med" len="med"/>
                            <a:tailEnd type="none" w="med" len="med"/>
                          </a:ln>
                        </wps:spPr>
                        <wps:bodyPr upright="1"/>
                      </wps:wsp>
                      <wps:wsp>
                        <wps:cNvPr id="91" name="直接连接符 91"/>
                        <wps:cNvCnPr/>
                        <wps:spPr>
                          <a:xfrm>
                            <a:off x="487045" y="2149475"/>
                            <a:ext cx="5090160" cy="0"/>
                          </a:xfrm>
                          <a:prstGeom prst="line">
                            <a:avLst/>
                          </a:prstGeom>
                          <a:ln w="0" cap="flat" cmpd="sng">
                            <a:solidFill>
                              <a:srgbClr val="000000"/>
                            </a:solidFill>
                            <a:prstDash val="solid"/>
                            <a:headEnd type="none" w="med" len="med"/>
                            <a:tailEnd type="none" w="med" len="med"/>
                          </a:ln>
                        </wps:spPr>
                        <wps:bodyPr upright="1"/>
                      </wps:wsp>
                      <wps:wsp>
                        <wps:cNvPr id="92" name="直接连接符 92"/>
                        <wps:cNvCnPr/>
                        <wps:spPr>
                          <a:xfrm flipV="1">
                            <a:off x="487045" y="2114550"/>
                            <a:ext cx="0" cy="34925"/>
                          </a:xfrm>
                          <a:prstGeom prst="line">
                            <a:avLst/>
                          </a:prstGeom>
                          <a:ln w="0" cap="flat" cmpd="sng">
                            <a:solidFill>
                              <a:srgbClr val="000000"/>
                            </a:solidFill>
                            <a:prstDash val="solid"/>
                            <a:headEnd type="none" w="med" len="med"/>
                            <a:tailEnd type="none" w="med" len="med"/>
                          </a:ln>
                        </wps:spPr>
                        <wps:bodyPr upright="1"/>
                      </wps:wsp>
                      <wps:wsp>
                        <wps:cNvPr id="93" name="直接连接符 93"/>
                        <wps:cNvCnPr/>
                        <wps:spPr>
                          <a:xfrm flipV="1">
                            <a:off x="953135" y="2114550"/>
                            <a:ext cx="0" cy="34925"/>
                          </a:xfrm>
                          <a:prstGeom prst="line">
                            <a:avLst/>
                          </a:prstGeom>
                          <a:ln w="0" cap="flat" cmpd="sng">
                            <a:solidFill>
                              <a:srgbClr val="000000"/>
                            </a:solidFill>
                            <a:prstDash val="solid"/>
                            <a:headEnd type="none" w="med" len="med"/>
                            <a:tailEnd type="none" w="med" len="med"/>
                          </a:ln>
                        </wps:spPr>
                        <wps:bodyPr upright="1"/>
                      </wps:wsp>
                      <wps:wsp>
                        <wps:cNvPr id="94" name="直接连接符 94"/>
                        <wps:cNvCnPr/>
                        <wps:spPr>
                          <a:xfrm flipV="1">
                            <a:off x="1412240" y="2114550"/>
                            <a:ext cx="0" cy="34925"/>
                          </a:xfrm>
                          <a:prstGeom prst="line">
                            <a:avLst/>
                          </a:prstGeom>
                          <a:ln w="0" cap="flat" cmpd="sng">
                            <a:solidFill>
                              <a:srgbClr val="000000"/>
                            </a:solidFill>
                            <a:prstDash val="solid"/>
                            <a:headEnd type="none" w="med" len="med"/>
                            <a:tailEnd type="none" w="med" len="med"/>
                          </a:ln>
                        </wps:spPr>
                        <wps:bodyPr upright="1"/>
                      </wps:wsp>
                      <wps:wsp>
                        <wps:cNvPr id="95" name="直接连接符 95"/>
                        <wps:cNvCnPr/>
                        <wps:spPr>
                          <a:xfrm flipV="1">
                            <a:off x="1877695" y="2114550"/>
                            <a:ext cx="0" cy="34925"/>
                          </a:xfrm>
                          <a:prstGeom prst="line">
                            <a:avLst/>
                          </a:prstGeom>
                          <a:ln w="0" cap="flat" cmpd="sng">
                            <a:solidFill>
                              <a:srgbClr val="000000"/>
                            </a:solidFill>
                            <a:prstDash val="solid"/>
                            <a:headEnd type="none" w="med" len="med"/>
                            <a:tailEnd type="none" w="med" len="med"/>
                          </a:ln>
                        </wps:spPr>
                        <wps:bodyPr upright="1"/>
                      </wps:wsp>
                      <wps:wsp>
                        <wps:cNvPr id="96" name="直接连接符 96"/>
                        <wps:cNvCnPr/>
                        <wps:spPr>
                          <a:xfrm flipV="1">
                            <a:off x="2336800" y="2114550"/>
                            <a:ext cx="0" cy="34925"/>
                          </a:xfrm>
                          <a:prstGeom prst="line">
                            <a:avLst/>
                          </a:prstGeom>
                          <a:ln w="0" cap="flat" cmpd="sng">
                            <a:solidFill>
                              <a:srgbClr val="000000"/>
                            </a:solidFill>
                            <a:prstDash val="solid"/>
                            <a:headEnd type="none" w="med" len="med"/>
                            <a:tailEnd type="none" w="med" len="med"/>
                          </a:ln>
                        </wps:spPr>
                        <wps:bodyPr upright="1"/>
                      </wps:wsp>
                      <wps:wsp>
                        <wps:cNvPr id="97" name="直接连接符 97"/>
                        <wps:cNvCnPr/>
                        <wps:spPr>
                          <a:xfrm flipV="1">
                            <a:off x="2802890" y="2114550"/>
                            <a:ext cx="0" cy="34925"/>
                          </a:xfrm>
                          <a:prstGeom prst="line">
                            <a:avLst/>
                          </a:prstGeom>
                          <a:ln w="0" cap="flat" cmpd="sng">
                            <a:solidFill>
                              <a:srgbClr val="000000"/>
                            </a:solidFill>
                            <a:prstDash val="solid"/>
                            <a:headEnd type="none" w="med" len="med"/>
                            <a:tailEnd type="none" w="med" len="med"/>
                          </a:ln>
                        </wps:spPr>
                        <wps:bodyPr upright="1"/>
                      </wps:wsp>
                      <wps:wsp>
                        <wps:cNvPr id="98" name="直接连接符 98"/>
                        <wps:cNvCnPr/>
                        <wps:spPr>
                          <a:xfrm flipV="1">
                            <a:off x="3261360" y="2114550"/>
                            <a:ext cx="0" cy="34925"/>
                          </a:xfrm>
                          <a:prstGeom prst="line">
                            <a:avLst/>
                          </a:prstGeom>
                          <a:ln w="0" cap="flat" cmpd="sng">
                            <a:solidFill>
                              <a:srgbClr val="000000"/>
                            </a:solidFill>
                            <a:prstDash val="solid"/>
                            <a:headEnd type="none" w="med" len="med"/>
                            <a:tailEnd type="none" w="med" len="med"/>
                          </a:ln>
                        </wps:spPr>
                        <wps:bodyPr upright="1"/>
                      </wps:wsp>
                      <wps:wsp>
                        <wps:cNvPr id="99" name="直接连接符 99"/>
                        <wps:cNvCnPr/>
                        <wps:spPr>
                          <a:xfrm flipV="1">
                            <a:off x="3727450" y="2114550"/>
                            <a:ext cx="0" cy="34925"/>
                          </a:xfrm>
                          <a:prstGeom prst="line">
                            <a:avLst/>
                          </a:prstGeom>
                          <a:ln w="0" cap="flat" cmpd="sng">
                            <a:solidFill>
                              <a:srgbClr val="000000"/>
                            </a:solidFill>
                            <a:prstDash val="solid"/>
                            <a:headEnd type="none" w="med" len="med"/>
                            <a:tailEnd type="none" w="med" len="med"/>
                          </a:ln>
                        </wps:spPr>
                        <wps:bodyPr upright="1"/>
                      </wps:wsp>
                      <wps:wsp>
                        <wps:cNvPr id="100" name="直接连接符 100"/>
                        <wps:cNvCnPr/>
                        <wps:spPr>
                          <a:xfrm flipV="1">
                            <a:off x="4186555" y="2114550"/>
                            <a:ext cx="0" cy="34925"/>
                          </a:xfrm>
                          <a:prstGeom prst="line">
                            <a:avLst/>
                          </a:prstGeom>
                          <a:ln w="0" cap="flat" cmpd="sng">
                            <a:solidFill>
                              <a:srgbClr val="000000"/>
                            </a:solidFill>
                            <a:prstDash val="solid"/>
                            <a:headEnd type="none" w="med" len="med"/>
                            <a:tailEnd type="none" w="med" len="med"/>
                          </a:ln>
                        </wps:spPr>
                        <wps:bodyPr upright="1"/>
                      </wps:wsp>
                      <wps:wsp>
                        <wps:cNvPr id="101" name="直接连接符 101"/>
                        <wps:cNvCnPr/>
                        <wps:spPr>
                          <a:xfrm flipV="1">
                            <a:off x="4652645" y="2114550"/>
                            <a:ext cx="0" cy="34925"/>
                          </a:xfrm>
                          <a:prstGeom prst="line">
                            <a:avLst/>
                          </a:prstGeom>
                          <a:ln w="0" cap="flat" cmpd="sng">
                            <a:solidFill>
                              <a:srgbClr val="000000"/>
                            </a:solidFill>
                            <a:prstDash val="solid"/>
                            <a:headEnd type="none" w="med" len="med"/>
                            <a:tailEnd type="none" w="med" len="med"/>
                          </a:ln>
                        </wps:spPr>
                        <wps:bodyPr upright="1"/>
                      </wps:wsp>
                      <wps:wsp>
                        <wps:cNvPr id="102" name="直接连接符 102"/>
                        <wps:cNvCnPr/>
                        <wps:spPr>
                          <a:xfrm flipV="1">
                            <a:off x="5111115" y="2114550"/>
                            <a:ext cx="0" cy="34925"/>
                          </a:xfrm>
                          <a:prstGeom prst="line">
                            <a:avLst/>
                          </a:prstGeom>
                          <a:ln w="0" cap="flat" cmpd="sng">
                            <a:solidFill>
                              <a:srgbClr val="000000"/>
                            </a:solidFill>
                            <a:prstDash val="solid"/>
                            <a:headEnd type="none" w="med" len="med"/>
                            <a:tailEnd type="none" w="med" len="med"/>
                          </a:ln>
                        </wps:spPr>
                        <wps:bodyPr upright="1"/>
                      </wps:wsp>
                      <wps:wsp>
                        <wps:cNvPr id="103" name="直接连接符 103"/>
                        <wps:cNvCnPr/>
                        <wps:spPr>
                          <a:xfrm flipV="1">
                            <a:off x="5577205" y="2114550"/>
                            <a:ext cx="0" cy="34925"/>
                          </a:xfrm>
                          <a:prstGeom prst="line">
                            <a:avLst/>
                          </a:prstGeom>
                          <a:ln w="0" cap="flat" cmpd="sng">
                            <a:solidFill>
                              <a:srgbClr val="000000"/>
                            </a:solidFill>
                            <a:prstDash val="solid"/>
                            <a:headEnd type="none" w="med" len="med"/>
                            <a:tailEnd type="none" w="med" len="med"/>
                          </a:ln>
                        </wps:spPr>
                        <wps:bodyPr upright="1"/>
                      </wps:wsp>
                      <wps:wsp>
                        <wps:cNvPr id="104" name="任意多边形 104"/>
                        <wps:cNvSpPr/>
                        <wps:spPr>
                          <a:xfrm>
                            <a:off x="487045" y="260985"/>
                            <a:ext cx="5090160" cy="1367155"/>
                          </a:xfrm>
                          <a:custGeom>
                            <a:avLst/>
                            <a:gdLst/>
                            <a:ahLst/>
                            <a:cxnLst/>
                            <a:pathLst>
                              <a:path w="721" h="194">
                                <a:moveTo>
                                  <a:pt x="0" y="194"/>
                                </a:moveTo>
                                <a:lnTo>
                                  <a:pt x="66" y="171"/>
                                </a:lnTo>
                                <a:lnTo>
                                  <a:pt x="131" y="133"/>
                                </a:lnTo>
                                <a:lnTo>
                                  <a:pt x="197" y="89"/>
                                </a:lnTo>
                                <a:lnTo>
                                  <a:pt x="262" y="55"/>
                                </a:lnTo>
                                <a:lnTo>
                                  <a:pt x="328" y="35"/>
                                </a:lnTo>
                                <a:lnTo>
                                  <a:pt x="393" y="0"/>
                                </a:lnTo>
                                <a:lnTo>
                                  <a:pt x="459" y="6"/>
                                </a:lnTo>
                                <a:lnTo>
                                  <a:pt x="524" y="38"/>
                                </a:lnTo>
                                <a:lnTo>
                                  <a:pt x="590" y="90"/>
                                </a:lnTo>
                                <a:lnTo>
                                  <a:pt x="655" y="133"/>
                                </a:lnTo>
                                <a:lnTo>
                                  <a:pt x="721" y="181"/>
                                </a:lnTo>
                              </a:path>
                            </a:pathLst>
                          </a:custGeom>
                          <a:noFill/>
                          <a:ln w="0" cap="flat" cmpd="sng">
                            <a:solidFill>
                              <a:srgbClr val="000080"/>
                            </a:solidFill>
                            <a:prstDash val="solid"/>
                            <a:headEnd type="none" w="med" len="med"/>
                            <a:tailEnd type="none" w="med" len="med"/>
                          </a:ln>
                        </wps:spPr>
                        <wps:bodyPr upright="1"/>
                      </wps:wsp>
                      <wps:wsp>
                        <wps:cNvPr id="105" name="任意多边形 105"/>
                        <wps:cNvSpPr/>
                        <wps:spPr>
                          <a:xfrm>
                            <a:off x="473075" y="1614170"/>
                            <a:ext cx="27940" cy="27940"/>
                          </a:xfrm>
                          <a:custGeom>
                            <a:avLst/>
                            <a:gdLst/>
                            <a:ahLst/>
                            <a:cxnLst/>
                            <a:pathLst>
                              <a:path w="44" h="44">
                                <a:moveTo>
                                  <a:pt x="22" y="0"/>
                                </a:moveTo>
                                <a:lnTo>
                                  <a:pt x="44" y="22"/>
                                </a:lnTo>
                                <a:lnTo>
                                  <a:pt x="22" y="44"/>
                                </a:lnTo>
                                <a:lnTo>
                                  <a:pt x="0" y="22"/>
                                </a:lnTo>
                                <a:lnTo>
                                  <a:pt x="22"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106" name="任意多边形 106"/>
                        <wps:cNvSpPr/>
                        <wps:spPr>
                          <a:xfrm>
                            <a:off x="939165" y="1451610"/>
                            <a:ext cx="27940" cy="28575"/>
                          </a:xfrm>
                          <a:custGeom>
                            <a:avLst/>
                            <a:gdLst/>
                            <a:ahLst/>
                            <a:cxnLst/>
                            <a:pathLst>
                              <a:path w="44" h="45">
                                <a:moveTo>
                                  <a:pt x="22" y="0"/>
                                </a:moveTo>
                                <a:lnTo>
                                  <a:pt x="44" y="23"/>
                                </a:lnTo>
                                <a:lnTo>
                                  <a:pt x="22" y="45"/>
                                </a:lnTo>
                                <a:lnTo>
                                  <a:pt x="0" y="23"/>
                                </a:lnTo>
                                <a:lnTo>
                                  <a:pt x="22"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107" name="任意多边形 107"/>
                        <wps:cNvSpPr/>
                        <wps:spPr>
                          <a:xfrm>
                            <a:off x="1397635" y="1184275"/>
                            <a:ext cx="28575" cy="27940"/>
                          </a:xfrm>
                          <a:custGeom>
                            <a:avLst/>
                            <a:gdLst/>
                            <a:ahLst/>
                            <a:cxnLst/>
                            <a:pathLst>
                              <a:path w="45" h="44">
                                <a:moveTo>
                                  <a:pt x="23" y="0"/>
                                </a:moveTo>
                                <a:lnTo>
                                  <a:pt x="45" y="22"/>
                                </a:lnTo>
                                <a:lnTo>
                                  <a:pt x="23" y="44"/>
                                </a:lnTo>
                                <a:lnTo>
                                  <a:pt x="0" y="22"/>
                                </a:lnTo>
                                <a:lnTo>
                                  <a:pt x="23"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108" name="任意多边形 108"/>
                        <wps:cNvSpPr/>
                        <wps:spPr>
                          <a:xfrm>
                            <a:off x="1863725" y="873760"/>
                            <a:ext cx="28575" cy="28575"/>
                          </a:xfrm>
                          <a:custGeom>
                            <a:avLst/>
                            <a:gdLst/>
                            <a:ahLst/>
                            <a:cxnLst/>
                            <a:pathLst>
                              <a:path w="45" h="45">
                                <a:moveTo>
                                  <a:pt x="22" y="0"/>
                                </a:moveTo>
                                <a:lnTo>
                                  <a:pt x="45" y="22"/>
                                </a:lnTo>
                                <a:lnTo>
                                  <a:pt x="22" y="45"/>
                                </a:lnTo>
                                <a:lnTo>
                                  <a:pt x="0" y="22"/>
                                </a:lnTo>
                                <a:lnTo>
                                  <a:pt x="22"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109" name="任意多边形 109"/>
                        <wps:cNvSpPr/>
                        <wps:spPr>
                          <a:xfrm>
                            <a:off x="2322830" y="634365"/>
                            <a:ext cx="27940" cy="27940"/>
                          </a:xfrm>
                          <a:custGeom>
                            <a:avLst/>
                            <a:gdLst/>
                            <a:ahLst/>
                            <a:cxnLst/>
                            <a:pathLst>
                              <a:path w="44" h="44">
                                <a:moveTo>
                                  <a:pt x="22" y="0"/>
                                </a:moveTo>
                                <a:lnTo>
                                  <a:pt x="44" y="22"/>
                                </a:lnTo>
                                <a:lnTo>
                                  <a:pt x="22" y="44"/>
                                </a:lnTo>
                                <a:lnTo>
                                  <a:pt x="0" y="22"/>
                                </a:lnTo>
                                <a:lnTo>
                                  <a:pt x="22"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110" name="任意多边形 110"/>
                        <wps:cNvSpPr/>
                        <wps:spPr>
                          <a:xfrm>
                            <a:off x="2788285" y="493395"/>
                            <a:ext cx="28575" cy="27940"/>
                          </a:xfrm>
                          <a:custGeom>
                            <a:avLst/>
                            <a:gdLst/>
                            <a:ahLst/>
                            <a:cxnLst/>
                            <a:pathLst>
                              <a:path w="45" h="44">
                                <a:moveTo>
                                  <a:pt x="23" y="0"/>
                                </a:moveTo>
                                <a:lnTo>
                                  <a:pt x="45" y="22"/>
                                </a:lnTo>
                                <a:lnTo>
                                  <a:pt x="23" y="44"/>
                                </a:lnTo>
                                <a:lnTo>
                                  <a:pt x="0" y="22"/>
                                </a:lnTo>
                                <a:lnTo>
                                  <a:pt x="23"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111" name="任意多边形 111"/>
                        <wps:cNvSpPr/>
                        <wps:spPr>
                          <a:xfrm>
                            <a:off x="3247390" y="246380"/>
                            <a:ext cx="28575" cy="28575"/>
                          </a:xfrm>
                          <a:custGeom>
                            <a:avLst/>
                            <a:gdLst/>
                            <a:ahLst/>
                            <a:cxnLst/>
                            <a:pathLst>
                              <a:path w="45" h="45">
                                <a:moveTo>
                                  <a:pt x="22" y="0"/>
                                </a:moveTo>
                                <a:lnTo>
                                  <a:pt x="45" y="23"/>
                                </a:lnTo>
                                <a:lnTo>
                                  <a:pt x="22" y="45"/>
                                </a:lnTo>
                                <a:lnTo>
                                  <a:pt x="0" y="23"/>
                                </a:lnTo>
                                <a:lnTo>
                                  <a:pt x="22"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112" name="任意多边形 112"/>
                        <wps:cNvSpPr/>
                        <wps:spPr>
                          <a:xfrm>
                            <a:off x="3713480" y="288925"/>
                            <a:ext cx="27940" cy="27940"/>
                          </a:xfrm>
                          <a:custGeom>
                            <a:avLst/>
                            <a:gdLst/>
                            <a:ahLst/>
                            <a:cxnLst/>
                            <a:pathLst>
                              <a:path w="44" h="44">
                                <a:moveTo>
                                  <a:pt x="22" y="0"/>
                                </a:moveTo>
                                <a:lnTo>
                                  <a:pt x="44" y="22"/>
                                </a:lnTo>
                                <a:lnTo>
                                  <a:pt x="22" y="44"/>
                                </a:lnTo>
                                <a:lnTo>
                                  <a:pt x="0" y="22"/>
                                </a:lnTo>
                                <a:lnTo>
                                  <a:pt x="22"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113" name="任意多边形 113"/>
                        <wps:cNvSpPr/>
                        <wps:spPr>
                          <a:xfrm>
                            <a:off x="4172585" y="514350"/>
                            <a:ext cx="27940" cy="28575"/>
                          </a:xfrm>
                          <a:custGeom>
                            <a:avLst/>
                            <a:gdLst/>
                            <a:ahLst/>
                            <a:cxnLst/>
                            <a:pathLst>
                              <a:path w="44" h="45">
                                <a:moveTo>
                                  <a:pt x="22" y="0"/>
                                </a:moveTo>
                                <a:lnTo>
                                  <a:pt x="44" y="22"/>
                                </a:lnTo>
                                <a:lnTo>
                                  <a:pt x="22" y="45"/>
                                </a:lnTo>
                                <a:lnTo>
                                  <a:pt x="0" y="22"/>
                                </a:lnTo>
                                <a:lnTo>
                                  <a:pt x="22"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114" name="任意多边形 114"/>
                        <wps:cNvSpPr/>
                        <wps:spPr>
                          <a:xfrm>
                            <a:off x="4638040" y="880745"/>
                            <a:ext cx="28575" cy="28575"/>
                          </a:xfrm>
                          <a:custGeom>
                            <a:avLst/>
                            <a:gdLst/>
                            <a:ahLst/>
                            <a:cxnLst/>
                            <a:pathLst>
                              <a:path w="45" h="45">
                                <a:moveTo>
                                  <a:pt x="23" y="0"/>
                                </a:moveTo>
                                <a:lnTo>
                                  <a:pt x="45" y="23"/>
                                </a:lnTo>
                                <a:lnTo>
                                  <a:pt x="23" y="45"/>
                                </a:lnTo>
                                <a:lnTo>
                                  <a:pt x="0" y="23"/>
                                </a:lnTo>
                                <a:lnTo>
                                  <a:pt x="23"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115" name="任意多边形 115"/>
                        <wps:cNvSpPr/>
                        <wps:spPr>
                          <a:xfrm>
                            <a:off x="5097145" y="1184275"/>
                            <a:ext cx="27940" cy="27940"/>
                          </a:xfrm>
                          <a:custGeom>
                            <a:avLst/>
                            <a:gdLst/>
                            <a:ahLst/>
                            <a:cxnLst/>
                            <a:pathLst>
                              <a:path w="44" h="44">
                                <a:moveTo>
                                  <a:pt x="22" y="0"/>
                                </a:moveTo>
                                <a:lnTo>
                                  <a:pt x="44" y="22"/>
                                </a:lnTo>
                                <a:lnTo>
                                  <a:pt x="22" y="44"/>
                                </a:lnTo>
                                <a:lnTo>
                                  <a:pt x="0" y="22"/>
                                </a:lnTo>
                                <a:lnTo>
                                  <a:pt x="22"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116" name="任意多边形 116"/>
                        <wps:cNvSpPr/>
                        <wps:spPr>
                          <a:xfrm>
                            <a:off x="5563235" y="1522095"/>
                            <a:ext cx="27940" cy="28575"/>
                          </a:xfrm>
                          <a:custGeom>
                            <a:avLst/>
                            <a:gdLst/>
                            <a:ahLst/>
                            <a:cxnLst/>
                            <a:pathLst>
                              <a:path w="44" h="45">
                                <a:moveTo>
                                  <a:pt x="22" y="0"/>
                                </a:moveTo>
                                <a:lnTo>
                                  <a:pt x="44" y="22"/>
                                </a:lnTo>
                                <a:lnTo>
                                  <a:pt x="22" y="45"/>
                                </a:lnTo>
                                <a:lnTo>
                                  <a:pt x="0" y="22"/>
                                </a:lnTo>
                                <a:lnTo>
                                  <a:pt x="22"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117" name="矩形 117"/>
                        <wps:cNvSpPr/>
                        <wps:spPr>
                          <a:xfrm>
                            <a:off x="346075" y="2099945"/>
                            <a:ext cx="57785" cy="147955"/>
                          </a:xfrm>
                          <a:prstGeom prst="rect">
                            <a:avLst/>
                          </a:prstGeom>
                          <a:noFill/>
                          <a:ln>
                            <a:noFill/>
                          </a:ln>
                        </wps:spPr>
                        <wps:txbx>
                          <w:txbxContent>
                            <w:p>
                              <w:r>
                                <w:rPr>
                                  <w:rFonts w:ascii="宋体" w:cs="宋体"/>
                                  <w:color w:val="000000"/>
                                  <w:sz w:val="18"/>
                                  <w:szCs w:val="18"/>
                                </w:rPr>
                                <w:t>0</w:t>
                              </w:r>
                            </w:p>
                          </w:txbxContent>
                        </wps:txbx>
                        <wps:bodyPr wrap="none" lIns="0" tIns="0" rIns="0" bIns="0" upright="1">
                          <a:spAutoFit/>
                        </wps:bodyPr>
                      </wps:wsp>
                      <wps:wsp>
                        <wps:cNvPr id="118" name="矩形 118"/>
                        <wps:cNvSpPr/>
                        <wps:spPr>
                          <a:xfrm>
                            <a:off x="346075" y="1966595"/>
                            <a:ext cx="57785" cy="147955"/>
                          </a:xfrm>
                          <a:prstGeom prst="rect">
                            <a:avLst/>
                          </a:prstGeom>
                          <a:noFill/>
                          <a:ln>
                            <a:noFill/>
                          </a:ln>
                        </wps:spPr>
                        <wps:txbx>
                          <w:txbxContent>
                            <w:p>
                              <w:r>
                                <w:rPr>
                                  <w:rFonts w:ascii="宋体" w:cs="宋体"/>
                                  <w:color w:val="000000"/>
                                  <w:sz w:val="18"/>
                                  <w:szCs w:val="18"/>
                                </w:rPr>
                                <w:t>2</w:t>
                              </w:r>
                            </w:p>
                          </w:txbxContent>
                        </wps:txbx>
                        <wps:bodyPr wrap="none" lIns="0" tIns="0" rIns="0" bIns="0" upright="1">
                          <a:spAutoFit/>
                        </wps:bodyPr>
                      </wps:wsp>
                      <wps:wsp>
                        <wps:cNvPr id="119" name="矩形 119"/>
                        <wps:cNvSpPr/>
                        <wps:spPr>
                          <a:xfrm>
                            <a:off x="346075" y="1839595"/>
                            <a:ext cx="57785" cy="147955"/>
                          </a:xfrm>
                          <a:prstGeom prst="rect">
                            <a:avLst/>
                          </a:prstGeom>
                          <a:noFill/>
                          <a:ln>
                            <a:noFill/>
                          </a:ln>
                        </wps:spPr>
                        <wps:txbx>
                          <w:txbxContent>
                            <w:p>
                              <w:r>
                                <w:rPr>
                                  <w:rFonts w:ascii="宋体" w:cs="宋体"/>
                                  <w:color w:val="000000"/>
                                  <w:sz w:val="18"/>
                                  <w:szCs w:val="18"/>
                                </w:rPr>
                                <w:t>4</w:t>
                              </w:r>
                            </w:p>
                          </w:txbxContent>
                        </wps:txbx>
                        <wps:bodyPr wrap="none" lIns="0" tIns="0" rIns="0" bIns="0" upright="1">
                          <a:spAutoFit/>
                        </wps:bodyPr>
                      </wps:wsp>
                      <wps:wsp>
                        <wps:cNvPr id="120" name="矩形 120"/>
                        <wps:cNvSpPr/>
                        <wps:spPr>
                          <a:xfrm>
                            <a:off x="346075" y="1705610"/>
                            <a:ext cx="57785" cy="147955"/>
                          </a:xfrm>
                          <a:prstGeom prst="rect">
                            <a:avLst/>
                          </a:prstGeom>
                          <a:noFill/>
                          <a:ln>
                            <a:noFill/>
                          </a:ln>
                        </wps:spPr>
                        <wps:txbx>
                          <w:txbxContent>
                            <w:p>
                              <w:r>
                                <w:rPr>
                                  <w:rFonts w:ascii="宋体" w:cs="宋体"/>
                                  <w:color w:val="000000"/>
                                  <w:sz w:val="18"/>
                                  <w:szCs w:val="18"/>
                                </w:rPr>
                                <w:t>6</w:t>
                              </w:r>
                            </w:p>
                          </w:txbxContent>
                        </wps:txbx>
                        <wps:bodyPr wrap="none" lIns="0" tIns="0" rIns="0" bIns="0" upright="1">
                          <a:spAutoFit/>
                        </wps:bodyPr>
                      </wps:wsp>
                      <wps:wsp>
                        <wps:cNvPr id="121" name="矩形 121"/>
                        <wps:cNvSpPr/>
                        <wps:spPr>
                          <a:xfrm>
                            <a:off x="346075" y="1578610"/>
                            <a:ext cx="57785" cy="147955"/>
                          </a:xfrm>
                          <a:prstGeom prst="rect">
                            <a:avLst/>
                          </a:prstGeom>
                          <a:noFill/>
                          <a:ln>
                            <a:noFill/>
                          </a:ln>
                        </wps:spPr>
                        <wps:txbx>
                          <w:txbxContent>
                            <w:p>
                              <w:r>
                                <w:rPr>
                                  <w:rFonts w:ascii="宋体" w:cs="宋体"/>
                                  <w:color w:val="000000"/>
                                  <w:sz w:val="18"/>
                                  <w:szCs w:val="18"/>
                                </w:rPr>
                                <w:t>8</w:t>
                              </w:r>
                            </w:p>
                          </w:txbxContent>
                        </wps:txbx>
                        <wps:bodyPr wrap="none" lIns="0" tIns="0" rIns="0" bIns="0" upright="1">
                          <a:spAutoFit/>
                        </wps:bodyPr>
                      </wps:wsp>
                      <wps:wsp>
                        <wps:cNvPr id="122" name="矩形 122"/>
                        <wps:cNvSpPr/>
                        <wps:spPr>
                          <a:xfrm>
                            <a:off x="289560" y="1444625"/>
                            <a:ext cx="114935" cy="147955"/>
                          </a:xfrm>
                          <a:prstGeom prst="rect">
                            <a:avLst/>
                          </a:prstGeom>
                          <a:noFill/>
                          <a:ln>
                            <a:noFill/>
                          </a:ln>
                        </wps:spPr>
                        <wps:txbx>
                          <w:txbxContent>
                            <w:p>
                              <w:r>
                                <w:rPr>
                                  <w:rFonts w:ascii="宋体" w:cs="宋体"/>
                                  <w:color w:val="000000"/>
                                  <w:sz w:val="18"/>
                                  <w:szCs w:val="18"/>
                                </w:rPr>
                                <w:t>10</w:t>
                              </w:r>
                            </w:p>
                          </w:txbxContent>
                        </wps:txbx>
                        <wps:bodyPr wrap="none" lIns="0" tIns="0" rIns="0" bIns="0" upright="1">
                          <a:spAutoFit/>
                        </wps:bodyPr>
                      </wps:wsp>
                      <wps:wsp>
                        <wps:cNvPr id="123" name="矩形 123"/>
                        <wps:cNvSpPr/>
                        <wps:spPr>
                          <a:xfrm>
                            <a:off x="289560" y="1310640"/>
                            <a:ext cx="114935" cy="147955"/>
                          </a:xfrm>
                          <a:prstGeom prst="rect">
                            <a:avLst/>
                          </a:prstGeom>
                          <a:noFill/>
                          <a:ln>
                            <a:noFill/>
                          </a:ln>
                        </wps:spPr>
                        <wps:txbx>
                          <w:txbxContent>
                            <w:p>
                              <w:r>
                                <w:rPr>
                                  <w:rFonts w:ascii="宋体" w:cs="宋体"/>
                                  <w:color w:val="000000"/>
                                  <w:sz w:val="18"/>
                                  <w:szCs w:val="18"/>
                                </w:rPr>
                                <w:t>12</w:t>
                              </w:r>
                            </w:p>
                          </w:txbxContent>
                        </wps:txbx>
                        <wps:bodyPr wrap="none" lIns="0" tIns="0" rIns="0" bIns="0" upright="1">
                          <a:spAutoFit/>
                        </wps:bodyPr>
                      </wps:wsp>
                      <wps:wsp>
                        <wps:cNvPr id="124" name="矩形 124"/>
                        <wps:cNvSpPr/>
                        <wps:spPr>
                          <a:xfrm>
                            <a:off x="289560" y="1184275"/>
                            <a:ext cx="114935" cy="147955"/>
                          </a:xfrm>
                          <a:prstGeom prst="rect">
                            <a:avLst/>
                          </a:prstGeom>
                          <a:noFill/>
                          <a:ln>
                            <a:noFill/>
                          </a:ln>
                        </wps:spPr>
                        <wps:txbx>
                          <w:txbxContent>
                            <w:p>
                              <w:r>
                                <w:rPr>
                                  <w:rFonts w:ascii="宋体" w:cs="宋体"/>
                                  <w:color w:val="000000"/>
                                  <w:sz w:val="18"/>
                                  <w:szCs w:val="18"/>
                                </w:rPr>
                                <w:t>14</w:t>
                              </w:r>
                            </w:p>
                          </w:txbxContent>
                        </wps:txbx>
                        <wps:bodyPr wrap="none" lIns="0" tIns="0" rIns="0" bIns="0" upright="1">
                          <a:spAutoFit/>
                        </wps:bodyPr>
                      </wps:wsp>
                      <wps:wsp>
                        <wps:cNvPr id="125" name="矩形 125"/>
                        <wps:cNvSpPr/>
                        <wps:spPr>
                          <a:xfrm>
                            <a:off x="289560" y="1050290"/>
                            <a:ext cx="114935" cy="147955"/>
                          </a:xfrm>
                          <a:prstGeom prst="rect">
                            <a:avLst/>
                          </a:prstGeom>
                          <a:noFill/>
                          <a:ln>
                            <a:noFill/>
                          </a:ln>
                        </wps:spPr>
                        <wps:txbx>
                          <w:txbxContent>
                            <w:p>
                              <w:r>
                                <w:rPr>
                                  <w:rFonts w:ascii="宋体" w:cs="宋体"/>
                                  <w:color w:val="000000"/>
                                  <w:sz w:val="18"/>
                                  <w:szCs w:val="18"/>
                                </w:rPr>
                                <w:t>16</w:t>
                              </w:r>
                            </w:p>
                          </w:txbxContent>
                        </wps:txbx>
                        <wps:bodyPr wrap="none" lIns="0" tIns="0" rIns="0" bIns="0" upright="1">
                          <a:spAutoFit/>
                        </wps:bodyPr>
                      </wps:wsp>
                      <wps:wsp>
                        <wps:cNvPr id="126" name="矩形 126"/>
                        <wps:cNvSpPr/>
                        <wps:spPr>
                          <a:xfrm>
                            <a:off x="289560" y="923290"/>
                            <a:ext cx="114935" cy="147955"/>
                          </a:xfrm>
                          <a:prstGeom prst="rect">
                            <a:avLst/>
                          </a:prstGeom>
                          <a:noFill/>
                          <a:ln>
                            <a:noFill/>
                          </a:ln>
                        </wps:spPr>
                        <wps:txbx>
                          <w:txbxContent>
                            <w:p>
                              <w:r>
                                <w:rPr>
                                  <w:rFonts w:ascii="宋体" w:cs="宋体"/>
                                  <w:color w:val="000000"/>
                                  <w:sz w:val="18"/>
                                  <w:szCs w:val="18"/>
                                </w:rPr>
                                <w:t>18</w:t>
                              </w:r>
                            </w:p>
                          </w:txbxContent>
                        </wps:txbx>
                        <wps:bodyPr wrap="none" lIns="0" tIns="0" rIns="0" bIns="0" upright="1">
                          <a:spAutoFit/>
                        </wps:bodyPr>
                      </wps:wsp>
                      <wps:wsp>
                        <wps:cNvPr id="127" name="矩形 127"/>
                        <wps:cNvSpPr/>
                        <wps:spPr>
                          <a:xfrm>
                            <a:off x="289560" y="789305"/>
                            <a:ext cx="114935" cy="147955"/>
                          </a:xfrm>
                          <a:prstGeom prst="rect">
                            <a:avLst/>
                          </a:prstGeom>
                          <a:noFill/>
                          <a:ln>
                            <a:noFill/>
                          </a:ln>
                        </wps:spPr>
                        <wps:txbx>
                          <w:txbxContent>
                            <w:p>
                              <w:r>
                                <w:rPr>
                                  <w:rFonts w:ascii="宋体" w:cs="宋体"/>
                                  <w:color w:val="000000"/>
                                  <w:sz w:val="18"/>
                                  <w:szCs w:val="18"/>
                                </w:rPr>
                                <w:t>20</w:t>
                              </w:r>
                            </w:p>
                          </w:txbxContent>
                        </wps:txbx>
                        <wps:bodyPr wrap="none" lIns="0" tIns="0" rIns="0" bIns="0" upright="1">
                          <a:spAutoFit/>
                        </wps:bodyPr>
                      </wps:wsp>
                      <wps:wsp>
                        <wps:cNvPr id="128" name="矩形 128"/>
                        <wps:cNvSpPr/>
                        <wps:spPr>
                          <a:xfrm>
                            <a:off x="289560" y="655320"/>
                            <a:ext cx="114935" cy="147955"/>
                          </a:xfrm>
                          <a:prstGeom prst="rect">
                            <a:avLst/>
                          </a:prstGeom>
                          <a:noFill/>
                          <a:ln>
                            <a:noFill/>
                          </a:ln>
                        </wps:spPr>
                        <wps:txbx>
                          <w:txbxContent>
                            <w:p>
                              <w:r>
                                <w:rPr>
                                  <w:rFonts w:ascii="宋体" w:cs="宋体"/>
                                  <w:color w:val="000000"/>
                                  <w:sz w:val="18"/>
                                  <w:szCs w:val="18"/>
                                </w:rPr>
                                <w:t>22</w:t>
                              </w:r>
                            </w:p>
                          </w:txbxContent>
                        </wps:txbx>
                        <wps:bodyPr wrap="none" lIns="0" tIns="0" rIns="0" bIns="0" upright="1">
                          <a:spAutoFit/>
                        </wps:bodyPr>
                      </wps:wsp>
                      <wps:wsp>
                        <wps:cNvPr id="129" name="矩形 129"/>
                        <wps:cNvSpPr/>
                        <wps:spPr>
                          <a:xfrm>
                            <a:off x="289560" y="528320"/>
                            <a:ext cx="114935" cy="147955"/>
                          </a:xfrm>
                          <a:prstGeom prst="rect">
                            <a:avLst/>
                          </a:prstGeom>
                          <a:noFill/>
                          <a:ln>
                            <a:noFill/>
                          </a:ln>
                        </wps:spPr>
                        <wps:txbx>
                          <w:txbxContent>
                            <w:p>
                              <w:r>
                                <w:rPr>
                                  <w:rFonts w:ascii="宋体" w:cs="宋体"/>
                                  <w:color w:val="000000"/>
                                  <w:sz w:val="18"/>
                                  <w:szCs w:val="18"/>
                                </w:rPr>
                                <w:t>24</w:t>
                              </w:r>
                            </w:p>
                          </w:txbxContent>
                        </wps:txbx>
                        <wps:bodyPr wrap="none" lIns="0" tIns="0" rIns="0" bIns="0" upright="1">
                          <a:spAutoFit/>
                        </wps:bodyPr>
                      </wps:wsp>
                      <wps:wsp>
                        <wps:cNvPr id="130" name="矩形 130"/>
                        <wps:cNvSpPr/>
                        <wps:spPr>
                          <a:xfrm>
                            <a:off x="289560" y="394970"/>
                            <a:ext cx="114935" cy="147955"/>
                          </a:xfrm>
                          <a:prstGeom prst="rect">
                            <a:avLst/>
                          </a:prstGeom>
                          <a:noFill/>
                          <a:ln>
                            <a:noFill/>
                          </a:ln>
                        </wps:spPr>
                        <wps:txbx>
                          <w:txbxContent>
                            <w:p>
                              <w:r>
                                <w:rPr>
                                  <w:rFonts w:ascii="宋体" w:cs="宋体"/>
                                  <w:color w:val="000000"/>
                                  <w:sz w:val="18"/>
                                  <w:szCs w:val="18"/>
                                </w:rPr>
                                <w:t>26</w:t>
                              </w:r>
                            </w:p>
                          </w:txbxContent>
                        </wps:txbx>
                        <wps:bodyPr wrap="none" lIns="0" tIns="0" rIns="0" bIns="0" upright="1">
                          <a:spAutoFit/>
                        </wps:bodyPr>
                      </wps:wsp>
                      <wps:wsp>
                        <wps:cNvPr id="131" name="矩形 131"/>
                        <wps:cNvSpPr/>
                        <wps:spPr>
                          <a:xfrm>
                            <a:off x="289560" y="267970"/>
                            <a:ext cx="114935" cy="147955"/>
                          </a:xfrm>
                          <a:prstGeom prst="rect">
                            <a:avLst/>
                          </a:prstGeom>
                          <a:noFill/>
                          <a:ln>
                            <a:noFill/>
                          </a:ln>
                        </wps:spPr>
                        <wps:txbx>
                          <w:txbxContent>
                            <w:p>
                              <w:r>
                                <w:rPr>
                                  <w:rFonts w:ascii="宋体" w:cs="宋体"/>
                                  <w:color w:val="000000"/>
                                  <w:sz w:val="18"/>
                                  <w:szCs w:val="18"/>
                                </w:rPr>
                                <w:t>28</w:t>
                              </w:r>
                            </w:p>
                          </w:txbxContent>
                        </wps:txbx>
                        <wps:bodyPr wrap="none" lIns="0" tIns="0" rIns="0" bIns="0" upright="1">
                          <a:spAutoFit/>
                        </wps:bodyPr>
                      </wps:wsp>
                      <wps:wsp>
                        <wps:cNvPr id="132" name="矩形 132"/>
                        <wps:cNvSpPr/>
                        <wps:spPr>
                          <a:xfrm>
                            <a:off x="289560" y="133985"/>
                            <a:ext cx="114935" cy="147955"/>
                          </a:xfrm>
                          <a:prstGeom prst="rect">
                            <a:avLst/>
                          </a:prstGeom>
                          <a:noFill/>
                          <a:ln>
                            <a:noFill/>
                          </a:ln>
                        </wps:spPr>
                        <wps:txbx>
                          <w:txbxContent>
                            <w:p>
                              <w:r>
                                <w:rPr>
                                  <w:rFonts w:ascii="宋体" w:cs="宋体"/>
                                  <w:color w:val="000000"/>
                                  <w:sz w:val="18"/>
                                  <w:szCs w:val="18"/>
                                </w:rPr>
                                <w:t>30</w:t>
                              </w:r>
                            </w:p>
                          </w:txbxContent>
                        </wps:txbx>
                        <wps:bodyPr wrap="none" lIns="0" tIns="0" rIns="0" bIns="0" upright="1">
                          <a:spAutoFit/>
                        </wps:bodyPr>
                      </wps:wsp>
                      <wps:wsp>
                        <wps:cNvPr id="133" name="矩形 133"/>
                        <wps:cNvSpPr/>
                        <wps:spPr>
                          <a:xfrm>
                            <a:off x="459105" y="2247900"/>
                            <a:ext cx="57785" cy="147955"/>
                          </a:xfrm>
                          <a:prstGeom prst="rect">
                            <a:avLst/>
                          </a:prstGeom>
                          <a:noFill/>
                          <a:ln>
                            <a:noFill/>
                          </a:ln>
                        </wps:spPr>
                        <wps:txbx>
                          <w:txbxContent>
                            <w:p>
                              <w:r>
                                <w:rPr>
                                  <w:rFonts w:ascii="宋体" w:cs="宋体"/>
                                  <w:color w:val="000000"/>
                                  <w:sz w:val="18"/>
                                  <w:szCs w:val="18"/>
                                </w:rPr>
                                <w:t>1</w:t>
                              </w:r>
                            </w:p>
                          </w:txbxContent>
                        </wps:txbx>
                        <wps:bodyPr wrap="none" lIns="0" tIns="0" rIns="0" bIns="0" upright="1">
                          <a:spAutoFit/>
                        </wps:bodyPr>
                      </wps:wsp>
                      <wps:wsp>
                        <wps:cNvPr id="134" name="矩形 134"/>
                        <wps:cNvSpPr/>
                        <wps:spPr>
                          <a:xfrm>
                            <a:off x="924560" y="2247900"/>
                            <a:ext cx="57785" cy="147955"/>
                          </a:xfrm>
                          <a:prstGeom prst="rect">
                            <a:avLst/>
                          </a:prstGeom>
                          <a:noFill/>
                          <a:ln>
                            <a:noFill/>
                          </a:ln>
                        </wps:spPr>
                        <wps:txbx>
                          <w:txbxContent>
                            <w:p>
                              <w:r>
                                <w:rPr>
                                  <w:rFonts w:ascii="宋体" w:cs="宋体"/>
                                  <w:color w:val="000000"/>
                                  <w:sz w:val="18"/>
                                  <w:szCs w:val="18"/>
                                </w:rPr>
                                <w:t>2</w:t>
                              </w:r>
                            </w:p>
                          </w:txbxContent>
                        </wps:txbx>
                        <wps:bodyPr wrap="none" lIns="0" tIns="0" rIns="0" bIns="0" upright="1">
                          <a:spAutoFit/>
                        </wps:bodyPr>
                      </wps:wsp>
                      <wps:wsp>
                        <wps:cNvPr id="135" name="矩形 135"/>
                        <wps:cNvSpPr/>
                        <wps:spPr>
                          <a:xfrm>
                            <a:off x="1383665" y="2247900"/>
                            <a:ext cx="57785" cy="147955"/>
                          </a:xfrm>
                          <a:prstGeom prst="rect">
                            <a:avLst/>
                          </a:prstGeom>
                          <a:noFill/>
                          <a:ln>
                            <a:noFill/>
                          </a:ln>
                        </wps:spPr>
                        <wps:txbx>
                          <w:txbxContent>
                            <w:p>
                              <w:r>
                                <w:rPr>
                                  <w:rFonts w:ascii="宋体" w:cs="宋体"/>
                                  <w:color w:val="000000"/>
                                  <w:sz w:val="18"/>
                                  <w:szCs w:val="18"/>
                                </w:rPr>
                                <w:t>3</w:t>
                              </w:r>
                            </w:p>
                          </w:txbxContent>
                        </wps:txbx>
                        <wps:bodyPr wrap="none" lIns="0" tIns="0" rIns="0" bIns="0" upright="1">
                          <a:spAutoFit/>
                        </wps:bodyPr>
                      </wps:wsp>
                      <wps:wsp>
                        <wps:cNvPr id="136" name="矩形 136"/>
                        <wps:cNvSpPr/>
                        <wps:spPr>
                          <a:xfrm>
                            <a:off x="1849755" y="2247900"/>
                            <a:ext cx="57785" cy="147955"/>
                          </a:xfrm>
                          <a:prstGeom prst="rect">
                            <a:avLst/>
                          </a:prstGeom>
                          <a:noFill/>
                          <a:ln>
                            <a:noFill/>
                          </a:ln>
                        </wps:spPr>
                        <wps:txbx>
                          <w:txbxContent>
                            <w:p>
                              <w:r>
                                <w:rPr>
                                  <w:rFonts w:ascii="宋体" w:cs="宋体"/>
                                  <w:color w:val="000000"/>
                                  <w:sz w:val="18"/>
                                  <w:szCs w:val="18"/>
                                </w:rPr>
                                <w:t>4</w:t>
                              </w:r>
                            </w:p>
                          </w:txbxContent>
                        </wps:txbx>
                        <wps:bodyPr wrap="none" lIns="0" tIns="0" rIns="0" bIns="0" upright="1">
                          <a:spAutoFit/>
                        </wps:bodyPr>
                      </wps:wsp>
                      <wps:wsp>
                        <wps:cNvPr id="137" name="矩形 137"/>
                        <wps:cNvSpPr/>
                        <wps:spPr>
                          <a:xfrm>
                            <a:off x="2308225" y="2247900"/>
                            <a:ext cx="57785" cy="147955"/>
                          </a:xfrm>
                          <a:prstGeom prst="rect">
                            <a:avLst/>
                          </a:prstGeom>
                          <a:noFill/>
                          <a:ln>
                            <a:noFill/>
                          </a:ln>
                        </wps:spPr>
                        <wps:txbx>
                          <w:txbxContent>
                            <w:p>
                              <w:r>
                                <w:rPr>
                                  <w:rFonts w:ascii="宋体" w:cs="宋体"/>
                                  <w:color w:val="000000"/>
                                  <w:sz w:val="18"/>
                                  <w:szCs w:val="18"/>
                                </w:rPr>
                                <w:t>5</w:t>
                              </w:r>
                            </w:p>
                          </w:txbxContent>
                        </wps:txbx>
                        <wps:bodyPr wrap="none" lIns="0" tIns="0" rIns="0" bIns="0" upright="1">
                          <a:spAutoFit/>
                        </wps:bodyPr>
                      </wps:wsp>
                      <wps:wsp>
                        <wps:cNvPr id="138" name="矩形 138"/>
                        <wps:cNvSpPr/>
                        <wps:spPr>
                          <a:xfrm>
                            <a:off x="2774315" y="2247900"/>
                            <a:ext cx="57785" cy="147955"/>
                          </a:xfrm>
                          <a:prstGeom prst="rect">
                            <a:avLst/>
                          </a:prstGeom>
                          <a:noFill/>
                          <a:ln>
                            <a:noFill/>
                          </a:ln>
                        </wps:spPr>
                        <wps:txbx>
                          <w:txbxContent>
                            <w:p>
                              <w:r>
                                <w:rPr>
                                  <w:rFonts w:ascii="宋体" w:cs="宋体"/>
                                  <w:color w:val="000000"/>
                                  <w:sz w:val="18"/>
                                  <w:szCs w:val="18"/>
                                </w:rPr>
                                <w:t>6</w:t>
                              </w:r>
                            </w:p>
                          </w:txbxContent>
                        </wps:txbx>
                        <wps:bodyPr wrap="none" lIns="0" tIns="0" rIns="0" bIns="0" upright="1">
                          <a:spAutoFit/>
                        </wps:bodyPr>
                      </wps:wsp>
                      <wps:wsp>
                        <wps:cNvPr id="139" name="矩形 139"/>
                        <wps:cNvSpPr/>
                        <wps:spPr>
                          <a:xfrm>
                            <a:off x="3233420" y="2247900"/>
                            <a:ext cx="57785" cy="147955"/>
                          </a:xfrm>
                          <a:prstGeom prst="rect">
                            <a:avLst/>
                          </a:prstGeom>
                          <a:noFill/>
                          <a:ln>
                            <a:noFill/>
                          </a:ln>
                        </wps:spPr>
                        <wps:txbx>
                          <w:txbxContent>
                            <w:p>
                              <w:r>
                                <w:rPr>
                                  <w:rFonts w:ascii="宋体" w:cs="宋体"/>
                                  <w:color w:val="000000"/>
                                  <w:sz w:val="18"/>
                                  <w:szCs w:val="18"/>
                                </w:rPr>
                                <w:t>7</w:t>
                              </w:r>
                            </w:p>
                          </w:txbxContent>
                        </wps:txbx>
                        <wps:bodyPr wrap="none" lIns="0" tIns="0" rIns="0" bIns="0" upright="1">
                          <a:spAutoFit/>
                        </wps:bodyPr>
                      </wps:wsp>
                      <wps:wsp>
                        <wps:cNvPr id="140" name="矩形 140"/>
                        <wps:cNvSpPr/>
                        <wps:spPr>
                          <a:xfrm>
                            <a:off x="3699510" y="2247900"/>
                            <a:ext cx="57785" cy="147955"/>
                          </a:xfrm>
                          <a:prstGeom prst="rect">
                            <a:avLst/>
                          </a:prstGeom>
                          <a:noFill/>
                          <a:ln>
                            <a:noFill/>
                          </a:ln>
                        </wps:spPr>
                        <wps:txbx>
                          <w:txbxContent>
                            <w:p>
                              <w:r>
                                <w:rPr>
                                  <w:rFonts w:ascii="宋体" w:cs="宋体"/>
                                  <w:color w:val="000000"/>
                                  <w:sz w:val="18"/>
                                  <w:szCs w:val="18"/>
                                </w:rPr>
                                <w:t>8</w:t>
                              </w:r>
                            </w:p>
                          </w:txbxContent>
                        </wps:txbx>
                        <wps:bodyPr wrap="none" lIns="0" tIns="0" rIns="0" bIns="0" upright="1">
                          <a:spAutoFit/>
                        </wps:bodyPr>
                      </wps:wsp>
                      <wps:wsp>
                        <wps:cNvPr id="141" name="矩形 141"/>
                        <wps:cNvSpPr/>
                        <wps:spPr>
                          <a:xfrm>
                            <a:off x="4157980" y="2247900"/>
                            <a:ext cx="57785" cy="147955"/>
                          </a:xfrm>
                          <a:prstGeom prst="rect">
                            <a:avLst/>
                          </a:prstGeom>
                          <a:noFill/>
                          <a:ln>
                            <a:noFill/>
                          </a:ln>
                        </wps:spPr>
                        <wps:txbx>
                          <w:txbxContent>
                            <w:p>
                              <w:r>
                                <w:rPr>
                                  <w:rFonts w:ascii="宋体" w:cs="宋体"/>
                                  <w:color w:val="000000"/>
                                  <w:sz w:val="18"/>
                                  <w:szCs w:val="18"/>
                                </w:rPr>
                                <w:t>9</w:t>
                              </w:r>
                            </w:p>
                          </w:txbxContent>
                        </wps:txbx>
                        <wps:bodyPr wrap="none" lIns="0" tIns="0" rIns="0" bIns="0" upright="1">
                          <a:spAutoFit/>
                        </wps:bodyPr>
                      </wps:wsp>
                      <wps:wsp>
                        <wps:cNvPr id="142" name="矩形 142"/>
                        <wps:cNvSpPr/>
                        <wps:spPr>
                          <a:xfrm>
                            <a:off x="4596130" y="2247900"/>
                            <a:ext cx="114935" cy="147955"/>
                          </a:xfrm>
                          <a:prstGeom prst="rect">
                            <a:avLst/>
                          </a:prstGeom>
                          <a:noFill/>
                          <a:ln>
                            <a:noFill/>
                          </a:ln>
                        </wps:spPr>
                        <wps:txbx>
                          <w:txbxContent>
                            <w:p>
                              <w:r>
                                <w:rPr>
                                  <w:rFonts w:ascii="宋体" w:cs="宋体"/>
                                  <w:color w:val="000000"/>
                                  <w:sz w:val="18"/>
                                  <w:szCs w:val="18"/>
                                </w:rPr>
                                <w:t>10</w:t>
                              </w:r>
                            </w:p>
                          </w:txbxContent>
                        </wps:txbx>
                        <wps:bodyPr wrap="none" lIns="0" tIns="0" rIns="0" bIns="0" upright="1">
                          <a:spAutoFit/>
                        </wps:bodyPr>
                      </wps:wsp>
                      <wps:wsp>
                        <wps:cNvPr id="143" name="矩形 143"/>
                        <wps:cNvSpPr/>
                        <wps:spPr>
                          <a:xfrm>
                            <a:off x="5054600" y="2247900"/>
                            <a:ext cx="114935" cy="147955"/>
                          </a:xfrm>
                          <a:prstGeom prst="rect">
                            <a:avLst/>
                          </a:prstGeom>
                          <a:noFill/>
                          <a:ln>
                            <a:noFill/>
                          </a:ln>
                        </wps:spPr>
                        <wps:txbx>
                          <w:txbxContent>
                            <w:p>
                              <w:r>
                                <w:rPr>
                                  <w:rFonts w:ascii="宋体" w:cs="宋体"/>
                                  <w:color w:val="000000"/>
                                  <w:sz w:val="18"/>
                                  <w:szCs w:val="18"/>
                                </w:rPr>
                                <w:t>11</w:t>
                              </w:r>
                            </w:p>
                          </w:txbxContent>
                        </wps:txbx>
                        <wps:bodyPr wrap="none" lIns="0" tIns="0" rIns="0" bIns="0" upright="1">
                          <a:spAutoFit/>
                        </wps:bodyPr>
                      </wps:wsp>
                      <wps:wsp>
                        <wps:cNvPr id="144" name="矩形 144"/>
                        <wps:cNvSpPr/>
                        <wps:spPr>
                          <a:xfrm>
                            <a:off x="5520690" y="2247900"/>
                            <a:ext cx="114935" cy="147955"/>
                          </a:xfrm>
                          <a:prstGeom prst="rect">
                            <a:avLst/>
                          </a:prstGeom>
                          <a:noFill/>
                          <a:ln>
                            <a:noFill/>
                          </a:ln>
                        </wps:spPr>
                        <wps:txbx>
                          <w:txbxContent>
                            <w:p>
                              <w:r>
                                <w:rPr>
                                  <w:rFonts w:ascii="宋体" w:cs="宋体"/>
                                  <w:color w:val="000000"/>
                                  <w:sz w:val="18"/>
                                  <w:szCs w:val="18"/>
                                </w:rPr>
                                <w:t>12</w:t>
                              </w:r>
                            </w:p>
                          </w:txbxContent>
                        </wps:txbx>
                        <wps:bodyPr wrap="none" lIns="0" tIns="0" rIns="0" bIns="0" upright="1">
                          <a:spAutoFit/>
                        </wps:bodyPr>
                      </wps:wsp>
                      <wps:wsp>
                        <wps:cNvPr id="145" name="矩形 145"/>
                        <wps:cNvSpPr/>
                        <wps:spPr>
                          <a:xfrm>
                            <a:off x="2915920" y="2410460"/>
                            <a:ext cx="229235" cy="147955"/>
                          </a:xfrm>
                          <a:prstGeom prst="rect">
                            <a:avLst/>
                          </a:prstGeom>
                          <a:noFill/>
                          <a:ln>
                            <a:noFill/>
                          </a:ln>
                        </wps:spPr>
                        <wps:txbx>
                          <w:txbxContent>
                            <w:p>
                              <w:r>
                                <w:rPr>
                                  <w:rFonts w:hint="eastAsia" w:ascii="宋体" w:cs="宋体"/>
                                  <w:color w:val="000000"/>
                                  <w:sz w:val="18"/>
                                  <w:szCs w:val="18"/>
                                </w:rPr>
                                <w:t>月份</w:t>
                              </w:r>
                            </w:p>
                          </w:txbxContent>
                        </wps:txbx>
                        <wps:bodyPr wrap="none" lIns="0" tIns="0" rIns="0" bIns="0" upright="1">
                          <a:spAutoFit/>
                        </wps:bodyPr>
                      </wps:wsp>
                      <wps:wsp>
                        <wps:cNvPr id="146" name="矩形 146"/>
                        <wps:cNvSpPr/>
                        <wps:spPr>
                          <a:xfrm rot="16200000">
                            <a:off x="40640" y="1146810"/>
                            <a:ext cx="343535" cy="229235"/>
                          </a:xfrm>
                          <a:prstGeom prst="rect">
                            <a:avLst/>
                          </a:prstGeom>
                          <a:noFill/>
                          <a:ln>
                            <a:noFill/>
                          </a:ln>
                        </wps:spPr>
                        <wps:txbx>
                          <w:txbxContent>
                            <w:p>
                              <w:r>
                                <w:rPr>
                                  <w:rFonts w:hint="eastAsia" w:ascii="宋体" w:cs="宋体"/>
                                  <w:color w:val="000000"/>
                                  <w:sz w:val="18"/>
                                  <w:szCs w:val="18"/>
                                </w:rPr>
                                <w:t>温度℃</w:t>
                              </w:r>
                            </w:p>
                          </w:txbxContent>
                        </wps:txbx>
                        <wps:bodyPr vert="eaVert" wrap="none" lIns="0" tIns="0" rIns="0" bIns="0" upright="1"/>
                      </wps:wsp>
                      <wps:wsp>
                        <wps:cNvPr id="147" name="矩形 147"/>
                        <wps:cNvSpPr/>
                        <wps:spPr>
                          <a:xfrm>
                            <a:off x="35560" y="34925"/>
                            <a:ext cx="5675630" cy="2586990"/>
                          </a:xfrm>
                          <a:prstGeom prst="rect">
                            <a:avLst/>
                          </a:prstGeom>
                          <a:noFill/>
                          <a:ln w="6985" cap="flat" cmpd="sng">
                            <a:solidFill>
                              <a:srgbClr val="000000"/>
                            </a:solidFill>
                            <a:prstDash val="solid"/>
                            <a:miter/>
                            <a:headEnd type="none" w="med" len="med"/>
                            <a:tailEnd type="none" w="med" len="med"/>
                          </a:ln>
                        </wps:spPr>
                        <wps:bodyPr upright="1"/>
                      </wps:wsp>
                    </wpc:wpc>
                  </a:graphicData>
                </a:graphic>
              </wp:inline>
            </w:drawing>
          </mc:Choice>
          <mc:Fallback>
            <w:pict>
              <v:group id="_x0000_s1026" o:spid="_x0000_s1026" o:spt="203" style="height:206.45pt;width:449.7pt;" coordsize="5711190,2621915" editas="canvas" o:gfxdata="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">
                <o:lock v:ext="edit" aspectratio="f"/>
                <v:shape id="_x0000_s1026" o:spid="_x0000_s1026" style="position:absolute;left:0;top:0;height:2621915;width:5711190;" fillcolor="#FFFFFF" filled="t" stroked="f" coordsize="21600,21600" o:gfxdata="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">
                  <v:fill on="t" focussize="0,0"/>
                  <v:stroke on="f"/>
                  <v:imagedata o:title=""/>
                  <o:lock v:ext="edit" aspectratio="t"/>
                </v:shape>
                <v:rect id="_x0000_s1026" o:spid="_x0000_s1026" o:spt="1" style="position:absolute;left:35560;top:34925;height:2586990;width:5675630;" fillcolor="#FFFFFF" filled="t" stroked="t" coordsize="21600,21600" o:gfxdata="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bblHnWAAAABQEAAA8AAAAAAAAAAQAgAAAAIgAAAGRycy9kb3ducmV2LnhtbFBLAQIUABQAAAAI&#10;AIdO4kAsga0q7wEAANsDAAAOAAAAAAAAAAEAIAAAACUBAABkcnMvZTJvRG9jLnhtbFBLBQYAAAAA&#10;BgAGAFkBAACGBQAAAAA=&#10;">
                  <v:fill on="t" focussize="0,0"/>
                  <v:stroke weight="0.55pt" color="#000000" joinstyle="miter"/>
                  <v:imagedata o:title=""/>
                  <o:lock v:ext="edit" aspectratio="f"/>
                </v:rect>
                <v:rect id="_x0000_s1026" o:spid="_x0000_s1026" o:spt="1" style="position:absolute;left:571500;top:198120;height:1965960;width:5090160;" fillcolor="#FFFFFF" filled="t" stroked="f" coordsize="21600,21600" o:gfxdata="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69X91QAAAAUBAAAPAAAAAAAAAAEA&#10;IAAAACIAAABkcnMvZG93bnJldi54bWxQSwECFAAUAAAACACHTuJAB/PBcqABAAAeAwAADgAAAAAA&#10;AAABACAAAAAkAQAAZHJzL2Uyb0RvYy54bWxQSwUGAAAAAAYABgBZAQAANgUAAAAA&#10;">
                  <v:fill on="t" focussize="0,0"/>
                  <v:stroke on="f"/>
                  <v:imagedata o:title=""/>
                  <o:lock v:ext="edit" aspectratio="f"/>
                </v:rect>
                <v:line id="_x0000_s1026" o:spid="_x0000_s1026" o:spt="20" style="position:absolute;left:487045;top:183515;height:1965960;width: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qi1iU1QAAAAUB&#10;AAAPAAAAAAAAAAEAIAAAACIAAABkcnMvZG93bnJldi54bWxQSwECFAAUAAAACACHTuJAwdKUPOUB&#10;AACfAwAADgAAAAAAAAABACAAAAAkAQAAZHJzL2Uyb0RvYy54bWxQSwUGAAAAAAYABgBZAQAAewUA&#10;AAAA&#10;">
                  <v:fill on="f" focussize="0,0"/>
                  <v:stroke weight="0pt" color="#000000" joinstyle="round"/>
                  <v:imagedata o:title=""/>
                  <o:lock v:ext="edit" aspectratio="f"/>
                </v:line>
                <v:line id="_x0000_s1026" o:spid="_x0000_s1026" o:spt="20" style="position:absolute;left:487045;top:2149475;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qi1iU1QAAAAUB&#10;AAAPAAAAAAAAAAEAIAAAACIAAABkcnMvZG93bnJldi54bWxQSwECFAAUAAAACACHTuJABqmjquUB&#10;AACeAwAADgAAAAAAAAABACAAAAAkAQAAZHJzL2Uyb0RvYy54bWxQSwUGAAAAAAYABgBZAQAAewUA&#10;AAAA&#10;">
                  <v:fill on="f" focussize="0,0"/>
                  <v:stroke weight="0pt" color="#000000" joinstyle="round"/>
                  <v:imagedata o:title=""/>
                  <o:lock v:ext="edit" aspectratio="f"/>
                </v:line>
                <v:line id="_x0000_s1026" o:spid="_x0000_s1026" o:spt="20" style="position:absolute;left:487045;top:2015490;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qLWJTVAAAABQEA&#10;AA8AAAAAAAAAAQAgAAAAIgAAAGRycy9kb3ducmV2LnhtbFBLAQIUABQAAAAIAIdO4kA1Kyv15AEA&#10;AJ4DAAAOAAAAAAAAAAEAIAAAACQBAABkcnMvZTJvRG9jLnhtbFBLBQYAAAAABgAGAFkBAAB6BQAA&#10;AAA=&#10;">
                  <v:fill on="f" focussize="0,0"/>
                  <v:stroke weight="0pt" color="#000000" joinstyle="round"/>
                  <v:imagedata o:title=""/>
                  <o:lock v:ext="edit" aspectratio="f"/>
                </v:line>
                <v:line id="_x0000_s1026" o:spid="_x0000_s1026" o:spt="20" style="position:absolute;left:487045;top:1888490;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qi1iU1QAAAAUB&#10;AAAPAAAAAAAAAAEAIAAAACIAAABkcnMvZG93bnJldi54bWxQSwECFAAUAAAACACHTuJA7fPY/eUB&#10;AACeAwAADgAAAAAAAAABACAAAAAkAQAAZHJzL2Uyb0RvYy54bWxQSwUGAAAAAAYABgBZAQAAewUA&#10;AAAA&#10;">
                  <v:fill on="f" focussize="0,0"/>
                  <v:stroke weight="0pt" color="#000000" joinstyle="round"/>
                  <v:imagedata o:title=""/>
                  <o:lock v:ext="edit" aspectratio="f"/>
                </v:line>
                <v:line id="_x0000_s1026" o:spid="_x0000_s1026" o:spt="20" style="position:absolute;left:487045;top:1755140;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qLWJTVAAAABQEA&#10;AA8AAAAAAAAAAQAgAAAAIgAAAGRycy9kb3ducmV2LnhtbFBLAQIUABQAAAAIAIdO4kC33nYN5AEA&#10;AJ4DAAAOAAAAAAAAAAEAIAAAACQBAABkcnMvZTJvRG9jLnhtbFBLBQYAAAAABgAGAFkBAAB6BQAA&#10;AAA=&#10;">
                  <v:fill on="f" focussize="0,0"/>
                  <v:stroke weight="0pt" color="#000000" joinstyle="round"/>
                  <v:imagedata o:title=""/>
                  <o:lock v:ext="edit" aspectratio="f"/>
                </v:line>
                <v:line id="_x0000_s1026" o:spid="_x0000_s1026" o:spt="20" style="position:absolute;left:487045;top:1628140;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qLWJTVAAAABQEA&#10;AA8AAAAAAAAAAQAgAAAAIgAAAGRycy9kb3ducmV2LnhtbFBLAQIUABQAAAAIAIdO4kDwevA15AEA&#10;AJ4DAAAOAAAAAAAAAAEAIAAAACQBAABkcnMvZTJvRG9jLnhtbFBLBQYAAAAABgAGAFkBAAB6BQAA&#10;AAA=&#10;">
                  <v:fill on="f" focussize="0,0"/>
                  <v:stroke weight="0pt" color="#000000" joinstyle="round"/>
                  <v:imagedata o:title=""/>
                  <o:lock v:ext="edit" aspectratio="f"/>
                </v:line>
                <v:line id="_x0000_s1026" o:spid="_x0000_s1026" o:spt="20" style="position:absolute;left:487045;top:1494155;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qLWJTVAAAABQEA&#10;AA8AAAAAAAAAAQAgAAAAIgAAAGRycy9kb3ducmV2LnhtbFBLAQIUABQAAAAIAIdO4kCuMW/S5AEA&#10;AJ4DAAAOAAAAAAAAAAEAIAAAACQBAABkcnMvZTJvRG9jLnhtbFBLBQYAAAAABgAGAFkBAAB6BQAA&#10;AAA=&#10;">
                  <v:fill on="f" focussize="0,0"/>
                  <v:stroke weight="0pt" color="#000000" joinstyle="round"/>
                  <v:imagedata o:title=""/>
                  <o:lock v:ext="edit" aspectratio="f"/>
                </v:line>
                <v:line id="_x0000_s1026" o:spid="_x0000_s1026" o:spt="20" style="position:absolute;left:487045;top:1360170;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qLWJTVAAAABQEA&#10;AA8AAAAAAAAAAQAgAAAAIgAAAGRycy9kb3ducmV2LnhtbFBLAQIUABQAAAAIAIdO4kCN+A/s5AEA&#10;AJ4DAAAOAAAAAAAAAAEAIAAAACQBAABkcnMvZTJvRG9jLnhtbFBLBQYAAAAABgAGAFkBAAB6BQAA&#10;AAA=&#10;">
                  <v:fill on="f" focussize="0,0"/>
                  <v:stroke weight="0pt" color="#000000" joinstyle="round"/>
                  <v:imagedata o:title=""/>
                  <o:lock v:ext="edit" aspectratio="f"/>
                </v:line>
                <v:line id="_x0000_s1026" o:spid="_x0000_s1026" o:spt="20" style="position:absolute;left:487045;top:1233170;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qLWJTVAAAABQEA&#10;AA8AAAAAAAAAAQAgAAAAIgAAAGRycy9kb3ducmV2LnhtbFBLAQIUABQAAAAIAIdO4kDUNatr5AEA&#10;AJ4DAAAOAAAAAAAAAAEAIAAAACQBAABkcnMvZTJvRG9jLnhtbFBLBQYAAAAABgAGAFkBAAB6BQAA&#10;AAA=&#10;">
                  <v:fill on="f" focussize="0,0"/>
                  <v:stroke weight="0pt" color="#000000" joinstyle="round"/>
                  <v:imagedata o:title=""/>
                  <o:lock v:ext="edit" aspectratio="f"/>
                </v:line>
                <v:line id="_x0000_s1026" o:spid="_x0000_s1026" o:spt="20" style="position:absolute;left:487045;top:1099185;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otYlNUAAAAF&#10;AQAADwAAAAAAAAABACAAAAAiAAAAZHJzL2Rvd25yZXYueG1sUEsBAhQAFAAAAAgAh07iQHwXbK3m&#10;AQAAngMAAA4AAAAAAAAAAQAgAAAAJAEAAGRycy9lMm9Eb2MueG1sUEsFBgAAAAAGAAYAWQEAAHwF&#10;AAAAAA==&#10;">
                  <v:fill on="f" focussize="0,0"/>
                  <v:stroke weight="0pt" color="#000000" joinstyle="round"/>
                  <v:imagedata o:title=""/>
                  <o:lock v:ext="edit" aspectratio="f"/>
                </v:line>
                <v:line id="_x0000_s1026" o:spid="_x0000_s1026" o:spt="20" style="position:absolute;left:487045;top:972820;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qi1iU1QAAAAUB&#10;AAAPAAAAAAAAAAEAIAAAACIAAABkcnMvZG93bnJldi54bWxQSwECFAAUAAAACACHTuJA8t/zzOUB&#10;AACdAwAADgAAAAAAAAABACAAAAAkAQAAZHJzL2Uyb0RvYy54bWxQSwUGAAAAAAYABgBZAQAAewUA&#10;AAAA&#10;">
                  <v:fill on="f" focussize="0,0"/>
                  <v:stroke weight="0pt" color="#000000" joinstyle="round"/>
                  <v:imagedata o:title=""/>
                  <o:lock v:ext="edit" aspectratio="f"/>
                </v:line>
                <v:line id="_x0000_s1026" o:spid="_x0000_s1026" o:spt="20" style="position:absolute;left:487045;top:838835;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qLWJTVAAAABQEA&#10;AA8AAAAAAAAAAQAgAAAAIgAAAGRycy9kb3ducmV2LnhtbFBLAQIUABQAAAAIAIdO4kDVSVVq5AEA&#10;AJ0DAAAOAAAAAAAAAAEAIAAAACQBAABkcnMvZTJvRG9jLnhtbFBLBQYAAAAABgAGAFkBAAB6BQAA&#10;AAA=&#10;">
                  <v:fill on="f" focussize="0,0"/>
                  <v:stroke weight="0pt" color="#000000" joinstyle="round"/>
                  <v:imagedata o:title=""/>
                  <o:lock v:ext="edit" aspectratio="f"/>
                </v:line>
                <v:line id="_x0000_s1026" o:spid="_x0000_s1026" o:spt="20" style="position:absolute;left:487045;top:704850;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qi1iU1QAAAAUBAAAP&#10;AAAAAAAAAAEAIAAAACIAAABkcnMvZG93bnJldi54bWxQSwECFAAUAAAACACHTuJA569uMuIBAACd&#10;AwAADgAAAAAAAAABACAAAAAkAQAAZHJzL2Uyb0RvYy54bWxQSwUGAAAAAAYABgBZAQAAeAUAAAAA&#10;">
                  <v:fill on="f" focussize="0,0"/>
                  <v:stroke weight="0pt" color="#000000" joinstyle="round"/>
                  <v:imagedata o:title=""/>
                  <o:lock v:ext="edit" aspectratio="f"/>
                </v:line>
                <v:line id="_x0000_s1026" o:spid="_x0000_s1026" o:spt="20" style="position:absolute;left:487045;top:577850;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qLWJTVAAAABQEA&#10;AA8AAAAAAAAAAQAgAAAAIgAAAGRycy9kb3ducmV2LnhtbFBLAQIUABQAAAAIAIdO4kAeAwcW5AEA&#10;AJ0DAAAOAAAAAAAAAAEAIAAAACQBAABkcnMvZTJvRG9jLnhtbFBLBQYAAAAABgAGAFkBAAB6BQAA&#10;AAA=&#10;">
                  <v:fill on="f" focussize="0,0"/>
                  <v:stroke weight="0pt" color="#000000" joinstyle="round"/>
                  <v:imagedata o:title=""/>
                  <o:lock v:ext="edit" aspectratio="f"/>
                </v:line>
                <v:line id="_x0000_s1026" o:spid="_x0000_s1026" o:spt="20" style="position:absolute;left:487045;top:443865;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qLWJTVAAAABQEA&#10;AA8AAAAAAAAAAQAgAAAAIgAAAGRycy9kb3ducmV2LnhtbFBLAQIUABQAAAAIAIdO4kCwS/Dk5AEA&#10;AJ0DAAAOAAAAAAAAAAEAIAAAACQBAABkcnMvZTJvRG9jLnhtbFBLBQYAAAAABgAGAFkBAAB6BQAA&#10;AAA=&#10;">
                  <v:fill on="f" focussize="0,0"/>
                  <v:stroke weight="0pt" color="#000000" joinstyle="round"/>
                  <v:imagedata o:title=""/>
                  <o:lock v:ext="edit" aspectratio="f"/>
                </v:line>
                <v:line id="_x0000_s1026" o:spid="_x0000_s1026" o:spt="20" style="position:absolute;left:487045;top:316865;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qi1iU1QAAAAUB&#10;AAAPAAAAAAAAAAEAIAAAACIAAABkcnMvZG93bnJldi54bWxQSwECFAAUAAAACACHTuJAXYfCXuUB&#10;AACdAwAADgAAAAAAAAABACAAAAAkAQAAZHJzL2Uyb0RvYy54bWxQSwUGAAAAAAYABgBZAQAAewUA&#10;AAAA&#10;">
                  <v:fill on="f" focussize="0,0"/>
                  <v:stroke weight="0pt" color="#000000" joinstyle="round"/>
                  <v:imagedata o:title=""/>
                  <o:lock v:ext="edit" aspectratio="f"/>
                </v:line>
                <v:line id="_x0000_s1026" o:spid="_x0000_s1026" o:spt="20" style="position:absolute;left:487045;top:183515;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qLWJTVAAAABQEA&#10;AA8AAAAAAAAAAQAgAAAAIgAAAGRycy9kb3ducmV2LnhtbFBLAQIUABQAAAAIAIdO4kBkYG8K5AEA&#10;AJ0DAAAOAAAAAAAAAAEAIAAAACQBAABkcnMvZTJvRG9jLnhtbFBLBQYAAAAABgAGAFkBAAB6BQAA&#10;AAA=&#10;">
                  <v:fill on="f" focussize="0,0"/>
                  <v:stroke weight="0pt" color="#000000" joinstyle="round"/>
                  <v:imagedata o:title=""/>
                  <o:lock v:ext="edit" aspectratio="f"/>
                </v:line>
                <v:line id="_x0000_s1026" o:spid="_x0000_s1026" o:spt="20" style="position:absolute;left:487045;top:2149475;height:0;width:50901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qLWJTVAAAA&#10;BQEAAA8AAAAAAAAAAQAgAAAAIgAAAGRycy9kb3ducmV2LnhtbFBLAQIUABQAAAAIAIdO4kDmiLc+&#10;5wEAAKADAAAOAAAAAAAAAAEAIAAAACQBAABkcnMvZTJvRG9jLnhtbFBLBQYAAAAABgAGAFkBAAB9&#10;BQAAAAA=&#10;">
                  <v:fill on="f" focussize="0,0"/>
                  <v:stroke weight="0pt" color="#000000" joinstyle="round"/>
                  <v:imagedata o:title=""/>
                  <o:lock v:ext="edit" aspectratio="f"/>
                </v:line>
                <v:line id="_x0000_s1026" o:spid="_x0000_s1026" o:spt="20" style="position:absolute;left:487045;top:2114550;flip:y;height:34925;width:0;" filled="f" stroked="t" coordsize="21600,21600" o:gfxdata="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mFiou&#10;1wAAAAUBAAAPAAAAAAAAAAEAIAAAACIAAABkcnMvZG93bnJldi54bWxQSwECFAAUAAAACACHTuJA&#10;NBslFukBAACoAwAADgAAAAAAAAABACAAAAAmAQAAZHJzL2Uyb0RvYy54bWxQSwUGAAAAAAYABgBZ&#10;AQAAgQUAAAAA&#10;">
                  <v:fill on="f" focussize="0,0"/>
                  <v:stroke weight="0pt" color="#000000" joinstyle="round"/>
                  <v:imagedata o:title=""/>
                  <o:lock v:ext="edit" aspectratio="f"/>
                </v:line>
                <v:line id="_x0000_s1026" o:spid="_x0000_s1026" o:spt="20" style="position:absolute;left:953135;top:2114550;flip:y;height:34925;width:0;" filled="f" stroked="t" coordsize="21600,21600" o:gfxdata="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YWKi7X&#10;AAAABQEAAA8AAAAAAAAAAQAgAAAAIgAAAGRycy9kb3ducmV2LnhtbFBLAQIUABQAAAAIAIdO4kA0&#10;ZgZR6AEAAKgDAAAOAAAAAAAAAAEAIAAAACYBAABkcnMvZTJvRG9jLnhtbFBLBQYAAAAABgAGAFkB&#10;AACABQAAAAA=&#10;">
                  <v:fill on="f" focussize="0,0"/>
                  <v:stroke weight="0pt" color="#000000" joinstyle="round"/>
                  <v:imagedata o:title=""/>
                  <o:lock v:ext="edit" aspectratio="f"/>
                </v:line>
                <v:line id="_x0000_s1026" o:spid="_x0000_s1026" o:spt="20" style="position:absolute;left:1412240;top:2114550;flip:y;height:34925;width:0;" filled="f" stroked="t" coordsize="21600,21600" o:gfxdata="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YWKi7X&#10;AAAABQEAAA8AAAAAAAAAAQAgAAAAIgAAAGRycy9kb3ducmV2LnhtbFBLAQIUABQAAAAIAIdO4kCz&#10;BwfE6AEAAKkDAAAOAAAAAAAAAAEAIAAAACYBAABkcnMvZTJvRG9jLnhtbFBLBQYAAAAABgAGAFkB&#10;AACABQAAAAA=&#10;">
                  <v:fill on="f" focussize="0,0"/>
                  <v:stroke weight="0pt" color="#000000" joinstyle="round"/>
                  <v:imagedata o:title=""/>
                  <o:lock v:ext="edit" aspectratio="f"/>
                </v:line>
                <v:line id="_x0000_s1026" o:spid="_x0000_s1026" o:spt="20" style="position:absolute;left:1877695;top:2114550;flip:y;height:34925;width:0;" filled="f" stroked="t" coordsize="21600,21600" o:gfxdata="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m&#10;Fiou1wAAAAUBAAAPAAAAAAAAAAEAIAAAACIAAABkcnMvZG93bnJldi54bWxQSwECFAAUAAAACACH&#10;TuJA21t9HOwBAACpAwAADgAAAAAAAAABACAAAAAmAQAAZHJzL2Uyb0RvYy54bWxQSwUGAAAAAAYA&#10;BgBZAQAAhAUAAAAA&#10;">
                  <v:fill on="f" focussize="0,0"/>
                  <v:stroke weight="0pt" color="#000000" joinstyle="round"/>
                  <v:imagedata o:title=""/>
                  <o:lock v:ext="edit" aspectratio="f"/>
                </v:line>
                <v:line id="_x0000_s1026" o:spid="_x0000_s1026" o:spt="20" style="position:absolute;left:2336800;top:2114550;flip:y;height:34925;width:0;" filled="f" stroked="t" coordsize="21600,21600" o:gfxdata="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mFiou&#10;1wAAAAUBAAAPAAAAAAAAAAEAIAAAACIAAABkcnMvZG93bnJldi54bWxQSwECFAAUAAAACACHTuJA&#10;WKeomekBAACpAwAADgAAAAAAAAABACAAAAAmAQAAZHJzL2Uyb0RvYy54bWxQSwUGAAAAAAYABgBZ&#10;AQAAgQUAAAAA&#10;">
                  <v:fill on="f" focussize="0,0"/>
                  <v:stroke weight="0pt" color="#000000" joinstyle="round"/>
                  <v:imagedata o:title=""/>
                  <o:lock v:ext="edit" aspectratio="f"/>
                </v:line>
                <v:line id="_x0000_s1026" o:spid="_x0000_s1026" o:spt="20" style="position:absolute;left:2802890;top:2114550;flip:y;height:34925;width:0;" filled="f" stroked="t" coordsize="21600,21600" o:gfxdata="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YWKi7X&#10;AAAABQEAAA8AAAAAAAAAAQAgAAAAIgAAAGRycy9kb3ducmV2LnhtbFBLAQIUABQAAAAIAIdO4kA0&#10;VHRC6AEAAKkDAAAOAAAAAAAAAAEAIAAAACYBAABkcnMvZTJvRG9jLnhtbFBLBQYAAAAABgAGAFkB&#10;AACABQAAAAA=&#10;">
                  <v:fill on="f" focussize="0,0"/>
                  <v:stroke weight="0pt" color="#000000" joinstyle="round"/>
                  <v:imagedata o:title=""/>
                  <o:lock v:ext="edit" aspectratio="f"/>
                </v:line>
                <v:line id="_x0000_s1026" o:spid="_x0000_s1026" o:spt="20" style="position:absolute;left:3261360;top:2114550;flip:y;height:34925;width:0;" filled="f" stroked="t" coordsize="21600,21600" o:gfxdata="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mFiou&#10;1wAAAAUBAAAPAAAAAAAAAAEAIAAAACIAAABkcnMvZG93bnJldi54bWxQSwECFAAUAAAACACHTuJA&#10;HFCki+kBAACpAwAADgAAAAAAAAABACAAAAAmAQAAZHJzL2Uyb0RvYy54bWxQSwUGAAAAAAYABgBZ&#10;AQAAgQUAAAAA&#10;">
                  <v:fill on="f" focussize="0,0"/>
                  <v:stroke weight="0pt" color="#000000" joinstyle="round"/>
                  <v:imagedata o:title=""/>
                  <o:lock v:ext="edit" aspectratio="f"/>
                </v:line>
                <v:line id="_x0000_s1026" o:spid="_x0000_s1026" o:spt="20" style="position:absolute;left:3727450;top:2114550;flip:y;height:34925;width:0;" filled="f" stroked="t" coordsize="21600,21600" o:gfxdata="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mFiou&#10;1wAAAAUBAAAPAAAAAAAAAAEAIAAAACIAAABkcnMvZG93bnJldi54bWxQSwECFAAUAAAACACHTuJA&#10;5i83qekBAACpAwAADgAAAAAAAAABACAAAAAmAQAAZHJzL2Uyb0RvYy54bWxQSwUGAAAAAAYABgBZ&#10;AQAAgQUAAAAA&#10;">
                  <v:fill on="f" focussize="0,0"/>
                  <v:stroke weight="0pt" color="#000000" joinstyle="round"/>
                  <v:imagedata o:title=""/>
                  <o:lock v:ext="edit" aspectratio="f"/>
                </v:line>
                <v:line id="_x0000_s1026" o:spid="_x0000_s1026" o:spt="20" style="position:absolute;left:4186555;top:2114550;flip:y;height:34925;width:0;" filled="f" stroked="t" coordsize="21600,21600" o:gfxdata="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mFiou&#10;1wAAAAUBAAAPAAAAAAAAAAEAIAAAACIAAABkcnMvZG93bnJldi54bWxQSwECFAAUAAAACACHTuJA&#10;ddQQgukBAACrAwAADgAAAAAAAAABACAAAAAmAQAAZHJzL2Uyb0RvYy54bWxQSwUGAAAAAAYABgBZ&#10;AQAAgQUAAAAA&#10;">
                  <v:fill on="f" focussize="0,0"/>
                  <v:stroke weight="0pt" color="#000000" joinstyle="round"/>
                  <v:imagedata o:title=""/>
                  <o:lock v:ext="edit" aspectratio="f"/>
                </v:line>
                <v:line id="_x0000_s1026" o:spid="_x0000_s1026" o:spt="20" style="position:absolute;left:4652645;top:2114550;flip:y;height:34925;width:0;" filled="f" stroked="t" coordsize="21600,21600" o:gfxdata="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mFiou&#10;1wAAAAUBAAAPAAAAAAAAAAEAIAAAACIAAABkcnMvZG93bnJldi54bWxQSwECFAAUAAAACACHTuJA&#10;3prltOkBAACrAwAADgAAAAAAAAABACAAAAAmAQAAZHJzL2Uyb0RvYy54bWxQSwUGAAAAAAYABgBZ&#10;AQAAgQUAAAAA&#10;">
                  <v:fill on="f" focussize="0,0"/>
                  <v:stroke weight="0pt" color="#000000" joinstyle="round"/>
                  <v:imagedata o:title=""/>
                  <o:lock v:ext="edit" aspectratio="f"/>
                </v:line>
                <v:line id="_x0000_s1026" o:spid="_x0000_s1026" o:spt="20" style="position:absolute;left:5111115;top:2114550;flip:y;height:34925;width:0;" filled="f" stroked="t" coordsize="21600,21600" o:gfxdata="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hYqLtcA&#10;AAAFAQAADwAAAAAAAAABACAAAAAiAAAAZHJzL2Rvd25yZXYueG1sUEsBAhQAFAAAAAgAh07iQIsM&#10;RH/nAQAAqwMAAA4AAAAAAAAAAQAgAAAAJgEAAGRycy9lMm9Eb2MueG1sUEsFBgAAAAAGAAYAWQEA&#10;AH8FAAAAAA==&#10;">
                  <v:fill on="f" focussize="0,0"/>
                  <v:stroke weight="0pt" color="#000000" joinstyle="round"/>
                  <v:imagedata o:title=""/>
                  <o:lock v:ext="edit" aspectratio="f"/>
                </v:line>
                <v:line id="_x0000_s1026" o:spid="_x0000_s1026" o:spt="20" style="position:absolute;left:5577205;top:2114550;flip:y;height:34925;width:0;" filled="f" stroked="t" coordsize="21600,21600" o:gfxdata="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YW&#10;Ki7XAAAABQEAAA8AAAAAAAAAAQAgAAAAIgAAAGRycy9kb3ducmV2LnhtbFBLAQIUABQAAAAIAIdO&#10;4kC7wpy36wEAAKsDAAAOAAAAAAAAAAEAIAAAACYBAABkcnMvZTJvRG9jLnhtbFBLBQYAAAAABgAG&#10;AFkBAACDBQAAAAA=&#10;">
                  <v:fill on="f" focussize="0,0"/>
                  <v:stroke weight="0pt" color="#000000" joinstyle="round"/>
                  <v:imagedata o:title=""/>
                  <o:lock v:ext="edit" aspectratio="f"/>
                </v:line>
                <v:shape id="_x0000_s1026" o:spid="_x0000_s1026" o:spt="100" style="position:absolute;left:487045;top:260985;height:1367155;width:5090160;" filled="f" stroked="t" coordsize="721,194" o:gfxdata="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EKP3fY&#10;AAAABQEAAA8AAAAAAAAAAQAgAAAAIgAAAGRycy9kb3ducmV2LnhtbFBLAQIUABQAAAAIAIdO4kBp&#10;9WaIkgIAANUFAAAOAAAAAAAAAAEAIAAAACcBAABkcnMvZTJvRG9jLnhtbFBLBQYAAAAABgAGAFkB&#10;AAArBgAAAAA=&#10;" path="m0,194l66,171,131,133,197,89,262,55,328,35,393,0,459,6,524,38,590,90,655,133,721,181e">
                  <v:fill on="f" focussize="0,0"/>
                  <v:stroke weight="0pt" color="#000080" joinstyle="round"/>
                  <v:imagedata o:title=""/>
                  <o:lock v:ext="edit" aspectratio="f"/>
                </v:shape>
                <v:shape id="_x0000_s1026" o:spid="_x0000_s1026" o:spt="100" style="position:absolute;left:473075;top:1614170;height:27940;width:27940;" fillcolor="#000080" filled="t" stroked="t" coordsize="44,44" o:gfxdata="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pWEcNUAAAAFAQAADwAAAAAAAAABACAAAAAiAAAAZHJzL2Rv&#10;d25yZXYueG1sUEsBAhQAFAAAAAgAh07iQOasapc9AgAA7QQAAA4AAAAAAAAAAQAgAAAAJAEAAGRy&#10;cy9lMm9Eb2MueG1sUEsFBgAAAAAGAAYAWQEAANMFAAAAAA==&#10;" path="m22,0l44,22,22,44,0,22,22,0xe">
                  <v:fill on="t" focussize="0,0"/>
                  <v:stroke weight="0.55pt" color="#000080" joinstyle="round"/>
                  <v:imagedata o:title=""/>
                  <o:lock v:ext="edit" aspectratio="f"/>
                </v:shape>
                <v:shape id="_x0000_s1026" o:spid="_x0000_s1026" o:spt="100" style="position:absolute;left:939165;top:1451610;height:28575;width:27940;" fillcolor="#000080" filled="t" stroked="t" coordsize="44,45" o:gfxdata="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CkyS9gAAAAFAQAADwAAAAAAAAABACAA&#10;AAAiAAAAZHJzL2Rvd25yZXYueG1sUEsBAhQAFAAAAAgAh07iQOhUTs1GAgAA7QQAAA4AAAAAAAAA&#10;AQAgAAAAJwEAAGRycy9lMm9Eb2MueG1sUEsFBgAAAAAGAAYAWQEAAN8FAAAAAA==&#10;" path="m22,0l44,23,22,45,0,23,22,0xe">
                  <v:fill on="t" focussize="0,0"/>
                  <v:stroke weight="0.55pt" color="#000080" joinstyle="round"/>
                  <v:imagedata o:title=""/>
                  <o:lock v:ext="edit" aspectratio="f"/>
                </v:shape>
                <v:shape id="_x0000_s1026" o:spid="_x0000_s1026" o:spt="100" style="position:absolute;left:1397635;top:1184275;height:27940;width:28575;" fillcolor="#000080" filled="t" stroked="t" coordsize="45,44" o:gfxdata="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YBbN9UAAAAFAQAADwAAAAAAAAABACAAAAAiAAAAZHJz&#10;L2Rvd25yZXYueG1sUEsBAhQAFAAAAAgAh07iQPwUJ+tAAgAA7gQAAA4AAAAAAAAAAQAgAAAAJAEA&#10;AGRycy9lMm9Eb2MueG1sUEsFBgAAAAAGAAYAWQEAANYFAAAAAA==&#10;" path="m23,0l45,22,23,44,0,22,23,0xe">
                  <v:fill on="t" focussize="0,0"/>
                  <v:stroke weight="0.55pt" color="#000080" joinstyle="round"/>
                  <v:imagedata o:title=""/>
                  <o:lock v:ext="edit" aspectratio="f"/>
                </v:shape>
                <v:shape id="_x0000_s1026" o:spid="_x0000_s1026" o:spt="100" style="position:absolute;left:1863725;top:873760;height:28575;width:28575;" fillcolor="#000080" filled="t" stroked="t" coordsize="45,45" o:gfxdata="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l1AeHWAAAABQEAAA8AAAAAAAAAAQAgAAAAIgAAAGRycy9k&#10;b3ducmV2LnhtbFBLAQIUABQAAAAIAIdO4kBfEcpAPQIAAO0EAAAOAAAAAAAAAAEAIAAAACUBAABk&#10;cnMvZTJvRG9jLnhtbFBLBQYAAAAABgAGAFkBAADUBQAAAAA=&#10;" path="m22,0l45,22,22,45,0,22,22,0xe">
                  <v:fill on="t" focussize="0,0"/>
                  <v:stroke weight="0.55pt" color="#000080" joinstyle="round"/>
                  <v:imagedata o:title=""/>
                  <o:lock v:ext="edit" aspectratio="f"/>
                </v:shape>
                <v:shape id="_x0000_s1026" o:spid="_x0000_s1026" o:spt="100" style="position:absolute;left:2322830;top:634365;height:27940;width:27940;" fillcolor="#000080" filled="t" stroked="t" coordsize="44,44" o:gfxdata="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GlYRw1QAAAAUBAAAPAAAAAAAAAAEAIAAAACIAAABkcnMv&#10;ZG93bnJldi54bWxQSwECFAAUAAAACACHTuJA8WbMhT8CAADtBAAADgAAAAAAAAABACAAAAAkAQAA&#10;ZHJzL2Uyb0RvYy54bWxQSwUGAAAAAAYABgBZAQAA1QUAAAAA&#10;" path="m22,0l44,22,22,44,0,22,22,0xe">
                  <v:fill on="t" focussize="0,0"/>
                  <v:stroke weight="0.55pt" color="#000080" joinstyle="round"/>
                  <v:imagedata o:title=""/>
                  <o:lock v:ext="edit" aspectratio="f"/>
                </v:shape>
                <v:shape id="_x0000_s1026" o:spid="_x0000_s1026" o:spt="100" style="position:absolute;left:2788285;top:493395;height:27940;width:28575;" fillcolor="#000080" filled="t" stroked="t" coordsize="45,44" o:gfxdata="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gFs31QAAAAUBAAAPAAAAAAAAAAEAIAAAACIAAABkcnMv&#10;ZG93bnJldi54bWxQSwECFAAUAAAACACHTuJAMnOPuD8CAADtBAAADgAAAAAAAAABACAAAAAkAQAA&#10;ZHJzL2Uyb0RvYy54bWxQSwUGAAAAAAYABgBZAQAA1QUAAAAA&#10;" path="m23,0l45,22,23,44,0,22,23,0xe">
                  <v:fill on="t" focussize="0,0"/>
                  <v:stroke weight="0.55pt" color="#000080" joinstyle="round"/>
                  <v:imagedata o:title=""/>
                  <o:lock v:ext="edit" aspectratio="f"/>
                </v:shape>
                <v:shape id="_x0000_s1026" o:spid="_x0000_s1026" o:spt="100" style="position:absolute;left:3247390;top:246380;height:28575;width:28575;" fillcolor="#000080" filled="t" stroked="t" coordsize="45,45" o:gfxdata="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&#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l1AeHWAAAABQEAAA8AAAAAAAAAAQAgAAAAIgAAAGRy&#10;cy9kb3ducmV2LnhtbFBLAQIUABQAAAAIAIdO4kBb/6sXQAIAAO0EAAAOAAAAAAAAAAEAIAAAACUB&#10;AABkcnMvZTJvRG9jLnhtbFBLBQYAAAAABgAGAFkBAADXBQAAAAA=&#10;" path="m22,0l45,23,22,45,0,23,22,0xe">
                  <v:fill on="t" focussize="0,0"/>
                  <v:stroke weight="0.55pt" color="#000080" joinstyle="round"/>
                  <v:imagedata o:title=""/>
                  <o:lock v:ext="edit" aspectratio="f"/>
                </v:shape>
                <v:shape id="_x0000_s1026" o:spid="_x0000_s1026" o:spt="100" style="position:absolute;left:3713480;top:288925;height:27940;width:27940;" fillcolor="#000080" filled="t" stroked="t" coordsize="44,44" o:gfxdata="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pWEcNUAAAAFAQAADwAAAAAAAAABACAAAAAi&#10;AAAAZHJzL2Rvd25yZXYueG1sUEsBAhQAFAAAAAgAh07iQCnJYldGAgAA7QQAAA4AAAAAAAAAAQAg&#10;AAAAJAEAAGRycy9lMm9Eb2MueG1sUEsFBgAAAAAGAAYAWQEAANwFAAAAAA==&#10;" path="m22,0l44,22,22,44,0,22,22,0xe">
                  <v:fill on="t" focussize="0,0"/>
                  <v:stroke weight="0.55pt" color="#000080" joinstyle="round"/>
                  <v:imagedata o:title=""/>
                  <o:lock v:ext="edit" aspectratio="f"/>
                </v:shape>
                <v:shape id="_x0000_s1026" o:spid="_x0000_s1026" o:spt="100" style="position:absolute;left:4172585;top:514350;height:28575;width:27940;" fillcolor="#000080" filled="t" stroked="t" coordsize="44,45" o:gfxdata="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CkyS9gAAAAFAQAADwAAAAAAAAABACAA&#10;AAAiAAAAZHJzL2Rvd25yZXYueG1sUEsBAhQAFAAAAAgAh07iQLE0DVdGAgAA7QQAAA4AAAAAAAAA&#10;AQAgAAAAJwEAAGRycy9lMm9Eb2MueG1sUEsFBgAAAAAGAAYAWQEAAN8FAAAAAA==&#10;" path="m22,0l44,22,22,45,0,22,22,0xe">
                  <v:fill on="t" focussize="0,0"/>
                  <v:stroke weight="0.55pt" color="#000080" joinstyle="round"/>
                  <v:imagedata o:title=""/>
                  <o:lock v:ext="edit" aspectratio="f"/>
                </v:shape>
                <v:shape id="_x0000_s1026" o:spid="_x0000_s1026" o:spt="100" style="position:absolute;left:4638040;top:880745;height:28575;width:28575;" fillcolor="#000080" filled="t" stroked="t" coordsize="45,45" o:gfxdata="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XUB4dYAAAAFAQAADwAAAAAAAAABACAAAAAiAAAAZHJz&#10;L2Rvd25yZXYueG1sUEsBAhQAFAAAAAgAh07iQO3Mi1k/AgAA7QQAAA4AAAAAAAAAAQAgAAAAJQEA&#10;AGRycy9lMm9Eb2MueG1sUEsFBgAAAAAGAAYAWQEAANYFAAAAAA==&#10;" path="m23,0l45,23,23,45,0,23,23,0xe">
                  <v:fill on="t" focussize="0,0"/>
                  <v:stroke weight="0.55pt" color="#000080" joinstyle="round"/>
                  <v:imagedata o:title=""/>
                  <o:lock v:ext="edit" aspectratio="f"/>
                </v:shape>
                <v:shape id="_x0000_s1026" o:spid="_x0000_s1026" o:spt="100" style="position:absolute;left:5097145;top:1184275;height:27940;width:27940;" fillcolor="#000080" filled="t" stroked="t" coordsize="44,44" o:gfxdata="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pWEcNUAAAAFAQAADwAAAAAAAAABACAAAAAiAAAAZHJz&#10;L2Rvd25yZXYueG1sUEsBAhQAFAAAAAgAh07iQLMSgfxAAgAA7gQAAA4AAAAAAAAAAQAgAAAAJAEA&#10;AGRycy9lMm9Eb2MueG1sUEsFBgAAAAAGAAYAWQEAANYFAAAAAA==&#10;" path="m22,0l44,22,22,44,0,22,22,0xe">
                  <v:fill on="t" focussize="0,0"/>
                  <v:stroke weight="0.55pt" color="#000080" joinstyle="round"/>
                  <v:imagedata o:title=""/>
                  <o:lock v:ext="edit" aspectratio="f"/>
                </v:shape>
                <v:shape id="_x0000_s1026" o:spid="_x0000_s1026" o:spt="100" style="position:absolute;left:5563235;top:1522095;height:28575;width:27940;" fillcolor="#000080" filled="t" stroked="t" coordsize="44,45" o:gfxdata="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gpMkvYAAAABQEAAA8AAAAAAAAAAQAgAAAA&#10;IgAAAGRycy9kb3ducmV2LnhtbFBLAQIUABQAAAAIAIdO4kB4pYzoRAIAAO4EAAAOAAAAAAAAAAEA&#10;IAAAACcBAABkcnMvZTJvRG9jLnhtbFBLBQYAAAAABgAGAFkBAADdBQAAAAA=&#10;" path="m22,0l44,22,22,45,0,22,22,0xe">
                  <v:fill on="t" focussize="0,0"/>
                  <v:stroke weight="0.55pt" color="#000080" joinstyle="round"/>
                  <v:imagedata o:title=""/>
                  <o:lock v:ext="edit" aspectratio="f"/>
                </v:shape>
                <v:rect id="_x0000_s1026" o:spid="_x0000_s1026" o:spt="1" style="position:absolute;left:346075;top:2099945;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A&#10;wXYg1AAAAAUBAAAPAAAAAAAAAAEAIAAAACIAAABkcnMvZG93bnJldi54bWxQSwECFAAUAAAACACH&#10;TuJAM4bhtrYBAABKAwAADgAAAAAAAAABACAAAAAjAQAAZHJzL2Uyb0RvYy54bWxQSwUGAAAAAAYA&#10;BgBZAQAASwUAAAAA&#10;">
                  <v:fill on="f" focussize="0,0"/>
                  <v:stroke on="f"/>
                  <v:imagedata o:title=""/>
                  <o:lock v:ext="edit" aspectratio="f"/>
                  <v:textbox inset="0mm,0mm,0mm,0mm" style="mso-fit-shape-to-text:t;">
                    <w:txbxContent>
                      <w:p>
                        <w:r>
                          <w:rPr>
                            <w:rFonts w:ascii="宋体" w:cs="宋体"/>
                            <w:color w:val="000000"/>
                            <w:sz w:val="18"/>
                            <w:szCs w:val="18"/>
                          </w:rPr>
                          <w:t>0</w:t>
                        </w:r>
                      </w:p>
                    </w:txbxContent>
                  </v:textbox>
                </v:rect>
                <v:rect id="_x0000_s1026" o:spid="_x0000_s1026" o:spt="1" style="position:absolute;left:346075;top:1966595;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C2GKN0tQEAAEo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8"/>
                            <w:szCs w:val="18"/>
                          </w:rPr>
                          <w:t>2</w:t>
                        </w:r>
                      </w:p>
                    </w:txbxContent>
                  </v:textbox>
                </v:rect>
                <v:rect id="_x0000_s1026" o:spid="_x0000_s1026" o:spt="1" style="position:absolute;left:346075;top:1839595;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ACRZVBtQEAAEo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8"/>
                            <w:szCs w:val="18"/>
                          </w:rPr>
                          <w:t>4</w:t>
                        </w:r>
                      </w:p>
                    </w:txbxContent>
                  </v:textbox>
                </v:rect>
                <v:rect id="_x0000_s1026" o:spid="_x0000_s1026" o:spt="1" style="position:absolute;left:346075;top:1705610;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AwXYg&#10;1AAAAAUBAAAPAAAAAAAAAAEAIAAAACIAAABkcnMvZG93bnJldi54bWxQSwECFAAUAAAACACHTuJA&#10;rzGjk7MBAABKAwAADgAAAAAAAAABACAAAAAjAQAAZHJzL2Uyb0RvYy54bWxQSwUGAAAAAAYABgBZ&#10;AQAASAUAAAAA&#10;">
                  <v:fill on="f" focussize="0,0"/>
                  <v:stroke on="f"/>
                  <v:imagedata o:title=""/>
                  <o:lock v:ext="edit" aspectratio="f"/>
                  <v:textbox inset="0mm,0mm,0mm,0mm" style="mso-fit-shape-to-text:t;">
                    <w:txbxContent>
                      <w:p>
                        <w:r>
                          <w:rPr>
                            <w:rFonts w:ascii="宋体" w:cs="宋体"/>
                            <w:color w:val="000000"/>
                            <w:sz w:val="18"/>
                            <w:szCs w:val="18"/>
                          </w:rPr>
                          <w:t>6</w:t>
                        </w:r>
                      </w:p>
                    </w:txbxContent>
                  </v:textbox>
                </v:rect>
                <v:rect id="_x0000_s1026" o:spid="_x0000_s1026" o:spt="1" style="position:absolute;left:346075;top:1578610;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MF2&#10;INQAAAAFAQAADwAAAAAAAAABACAAAAAiAAAAZHJzL2Rvd25yZXYueG1sUEsBAhQAFAAAAAgAh07i&#10;QCdhLGK0AQAASgMAAA4AAAAAAAAAAQAgAAAAIwEAAGRycy9lMm9Eb2MueG1sUEsFBgAAAAAGAAYA&#10;WQEAAEkFAAAAAA==&#10;">
                  <v:fill on="f" focussize="0,0"/>
                  <v:stroke on="f"/>
                  <v:imagedata o:title=""/>
                  <o:lock v:ext="edit" aspectratio="f"/>
                  <v:textbox inset="0mm,0mm,0mm,0mm" style="mso-fit-shape-to-text:t;">
                    <w:txbxContent>
                      <w:p>
                        <w:r>
                          <w:rPr>
                            <w:rFonts w:ascii="宋体" w:cs="宋体"/>
                            <w:color w:val="000000"/>
                            <w:sz w:val="18"/>
                            <w:szCs w:val="18"/>
                          </w:rPr>
                          <w:t>8</w:t>
                        </w:r>
                      </w:p>
                    </w:txbxContent>
                  </v:textbox>
                </v:rect>
                <v:rect id="_x0000_s1026" o:spid="_x0000_s1026" o:spt="1" style="position:absolute;left:289560;top:1444625;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BIupyrtQEAAEs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8"/>
                            <w:szCs w:val="18"/>
                          </w:rPr>
                          <w:t>10</w:t>
                        </w:r>
                      </w:p>
                    </w:txbxContent>
                  </v:textbox>
                </v:rect>
                <v:rect id="_x0000_s1026" o:spid="_x0000_s1026" o:spt="1" style="position:absolute;left:289560;top:1310640;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A&#10;wXYg1AAAAAUBAAAPAAAAAAAAAAEAIAAAACIAAABkcnMvZG93bnJldi54bWxQSwECFAAUAAAACACH&#10;TuJA8dyKjLYBAABLAwAADgAAAAAAAAABACAAAAAjAQAAZHJzL2Uyb0RvYy54bWxQSwUGAAAAAAYA&#10;BgBZAQAASwUAAAAA&#10;">
                  <v:fill on="f" focussize="0,0"/>
                  <v:stroke on="f"/>
                  <v:imagedata o:title=""/>
                  <o:lock v:ext="edit" aspectratio="f"/>
                  <v:textbox inset="0mm,0mm,0mm,0mm" style="mso-fit-shape-to-text:t;">
                    <w:txbxContent>
                      <w:p>
                        <w:r>
                          <w:rPr>
                            <w:rFonts w:ascii="宋体" w:cs="宋体"/>
                            <w:color w:val="000000"/>
                            <w:sz w:val="18"/>
                            <w:szCs w:val="18"/>
                          </w:rPr>
                          <w:t>12</w:t>
                        </w:r>
                      </w:p>
                    </w:txbxContent>
                  </v:textbox>
                </v:rect>
                <v:rect id="_x0000_s1026" o:spid="_x0000_s1026" o:spt="1" style="position:absolute;left:289560;top:1184275;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A&#10;wXYg1AAAAAUBAAAPAAAAAAAAAAEAIAAAACIAAABkcnMvZG93bnJldi54bWxQSwECFAAUAAAACACH&#10;TuJAHr30P7YBAABLAwAADgAAAAAAAAABACAAAAAjAQAAZHJzL2Uyb0RvYy54bWxQSwUGAAAAAAYA&#10;BgBZAQAASwUAAAAA&#10;">
                  <v:fill on="f" focussize="0,0"/>
                  <v:stroke on="f"/>
                  <v:imagedata o:title=""/>
                  <o:lock v:ext="edit" aspectratio="f"/>
                  <v:textbox inset="0mm,0mm,0mm,0mm" style="mso-fit-shape-to-text:t;">
                    <w:txbxContent>
                      <w:p>
                        <w:r>
                          <w:rPr>
                            <w:rFonts w:ascii="宋体" w:cs="宋体"/>
                            <w:color w:val="000000"/>
                            <w:sz w:val="18"/>
                            <w:szCs w:val="18"/>
                          </w:rPr>
                          <w:t>14</w:t>
                        </w:r>
                      </w:p>
                    </w:txbxContent>
                  </v:textbox>
                </v:rect>
                <v:rect id="_x0000_s1026" o:spid="_x0000_s1026" o:spt="1" style="position:absolute;left:289560;top:1050290;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Cnd080tQEAAEs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8"/>
                            <w:szCs w:val="18"/>
                          </w:rPr>
                          <w:t>16</w:t>
                        </w:r>
                      </w:p>
                    </w:txbxContent>
                  </v:textbox>
                </v:rect>
                <v:rect id="_x0000_s1026" o:spid="_x0000_s1026" o:spt="1" style="position:absolute;left:289560;top:923290;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A&#10;wXYg1AAAAAUBAAAPAAAAAAAAAAEAIAAAACIAAABkcnMvZG93bnJldi54bWxQSwECFAAUAAAACACH&#10;TuJAydFjprYBAABKAwAADgAAAAAAAAABACAAAAAjAQAAZHJzL2Uyb0RvYy54bWxQSwUGAAAAAAYA&#10;BgBZAQAASwUAAAAA&#10;">
                  <v:fill on="f" focussize="0,0"/>
                  <v:stroke on="f"/>
                  <v:imagedata o:title=""/>
                  <o:lock v:ext="edit" aspectratio="f"/>
                  <v:textbox inset="0mm,0mm,0mm,0mm" style="mso-fit-shape-to-text:t;">
                    <w:txbxContent>
                      <w:p>
                        <w:r>
                          <w:rPr>
                            <w:rFonts w:ascii="宋体" w:cs="宋体"/>
                            <w:color w:val="000000"/>
                            <w:sz w:val="18"/>
                            <w:szCs w:val="18"/>
                          </w:rPr>
                          <w:t>18</w:t>
                        </w:r>
                      </w:p>
                    </w:txbxContent>
                  </v:textbox>
                </v:rect>
                <v:rect id="_x0000_s1026" o:spid="_x0000_s1026" o:spt="1" style="position:absolute;left:289560;top:789305;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MF2INQAAAAFAQAADwAAAAAAAAABACAAAAAiAAAAZHJzL2Rvd25yZXYueG1sUEsBAhQAFAAAAAgA&#10;h07iQO2yBW+3AQAASgMAAA4AAAAAAAAAAQAgAAAAIwEAAGRycy9lMm9Eb2MueG1sUEsFBgAAAAAG&#10;AAYAWQEAAEwFAAAAAA==&#10;">
                  <v:fill on="f" focussize="0,0"/>
                  <v:stroke on="f"/>
                  <v:imagedata o:title=""/>
                  <o:lock v:ext="edit" aspectratio="f"/>
                  <v:textbox inset="0mm,0mm,0mm,0mm" style="mso-fit-shape-to-text:t;">
                    <w:txbxContent>
                      <w:p>
                        <w:r>
                          <w:rPr>
                            <w:rFonts w:ascii="宋体" w:cs="宋体"/>
                            <w:color w:val="000000"/>
                            <w:sz w:val="18"/>
                            <w:szCs w:val="18"/>
                          </w:rPr>
                          <w:t>20</w:t>
                        </w:r>
                      </w:p>
                    </w:txbxContent>
                  </v:textbox>
                </v:rect>
                <v:rect id="_x0000_s1026" o:spid="_x0000_s1026" o:spt="1" style="position:absolute;left:289560;top:655320;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A&#10;wXYg1AAAAAUBAAAPAAAAAAAAAAEAIAAAACIAAABkcnMvZG93bnJldi54bWxQSwECFAAUAAAACACH&#10;TuJAlUJ7QLYBAABKAwAADgAAAAAAAAABACAAAAAjAQAAZHJzL2Uyb0RvYy54bWxQSwUGAAAAAAYA&#10;BgBZAQAASwUAAAAA&#10;">
                  <v:fill on="f" focussize="0,0"/>
                  <v:stroke on="f"/>
                  <v:imagedata o:title=""/>
                  <o:lock v:ext="edit" aspectratio="f"/>
                  <v:textbox inset="0mm,0mm,0mm,0mm" style="mso-fit-shape-to-text:t;">
                    <w:txbxContent>
                      <w:p>
                        <w:r>
                          <w:rPr>
                            <w:rFonts w:ascii="宋体" w:cs="宋体"/>
                            <w:color w:val="000000"/>
                            <w:sz w:val="18"/>
                            <w:szCs w:val="18"/>
                          </w:rPr>
                          <w:t>22</w:t>
                        </w:r>
                      </w:p>
                    </w:txbxContent>
                  </v:textbox>
                </v:rect>
                <v:rect id="_x0000_s1026" o:spid="_x0000_s1026" o:spt="1" style="position:absolute;left:289560;top:528320;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A&#10;wXYg1AAAAAUBAAAPAAAAAAAAAAEAIAAAACIAAABkcnMvZG93bnJldi54bWxQSwECFAAUAAAACACH&#10;TuJAxX4x+bYBAABKAwAADgAAAAAAAAABACAAAAAjAQAAZHJzL2Uyb0RvYy54bWxQSwUGAAAAAAYA&#10;BgBZAQAASwUAAAAA&#10;">
                  <v:fill on="f" focussize="0,0"/>
                  <v:stroke on="f"/>
                  <v:imagedata o:title=""/>
                  <o:lock v:ext="edit" aspectratio="f"/>
                  <v:textbox inset="0mm,0mm,0mm,0mm" style="mso-fit-shape-to-text:t;">
                    <w:txbxContent>
                      <w:p>
                        <w:r>
                          <w:rPr>
                            <w:rFonts w:ascii="宋体" w:cs="宋体"/>
                            <w:color w:val="000000"/>
                            <w:sz w:val="18"/>
                            <w:szCs w:val="18"/>
                          </w:rPr>
                          <w:t>24</w:t>
                        </w:r>
                      </w:p>
                    </w:txbxContent>
                  </v:textbox>
                </v:rect>
                <v:rect id="_x0000_s1026" o:spid="_x0000_s1026" o:spt="1" style="position:absolute;left:289560;top:394970;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A5ZlAxtQEAAEo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8"/>
                            <w:szCs w:val="18"/>
                          </w:rPr>
                          <w:t>26</w:t>
                        </w:r>
                      </w:p>
                    </w:txbxContent>
                  </v:textbox>
                </v:rect>
                <v:rect id="_x0000_s1026" o:spid="_x0000_s1026" o:spt="1" style="position:absolute;left:289560;top:267970;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ByX1lmtQEAAEo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8"/>
                            <w:szCs w:val="18"/>
                          </w:rPr>
                          <w:t>28</w:t>
                        </w:r>
                      </w:p>
                    </w:txbxContent>
                  </v:textbox>
                </v:rect>
                <v:rect id="_x0000_s1026" o:spid="_x0000_s1026" o:spt="1" style="position:absolute;left:289560;top:133985;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BnpZk1tQEAAEo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8"/>
                            <w:szCs w:val="18"/>
                          </w:rPr>
                          <w:t>30</w:t>
                        </w:r>
                      </w:p>
                    </w:txbxContent>
                  </v:textbox>
                </v:rect>
                <v:rect id="_x0000_s1026" o:spid="_x0000_s1026" o:spt="1" style="position:absolute;left:459105;top:2247900;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DFgpiPtQEAAEo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8"/>
                            <w:szCs w:val="18"/>
                          </w:rPr>
                          <w:t>1</w:t>
                        </w:r>
                      </w:p>
                    </w:txbxContent>
                  </v:textbox>
                </v:rect>
                <v:rect id="_x0000_s1026" o:spid="_x0000_s1026" o:spt="1" style="position:absolute;left:924560;top:2247900;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AnAliItQEAAEo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8"/>
                            <w:szCs w:val="18"/>
                          </w:rPr>
                          <w:t>2</w:t>
                        </w:r>
                      </w:p>
                    </w:txbxContent>
                  </v:textbox>
                </v:rect>
                <v:rect id="_x0000_s1026" o:spid="_x0000_s1026" o:spt="1" style="position:absolute;left:1383665;top:2247900;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AwXYg&#10;1AAAAAUBAAAPAAAAAAAAAAEAIAAAACIAAABkcnMvZG93bnJldi54bWxQSwECFAAUAAAACACHTuJA&#10;Ajiu2rMBAABLAwAADgAAAAAAAAABACAAAAAjAQAAZHJzL2Uyb0RvYy54bWxQSwUGAAAAAAYABgBZ&#10;AQAASAUAAAAA&#10;">
                  <v:fill on="f" focussize="0,0"/>
                  <v:stroke on="f"/>
                  <v:imagedata o:title=""/>
                  <o:lock v:ext="edit" aspectratio="f"/>
                  <v:textbox inset="0mm,0mm,0mm,0mm" style="mso-fit-shape-to-text:t;">
                    <w:txbxContent>
                      <w:p>
                        <w:r>
                          <w:rPr>
                            <w:rFonts w:ascii="宋体" w:cs="宋体"/>
                            <w:color w:val="000000"/>
                            <w:sz w:val="18"/>
                            <w:szCs w:val="18"/>
                          </w:rPr>
                          <w:t>3</w:t>
                        </w:r>
                      </w:p>
                    </w:txbxContent>
                  </v:textbox>
                </v:rect>
                <v:rect id="_x0000_s1026" o:spid="_x0000_s1026" o:spt="1" style="position:absolute;left:1849755;top:2247900;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BZsAYTtQEAAEs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8"/>
                            <w:szCs w:val="18"/>
                          </w:rPr>
                          <w:t>4</w:t>
                        </w:r>
                      </w:p>
                    </w:txbxContent>
                  </v:textbox>
                </v:rect>
                <v:rect id="_x0000_s1026" o:spid="_x0000_s1026" o:spt="1" style="position:absolute;left:2308225;top:2247900;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MF2&#10;INQAAAAFAQAADwAAAAAAAAABACAAAAAiAAAAZHJzL2Rvd25yZXYueG1sUEsBAhQAFAAAAAgAh07i&#10;QGYOADy0AQAASwMAAA4AAAAAAAAAAQAgAAAAIwEAAGRycy9lMm9Eb2MueG1sUEsFBgAAAAAGAAYA&#10;WQEAAEkFAAAAAA==&#10;">
                  <v:fill on="f" focussize="0,0"/>
                  <v:stroke on="f"/>
                  <v:imagedata o:title=""/>
                  <o:lock v:ext="edit" aspectratio="f"/>
                  <v:textbox inset="0mm,0mm,0mm,0mm" style="mso-fit-shape-to-text:t;">
                    <w:txbxContent>
                      <w:p>
                        <w:r>
                          <w:rPr>
                            <w:rFonts w:ascii="宋体" w:cs="宋体"/>
                            <w:color w:val="000000"/>
                            <w:sz w:val="18"/>
                            <w:szCs w:val="18"/>
                          </w:rPr>
                          <w:t>5</w:t>
                        </w:r>
                      </w:p>
                    </w:txbxContent>
                  </v:textbox>
                </v:rect>
                <v:rect id="_x0000_s1026" o:spid="_x0000_s1026" o:spt="1" style="position:absolute;left:2774315;top:2247900;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MF2&#10;INQAAAAFAQAADwAAAAAAAAABACAAAAAiAAAAZHJzL2Rvd25yZXYueG1sUEsBAhQAFAAAAAgAh07i&#10;QB7jYDq0AQAASwMAAA4AAAAAAAAAAQAgAAAAIwEAAGRycy9lMm9Eb2MueG1sUEsFBgAAAAAGAAYA&#10;WQEAAEkFAAAAAA==&#10;">
                  <v:fill on="f" focussize="0,0"/>
                  <v:stroke on="f"/>
                  <v:imagedata o:title=""/>
                  <o:lock v:ext="edit" aspectratio="f"/>
                  <v:textbox inset="0mm,0mm,0mm,0mm" style="mso-fit-shape-to-text:t;">
                    <w:txbxContent>
                      <w:p>
                        <w:r>
                          <w:rPr>
                            <w:rFonts w:ascii="宋体" w:cs="宋体"/>
                            <w:color w:val="000000"/>
                            <w:sz w:val="18"/>
                            <w:szCs w:val="18"/>
                          </w:rPr>
                          <w:t>6</w:t>
                        </w:r>
                      </w:p>
                    </w:txbxContent>
                  </v:textbox>
                </v:rect>
                <v:rect id="_x0000_s1026" o:spid="_x0000_s1026" o:spt="1" style="position:absolute;left:3233420;top:2247900;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A&#10;wXYg1AAAAAUBAAAPAAAAAAAAAAEAIAAAACIAAABkcnMvZG93bnJldi54bWxQSwECFAAUAAAACACH&#10;TuJASX73uLYBAABLAwAADgAAAAAAAAABACAAAAAjAQAAZHJzL2Uyb0RvYy54bWxQSwUGAAAAAAYA&#10;BgBZAQAASwUAAAAA&#10;">
                  <v:fill on="f" focussize="0,0"/>
                  <v:stroke on="f"/>
                  <v:imagedata o:title=""/>
                  <o:lock v:ext="edit" aspectratio="f"/>
                  <v:textbox inset="0mm,0mm,0mm,0mm" style="mso-fit-shape-to-text:t;">
                    <w:txbxContent>
                      <w:p>
                        <w:r>
                          <w:rPr>
                            <w:rFonts w:ascii="宋体" w:cs="宋体"/>
                            <w:color w:val="000000"/>
                            <w:sz w:val="18"/>
                            <w:szCs w:val="18"/>
                          </w:rPr>
                          <w:t>7</w:t>
                        </w:r>
                      </w:p>
                    </w:txbxContent>
                  </v:textbox>
                </v:rect>
                <v:rect id="_x0000_s1026" o:spid="_x0000_s1026" o:spt="1" style="position:absolute;left:3699510;top:2247900;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DEiv3vtQEAAEs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8"/>
                            <w:szCs w:val="18"/>
                          </w:rPr>
                          <w:t>8</w:t>
                        </w:r>
                      </w:p>
                    </w:txbxContent>
                  </v:textbox>
                </v:rect>
                <v:rect id="_x0000_s1026" o:spid="_x0000_s1026" o:spt="1" style="position:absolute;left:4157980;top:2247900;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DLHRg6tQEAAEs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8"/>
                            <w:szCs w:val="18"/>
                          </w:rPr>
                          <w:t>9</w:t>
                        </w:r>
                      </w:p>
                    </w:txbxContent>
                  </v:textbox>
                </v:rect>
                <v:rect id="_x0000_s1026" o:spid="_x0000_s1026" o:spt="1" style="position:absolute;left:4596130;top:2247900;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MF2INQAAAAFAQAADwAAAAAAAAABACAAAAAiAAAAZHJzL2Rvd25yZXYueG1sUEsBAhQAFAAAAAgA&#10;h07iQB7uhc63AQAATAMAAA4AAAAAAAAAAQAgAAAAIwEAAGRycy9lMm9Eb2MueG1sUEsFBgAAAAAG&#10;AAYAWQEAAEwFAAAAAA==&#10;">
                  <v:fill on="f" focussize="0,0"/>
                  <v:stroke on="f"/>
                  <v:imagedata o:title=""/>
                  <o:lock v:ext="edit" aspectratio="f"/>
                  <v:textbox inset="0mm,0mm,0mm,0mm" style="mso-fit-shape-to-text:t;">
                    <w:txbxContent>
                      <w:p>
                        <w:r>
                          <w:rPr>
                            <w:rFonts w:ascii="宋体" w:cs="宋体"/>
                            <w:color w:val="000000"/>
                            <w:sz w:val="18"/>
                            <w:szCs w:val="18"/>
                          </w:rPr>
                          <w:t>10</w:t>
                        </w:r>
                      </w:p>
                    </w:txbxContent>
                  </v:textbox>
                </v:rect>
                <v:rect id="_x0000_s1026" o:spid="_x0000_s1026" o:spt="1" style="position:absolute;left:5054600;top:2247900;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A&#10;wXYg1AAAAAUBAAAPAAAAAAAAAAEAIAAAACIAAABkcnMvZG93bnJldi54bWxQSwECFAAUAAAACACH&#10;TuJALBqe9bYBAABMAwAADgAAAAAAAAABACAAAAAjAQAAZHJzL2Uyb0RvYy54bWxQSwUGAAAAAAYA&#10;BgBZAQAASwUAAAAA&#10;">
                  <v:fill on="f" focussize="0,0"/>
                  <v:stroke on="f"/>
                  <v:imagedata o:title=""/>
                  <o:lock v:ext="edit" aspectratio="f"/>
                  <v:textbox inset="0mm,0mm,0mm,0mm" style="mso-fit-shape-to-text:t;">
                    <w:txbxContent>
                      <w:p>
                        <w:r>
                          <w:rPr>
                            <w:rFonts w:ascii="宋体" w:cs="宋体"/>
                            <w:color w:val="000000"/>
                            <w:sz w:val="18"/>
                            <w:szCs w:val="18"/>
                          </w:rPr>
                          <w:t>11</w:t>
                        </w:r>
                      </w:p>
                    </w:txbxContent>
                  </v:textbox>
                </v:rect>
                <v:rect id="_x0000_s1026" o:spid="_x0000_s1026" o:spt="1" style="position:absolute;left:5520690;top:2247900;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MF2INQAAAAFAQAADwAAAAAAAAABACAAAAAiAAAAZHJzL2Rvd25yZXYueG1sUEsBAhQAFAAAAAgA&#10;h07iQHITf4G3AQAATAMAAA4AAAAAAAAAAQAgAAAAIwEAAGRycy9lMm9Eb2MueG1sUEsFBgAAAAAG&#10;AAYAWQEAAEwFAAAAAA==&#10;">
                  <v:fill on="f" focussize="0,0"/>
                  <v:stroke on="f"/>
                  <v:imagedata o:title=""/>
                  <o:lock v:ext="edit" aspectratio="f"/>
                  <v:textbox inset="0mm,0mm,0mm,0mm" style="mso-fit-shape-to-text:t;">
                    <w:txbxContent>
                      <w:p>
                        <w:r>
                          <w:rPr>
                            <w:rFonts w:ascii="宋体" w:cs="宋体"/>
                            <w:color w:val="000000"/>
                            <w:sz w:val="18"/>
                            <w:szCs w:val="18"/>
                          </w:rPr>
                          <w:t>12</w:t>
                        </w:r>
                      </w:p>
                    </w:txbxContent>
                  </v:textbox>
                </v:rect>
                <v:rect id="_x0000_s1026" o:spid="_x0000_s1026" o:spt="1" style="position:absolute;left:2915920;top:2410460;height:147955;width:2292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BWrs7jtQEAAEwDAAAOAAAAAAAAAAEAIAAAACMBAABkcnMvZTJvRG9jLnhtbFBLBQYAAAAABgAG&#10;AFkBAABKBQAAAAA=&#10;">
                  <v:fill on="f" focussize="0,0"/>
                  <v:stroke on="f"/>
                  <v:imagedata o:title=""/>
                  <o:lock v:ext="edit" aspectratio="f"/>
                  <v:textbox inset="0mm,0mm,0mm,0mm" style="mso-fit-shape-to-text:t;">
                    <w:txbxContent>
                      <w:p>
                        <w:r>
                          <w:rPr>
                            <w:rFonts w:hint="eastAsia" w:ascii="宋体" w:cs="宋体"/>
                            <w:color w:val="000000"/>
                            <w:sz w:val="18"/>
                            <w:szCs w:val="18"/>
                          </w:rPr>
                          <w:t>月份</w:t>
                        </w:r>
                      </w:p>
                    </w:txbxContent>
                  </v:textbox>
                </v:rect>
                <v:rect id="_x0000_s1026" o:spid="_x0000_s1026" o:spt="1" style="position:absolute;left:40640;top:1146810;height:229235;width:343535;mso-wrap-style:none;rotation:-5898240f;" filled="f" stroked="f" coordsize="21600,21600" o:gfxdata="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NmXstYAAAAFAQAADwAAAAAAAAABACAAAAAiAAAAZHJzL2Rvd25yZXYueG1sUEsBAhQA&#10;FAAAAAgAh07iQNn8sxu7AQAATQMAAA4AAAAAAAAAAQAgAAAAJQEAAGRycy9lMm9Eb2MueG1sUEsF&#10;BgAAAAAGAAYAWQEAAFIFAAAAAA==&#10;">
                  <v:fill on="f" focussize="0,0"/>
                  <v:stroke on="f"/>
                  <v:imagedata o:title=""/>
                  <o:lock v:ext="edit" aspectratio="f"/>
                  <v:textbox inset="0mm,0mm,0mm,0mm" style="layout-flow:vertical-ideographic;">
                    <w:txbxContent>
                      <w:p>
                        <w:r>
                          <w:rPr>
                            <w:rFonts w:hint="eastAsia" w:ascii="宋体" w:cs="宋体"/>
                            <w:color w:val="000000"/>
                            <w:sz w:val="18"/>
                            <w:szCs w:val="18"/>
                          </w:rPr>
                          <w:t>温度℃</w:t>
                        </w:r>
                      </w:p>
                    </w:txbxContent>
                  </v:textbox>
                </v:rect>
                <v:rect id="_x0000_s1026" o:spid="_x0000_s1026" o:spt="1" style="position:absolute;left:35560;top:34925;height:2586990;width:5675630;" filled="f" stroked="t" coordsize="21600,21600" o:gfxdata="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gldPX&#10;1gAAAAUBAAAPAAAAAAAAAAEAIAAAACIAAABkcnMvZG93bnJldi54bWxQSwECFAAUAAAACACHTuJA&#10;+5onD+oBAAC0AwAADgAAAAAAAAABACAAAAAlAQAAZHJzL2Uyb0RvYy54bWxQSwUGAAAAAAYABgBZ&#10;AQAAgQUAAAAA&#10;">
                  <v:fill on="f" focussize="0,0"/>
                  <v:stroke weight="0.55pt" color="#000000" joinstyle="miter"/>
                  <v:imagedata o:title=""/>
                  <o:lock v:ext="edit" aspectratio="f"/>
                </v:rect>
                <w10:wrap type="none"/>
                <w10:anchorlock/>
              </v:group>
            </w:pict>
          </mc:Fallback>
        </mc:AlternateContent>
      </w:r>
    </w:p>
    <w:p>
      <w:pPr>
        <w:adjustRightInd w:val="0"/>
        <w:snapToGrid w:val="0"/>
        <w:spacing w:line="348" w:lineRule="auto"/>
        <w:jc w:val="center"/>
        <w:rPr>
          <w:b/>
        </w:rPr>
      </w:pPr>
      <w:r>
        <w:rPr>
          <w:b/>
        </w:rPr>
        <w:t>图</w:t>
      </w:r>
      <w:r>
        <w:rPr>
          <w:rFonts w:hint="eastAsia"/>
          <w:b/>
        </w:rPr>
        <w:t>8</w:t>
      </w:r>
      <w:r>
        <w:rPr>
          <w:b/>
        </w:rPr>
        <w:t>.1  年平均温度的月变化</w:t>
      </w:r>
    </w:p>
    <w:p>
      <w:pPr>
        <w:adjustRightInd w:val="0"/>
        <w:snapToGrid w:val="0"/>
        <w:spacing w:line="348" w:lineRule="auto"/>
        <w:ind w:firstLine="560" w:firstLineChars="200"/>
        <w:rPr>
          <w:sz w:val="28"/>
        </w:rPr>
      </w:pPr>
    </w:p>
    <w:p>
      <w:pPr>
        <w:adjustRightInd w:val="0"/>
        <w:snapToGrid w:val="0"/>
        <w:spacing w:line="348" w:lineRule="auto"/>
        <w:ind w:firstLine="420" w:firstLineChars="200"/>
      </w:pPr>
      <w:r>
        <mc:AlternateContent>
          <mc:Choice Requires="wps">
            <w:drawing>
              <wp:anchor distT="0" distB="0" distL="114300" distR="114300" simplePos="0" relativeHeight="251875328" behindDoc="0" locked="0" layoutInCell="1" allowOverlap="1">
                <wp:simplePos x="0" y="0"/>
                <wp:positionH relativeFrom="column">
                  <wp:posOffset>76200</wp:posOffset>
                </wp:positionH>
                <wp:positionV relativeFrom="paragraph">
                  <wp:posOffset>0</wp:posOffset>
                </wp:positionV>
                <wp:extent cx="5675630" cy="2439670"/>
                <wp:effectExtent l="5080" t="4445" r="15240" b="13335"/>
                <wp:wrapNone/>
                <wp:docPr id="375" name="矩形 375"/>
                <wp:cNvGraphicFramePr/>
                <a:graphic xmlns:a="http://schemas.openxmlformats.org/drawingml/2006/main">
                  <a:graphicData uri="http://schemas.microsoft.com/office/word/2010/wordprocessingShape">
                    <wps:wsp>
                      <wps:cNvSpPr/>
                      <wps:spPr>
                        <a:xfrm>
                          <a:off x="0" y="0"/>
                          <a:ext cx="5675630" cy="2439670"/>
                        </a:xfrm>
                        <a:prstGeom prst="rect">
                          <a:avLst/>
                        </a:prstGeom>
                        <a:noFill/>
                        <a:ln w="698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6pt;margin-top:0pt;height:192.1pt;width:446.9pt;z-index:251875328;mso-width-relative:page;mso-height-relative:page;" filled="f" stroked="t" coordsize="21600,21600" o:gfxdata="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Oyi44tcAAAAHAQAA&#10;DwAAAAAAAAABACAAAAAiAAAAZHJzL2Rvd25yZXYueG1sUEsBAhQAFAAAAAgAh07iQPX1QCrhAQAA&#10;rAMAAA4AAAAAAAAAAQAgAAAAJgEAAGRycy9lMm9Eb2MueG1sUEsFBgAAAAAGAAYAWQEAAHkFAAAA&#10;AA==&#10;">
                <v:fill on="f" focussize="0,0"/>
                <v:stroke weight="0.55pt" color="#000000" joinstyle="miter"/>
                <v:imagedata o:title=""/>
                <o:lock v:ext="edit" aspectratio="f"/>
              </v:rect>
            </w:pict>
          </mc:Fallback>
        </mc:AlternateContent>
      </w:r>
      <w:r>
        <mc:AlternateContent>
          <mc:Choice Requires="wpc">
            <w:drawing>
              <wp:inline distT="0" distB="0" distL="114300" distR="114300">
                <wp:extent cx="5753735" cy="2510155"/>
                <wp:effectExtent l="0" t="0" r="18415" b="4445"/>
                <wp:docPr id="237" name="画布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164" name="矩形 164"/>
                        <wps:cNvSpPr/>
                        <wps:spPr>
                          <a:xfrm>
                            <a:off x="114300" y="198120"/>
                            <a:ext cx="5040630" cy="1833245"/>
                          </a:xfrm>
                          <a:prstGeom prst="rect">
                            <a:avLst/>
                          </a:prstGeom>
                          <a:solidFill>
                            <a:srgbClr val="FFFFFF"/>
                          </a:solidFill>
                          <a:ln>
                            <a:noFill/>
                          </a:ln>
                        </wps:spPr>
                        <wps:bodyPr upright="1"/>
                      </wps:wsp>
                      <wps:wsp>
                        <wps:cNvPr id="165" name="矩形 165"/>
                        <wps:cNvSpPr/>
                        <wps:spPr>
                          <a:xfrm>
                            <a:off x="536575" y="183515"/>
                            <a:ext cx="5040630" cy="1833245"/>
                          </a:xfrm>
                          <a:prstGeom prst="rect">
                            <a:avLst/>
                          </a:prstGeom>
                          <a:noFill/>
                          <a:ln w="6985" cap="flat" cmpd="sng">
                            <a:solidFill>
                              <a:srgbClr val="FFFFFF"/>
                            </a:solidFill>
                            <a:prstDash val="solid"/>
                            <a:miter/>
                            <a:headEnd type="none" w="med" len="med"/>
                            <a:tailEnd type="none" w="med" len="med"/>
                          </a:ln>
                        </wps:spPr>
                        <wps:bodyPr upright="1"/>
                      </wps:wsp>
                      <wps:wsp>
                        <wps:cNvPr id="166" name="直接连接符 166"/>
                        <wps:cNvCnPr/>
                        <wps:spPr>
                          <a:xfrm>
                            <a:off x="536575" y="183515"/>
                            <a:ext cx="0" cy="1833245"/>
                          </a:xfrm>
                          <a:prstGeom prst="line">
                            <a:avLst/>
                          </a:prstGeom>
                          <a:ln w="0" cap="flat" cmpd="sng">
                            <a:solidFill>
                              <a:srgbClr val="000000"/>
                            </a:solidFill>
                            <a:prstDash val="solid"/>
                            <a:headEnd type="none" w="med" len="med"/>
                            <a:tailEnd type="none" w="med" len="med"/>
                          </a:ln>
                        </wps:spPr>
                        <wps:bodyPr upright="1"/>
                      </wps:wsp>
                      <wps:wsp>
                        <wps:cNvPr id="167" name="直接连接符 167"/>
                        <wps:cNvCnPr/>
                        <wps:spPr>
                          <a:xfrm>
                            <a:off x="536575" y="2016760"/>
                            <a:ext cx="35560" cy="0"/>
                          </a:xfrm>
                          <a:prstGeom prst="line">
                            <a:avLst/>
                          </a:prstGeom>
                          <a:ln w="0" cap="flat" cmpd="sng">
                            <a:solidFill>
                              <a:srgbClr val="000000"/>
                            </a:solidFill>
                            <a:prstDash val="solid"/>
                            <a:headEnd type="none" w="med" len="med"/>
                            <a:tailEnd type="none" w="med" len="med"/>
                          </a:ln>
                        </wps:spPr>
                        <wps:bodyPr upright="1"/>
                      </wps:wsp>
                      <wps:wsp>
                        <wps:cNvPr id="168" name="直接连接符 168"/>
                        <wps:cNvCnPr/>
                        <wps:spPr>
                          <a:xfrm>
                            <a:off x="536575" y="1812290"/>
                            <a:ext cx="35560" cy="0"/>
                          </a:xfrm>
                          <a:prstGeom prst="line">
                            <a:avLst/>
                          </a:prstGeom>
                          <a:ln w="0" cap="flat" cmpd="sng">
                            <a:solidFill>
                              <a:srgbClr val="000000"/>
                            </a:solidFill>
                            <a:prstDash val="solid"/>
                            <a:headEnd type="none" w="med" len="med"/>
                            <a:tailEnd type="none" w="med" len="med"/>
                          </a:ln>
                        </wps:spPr>
                        <wps:bodyPr upright="1"/>
                      </wps:wsp>
                      <wps:wsp>
                        <wps:cNvPr id="169" name="直接连接符 169"/>
                        <wps:cNvCnPr/>
                        <wps:spPr>
                          <a:xfrm>
                            <a:off x="536575" y="1607820"/>
                            <a:ext cx="35560" cy="0"/>
                          </a:xfrm>
                          <a:prstGeom prst="line">
                            <a:avLst/>
                          </a:prstGeom>
                          <a:ln w="0" cap="flat" cmpd="sng">
                            <a:solidFill>
                              <a:srgbClr val="000000"/>
                            </a:solidFill>
                            <a:prstDash val="solid"/>
                            <a:headEnd type="none" w="med" len="med"/>
                            <a:tailEnd type="none" w="med" len="med"/>
                          </a:ln>
                        </wps:spPr>
                        <wps:bodyPr upright="1"/>
                      </wps:wsp>
                      <wps:wsp>
                        <wps:cNvPr id="170" name="直接连接符 170"/>
                        <wps:cNvCnPr/>
                        <wps:spPr>
                          <a:xfrm>
                            <a:off x="536575" y="1403350"/>
                            <a:ext cx="35560" cy="0"/>
                          </a:xfrm>
                          <a:prstGeom prst="line">
                            <a:avLst/>
                          </a:prstGeom>
                          <a:ln w="0" cap="flat" cmpd="sng">
                            <a:solidFill>
                              <a:srgbClr val="000000"/>
                            </a:solidFill>
                            <a:prstDash val="solid"/>
                            <a:headEnd type="none" w="med" len="med"/>
                            <a:tailEnd type="none" w="med" len="med"/>
                          </a:ln>
                        </wps:spPr>
                        <wps:bodyPr upright="1"/>
                      </wps:wsp>
                      <wps:wsp>
                        <wps:cNvPr id="171" name="直接连接符 171"/>
                        <wps:cNvCnPr/>
                        <wps:spPr>
                          <a:xfrm>
                            <a:off x="536575" y="1198880"/>
                            <a:ext cx="35560" cy="0"/>
                          </a:xfrm>
                          <a:prstGeom prst="line">
                            <a:avLst/>
                          </a:prstGeom>
                          <a:ln w="0" cap="flat" cmpd="sng">
                            <a:solidFill>
                              <a:srgbClr val="000000"/>
                            </a:solidFill>
                            <a:prstDash val="solid"/>
                            <a:headEnd type="none" w="med" len="med"/>
                            <a:tailEnd type="none" w="med" len="med"/>
                          </a:ln>
                        </wps:spPr>
                        <wps:bodyPr upright="1"/>
                      </wps:wsp>
                      <wps:wsp>
                        <wps:cNvPr id="172" name="直接连接符 172"/>
                        <wps:cNvCnPr/>
                        <wps:spPr>
                          <a:xfrm>
                            <a:off x="536575" y="1001395"/>
                            <a:ext cx="35560" cy="0"/>
                          </a:xfrm>
                          <a:prstGeom prst="line">
                            <a:avLst/>
                          </a:prstGeom>
                          <a:ln w="0" cap="flat" cmpd="sng">
                            <a:solidFill>
                              <a:srgbClr val="000000"/>
                            </a:solidFill>
                            <a:prstDash val="solid"/>
                            <a:headEnd type="none" w="med" len="med"/>
                            <a:tailEnd type="none" w="med" len="med"/>
                          </a:ln>
                        </wps:spPr>
                        <wps:bodyPr upright="1"/>
                      </wps:wsp>
                      <wps:wsp>
                        <wps:cNvPr id="173" name="直接连接符 173"/>
                        <wps:cNvCnPr/>
                        <wps:spPr>
                          <a:xfrm>
                            <a:off x="536575" y="796925"/>
                            <a:ext cx="35560" cy="0"/>
                          </a:xfrm>
                          <a:prstGeom prst="line">
                            <a:avLst/>
                          </a:prstGeom>
                          <a:ln w="0" cap="flat" cmpd="sng">
                            <a:solidFill>
                              <a:srgbClr val="000000"/>
                            </a:solidFill>
                            <a:prstDash val="solid"/>
                            <a:headEnd type="none" w="med" len="med"/>
                            <a:tailEnd type="none" w="med" len="med"/>
                          </a:ln>
                        </wps:spPr>
                        <wps:bodyPr upright="1"/>
                      </wps:wsp>
                      <wps:wsp>
                        <wps:cNvPr id="174" name="直接连接符 174"/>
                        <wps:cNvCnPr/>
                        <wps:spPr>
                          <a:xfrm>
                            <a:off x="536575" y="592455"/>
                            <a:ext cx="35560" cy="0"/>
                          </a:xfrm>
                          <a:prstGeom prst="line">
                            <a:avLst/>
                          </a:prstGeom>
                          <a:ln w="0" cap="flat" cmpd="sng">
                            <a:solidFill>
                              <a:srgbClr val="000000"/>
                            </a:solidFill>
                            <a:prstDash val="solid"/>
                            <a:headEnd type="none" w="med" len="med"/>
                            <a:tailEnd type="none" w="med" len="med"/>
                          </a:ln>
                        </wps:spPr>
                        <wps:bodyPr upright="1"/>
                      </wps:wsp>
                      <wps:wsp>
                        <wps:cNvPr id="175" name="直接连接符 175"/>
                        <wps:cNvCnPr/>
                        <wps:spPr>
                          <a:xfrm>
                            <a:off x="536575" y="387985"/>
                            <a:ext cx="35560" cy="0"/>
                          </a:xfrm>
                          <a:prstGeom prst="line">
                            <a:avLst/>
                          </a:prstGeom>
                          <a:ln w="0" cap="flat" cmpd="sng">
                            <a:solidFill>
                              <a:srgbClr val="000000"/>
                            </a:solidFill>
                            <a:prstDash val="solid"/>
                            <a:headEnd type="none" w="med" len="med"/>
                            <a:tailEnd type="none" w="med" len="med"/>
                          </a:ln>
                        </wps:spPr>
                        <wps:bodyPr upright="1"/>
                      </wps:wsp>
                      <wps:wsp>
                        <wps:cNvPr id="176" name="直接连接符 176"/>
                        <wps:cNvCnPr/>
                        <wps:spPr>
                          <a:xfrm>
                            <a:off x="536575" y="183515"/>
                            <a:ext cx="35560" cy="0"/>
                          </a:xfrm>
                          <a:prstGeom prst="line">
                            <a:avLst/>
                          </a:prstGeom>
                          <a:ln w="0" cap="flat" cmpd="sng">
                            <a:solidFill>
                              <a:srgbClr val="000000"/>
                            </a:solidFill>
                            <a:prstDash val="solid"/>
                            <a:headEnd type="none" w="med" len="med"/>
                            <a:tailEnd type="none" w="med" len="med"/>
                          </a:ln>
                        </wps:spPr>
                        <wps:bodyPr upright="1"/>
                      </wps:wsp>
                      <wps:wsp>
                        <wps:cNvPr id="177" name="直接连接符 177"/>
                        <wps:cNvCnPr/>
                        <wps:spPr>
                          <a:xfrm>
                            <a:off x="536575" y="2016760"/>
                            <a:ext cx="5040630" cy="0"/>
                          </a:xfrm>
                          <a:prstGeom prst="line">
                            <a:avLst/>
                          </a:prstGeom>
                          <a:ln w="0" cap="flat" cmpd="sng">
                            <a:solidFill>
                              <a:srgbClr val="000000"/>
                            </a:solidFill>
                            <a:prstDash val="solid"/>
                            <a:headEnd type="none" w="med" len="med"/>
                            <a:tailEnd type="none" w="med" len="med"/>
                          </a:ln>
                        </wps:spPr>
                        <wps:bodyPr upright="1"/>
                      </wps:wsp>
                      <wps:wsp>
                        <wps:cNvPr id="178" name="直接连接符 178"/>
                        <wps:cNvCnPr/>
                        <wps:spPr>
                          <a:xfrm flipV="1">
                            <a:off x="536575" y="1981200"/>
                            <a:ext cx="0" cy="35560"/>
                          </a:xfrm>
                          <a:prstGeom prst="line">
                            <a:avLst/>
                          </a:prstGeom>
                          <a:ln w="0" cap="flat" cmpd="sng">
                            <a:solidFill>
                              <a:srgbClr val="000000"/>
                            </a:solidFill>
                            <a:prstDash val="solid"/>
                            <a:headEnd type="none" w="med" len="med"/>
                            <a:tailEnd type="none" w="med" len="med"/>
                          </a:ln>
                        </wps:spPr>
                        <wps:bodyPr upright="1"/>
                      </wps:wsp>
                      <wps:wsp>
                        <wps:cNvPr id="179" name="直接连接符 179"/>
                        <wps:cNvCnPr/>
                        <wps:spPr>
                          <a:xfrm flipV="1">
                            <a:off x="995680" y="1981200"/>
                            <a:ext cx="0" cy="35560"/>
                          </a:xfrm>
                          <a:prstGeom prst="line">
                            <a:avLst/>
                          </a:prstGeom>
                          <a:ln w="0" cap="flat" cmpd="sng">
                            <a:solidFill>
                              <a:srgbClr val="000000"/>
                            </a:solidFill>
                            <a:prstDash val="solid"/>
                            <a:headEnd type="none" w="med" len="med"/>
                            <a:tailEnd type="none" w="med" len="med"/>
                          </a:ln>
                        </wps:spPr>
                        <wps:bodyPr upright="1"/>
                      </wps:wsp>
                      <wps:wsp>
                        <wps:cNvPr id="180" name="直接连接符 180"/>
                        <wps:cNvCnPr/>
                        <wps:spPr>
                          <a:xfrm flipV="1">
                            <a:off x="1454150" y="1981200"/>
                            <a:ext cx="0" cy="35560"/>
                          </a:xfrm>
                          <a:prstGeom prst="line">
                            <a:avLst/>
                          </a:prstGeom>
                          <a:ln w="0" cap="flat" cmpd="sng">
                            <a:solidFill>
                              <a:srgbClr val="000000"/>
                            </a:solidFill>
                            <a:prstDash val="solid"/>
                            <a:headEnd type="none" w="med" len="med"/>
                            <a:tailEnd type="none" w="med" len="med"/>
                          </a:ln>
                        </wps:spPr>
                        <wps:bodyPr upright="1"/>
                      </wps:wsp>
                      <wps:wsp>
                        <wps:cNvPr id="181" name="直接连接符 181"/>
                        <wps:cNvCnPr/>
                        <wps:spPr>
                          <a:xfrm flipV="1">
                            <a:off x="1913255" y="1981200"/>
                            <a:ext cx="0" cy="35560"/>
                          </a:xfrm>
                          <a:prstGeom prst="line">
                            <a:avLst/>
                          </a:prstGeom>
                          <a:ln w="0" cap="flat" cmpd="sng">
                            <a:solidFill>
                              <a:srgbClr val="000000"/>
                            </a:solidFill>
                            <a:prstDash val="solid"/>
                            <a:headEnd type="none" w="med" len="med"/>
                            <a:tailEnd type="none" w="med" len="med"/>
                          </a:ln>
                        </wps:spPr>
                        <wps:bodyPr upright="1"/>
                      </wps:wsp>
                      <wps:wsp>
                        <wps:cNvPr id="182" name="直接连接符 182"/>
                        <wps:cNvCnPr/>
                        <wps:spPr>
                          <a:xfrm flipV="1">
                            <a:off x="2372360" y="1981200"/>
                            <a:ext cx="0" cy="35560"/>
                          </a:xfrm>
                          <a:prstGeom prst="line">
                            <a:avLst/>
                          </a:prstGeom>
                          <a:ln w="0" cap="flat" cmpd="sng">
                            <a:solidFill>
                              <a:srgbClr val="000000"/>
                            </a:solidFill>
                            <a:prstDash val="solid"/>
                            <a:headEnd type="none" w="med" len="med"/>
                            <a:tailEnd type="none" w="med" len="med"/>
                          </a:ln>
                        </wps:spPr>
                        <wps:bodyPr upright="1"/>
                      </wps:wsp>
                      <wps:wsp>
                        <wps:cNvPr id="183" name="直接连接符 183"/>
                        <wps:cNvCnPr/>
                        <wps:spPr>
                          <a:xfrm flipV="1">
                            <a:off x="2830830" y="1981200"/>
                            <a:ext cx="0" cy="35560"/>
                          </a:xfrm>
                          <a:prstGeom prst="line">
                            <a:avLst/>
                          </a:prstGeom>
                          <a:ln w="0" cap="flat" cmpd="sng">
                            <a:solidFill>
                              <a:srgbClr val="000000"/>
                            </a:solidFill>
                            <a:prstDash val="solid"/>
                            <a:headEnd type="none" w="med" len="med"/>
                            <a:tailEnd type="none" w="med" len="med"/>
                          </a:ln>
                        </wps:spPr>
                        <wps:bodyPr upright="1"/>
                      </wps:wsp>
                      <wps:wsp>
                        <wps:cNvPr id="184" name="直接连接符 184"/>
                        <wps:cNvCnPr/>
                        <wps:spPr>
                          <a:xfrm flipV="1">
                            <a:off x="3282950" y="1981200"/>
                            <a:ext cx="0" cy="35560"/>
                          </a:xfrm>
                          <a:prstGeom prst="line">
                            <a:avLst/>
                          </a:prstGeom>
                          <a:ln w="0" cap="flat" cmpd="sng">
                            <a:solidFill>
                              <a:srgbClr val="000000"/>
                            </a:solidFill>
                            <a:prstDash val="solid"/>
                            <a:headEnd type="none" w="med" len="med"/>
                            <a:tailEnd type="none" w="med" len="med"/>
                          </a:ln>
                        </wps:spPr>
                        <wps:bodyPr upright="1"/>
                      </wps:wsp>
                      <wps:wsp>
                        <wps:cNvPr id="185" name="直接连接符 185"/>
                        <wps:cNvCnPr/>
                        <wps:spPr>
                          <a:xfrm flipV="1">
                            <a:off x="3741420" y="1981200"/>
                            <a:ext cx="0" cy="35560"/>
                          </a:xfrm>
                          <a:prstGeom prst="line">
                            <a:avLst/>
                          </a:prstGeom>
                          <a:ln w="0" cap="flat" cmpd="sng">
                            <a:solidFill>
                              <a:srgbClr val="000000"/>
                            </a:solidFill>
                            <a:prstDash val="solid"/>
                            <a:headEnd type="none" w="med" len="med"/>
                            <a:tailEnd type="none" w="med" len="med"/>
                          </a:ln>
                        </wps:spPr>
                        <wps:bodyPr upright="1"/>
                      </wps:wsp>
                      <wps:wsp>
                        <wps:cNvPr id="186" name="直接连接符 186"/>
                        <wps:cNvCnPr/>
                        <wps:spPr>
                          <a:xfrm flipV="1">
                            <a:off x="4200525" y="1981200"/>
                            <a:ext cx="0" cy="35560"/>
                          </a:xfrm>
                          <a:prstGeom prst="line">
                            <a:avLst/>
                          </a:prstGeom>
                          <a:ln w="0" cap="flat" cmpd="sng">
                            <a:solidFill>
                              <a:srgbClr val="000000"/>
                            </a:solidFill>
                            <a:prstDash val="solid"/>
                            <a:headEnd type="none" w="med" len="med"/>
                            <a:tailEnd type="none" w="med" len="med"/>
                          </a:ln>
                        </wps:spPr>
                        <wps:bodyPr upright="1"/>
                      </wps:wsp>
                      <wps:wsp>
                        <wps:cNvPr id="187" name="直接连接符 187"/>
                        <wps:cNvCnPr/>
                        <wps:spPr>
                          <a:xfrm flipV="1">
                            <a:off x="4659630" y="1981200"/>
                            <a:ext cx="0" cy="35560"/>
                          </a:xfrm>
                          <a:prstGeom prst="line">
                            <a:avLst/>
                          </a:prstGeom>
                          <a:ln w="0" cap="flat" cmpd="sng">
                            <a:solidFill>
                              <a:srgbClr val="000000"/>
                            </a:solidFill>
                            <a:prstDash val="solid"/>
                            <a:headEnd type="none" w="med" len="med"/>
                            <a:tailEnd type="none" w="med" len="med"/>
                          </a:ln>
                        </wps:spPr>
                        <wps:bodyPr upright="1"/>
                      </wps:wsp>
                      <wps:wsp>
                        <wps:cNvPr id="188" name="直接连接符 188"/>
                        <wps:cNvCnPr/>
                        <wps:spPr>
                          <a:xfrm flipV="1">
                            <a:off x="5118100" y="1981200"/>
                            <a:ext cx="0" cy="35560"/>
                          </a:xfrm>
                          <a:prstGeom prst="line">
                            <a:avLst/>
                          </a:prstGeom>
                          <a:ln w="0" cap="flat" cmpd="sng">
                            <a:solidFill>
                              <a:srgbClr val="000000"/>
                            </a:solidFill>
                            <a:prstDash val="solid"/>
                            <a:headEnd type="none" w="med" len="med"/>
                            <a:tailEnd type="none" w="med" len="med"/>
                          </a:ln>
                        </wps:spPr>
                        <wps:bodyPr upright="1"/>
                      </wps:wsp>
                      <wps:wsp>
                        <wps:cNvPr id="189" name="直接连接符 189"/>
                        <wps:cNvCnPr/>
                        <wps:spPr>
                          <a:xfrm flipV="1">
                            <a:off x="5577205" y="1981200"/>
                            <a:ext cx="0" cy="35560"/>
                          </a:xfrm>
                          <a:prstGeom prst="line">
                            <a:avLst/>
                          </a:prstGeom>
                          <a:ln w="0" cap="flat" cmpd="sng">
                            <a:solidFill>
                              <a:srgbClr val="000000"/>
                            </a:solidFill>
                            <a:prstDash val="solid"/>
                            <a:headEnd type="none" w="med" len="med"/>
                            <a:tailEnd type="none" w="med" len="med"/>
                          </a:ln>
                        </wps:spPr>
                        <wps:bodyPr upright="1"/>
                      </wps:wsp>
                      <wps:wsp>
                        <wps:cNvPr id="190" name="任意多边形 190"/>
                        <wps:cNvSpPr/>
                        <wps:spPr>
                          <a:xfrm>
                            <a:off x="536575" y="874395"/>
                            <a:ext cx="459105" cy="225425"/>
                          </a:xfrm>
                          <a:custGeom>
                            <a:avLst/>
                            <a:gdLst/>
                            <a:ahLst/>
                            <a:cxnLst/>
                            <a:pathLst>
                              <a:path w="723" h="355">
                                <a:moveTo>
                                  <a:pt x="0" y="355"/>
                                </a:moveTo>
                                <a:lnTo>
                                  <a:pt x="178" y="266"/>
                                </a:lnTo>
                                <a:lnTo>
                                  <a:pt x="356" y="189"/>
                                </a:lnTo>
                                <a:lnTo>
                                  <a:pt x="545" y="100"/>
                                </a:lnTo>
                                <a:lnTo>
                                  <a:pt x="723" y="0"/>
                                </a:lnTo>
                              </a:path>
                            </a:pathLst>
                          </a:custGeom>
                          <a:noFill/>
                          <a:ln w="6985" cap="flat" cmpd="sng">
                            <a:solidFill>
                              <a:srgbClr val="000080"/>
                            </a:solidFill>
                            <a:prstDash val="solid"/>
                            <a:headEnd type="none" w="med" len="med"/>
                            <a:tailEnd type="none" w="med" len="med"/>
                          </a:ln>
                        </wps:spPr>
                        <wps:bodyPr upright="1"/>
                      </wps:wsp>
                      <wps:wsp>
                        <wps:cNvPr id="191" name="任意多边形 191"/>
                        <wps:cNvSpPr/>
                        <wps:spPr>
                          <a:xfrm>
                            <a:off x="995680" y="508000"/>
                            <a:ext cx="458470" cy="366395"/>
                          </a:xfrm>
                          <a:custGeom>
                            <a:avLst/>
                            <a:gdLst/>
                            <a:ahLst/>
                            <a:cxnLst/>
                            <a:pathLst>
                              <a:path w="722" h="577">
                                <a:moveTo>
                                  <a:pt x="0" y="577"/>
                                </a:moveTo>
                                <a:lnTo>
                                  <a:pt x="89" y="510"/>
                                </a:lnTo>
                                <a:lnTo>
                                  <a:pt x="177" y="444"/>
                                </a:lnTo>
                                <a:lnTo>
                                  <a:pt x="355" y="288"/>
                                </a:lnTo>
                                <a:lnTo>
                                  <a:pt x="544" y="133"/>
                                </a:lnTo>
                                <a:lnTo>
                                  <a:pt x="633" y="55"/>
                                </a:lnTo>
                                <a:lnTo>
                                  <a:pt x="722" y="0"/>
                                </a:lnTo>
                              </a:path>
                            </a:pathLst>
                          </a:custGeom>
                          <a:noFill/>
                          <a:ln w="6985" cap="flat" cmpd="sng">
                            <a:solidFill>
                              <a:srgbClr val="000080"/>
                            </a:solidFill>
                            <a:prstDash val="solid"/>
                            <a:headEnd type="none" w="med" len="med"/>
                            <a:tailEnd type="none" w="med" len="med"/>
                          </a:ln>
                        </wps:spPr>
                        <wps:bodyPr upright="1"/>
                      </wps:wsp>
                      <wps:wsp>
                        <wps:cNvPr id="192" name="任意多边形 192"/>
                        <wps:cNvSpPr/>
                        <wps:spPr>
                          <a:xfrm>
                            <a:off x="1454150" y="324485"/>
                            <a:ext cx="459105" cy="183515"/>
                          </a:xfrm>
                          <a:custGeom>
                            <a:avLst/>
                            <a:gdLst/>
                            <a:ahLst/>
                            <a:cxnLst/>
                            <a:pathLst>
                              <a:path w="723" h="289">
                                <a:moveTo>
                                  <a:pt x="0" y="289"/>
                                </a:moveTo>
                                <a:lnTo>
                                  <a:pt x="178" y="189"/>
                                </a:lnTo>
                                <a:lnTo>
                                  <a:pt x="356" y="111"/>
                                </a:lnTo>
                                <a:lnTo>
                                  <a:pt x="545" y="44"/>
                                </a:lnTo>
                                <a:lnTo>
                                  <a:pt x="723" y="0"/>
                                </a:lnTo>
                              </a:path>
                            </a:pathLst>
                          </a:custGeom>
                          <a:noFill/>
                          <a:ln w="6985" cap="flat" cmpd="sng">
                            <a:solidFill>
                              <a:srgbClr val="000080"/>
                            </a:solidFill>
                            <a:prstDash val="solid"/>
                            <a:headEnd type="none" w="med" len="med"/>
                            <a:tailEnd type="none" w="med" len="med"/>
                          </a:ln>
                        </wps:spPr>
                        <wps:bodyPr upright="1"/>
                      </wps:wsp>
                      <wps:wsp>
                        <wps:cNvPr id="193" name="任意多边形 193"/>
                        <wps:cNvSpPr/>
                        <wps:spPr>
                          <a:xfrm>
                            <a:off x="1913255" y="302895"/>
                            <a:ext cx="459105" cy="42545"/>
                          </a:xfrm>
                          <a:custGeom>
                            <a:avLst/>
                            <a:gdLst/>
                            <a:ahLst/>
                            <a:cxnLst/>
                            <a:pathLst>
                              <a:path w="723" h="67">
                                <a:moveTo>
                                  <a:pt x="0" y="34"/>
                                </a:moveTo>
                                <a:lnTo>
                                  <a:pt x="178" y="12"/>
                                </a:lnTo>
                                <a:lnTo>
                                  <a:pt x="356" y="0"/>
                                </a:lnTo>
                                <a:lnTo>
                                  <a:pt x="456" y="0"/>
                                </a:lnTo>
                                <a:lnTo>
                                  <a:pt x="545" y="12"/>
                                </a:lnTo>
                                <a:lnTo>
                                  <a:pt x="634" y="34"/>
                                </a:lnTo>
                                <a:lnTo>
                                  <a:pt x="723" y="67"/>
                                </a:lnTo>
                              </a:path>
                            </a:pathLst>
                          </a:custGeom>
                          <a:noFill/>
                          <a:ln w="6985" cap="flat" cmpd="sng">
                            <a:solidFill>
                              <a:srgbClr val="000080"/>
                            </a:solidFill>
                            <a:prstDash val="solid"/>
                            <a:headEnd type="none" w="med" len="med"/>
                            <a:tailEnd type="none" w="med" len="med"/>
                          </a:ln>
                        </wps:spPr>
                        <wps:bodyPr upright="1"/>
                      </wps:wsp>
                      <wps:wsp>
                        <wps:cNvPr id="194" name="任意多边形 194"/>
                        <wps:cNvSpPr/>
                        <wps:spPr>
                          <a:xfrm>
                            <a:off x="2372360" y="345440"/>
                            <a:ext cx="458470" cy="367030"/>
                          </a:xfrm>
                          <a:custGeom>
                            <a:avLst/>
                            <a:gdLst/>
                            <a:ahLst/>
                            <a:cxnLst/>
                            <a:pathLst>
                              <a:path w="722" h="578">
                                <a:moveTo>
                                  <a:pt x="0" y="0"/>
                                </a:moveTo>
                                <a:lnTo>
                                  <a:pt x="44" y="22"/>
                                </a:lnTo>
                                <a:lnTo>
                                  <a:pt x="88" y="56"/>
                                </a:lnTo>
                                <a:lnTo>
                                  <a:pt x="177" y="133"/>
                                </a:lnTo>
                                <a:lnTo>
                                  <a:pt x="266" y="233"/>
                                </a:lnTo>
                                <a:lnTo>
                                  <a:pt x="366" y="333"/>
                                </a:lnTo>
                                <a:lnTo>
                                  <a:pt x="455" y="433"/>
                                </a:lnTo>
                                <a:lnTo>
                                  <a:pt x="544" y="511"/>
                                </a:lnTo>
                                <a:lnTo>
                                  <a:pt x="589" y="544"/>
                                </a:lnTo>
                                <a:lnTo>
                                  <a:pt x="633" y="566"/>
                                </a:lnTo>
                                <a:lnTo>
                                  <a:pt x="678" y="578"/>
                                </a:lnTo>
                                <a:lnTo>
                                  <a:pt x="722" y="578"/>
                                </a:lnTo>
                              </a:path>
                            </a:pathLst>
                          </a:custGeom>
                          <a:noFill/>
                          <a:ln w="6985" cap="flat" cmpd="sng">
                            <a:solidFill>
                              <a:srgbClr val="000080"/>
                            </a:solidFill>
                            <a:prstDash val="solid"/>
                            <a:headEnd type="none" w="med" len="med"/>
                            <a:tailEnd type="none" w="med" len="med"/>
                          </a:ln>
                        </wps:spPr>
                        <wps:bodyPr upright="1"/>
                      </wps:wsp>
                      <wps:wsp>
                        <wps:cNvPr id="195" name="任意多边形 195"/>
                        <wps:cNvSpPr/>
                        <wps:spPr>
                          <a:xfrm>
                            <a:off x="2830830" y="281940"/>
                            <a:ext cx="452120" cy="430530"/>
                          </a:xfrm>
                          <a:custGeom>
                            <a:avLst/>
                            <a:gdLst/>
                            <a:ahLst/>
                            <a:cxnLst/>
                            <a:pathLst>
                              <a:path w="712" h="678">
                                <a:moveTo>
                                  <a:pt x="0" y="678"/>
                                </a:moveTo>
                                <a:lnTo>
                                  <a:pt x="45" y="666"/>
                                </a:lnTo>
                                <a:lnTo>
                                  <a:pt x="89" y="644"/>
                                </a:lnTo>
                                <a:lnTo>
                                  <a:pt x="134" y="622"/>
                                </a:lnTo>
                                <a:lnTo>
                                  <a:pt x="178" y="578"/>
                                </a:lnTo>
                                <a:lnTo>
                                  <a:pt x="267" y="489"/>
                                </a:lnTo>
                                <a:lnTo>
                                  <a:pt x="356" y="378"/>
                                </a:lnTo>
                                <a:lnTo>
                                  <a:pt x="445" y="256"/>
                                </a:lnTo>
                                <a:lnTo>
                                  <a:pt x="534" y="145"/>
                                </a:lnTo>
                                <a:lnTo>
                                  <a:pt x="623" y="56"/>
                                </a:lnTo>
                                <a:lnTo>
                                  <a:pt x="667" y="22"/>
                                </a:lnTo>
                                <a:lnTo>
                                  <a:pt x="712" y="0"/>
                                </a:lnTo>
                              </a:path>
                            </a:pathLst>
                          </a:custGeom>
                          <a:noFill/>
                          <a:ln w="6985" cap="flat" cmpd="sng">
                            <a:solidFill>
                              <a:srgbClr val="000080"/>
                            </a:solidFill>
                            <a:prstDash val="solid"/>
                            <a:headEnd type="none" w="med" len="med"/>
                            <a:tailEnd type="none" w="med" len="med"/>
                          </a:ln>
                        </wps:spPr>
                        <wps:bodyPr upright="1"/>
                      </wps:wsp>
                      <wps:wsp>
                        <wps:cNvPr id="196" name="任意多边形 196"/>
                        <wps:cNvSpPr/>
                        <wps:spPr>
                          <a:xfrm>
                            <a:off x="3282950" y="254000"/>
                            <a:ext cx="458470" cy="48895"/>
                          </a:xfrm>
                          <a:custGeom>
                            <a:avLst/>
                            <a:gdLst/>
                            <a:ahLst/>
                            <a:cxnLst/>
                            <a:pathLst>
                              <a:path w="722" h="77">
                                <a:moveTo>
                                  <a:pt x="0" y="44"/>
                                </a:moveTo>
                                <a:lnTo>
                                  <a:pt x="89" y="11"/>
                                </a:lnTo>
                                <a:lnTo>
                                  <a:pt x="178" y="0"/>
                                </a:lnTo>
                                <a:lnTo>
                                  <a:pt x="267" y="0"/>
                                </a:lnTo>
                                <a:lnTo>
                                  <a:pt x="355" y="11"/>
                                </a:lnTo>
                                <a:lnTo>
                                  <a:pt x="544" y="44"/>
                                </a:lnTo>
                                <a:lnTo>
                                  <a:pt x="722" y="77"/>
                                </a:lnTo>
                              </a:path>
                            </a:pathLst>
                          </a:custGeom>
                          <a:noFill/>
                          <a:ln w="6985" cap="flat" cmpd="sng">
                            <a:solidFill>
                              <a:srgbClr val="000080"/>
                            </a:solidFill>
                            <a:prstDash val="solid"/>
                            <a:headEnd type="none" w="med" len="med"/>
                            <a:tailEnd type="none" w="med" len="med"/>
                          </a:ln>
                        </wps:spPr>
                        <wps:bodyPr upright="1"/>
                      </wps:wsp>
                      <wps:wsp>
                        <wps:cNvPr id="197" name="任意多边形 197"/>
                        <wps:cNvSpPr/>
                        <wps:spPr>
                          <a:xfrm>
                            <a:off x="3741420" y="302895"/>
                            <a:ext cx="459105" cy="85090"/>
                          </a:xfrm>
                          <a:custGeom>
                            <a:avLst/>
                            <a:gdLst/>
                            <a:ahLst/>
                            <a:cxnLst/>
                            <a:pathLst>
                              <a:path w="723" h="134">
                                <a:moveTo>
                                  <a:pt x="0" y="0"/>
                                </a:moveTo>
                                <a:lnTo>
                                  <a:pt x="89" y="12"/>
                                </a:lnTo>
                                <a:lnTo>
                                  <a:pt x="178" y="0"/>
                                </a:lnTo>
                                <a:lnTo>
                                  <a:pt x="356" y="0"/>
                                </a:lnTo>
                                <a:lnTo>
                                  <a:pt x="456" y="12"/>
                                </a:lnTo>
                                <a:lnTo>
                                  <a:pt x="545" y="34"/>
                                </a:lnTo>
                                <a:lnTo>
                                  <a:pt x="634" y="67"/>
                                </a:lnTo>
                                <a:lnTo>
                                  <a:pt x="723" y="134"/>
                                </a:lnTo>
                              </a:path>
                            </a:pathLst>
                          </a:custGeom>
                          <a:noFill/>
                          <a:ln w="6985" cap="flat" cmpd="sng">
                            <a:solidFill>
                              <a:srgbClr val="000080"/>
                            </a:solidFill>
                            <a:prstDash val="solid"/>
                            <a:headEnd type="none" w="med" len="med"/>
                            <a:tailEnd type="none" w="med" len="med"/>
                          </a:ln>
                        </wps:spPr>
                        <wps:bodyPr upright="1"/>
                      </wps:wsp>
                      <wps:wsp>
                        <wps:cNvPr id="198" name="任意多边形 198"/>
                        <wps:cNvSpPr/>
                        <wps:spPr>
                          <a:xfrm>
                            <a:off x="4200525" y="387985"/>
                            <a:ext cx="459105" cy="669925"/>
                          </a:xfrm>
                          <a:custGeom>
                            <a:avLst/>
                            <a:gdLst/>
                            <a:ahLst/>
                            <a:cxnLst/>
                            <a:pathLst>
                              <a:path w="723" h="1055">
                                <a:moveTo>
                                  <a:pt x="0" y="0"/>
                                </a:moveTo>
                                <a:lnTo>
                                  <a:pt x="44" y="44"/>
                                </a:lnTo>
                                <a:lnTo>
                                  <a:pt x="89" y="100"/>
                                </a:lnTo>
                                <a:lnTo>
                                  <a:pt x="133" y="155"/>
                                </a:lnTo>
                                <a:lnTo>
                                  <a:pt x="178" y="233"/>
                                </a:lnTo>
                                <a:lnTo>
                                  <a:pt x="267" y="377"/>
                                </a:lnTo>
                                <a:lnTo>
                                  <a:pt x="356" y="544"/>
                                </a:lnTo>
                                <a:lnTo>
                                  <a:pt x="456" y="710"/>
                                </a:lnTo>
                                <a:lnTo>
                                  <a:pt x="545" y="855"/>
                                </a:lnTo>
                                <a:lnTo>
                                  <a:pt x="589" y="921"/>
                                </a:lnTo>
                                <a:lnTo>
                                  <a:pt x="634" y="977"/>
                                </a:lnTo>
                                <a:lnTo>
                                  <a:pt x="678" y="1021"/>
                                </a:lnTo>
                                <a:lnTo>
                                  <a:pt x="723" y="1055"/>
                                </a:lnTo>
                              </a:path>
                            </a:pathLst>
                          </a:custGeom>
                          <a:noFill/>
                          <a:ln w="6985" cap="flat" cmpd="sng">
                            <a:solidFill>
                              <a:srgbClr val="000080"/>
                            </a:solidFill>
                            <a:prstDash val="solid"/>
                            <a:headEnd type="none" w="med" len="med"/>
                            <a:tailEnd type="none" w="med" len="med"/>
                          </a:ln>
                        </wps:spPr>
                        <wps:bodyPr upright="1"/>
                      </wps:wsp>
                      <wps:wsp>
                        <wps:cNvPr id="199" name="任意多边形 199"/>
                        <wps:cNvSpPr/>
                        <wps:spPr>
                          <a:xfrm>
                            <a:off x="4659630" y="937895"/>
                            <a:ext cx="458470" cy="140970"/>
                          </a:xfrm>
                          <a:custGeom>
                            <a:avLst/>
                            <a:gdLst/>
                            <a:ahLst/>
                            <a:cxnLst/>
                            <a:pathLst>
                              <a:path w="722" h="222">
                                <a:moveTo>
                                  <a:pt x="0" y="189"/>
                                </a:moveTo>
                                <a:lnTo>
                                  <a:pt x="44" y="211"/>
                                </a:lnTo>
                                <a:lnTo>
                                  <a:pt x="89" y="222"/>
                                </a:lnTo>
                                <a:lnTo>
                                  <a:pt x="133" y="222"/>
                                </a:lnTo>
                                <a:lnTo>
                                  <a:pt x="178" y="222"/>
                                </a:lnTo>
                                <a:lnTo>
                                  <a:pt x="266" y="189"/>
                                </a:lnTo>
                                <a:lnTo>
                                  <a:pt x="355" y="144"/>
                                </a:lnTo>
                                <a:lnTo>
                                  <a:pt x="455" y="89"/>
                                </a:lnTo>
                                <a:lnTo>
                                  <a:pt x="544" y="44"/>
                                </a:lnTo>
                                <a:lnTo>
                                  <a:pt x="633" y="11"/>
                                </a:lnTo>
                                <a:lnTo>
                                  <a:pt x="678" y="0"/>
                                </a:lnTo>
                                <a:lnTo>
                                  <a:pt x="722" y="0"/>
                                </a:lnTo>
                              </a:path>
                            </a:pathLst>
                          </a:custGeom>
                          <a:noFill/>
                          <a:ln w="6985" cap="flat" cmpd="sng">
                            <a:solidFill>
                              <a:srgbClr val="000080"/>
                            </a:solidFill>
                            <a:prstDash val="solid"/>
                            <a:headEnd type="none" w="med" len="med"/>
                            <a:tailEnd type="none" w="med" len="med"/>
                          </a:ln>
                        </wps:spPr>
                        <wps:bodyPr upright="1"/>
                      </wps:wsp>
                      <wps:wsp>
                        <wps:cNvPr id="200" name="任意多边形 200"/>
                        <wps:cNvSpPr/>
                        <wps:spPr>
                          <a:xfrm>
                            <a:off x="5118100" y="937895"/>
                            <a:ext cx="459105" cy="183515"/>
                          </a:xfrm>
                          <a:custGeom>
                            <a:avLst/>
                            <a:gdLst/>
                            <a:ahLst/>
                            <a:cxnLst/>
                            <a:pathLst>
                              <a:path w="723" h="289">
                                <a:moveTo>
                                  <a:pt x="0" y="0"/>
                                </a:moveTo>
                                <a:lnTo>
                                  <a:pt x="89" y="11"/>
                                </a:lnTo>
                                <a:lnTo>
                                  <a:pt x="178" y="33"/>
                                </a:lnTo>
                                <a:lnTo>
                                  <a:pt x="267" y="78"/>
                                </a:lnTo>
                                <a:lnTo>
                                  <a:pt x="356" y="111"/>
                                </a:lnTo>
                                <a:lnTo>
                                  <a:pt x="545" y="200"/>
                                </a:lnTo>
                                <a:lnTo>
                                  <a:pt x="723" y="289"/>
                                </a:lnTo>
                              </a:path>
                            </a:pathLst>
                          </a:custGeom>
                          <a:noFill/>
                          <a:ln w="6985" cap="flat" cmpd="sng">
                            <a:solidFill>
                              <a:srgbClr val="000080"/>
                            </a:solidFill>
                            <a:prstDash val="solid"/>
                            <a:headEnd type="none" w="med" len="med"/>
                            <a:tailEnd type="none" w="med" len="med"/>
                          </a:ln>
                        </wps:spPr>
                        <wps:bodyPr upright="1"/>
                      </wps:wsp>
                      <wps:wsp>
                        <wps:cNvPr id="201" name="任意多边形 201"/>
                        <wps:cNvSpPr/>
                        <wps:spPr>
                          <a:xfrm>
                            <a:off x="515620" y="1078865"/>
                            <a:ext cx="41910" cy="42545"/>
                          </a:xfrm>
                          <a:custGeom>
                            <a:avLst/>
                            <a:gdLst/>
                            <a:ahLst/>
                            <a:cxnLst/>
                            <a:pathLst>
                              <a:path w="66" h="67">
                                <a:moveTo>
                                  <a:pt x="33" y="0"/>
                                </a:moveTo>
                                <a:lnTo>
                                  <a:pt x="66" y="33"/>
                                </a:lnTo>
                                <a:lnTo>
                                  <a:pt x="33" y="67"/>
                                </a:lnTo>
                                <a:lnTo>
                                  <a:pt x="0" y="33"/>
                                </a:lnTo>
                                <a:lnTo>
                                  <a:pt x="33"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202" name="任意多边形 202"/>
                        <wps:cNvSpPr/>
                        <wps:spPr>
                          <a:xfrm>
                            <a:off x="974090" y="853440"/>
                            <a:ext cx="42545" cy="41910"/>
                          </a:xfrm>
                          <a:custGeom>
                            <a:avLst/>
                            <a:gdLst/>
                            <a:ahLst/>
                            <a:cxnLst/>
                            <a:pathLst>
                              <a:path w="67" h="66">
                                <a:moveTo>
                                  <a:pt x="34" y="0"/>
                                </a:moveTo>
                                <a:lnTo>
                                  <a:pt x="67" y="33"/>
                                </a:lnTo>
                                <a:lnTo>
                                  <a:pt x="34" y="66"/>
                                </a:lnTo>
                                <a:lnTo>
                                  <a:pt x="0" y="33"/>
                                </a:lnTo>
                                <a:lnTo>
                                  <a:pt x="34"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203" name="任意多边形 203"/>
                        <wps:cNvSpPr/>
                        <wps:spPr>
                          <a:xfrm>
                            <a:off x="1433195" y="486410"/>
                            <a:ext cx="42545" cy="42545"/>
                          </a:xfrm>
                          <a:custGeom>
                            <a:avLst/>
                            <a:gdLst/>
                            <a:ahLst/>
                            <a:cxnLst/>
                            <a:pathLst>
                              <a:path w="67" h="67">
                                <a:moveTo>
                                  <a:pt x="33" y="0"/>
                                </a:moveTo>
                                <a:lnTo>
                                  <a:pt x="67" y="34"/>
                                </a:lnTo>
                                <a:lnTo>
                                  <a:pt x="33" y="67"/>
                                </a:lnTo>
                                <a:lnTo>
                                  <a:pt x="0" y="34"/>
                                </a:lnTo>
                                <a:lnTo>
                                  <a:pt x="33"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204" name="任意多边形 204"/>
                        <wps:cNvSpPr/>
                        <wps:spPr>
                          <a:xfrm>
                            <a:off x="1892300" y="302895"/>
                            <a:ext cx="41910" cy="42545"/>
                          </a:xfrm>
                          <a:custGeom>
                            <a:avLst/>
                            <a:gdLst/>
                            <a:ahLst/>
                            <a:cxnLst/>
                            <a:pathLst>
                              <a:path w="66" h="67">
                                <a:moveTo>
                                  <a:pt x="33" y="0"/>
                                </a:moveTo>
                                <a:lnTo>
                                  <a:pt x="66" y="34"/>
                                </a:lnTo>
                                <a:lnTo>
                                  <a:pt x="33" y="67"/>
                                </a:lnTo>
                                <a:lnTo>
                                  <a:pt x="0" y="34"/>
                                </a:lnTo>
                                <a:lnTo>
                                  <a:pt x="33"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205" name="任意多边形 205"/>
                        <wps:cNvSpPr/>
                        <wps:spPr>
                          <a:xfrm>
                            <a:off x="2350770" y="324485"/>
                            <a:ext cx="42545" cy="41910"/>
                          </a:xfrm>
                          <a:custGeom>
                            <a:avLst/>
                            <a:gdLst/>
                            <a:ahLst/>
                            <a:cxnLst/>
                            <a:pathLst>
                              <a:path w="67" h="66">
                                <a:moveTo>
                                  <a:pt x="34" y="0"/>
                                </a:moveTo>
                                <a:lnTo>
                                  <a:pt x="67" y="33"/>
                                </a:lnTo>
                                <a:lnTo>
                                  <a:pt x="34" y="66"/>
                                </a:lnTo>
                                <a:lnTo>
                                  <a:pt x="0" y="33"/>
                                </a:lnTo>
                                <a:lnTo>
                                  <a:pt x="34"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206" name="任意多边形 206"/>
                        <wps:cNvSpPr/>
                        <wps:spPr>
                          <a:xfrm>
                            <a:off x="2809875" y="690880"/>
                            <a:ext cx="42545" cy="42545"/>
                          </a:xfrm>
                          <a:custGeom>
                            <a:avLst/>
                            <a:gdLst/>
                            <a:ahLst/>
                            <a:cxnLst/>
                            <a:pathLst>
                              <a:path w="67" h="67">
                                <a:moveTo>
                                  <a:pt x="33" y="0"/>
                                </a:moveTo>
                                <a:lnTo>
                                  <a:pt x="67" y="34"/>
                                </a:lnTo>
                                <a:lnTo>
                                  <a:pt x="33" y="67"/>
                                </a:lnTo>
                                <a:lnTo>
                                  <a:pt x="0" y="34"/>
                                </a:lnTo>
                                <a:lnTo>
                                  <a:pt x="33"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207" name="任意多边形 207"/>
                        <wps:cNvSpPr/>
                        <wps:spPr>
                          <a:xfrm>
                            <a:off x="3261360" y="260985"/>
                            <a:ext cx="42545" cy="41910"/>
                          </a:xfrm>
                          <a:custGeom>
                            <a:avLst/>
                            <a:gdLst/>
                            <a:ahLst/>
                            <a:cxnLst/>
                            <a:pathLst>
                              <a:path w="67" h="66">
                                <a:moveTo>
                                  <a:pt x="34" y="0"/>
                                </a:moveTo>
                                <a:lnTo>
                                  <a:pt x="67" y="33"/>
                                </a:lnTo>
                                <a:lnTo>
                                  <a:pt x="34" y="66"/>
                                </a:lnTo>
                                <a:lnTo>
                                  <a:pt x="0" y="33"/>
                                </a:lnTo>
                                <a:lnTo>
                                  <a:pt x="34"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208" name="任意多边形 208"/>
                        <wps:cNvSpPr/>
                        <wps:spPr>
                          <a:xfrm>
                            <a:off x="3720465" y="281940"/>
                            <a:ext cx="42545" cy="42545"/>
                          </a:xfrm>
                          <a:custGeom>
                            <a:avLst/>
                            <a:gdLst/>
                            <a:ahLst/>
                            <a:cxnLst/>
                            <a:pathLst>
                              <a:path w="67" h="67">
                                <a:moveTo>
                                  <a:pt x="33" y="0"/>
                                </a:moveTo>
                                <a:lnTo>
                                  <a:pt x="67" y="33"/>
                                </a:lnTo>
                                <a:lnTo>
                                  <a:pt x="33" y="67"/>
                                </a:lnTo>
                                <a:lnTo>
                                  <a:pt x="0" y="33"/>
                                </a:lnTo>
                                <a:lnTo>
                                  <a:pt x="33"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209" name="任意多边形 209"/>
                        <wps:cNvSpPr/>
                        <wps:spPr>
                          <a:xfrm>
                            <a:off x="4179570" y="366395"/>
                            <a:ext cx="41910" cy="42545"/>
                          </a:xfrm>
                          <a:custGeom>
                            <a:avLst/>
                            <a:gdLst/>
                            <a:ahLst/>
                            <a:cxnLst/>
                            <a:pathLst>
                              <a:path w="66" h="67">
                                <a:moveTo>
                                  <a:pt x="33" y="0"/>
                                </a:moveTo>
                                <a:lnTo>
                                  <a:pt x="66" y="34"/>
                                </a:lnTo>
                                <a:lnTo>
                                  <a:pt x="33" y="67"/>
                                </a:lnTo>
                                <a:lnTo>
                                  <a:pt x="0" y="34"/>
                                </a:lnTo>
                                <a:lnTo>
                                  <a:pt x="33"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210" name="任意多边形 210"/>
                        <wps:cNvSpPr/>
                        <wps:spPr>
                          <a:xfrm>
                            <a:off x="4638040" y="1036320"/>
                            <a:ext cx="42545" cy="42545"/>
                          </a:xfrm>
                          <a:custGeom>
                            <a:avLst/>
                            <a:gdLst/>
                            <a:ahLst/>
                            <a:cxnLst/>
                            <a:pathLst>
                              <a:path w="67" h="67">
                                <a:moveTo>
                                  <a:pt x="34" y="0"/>
                                </a:moveTo>
                                <a:lnTo>
                                  <a:pt x="67" y="34"/>
                                </a:lnTo>
                                <a:lnTo>
                                  <a:pt x="34" y="67"/>
                                </a:lnTo>
                                <a:lnTo>
                                  <a:pt x="0" y="34"/>
                                </a:lnTo>
                                <a:lnTo>
                                  <a:pt x="34"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211" name="任意多边形 211"/>
                        <wps:cNvSpPr/>
                        <wps:spPr>
                          <a:xfrm>
                            <a:off x="5097145" y="916940"/>
                            <a:ext cx="42545" cy="41910"/>
                          </a:xfrm>
                          <a:custGeom>
                            <a:avLst/>
                            <a:gdLst/>
                            <a:ahLst/>
                            <a:cxnLst/>
                            <a:pathLst>
                              <a:path w="67" h="66">
                                <a:moveTo>
                                  <a:pt x="33" y="0"/>
                                </a:moveTo>
                                <a:lnTo>
                                  <a:pt x="67" y="33"/>
                                </a:lnTo>
                                <a:lnTo>
                                  <a:pt x="33" y="66"/>
                                </a:lnTo>
                                <a:lnTo>
                                  <a:pt x="0" y="33"/>
                                </a:lnTo>
                                <a:lnTo>
                                  <a:pt x="33"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212" name="任意多边形 212"/>
                        <wps:cNvSpPr/>
                        <wps:spPr>
                          <a:xfrm>
                            <a:off x="5556250" y="1099820"/>
                            <a:ext cx="41910" cy="42545"/>
                          </a:xfrm>
                          <a:custGeom>
                            <a:avLst/>
                            <a:gdLst/>
                            <a:ahLst/>
                            <a:cxnLst/>
                            <a:pathLst>
                              <a:path w="66" h="67">
                                <a:moveTo>
                                  <a:pt x="33" y="0"/>
                                </a:moveTo>
                                <a:lnTo>
                                  <a:pt x="66" y="34"/>
                                </a:lnTo>
                                <a:lnTo>
                                  <a:pt x="33" y="67"/>
                                </a:lnTo>
                                <a:lnTo>
                                  <a:pt x="0" y="34"/>
                                </a:lnTo>
                                <a:lnTo>
                                  <a:pt x="33"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213" name="矩形 213"/>
                        <wps:cNvSpPr/>
                        <wps:spPr>
                          <a:xfrm>
                            <a:off x="282575" y="1967230"/>
                            <a:ext cx="153035" cy="132080"/>
                          </a:xfrm>
                          <a:prstGeom prst="rect">
                            <a:avLst/>
                          </a:prstGeom>
                          <a:noFill/>
                          <a:ln>
                            <a:noFill/>
                          </a:ln>
                        </wps:spPr>
                        <wps:txbx>
                          <w:txbxContent>
                            <w:p>
                              <w:r>
                                <w:rPr>
                                  <w:rFonts w:ascii="宋体" w:cs="宋体"/>
                                  <w:color w:val="000000"/>
                                  <w:sz w:val="16"/>
                                  <w:szCs w:val="16"/>
                                </w:rPr>
                                <w:t>0.8</w:t>
                              </w:r>
                            </w:p>
                          </w:txbxContent>
                        </wps:txbx>
                        <wps:bodyPr wrap="none" lIns="0" tIns="0" rIns="0" bIns="0" upright="1">
                          <a:spAutoFit/>
                        </wps:bodyPr>
                      </wps:wsp>
                      <wps:wsp>
                        <wps:cNvPr id="214" name="矩形 214"/>
                        <wps:cNvSpPr/>
                        <wps:spPr>
                          <a:xfrm>
                            <a:off x="282575" y="1762760"/>
                            <a:ext cx="153035" cy="132080"/>
                          </a:xfrm>
                          <a:prstGeom prst="rect">
                            <a:avLst/>
                          </a:prstGeom>
                          <a:noFill/>
                          <a:ln>
                            <a:noFill/>
                          </a:ln>
                        </wps:spPr>
                        <wps:txbx>
                          <w:txbxContent>
                            <w:p>
                              <w:r>
                                <w:rPr>
                                  <w:rFonts w:ascii="宋体" w:cs="宋体"/>
                                  <w:color w:val="000000"/>
                                  <w:sz w:val="16"/>
                                  <w:szCs w:val="16"/>
                                </w:rPr>
                                <w:t>0.9</w:t>
                              </w:r>
                            </w:p>
                          </w:txbxContent>
                        </wps:txbx>
                        <wps:bodyPr wrap="none" lIns="0" tIns="0" rIns="0" bIns="0" upright="1">
                          <a:spAutoFit/>
                        </wps:bodyPr>
                      </wps:wsp>
                      <wps:wsp>
                        <wps:cNvPr id="215" name="矩形 215"/>
                        <wps:cNvSpPr/>
                        <wps:spPr>
                          <a:xfrm>
                            <a:off x="395605" y="1558290"/>
                            <a:ext cx="51435" cy="132080"/>
                          </a:xfrm>
                          <a:prstGeom prst="rect">
                            <a:avLst/>
                          </a:prstGeom>
                          <a:noFill/>
                          <a:ln>
                            <a:noFill/>
                          </a:ln>
                        </wps:spPr>
                        <wps:txbx>
                          <w:txbxContent>
                            <w:p>
                              <w:r>
                                <w:rPr>
                                  <w:rFonts w:ascii="宋体" w:cs="宋体"/>
                                  <w:color w:val="000000"/>
                                  <w:sz w:val="16"/>
                                  <w:szCs w:val="16"/>
                                </w:rPr>
                                <w:t>1</w:t>
                              </w:r>
                            </w:p>
                          </w:txbxContent>
                        </wps:txbx>
                        <wps:bodyPr wrap="none" lIns="0" tIns="0" rIns="0" bIns="0" upright="1">
                          <a:spAutoFit/>
                        </wps:bodyPr>
                      </wps:wsp>
                      <wps:wsp>
                        <wps:cNvPr id="216" name="矩形 216"/>
                        <wps:cNvSpPr/>
                        <wps:spPr>
                          <a:xfrm>
                            <a:off x="282575" y="1353820"/>
                            <a:ext cx="153035" cy="132080"/>
                          </a:xfrm>
                          <a:prstGeom prst="rect">
                            <a:avLst/>
                          </a:prstGeom>
                          <a:noFill/>
                          <a:ln>
                            <a:noFill/>
                          </a:ln>
                        </wps:spPr>
                        <wps:txbx>
                          <w:txbxContent>
                            <w:p>
                              <w:r>
                                <w:rPr>
                                  <w:rFonts w:ascii="宋体" w:cs="宋体"/>
                                  <w:color w:val="000000"/>
                                  <w:sz w:val="16"/>
                                  <w:szCs w:val="16"/>
                                </w:rPr>
                                <w:t>1.1</w:t>
                              </w:r>
                            </w:p>
                          </w:txbxContent>
                        </wps:txbx>
                        <wps:bodyPr wrap="none" lIns="0" tIns="0" rIns="0" bIns="0" upright="1">
                          <a:spAutoFit/>
                        </wps:bodyPr>
                      </wps:wsp>
                      <wps:wsp>
                        <wps:cNvPr id="217" name="矩形 217"/>
                        <wps:cNvSpPr/>
                        <wps:spPr>
                          <a:xfrm>
                            <a:off x="282575" y="1149350"/>
                            <a:ext cx="153035" cy="132080"/>
                          </a:xfrm>
                          <a:prstGeom prst="rect">
                            <a:avLst/>
                          </a:prstGeom>
                          <a:noFill/>
                          <a:ln>
                            <a:noFill/>
                          </a:ln>
                        </wps:spPr>
                        <wps:txbx>
                          <w:txbxContent>
                            <w:p>
                              <w:r>
                                <w:rPr>
                                  <w:rFonts w:ascii="宋体" w:cs="宋体"/>
                                  <w:color w:val="000000"/>
                                  <w:sz w:val="16"/>
                                  <w:szCs w:val="16"/>
                                </w:rPr>
                                <w:t>1.2</w:t>
                              </w:r>
                            </w:p>
                          </w:txbxContent>
                        </wps:txbx>
                        <wps:bodyPr wrap="none" lIns="0" tIns="0" rIns="0" bIns="0" upright="1">
                          <a:spAutoFit/>
                        </wps:bodyPr>
                      </wps:wsp>
                      <wps:wsp>
                        <wps:cNvPr id="218" name="矩形 218"/>
                        <wps:cNvSpPr/>
                        <wps:spPr>
                          <a:xfrm>
                            <a:off x="282575" y="951865"/>
                            <a:ext cx="153035" cy="132080"/>
                          </a:xfrm>
                          <a:prstGeom prst="rect">
                            <a:avLst/>
                          </a:prstGeom>
                          <a:noFill/>
                          <a:ln>
                            <a:noFill/>
                          </a:ln>
                        </wps:spPr>
                        <wps:txbx>
                          <w:txbxContent>
                            <w:p>
                              <w:r>
                                <w:rPr>
                                  <w:rFonts w:ascii="宋体" w:cs="宋体"/>
                                  <w:color w:val="000000"/>
                                  <w:sz w:val="16"/>
                                  <w:szCs w:val="16"/>
                                </w:rPr>
                                <w:t>1.3</w:t>
                              </w:r>
                            </w:p>
                          </w:txbxContent>
                        </wps:txbx>
                        <wps:bodyPr wrap="none" lIns="0" tIns="0" rIns="0" bIns="0" upright="1">
                          <a:spAutoFit/>
                        </wps:bodyPr>
                      </wps:wsp>
                      <wps:wsp>
                        <wps:cNvPr id="219" name="矩形 219"/>
                        <wps:cNvSpPr/>
                        <wps:spPr>
                          <a:xfrm>
                            <a:off x="282575" y="747395"/>
                            <a:ext cx="153035" cy="132080"/>
                          </a:xfrm>
                          <a:prstGeom prst="rect">
                            <a:avLst/>
                          </a:prstGeom>
                          <a:noFill/>
                          <a:ln>
                            <a:noFill/>
                          </a:ln>
                        </wps:spPr>
                        <wps:txbx>
                          <w:txbxContent>
                            <w:p>
                              <w:r>
                                <w:rPr>
                                  <w:rFonts w:ascii="宋体" w:cs="宋体"/>
                                  <w:color w:val="000000"/>
                                  <w:sz w:val="16"/>
                                  <w:szCs w:val="16"/>
                                </w:rPr>
                                <w:t>1.4</w:t>
                              </w:r>
                            </w:p>
                          </w:txbxContent>
                        </wps:txbx>
                        <wps:bodyPr wrap="none" lIns="0" tIns="0" rIns="0" bIns="0" upright="1">
                          <a:spAutoFit/>
                        </wps:bodyPr>
                      </wps:wsp>
                      <wps:wsp>
                        <wps:cNvPr id="220" name="矩形 220"/>
                        <wps:cNvSpPr/>
                        <wps:spPr>
                          <a:xfrm>
                            <a:off x="282575" y="542925"/>
                            <a:ext cx="153035" cy="132080"/>
                          </a:xfrm>
                          <a:prstGeom prst="rect">
                            <a:avLst/>
                          </a:prstGeom>
                          <a:noFill/>
                          <a:ln>
                            <a:noFill/>
                          </a:ln>
                        </wps:spPr>
                        <wps:txbx>
                          <w:txbxContent>
                            <w:p>
                              <w:r>
                                <w:rPr>
                                  <w:rFonts w:ascii="宋体" w:cs="宋体"/>
                                  <w:color w:val="000000"/>
                                  <w:sz w:val="16"/>
                                  <w:szCs w:val="16"/>
                                </w:rPr>
                                <w:t>1.5</w:t>
                              </w:r>
                            </w:p>
                          </w:txbxContent>
                        </wps:txbx>
                        <wps:bodyPr wrap="none" lIns="0" tIns="0" rIns="0" bIns="0" upright="1">
                          <a:spAutoFit/>
                        </wps:bodyPr>
                      </wps:wsp>
                      <wps:wsp>
                        <wps:cNvPr id="221" name="矩形 221"/>
                        <wps:cNvSpPr/>
                        <wps:spPr>
                          <a:xfrm>
                            <a:off x="282575" y="338455"/>
                            <a:ext cx="153035" cy="132080"/>
                          </a:xfrm>
                          <a:prstGeom prst="rect">
                            <a:avLst/>
                          </a:prstGeom>
                          <a:noFill/>
                          <a:ln>
                            <a:noFill/>
                          </a:ln>
                        </wps:spPr>
                        <wps:txbx>
                          <w:txbxContent>
                            <w:p>
                              <w:r>
                                <w:rPr>
                                  <w:rFonts w:ascii="宋体" w:cs="宋体"/>
                                  <w:color w:val="000000"/>
                                  <w:sz w:val="16"/>
                                  <w:szCs w:val="16"/>
                                </w:rPr>
                                <w:t>1.6</w:t>
                              </w:r>
                            </w:p>
                          </w:txbxContent>
                        </wps:txbx>
                        <wps:bodyPr wrap="none" lIns="0" tIns="0" rIns="0" bIns="0" upright="1">
                          <a:spAutoFit/>
                        </wps:bodyPr>
                      </wps:wsp>
                      <wps:wsp>
                        <wps:cNvPr id="222" name="矩形 222"/>
                        <wps:cNvSpPr/>
                        <wps:spPr>
                          <a:xfrm>
                            <a:off x="282575" y="133985"/>
                            <a:ext cx="153035" cy="132080"/>
                          </a:xfrm>
                          <a:prstGeom prst="rect">
                            <a:avLst/>
                          </a:prstGeom>
                          <a:noFill/>
                          <a:ln>
                            <a:noFill/>
                          </a:ln>
                        </wps:spPr>
                        <wps:txbx>
                          <w:txbxContent>
                            <w:p>
                              <w:r>
                                <w:rPr>
                                  <w:rFonts w:ascii="宋体" w:cs="宋体"/>
                                  <w:color w:val="000000"/>
                                  <w:sz w:val="16"/>
                                  <w:szCs w:val="16"/>
                                </w:rPr>
                                <w:t>1.7</w:t>
                              </w:r>
                            </w:p>
                          </w:txbxContent>
                        </wps:txbx>
                        <wps:bodyPr wrap="none" lIns="0" tIns="0" rIns="0" bIns="0" upright="1">
                          <a:spAutoFit/>
                        </wps:bodyPr>
                      </wps:wsp>
                      <wps:wsp>
                        <wps:cNvPr id="223" name="矩形 223"/>
                        <wps:cNvSpPr/>
                        <wps:spPr>
                          <a:xfrm>
                            <a:off x="508000" y="2115185"/>
                            <a:ext cx="51435" cy="132080"/>
                          </a:xfrm>
                          <a:prstGeom prst="rect">
                            <a:avLst/>
                          </a:prstGeom>
                          <a:noFill/>
                          <a:ln>
                            <a:noFill/>
                          </a:ln>
                        </wps:spPr>
                        <wps:txbx>
                          <w:txbxContent>
                            <w:p>
                              <w:r>
                                <w:rPr>
                                  <w:rFonts w:ascii="宋体" w:cs="宋体"/>
                                  <w:color w:val="000000"/>
                                  <w:sz w:val="16"/>
                                  <w:szCs w:val="16"/>
                                </w:rPr>
                                <w:t>1</w:t>
                              </w:r>
                            </w:p>
                          </w:txbxContent>
                        </wps:txbx>
                        <wps:bodyPr wrap="none" lIns="0" tIns="0" rIns="0" bIns="0" upright="1">
                          <a:spAutoFit/>
                        </wps:bodyPr>
                      </wps:wsp>
                      <wps:wsp>
                        <wps:cNvPr id="224" name="矩形 224"/>
                        <wps:cNvSpPr/>
                        <wps:spPr>
                          <a:xfrm>
                            <a:off x="967105" y="2115185"/>
                            <a:ext cx="51435" cy="132080"/>
                          </a:xfrm>
                          <a:prstGeom prst="rect">
                            <a:avLst/>
                          </a:prstGeom>
                          <a:noFill/>
                          <a:ln>
                            <a:noFill/>
                          </a:ln>
                        </wps:spPr>
                        <wps:txbx>
                          <w:txbxContent>
                            <w:p>
                              <w:r>
                                <w:rPr>
                                  <w:rFonts w:ascii="宋体" w:cs="宋体"/>
                                  <w:color w:val="000000"/>
                                  <w:sz w:val="16"/>
                                  <w:szCs w:val="16"/>
                                </w:rPr>
                                <w:t>2</w:t>
                              </w:r>
                            </w:p>
                          </w:txbxContent>
                        </wps:txbx>
                        <wps:bodyPr wrap="none" lIns="0" tIns="0" rIns="0" bIns="0" upright="1">
                          <a:spAutoFit/>
                        </wps:bodyPr>
                      </wps:wsp>
                      <wps:wsp>
                        <wps:cNvPr id="225" name="矩形 225"/>
                        <wps:cNvSpPr/>
                        <wps:spPr>
                          <a:xfrm>
                            <a:off x="1426210" y="2115185"/>
                            <a:ext cx="51435" cy="132080"/>
                          </a:xfrm>
                          <a:prstGeom prst="rect">
                            <a:avLst/>
                          </a:prstGeom>
                          <a:noFill/>
                          <a:ln>
                            <a:noFill/>
                          </a:ln>
                        </wps:spPr>
                        <wps:txbx>
                          <w:txbxContent>
                            <w:p>
                              <w:r>
                                <w:rPr>
                                  <w:rFonts w:ascii="宋体" w:cs="宋体"/>
                                  <w:color w:val="000000"/>
                                  <w:sz w:val="16"/>
                                  <w:szCs w:val="16"/>
                                </w:rPr>
                                <w:t>3</w:t>
                              </w:r>
                            </w:p>
                          </w:txbxContent>
                        </wps:txbx>
                        <wps:bodyPr wrap="none" lIns="0" tIns="0" rIns="0" bIns="0" upright="1">
                          <a:spAutoFit/>
                        </wps:bodyPr>
                      </wps:wsp>
                      <wps:wsp>
                        <wps:cNvPr id="226" name="矩形 226"/>
                        <wps:cNvSpPr/>
                        <wps:spPr>
                          <a:xfrm>
                            <a:off x="1884680" y="2115185"/>
                            <a:ext cx="51435" cy="132080"/>
                          </a:xfrm>
                          <a:prstGeom prst="rect">
                            <a:avLst/>
                          </a:prstGeom>
                          <a:noFill/>
                          <a:ln>
                            <a:noFill/>
                          </a:ln>
                        </wps:spPr>
                        <wps:txbx>
                          <w:txbxContent>
                            <w:p>
                              <w:r>
                                <w:rPr>
                                  <w:rFonts w:ascii="宋体" w:cs="宋体"/>
                                  <w:color w:val="000000"/>
                                  <w:sz w:val="16"/>
                                  <w:szCs w:val="16"/>
                                </w:rPr>
                                <w:t>4</w:t>
                              </w:r>
                            </w:p>
                          </w:txbxContent>
                        </wps:txbx>
                        <wps:bodyPr wrap="none" lIns="0" tIns="0" rIns="0" bIns="0" upright="1">
                          <a:spAutoFit/>
                        </wps:bodyPr>
                      </wps:wsp>
                      <wps:wsp>
                        <wps:cNvPr id="227" name="矩形 227"/>
                        <wps:cNvSpPr/>
                        <wps:spPr>
                          <a:xfrm>
                            <a:off x="2343785" y="2115185"/>
                            <a:ext cx="51435" cy="132080"/>
                          </a:xfrm>
                          <a:prstGeom prst="rect">
                            <a:avLst/>
                          </a:prstGeom>
                          <a:noFill/>
                          <a:ln>
                            <a:noFill/>
                          </a:ln>
                        </wps:spPr>
                        <wps:txbx>
                          <w:txbxContent>
                            <w:p>
                              <w:r>
                                <w:rPr>
                                  <w:rFonts w:ascii="宋体" w:cs="宋体"/>
                                  <w:color w:val="000000"/>
                                  <w:sz w:val="16"/>
                                  <w:szCs w:val="16"/>
                                </w:rPr>
                                <w:t>5</w:t>
                              </w:r>
                            </w:p>
                          </w:txbxContent>
                        </wps:txbx>
                        <wps:bodyPr wrap="none" lIns="0" tIns="0" rIns="0" bIns="0" upright="1">
                          <a:spAutoFit/>
                        </wps:bodyPr>
                      </wps:wsp>
                      <wps:wsp>
                        <wps:cNvPr id="228" name="矩形 228"/>
                        <wps:cNvSpPr/>
                        <wps:spPr>
                          <a:xfrm>
                            <a:off x="2802890" y="2115185"/>
                            <a:ext cx="51435" cy="132080"/>
                          </a:xfrm>
                          <a:prstGeom prst="rect">
                            <a:avLst/>
                          </a:prstGeom>
                          <a:noFill/>
                          <a:ln>
                            <a:noFill/>
                          </a:ln>
                        </wps:spPr>
                        <wps:txbx>
                          <w:txbxContent>
                            <w:p>
                              <w:r>
                                <w:rPr>
                                  <w:rFonts w:ascii="宋体" w:cs="宋体"/>
                                  <w:color w:val="000000"/>
                                  <w:sz w:val="16"/>
                                  <w:szCs w:val="16"/>
                                </w:rPr>
                                <w:t>6</w:t>
                              </w:r>
                            </w:p>
                          </w:txbxContent>
                        </wps:txbx>
                        <wps:bodyPr wrap="none" lIns="0" tIns="0" rIns="0" bIns="0" upright="1">
                          <a:spAutoFit/>
                        </wps:bodyPr>
                      </wps:wsp>
                      <wps:wsp>
                        <wps:cNvPr id="229" name="矩形 229"/>
                        <wps:cNvSpPr/>
                        <wps:spPr>
                          <a:xfrm>
                            <a:off x="3254375" y="2115185"/>
                            <a:ext cx="51435" cy="132080"/>
                          </a:xfrm>
                          <a:prstGeom prst="rect">
                            <a:avLst/>
                          </a:prstGeom>
                          <a:noFill/>
                          <a:ln>
                            <a:noFill/>
                          </a:ln>
                        </wps:spPr>
                        <wps:txbx>
                          <w:txbxContent>
                            <w:p>
                              <w:r>
                                <w:rPr>
                                  <w:rFonts w:ascii="宋体" w:cs="宋体"/>
                                  <w:color w:val="000000"/>
                                  <w:sz w:val="16"/>
                                  <w:szCs w:val="16"/>
                                </w:rPr>
                                <w:t>7</w:t>
                              </w:r>
                            </w:p>
                          </w:txbxContent>
                        </wps:txbx>
                        <wps:bodyPr wrap="none" lIns="0" tIns="0" rIns="0" bIns="0" upright="1">
                          <a:spAutoFit/>
                        </wps:bodyPr>
                      </wps:wsp>
                      <wps:wsp>
                        <wps:cNvPr id="230" name="矩形 230"/>
                        <wps:cNvSpPr/>
                        <wps:spPr>
                          <a:xfrm>
                            <a:off x="3713480" y="2115185"/>
                            <a:ext cx="51435" cy="132080"/>
                          </a:xfrm>
                          <a:prstGeom prst="rect">
                            <a:avLst/>
                          </a:prstGeom>
                          <a:noFill/>
                          <a:ln>
                            <a:noFill/>
                          </a:ln>
                        </wps:spPr>
                        <wps:txbx>
                          <w:txbxContent>
                            <w:p>
                              <w:r>
                                <w:rPr>
                                  <w:rFonts w:ascii="宋体" w:cs="宋体"/>
                                  <w:color w:val="000000"/>
                                  <w:sz w:val="16"/>
                                  <w:szCs w:val="16"/>
                                </w:rPr>
                                <w:t>8</w:t>
                              </w:r>
                            </w:p>
                          </w:txbxContent>
                        </wps:txbx>
                        <wps:bodyPr wrap="none" lIns="0" tIns="0" rIns="0" bIns="0" upright="1">
                          <a:spAutoFit/>
                        </wps:bodyPr>
                      </wps:wsp>
                      <wps:wsp>
                        <wps:cNvPr id="231" name="矩形 231"/>
                        <wps:cNvSpPr/>
                        <wps:spPr>
                          <a:xfrm>
                            <a:off x="4172585" y="2115185"/>
                            <a:ext cx="51435" cy="132080"/>
                          </a:xfrm>
                          <a:prstGeom prst="rect">
                            <a:avLst/>
                          </a:prstGeom>
                          <a:noFill/>
                          <a:ln>
                            <a:noFill/>
                          </a:ln>
                        </wps:spPr>
                        <wps:txbx>
                          <w:txbxContent>
                            <w:p>
                              <w:r>
                                <w:rPr>
                                  <w:rFonts w:ascii="宋体" w:cs="宋体"/>
                                  <w:color w:val="000000"/>
                                  <w:sz w:val="16"/>
                                  <w:szCs w:val="16"/>
                                </w:rPr>
                                <w:t>9</w:t>
                              </w:r>
                            </w:p>
                          </w:txbxContent>
                        </wps:txbx>
                        <wps:bodyPr wrap="none" lIns="0" tIns="0" rIns="0" bIns="0" upright="1">
                          <a:spAutoFit/>
                        </wps:bodyPr>
                      </wps:wsp>
                      <wps:wsp>
                        <wps:cNvPr id="232" name="矩形 232"/>
                        <wps:cNvSpPr/>
                        <wps:spPr>
                          <a:xfrm>
                            <a:off x="4603115" y="2115185"/>
                            <a:ext cx="102235" cy="132080"/>
                          </a:xfrm>
                          <a:prstGeom prst="rect">
                            <a:avLst/>
                          </a:prstGeom>
                          <a:noFill/>
                          <a:ln>
                            <a:noFill/>
                          </a:ln>
                        </wps:spPr>
                        <wps:txbx>
                          <w:txbxContent>
                            <w:p>
                              <w:r>
                                <w:rPr>
                                  <w:rFonts w:ascii="宋体" w:cs="宋体"/>
                                  <w:color w:val="000000"/>
                                  <w:sz w:val="16"/>
                                  <w:szCs w:val="16"/>
                                </w:rPr>
                                <w:t>10</w:t>
                              </w:r>
                            </w:p>
                          </w:txbxContent>
                        </wps:txbx>
                        <wps:bodyPr wrap="none" lIns="0" tIns="0" rIns="0" bIns="0" upright="1">
                          <a:spAutoFit/>
                        </wps:bodyPr>
                      </wps:wsp>
                      <wps:wsp>
                        <wps:cNvPr id="233" name="矩形 233"/>
                        <wps:cNvSpPr/>
                        <wps:spPr>
                          <a:xfrm>
                            <a:off x="5061585" y="2115185"/>
                            <a:ext cx="102235" cy="132080"/>
                          </a:xfrm>
                          <a:prstGeom prst="rect">
                            <a:avLst/>
                          </a:prstGeom>
                          <a:noFill/>
                          <a:ln>
                            <a:noFill/>
                          </a:ln>
                        </wps:spPr>
                        <wps:txbx>
                          <w:txbxContent>
                            <w:p>
                              <w:r>
                                <w:rPr>
                                  <w:rFonts w:ascii="宋体" w:cs="宋体"/>
                                  <w:color w:val="000000"/>
                                  <w:sz w:val="16"/>
                                  <w:szCs w:val="16"/>
                                </w:rPr>
                                <w:t>11</w:t>
                              </w:r>
                            </w:p>
                          </w:txbxContent>
                        </wps:txbx>
                        <wps:bodyPr wrap="none" lIns="0" tIns="0" rIns="0" bIns="0" upright="1">
                          <a:spAutoFit/>
                        </wps:bodyPr>
                      </wps:wsp>
                      <wps:wsp>
                        <wps:cNvPr id="234" name="矩形 234"/>
                        <wps:cNvSpPr/>
                        <wps:spPr>
                          <a:xfrm>
                            <a:off x="5520690" y="2115185"/>
                            <a:ext cx="102235" cy="132080"/>
                          </a:xfrm>
                          <a:prstGeom prst="rect">
                            <a:avLst/>
                          </a:prstGeom>
                          <a:noFill/>
                          <a:ln>
                            <a:noFill/>
                          </a:ln>
                        </wps:spPr>
                        <wps:txbx>
                          <w:txbxContent>
                            <w:p>
                              <w:r>
                                <w:rPr>
                                  <w:rFonts w:ascii="宋体" w:cs="宋体"/>
                                  <w:color w:val="000000"/>
                                  <w:sz w:val="16"/>
                                  <w:szCs w:val="16"/>
                                </w:rPr>
                                <w:t>12</w:t>
                              </w:r>
                            </w:p>
                          </w:txbxContent>
                        </wps:txbx>
                        <wps:bodyPr wrap="none" lIns="0" tIns="0" rIns="0" bIns="0" upright="1">
                          <a:spAutoFit/>
                        </wps:bodyPr>
                      </wps:wsp>
                      <wps:wsp>
                        <wps:cNvPr id="235" name="矩形 235"/>
                        <wps:cNvSpPr/>
                        <wps:spPr>
                          <a:xfrm>
                            <a:off x="2950845" y="2270760"/>
                            <a:ext cx="203835" cy="132080"/>
                          </a:xfrm>
                          <a:prstGeom prst="rect">
                            <a:avLst/>
                          </a:prstGeom>
                          <a:noFill/>
                          <a:ln>
                            <a:noFill/>
                          </a:ln>
                        </wps:spPr>
                        <wps:txbx>
                          <w:txbxContent>
                            <w:p>
                              <w:r>
                                <w:rPr>
                                  <w:rFonts w:hint="eastAsia" w:ascii="宋体" w:cs="宋体"/>
                                  <w:color w:val="000000"/>
                                  <w:sz w:val="16"/>
                                  <w:szCs w:val="16"/>
                                </w:rPr>
                                <w:t>月份</w:t>
                              </w:r>
                            </w:p>
                          </w:txbxContent>
                        </wps:txbx>
                        <wps:bodyPr wrap="none" lIns="0" tIns="0" rIns="0" bIns="0" upright="1">
                          <a:spAutoFit/>
                        </wps:bodyPr>
                      </wps:wsp>
                      <wps:wsp>
                        <wps:cNvPr id="236" name="矩形 236"/>
                        <wps:cNvSpPr/>
                        <wps:spPr>
                          <a:xfrm rot="16200000">
                            <a:off x="-247650" y="1153160"/>
                            <a:ext cx="792480" cy="228600"/>
                          </a:xfrm>
                          <a:prstGeom prst="rect">
                            <a:avLst/>
                          </a:prstGeom>
                          <a:noFill/>
                          <a:ln>
                            <a:noFill/>
                          </a:ln>
                        </wps:spPr>
                        <wps:txbx>
                          <w:txbxContent>
                            <w:p>
                              <w:r>
                                <w:rPr>
                                  <w:rFonts w:hint="eastAsia" w:ascii="宋体" w:cs="宋体"/>
                                  <w:color w:val="000000"/>
                                  <w:sz w:val="16"/>
                                  <w:szCs w:val="16"/>
                                </w:rPr>
                                <w:t>平均风速m/s</w:t>
                              </w:r>
                            </w:p>
                          </w:txbxContent>
                        </wps:txbx>
                        <wps:bodyPr vert="eaVert" lIns="0" tIns="0" rIns="0" bIns="0" upright="1"/>
                      </wps:wsp>
                    </wpc:wpc>
                  </a:graphicData>
                </a:graphic>
              </wp:inline>
            </w:drawing>
          </mc:Choice>
          <mc:Fallback>
            <w:pict>
              <v:group id="_x0000_s1026" o:spid="_x0000_s1026" o:spt="203" style="height:197.65pt;width:453.05pt;" coordsize="5753735,2510155" editas="canvas" o:gfxdata="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">
                <o:lock v:ext="edit" aspectratio="f"/>
                <v:shape id="_x0000_s1026" o:spid="_x0000_s1026" style="position:absolute;left:0;top:0;height:2510155;width:5753735;" fillcolor="#FFFFFF" filled="t" stroked="f" coordsize="21600,21600" o:gfxdata="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">
                  <v:fill on="t" focussize="0,0"/>
                  <v:stroke on="f"/>
                  <v:imagedata o:title=""/>
                  <o:lock v:ext="edit" aspectratio="t"/>
                </v:shape>
                <v:rect id="_x0000_s1026" o:spid="_x0000_s1026" o:spt="1" style="position:absolute;left:114300;top:198120;height:1833245;width:5040630;" fillcolor="#FFFFFF" filled="t" stroked="f" coordsize="21600,21600" o:gfxdata="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JGxhnDUAAAABQEAAA8AAAAAAAAAAQAg&#10;AAAAIgAAAGRycy9kb3ducmV2LnhtbFBLAQIUABQAAAAIAIdO4kCXs59ZoAEAACADAAAOAAAAAAAA&#10;AAEAIAAAACMBAABkcnMvZTJvRG9jLnhtbFBLBQYAAAAABgAGAFkBAAA1BQAAAAA=&#10;">
                  <v:fill on="t" focussize="0,0"/>
                  <v:stroke on="f"/>
                  <v:imagedata o:title=""/>
                  <o:lock v:ext="edit" aspectratio="f"/>
                </v:rect>
                <v:rect id="_x0000_s1026" o:spid="_x0000_s1026" o:spt="1" style="position:absolute;left:536575;top:183515;height:1833245;width:5040630;" filled="f" stroked="t" coordsize="21600,21600" o:gfxdata="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Ocjo9IAAAAF&#10;AQAADwAAAAAAAAABACAAAAAiAAAAZHJzL2Rvd25yZXYueG1sUEsBAhQAFAAAAAgAh07iQJrECA7p&#10;AQAAtgMAAA4AAAAAAAAAAQAgAAAAIQEAAGRycy9lMm9Eb2MueG1sUEsFBgAAAAAGAAYAWQEAAHwF&#10;AAAAAA==&#10;">
                  <v:fill on="f" focussize="0,0"/>
                  <v:stroke weight="0.55pt" color="#FFFFFF" joinstyle="miter"/>
                  <v:imagedata o:title=""/>
                  <o:lock v:ext="edit" aspectratio="f"/>
                </v:rect>
                <v:line id="_x0000_s1026" o:spid="_x0000_s1026" o:spt="20" style="position:absolute;left:536575;top:183515;height:1833245;width:0;" filled="f" stroked="t" coordsize="21600,21600" o:gfxdata="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dELGdUAAAAFAQAA&#10;DwAAAAAAAAABACAAAAAiAAAAZHJzL2Rvd25yZXYueG1sUEsBAhQAFAAAAAgAh07iQMU2EejjAQAA&#10;oQMAAA4AAAAAAAAAAQAgAAAAJAEAAGRycy9lMm9Eb2MueG1sUEsFBgAAAAAGAAYAWQEAAHkFAAAA&#10;AA==&#10;">
                  <v:fill on="f" focussize="0,0"/>
                  <v:stroke weight="0pt" color="#000000" joinstyle="round"/>
                  <v:imagedata o:title=""/>
                  <o:lock v:ext="edit" aspectratio="f"/>
                </v:line>
                <v:line id="_x0000_s1026" o:spid="_x0000_s1026" o:spt="20" style="position:absolute;left:536575;top:2016760;height:0;width:35560;" filled="f" stroked="t" coordsize="21600,21600" o:gfxdata="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XRCxnVAAAABQEA&#10;AA8AAAAAAAAAAQAgAAAAIgAAAGRycy9kb3ducmV2LnhtbFBLAQIUABQAAAAIAIdO4kCK5WQW5AEA&#10;AKADAAAOAAAAAAAAAAEAIAAAACQBAABkcnMvZTJvRG9jLnhtbFBLBQYAAAAABgAGAFkBAAB6BQAA&#10;AAA=&#10;">
                  <v:fill on="f" focussize="0,0"/>
                  <v:stroke weight="0pt" color="#000000" joinstyle="round"/>
                  <v:imagedata o:title=""/>
                  <o:lock v:ext="edit" aspectratio="f"/>
                </v:line>
                <v:line id="_x0000_s1026" o:spid="_x0000_s1026" o:spt="20" style="position:absolute;left:536575;top:1812290;height:0;width:35560;" filled="f" stroked="t" coordsize="21600,21600" o:gfxdata="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V0QsZ1QAAAAUB&#10;AAAPAAAAAAAAAAEAIAAAACIAAABkcnMvZG93bnJldi54bWxQSwECFAAUAAAACACHTuJAHzQwS+UB&#10;AACgAwAADgAAAAAAAAABACAAAAAkAQAAZHJzL2Uyb0RvYy54bWxQSwUGAAAAAAYABgBZAQAAewUA&#10;AAAA&#10;">
                  <v:fill on="f" focussize="0,0"/>
                  <v:stroke weight="0pt" color="#000000" joinstyle="round"/>
                  <v:imagedata o:title=""/>
                  <o:lock v:ext="edit" aspectratio="f"/>
                </v:line>
                <v:line id="_x0000_s1026" o:spid="_x0000_s1026" o:spt="20" style="position:absolute;left:536575;top:1607820;height:0;width:35560;" filled="f" stroked="t" coordsize="21600,21600" o:gfxdata="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V0QsZ1QAAAAUB&#10;AAAPAAAAAAAAAAEAIAAAACIAAABkcnMvZG93bnJldi54bWxQSwECFAAUAAAACACHTuJAguW3l+UB&#10;AACgAwAADgAAAAAAAAABACAAAAAkAQAAZHJzL2Uyb0RvYy54bWxQSwUGAAAAAAYABgBZAQAAewUA&#10;AAAA&#10;">
                  <v:fill on="f" focussize="0,0"/>
                  <v:stroke weight="0pt" color="#000000" joinstyle="round"/>
                  <v:imagedata o:title=""/>
                  <o:lock v:ext="edit" aspectratio="f"/>
                </v:line>
                <v:line id="_x0000_s1026" o:spid="_x0000_s1026" o:spt="20" style="position:absolute;left:536575;top:1403350;height:0;width:35560;" filled="f" stroked="t" coordsize="21600,21600" o:gfxdata="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XRCxnVAAAABQEA&#10;AA8AAAAAAAAAAQAgAAAAIgAAAGRycy9kb3ducmV2LnhtbFBLAQIUABQAAAAIAIdO4kDxpDrC5AEA&#10;AKADAAAOAAAAAAAAAAEAIAAAACQBAABkcnMvZTJvRG9jLnhtbFBLBQYAAAAABgAGAFkBAAB6BQAA&#10;AAA=&#10;">
                  <v:fill on="f" focussize="0,0"/>
                  <v:stroke weight="0pt" color="#000000" joinstyle="round"/>
                  <v:imagedata o:title=""/>
                  <o:lock v:ext="edit" aspectratio="f"/>
                </v:line>
                <v:line id="_x0000_s1026" o:spid="_x0000_s1026" o:spt="20" style="position:absolute;left:536575;top:1198880;height:0;width:35560;" filled="f" stroked="t" coordsize="21600,21600" o:gfxdata="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V0QsZ1QAAAAUB&#10;AAAPAAAAAAAAAAEAIAAAACIAAABkcnMvZG93bnJldi54bWxQSwECFAAUAAAACACHTuJATzhjg+UB&#10;AACgAwAADgAAAAAAAAABACAAAAAkAQAAZHJzL2Uyb0RvYy54bWxQSwUGAAAAAAYABgBZAQAAewUA&#10;AAAA&#10;">
                  <v:fill on="f" focussize="0,0"/>
                  <v:stroke weight="0pt" color="#000000" joinstyle="round"/>
                  <v:imagedata o:title=""/>
                  <o:lock v:ext="edit" aspectratio="f"/>
                </v:line>
                <v:line id="_x0000_s1026" o:spid="_x0000_s1026" o:spt="20" style="position:absolute;left:536575;top:1001395;height:0;width:35560;" filled="f" stroked="t" coordsize="21600,21600" o:gfxdata="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V0QsZ1QAAAAUB&#10;AAAPAAAAAAAAAAEAIAAAACIAAABkcnMvZG93bnJldi54bWxQSwECFAAUAAAACACHTuJAZhx/c+UB&#10;AACgAwAADgAAAAAAAAABACAAAAAkAQAAZHJzL2Uyb0RvYy54bWxQSwUGAAAAAAYABgBZAQAAewUA&#10;AAAA&#10;">
                  <v:fill on="f" focussize="0,0"/>
                  <v:stroke weight="0pt" color="#000000" joinstyle="round"/>
                  <v:imagedata o:title=""/>
                  <o:lock v:ext="edit" aspectratio="f"/>
                </v:line>
                <v:line id="_x0000_s1026" o:spid="_x0000_s1026" o:spt="20" style="position:absolute;left:536575;top:796925;height:0;width:35560;" filled="f" stroked="t" coordsize="21600,21600" o:gfxdata="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V0QsZ1QAAAAUB&#10;AAAPAAAAAAAAAAEAIAAAACIAAABkcnMvZG93bnJldi54bWxQSwECFAAUAAAACACHTuJADj9cbeUB&#10;AACfAwAADgAAAAAAAAABACAAAAAkAQAAZHJzL2Uyb0RvYy54bWxQSwUGAAAAAAYABgBZAQAAewUA&#10;AAAA&#10;">
                  <v:fill on="f" focussize="0,0"/>
                  <v:stroke weight="0pt" color="#000000" joinstyle="round"/>
                  <v:imagedata o:title=""/>
                  <o:lock v:ext="edit" aspectratio="f"/>
                </v:line>
                <v:line id="_x0000_s1026" o:spid="_x0000_s1026" o:spt="20" style="position:absolute;left:536575;top:592455;height:0;width:35560;" filled="f" stroked="t" coordsize="21600,21600" o:gfxdata="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V0QsZ1QAAAAUB&#10;AAAPAAAAAAAAAAEAIAAAACIAAABkcnMvZG93bnJldi54bWxQSwECFAAUAAAACACHTuJANvcjDuUB&#10;AACfAwAADgAAAAAAAAABACAAAAAkAQAAZHJzL2Uyb0RvYy54bWxQSwUGAAAAAAYABgBZAQAAewUA&#10;AAAA&#10;">
                  <v:fill on="f" focussize="0,0"/>
                  <v:stroke weight="0pt" color="#000000" joinstyle="round"/>
                  <v:imagedata o:title=""/>
                  <o:lock v:ext="edit" aspectratio="f"/>
                </v:line>
                <v:line id="_x0000_s1026" o:spid="_x0000_s1026" o:spt="20" style="position:absolute;left:536575;top:387985;height:0;width:35560;" filled="f" stroked="t" coordsize="21600,21600" o:gfxdata="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V0QsZ1QAAAAUB&#10;AAAPAAAAAAAAAAEAIAAAACIAAABkcnMvZG93bnJldi54bWxQSwECFAAUAAAACACHTuJAXlDTg+UB&#10;AACfAwAADgAAAAAAAAABACAAAAAkAQAAZHJzL2Uyb0RvYy54bWxQSwUGAAAAAAYABgBZAQAAewUA&#10;AAAA&#10;">
                  <v:fill on="f" focussize="0,0"/>
                  <v:stroke weight="0pt" color="#000000" joinstyle="round"/>
                  <v:imagedata o:title=""/>
                  <o:lock v:ext="edit" aspectratio="f"/>
                </v:line>
                <v:line id="_x0000_s1026" o:spid="_x0000_s1026" o:spt="20" style="position:absolute;left:536575;top:183515;height:0;width:35560;" filled="f" stroked="t" coordsize="21600,21600" o:gfxdata="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XRCxnVAAAABQEA&#10;AA8AAAAAAAAAAQAgAAAAIgAAAGRycy9kb3ducmV2LnhtbFBLAQIUABQAAAAIAIdO4kDdCir95AEA&#10;AJ8DAAAOAAAAAAAAAAEAIAAAACQBAABkcnMvZTJvRG9jLnhtbFBLBQYAAAAABgAGAFkBAAB6BQAA&#10;AAA=&#10;">
                  <v:fill on="f" focussize="0,0"/>
                  <v:stroke weight="0pt" color="#000000" joinstyle="round"/>
                  <v:imagedata o:title=""/>
                  <o:lock v:ext="edit" aspectratio="f"/>
                </v:line>
                <v:line id="_x0000_s1026" o:spid="_x0000_s1026" o:spt="20" style="position:absolute;left:536575;top:2016760;height:0;width:5040630;" filled="f" stroked="t" coordsize="21600,21600" o:gfxdata="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dELGdUAAAAF&#10;AQAADwAAAAAAAAABACAAAAAiAAAAZHJzL2Rvd25yZXYueG1sUEsBAhQAFAAAAAgAh07iQK2Dh5bm&#10;AQAAogMAAA4AAAAAAAAAAQAgAAAAJAEAAGRycy9lMm9Eb2MueG1sUEsFBgAAAAAGAAYAWQEAAHwF&#10;AAAAAA==&#10;">
                  <v:fill on="f" focussize="0,0"/>
                  <v:stroke weight="0pt" color="#000000" joinstyle="round"/>
                  <v:imagedata o:title=""/>
                  <o:lock v:ext="edit" aspectratio="f"/>
                </v:line>
                <v:line id="_x0000_s1026" o:spid="_x0000_s1026" o:spt="20" style="position:absolute;left:536575;top:1981200;flip:y;height:35560;width:0;" filled="f" stroked="t" coordsize="21600,21600" o:gfxdata="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Ux5&#10;o9YAAAAFAQAADwAAAAAAAAABACAAAAAiAAAAZHJzL2Rvd25yZXYueG1sUEsBAhQAFAAAAAgAh07i&#10;QFeAs6HrAQAAqgMAAA4AAAAAAAAAAQAgAAAAJQEAAGRycy9lMm9Eb2MueG1sUEsFBgAAAAAGAAYA&#10;WQEAAIIFAAAAAA==&#10;">
                  <v:fill on="f" focussize="0,0"/>
                  <v:stroke weight="0pt" color="#000000" joinstyle="round"/>
                  <v:imagedata o:title=""/>
                  <o:lock v:ext="edit" aspectratio="f"/>
                </v:line>
                <v:line id="_x0000_s1026" o:spid="_x0000_s1026" o:spt="20" style="position:absolute;left:995680;top:1981200;flip:y;height:35560;width:0;" filled="f" stroked="t" coordsize="21600,21600" o:gfxdata="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lMeaPW&#10;AAAABQEAAA8AAAAAAAAAAQAgAAAAIgAAAGRycy9kb3ducmV2LnhtbFBLAQIUABQAAAAIAIdO4kCq&#10;GBlf6QEAAKoDAAAOAAAAAAAAAAEAIAAAACUBAABkcnMvZTJvRG9jLnhtbFBLBQYAAAAABgAGAFkB&#10;AACABQAAAAA=&#10;">
                  <v:fill on="f" focussize="0,0"/>
                  <v:stroke weight="0pt" color="#000000" joinstyle="round"/>
                  <v:imagedata o:title=""/>
                  <o:lock v:ext="edit" aspectratio="f"/>
                </v:line>
                <v:line id="_x0000_s1026" o:spid="_x0000_s1026" o:spt="20" style="position:absolute;left:1454150;top:1981200;flip:y;height:35560;width:0;" filled="f" stroked="t" coordsize="21600,21600" o:gfxdata="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lMeaPW&#10;AAAABQEAAA8AAAAAAAAAAQAgAAAAIgAAAGRycy9kb3ducmV2LnhtbFBLAQIUABQAAAAIAIdO4kCx&#10;JZXP6QEAAKsDAAAOAAAAAAAAAAEAIAAAACUBAABkcnMvZTJvRG9jLnhtbFBLBQYAAAAABgAGAFkB&#10;AACABQAAAAA=&#10;">
                  <v:fill on="f" focussize="0,0"/>
                  <v:stroke weight="0pt" color="#000000" joinstyle="round"/>
                  <v:imagedata o:title=""/>
                  <o:lock v:ext="edit" aspectratio="f"/>
                </v:line>
                <v:line id="_x0000_s1026" o:spid="_x0000_s1026" o:spt="20" style="position:absolute;left:1913255;top:1981200;flip:y;height:35560;width:0;" filled="f" stroked="t" coordsize="21600,21600" o:gfxdata="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ZTHmj&#10;1gAAAAUBAAAPAAAAAAAAAAEAIAAAACIAAABkcnMvZG93bnJldi54bWxQSwECFAAUAAAACACHTuJA&#10;/7ohJuoBAACrAwAADgAAAAAAAAABACAAAAAlAQAAZHJzL2Uyb0RvYy54bWxQSwUGAAAAAAYABgBZ&#10;AQAAgQUAAAAA&#10;">
                  <v:fill on="f" focussize="0,0"/>
                  <v:stroke weight="0pt" color="#000000" joinstyle="round"/>
                  <v:imagedata o:title=""/>
                  <o:lock v:ext="edit" aspectratio="f"/>
                </v:line>
                <v:line id="_x0000_s1026" o:spid="_x0000_s1026" o:spt="20" style="position:absolute;left:2372360;top:1981200;flip:y;height:35560;width:0;" filled="f" stroked="t" coordsize="21600,21600" o:gfxdata="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lMeaPW&#10;AAAABQEAAA8AAAAAAAAAAQAgAAAAIgAAAGRycy9kb3ducmV2LnhtbFBLAQIUABQAAAAIAIdO4kAz&#10;Ml/O6QEAAKsDAAAOAAAAAAAAAAEAIAAAACUBAABkcnMvZTJvRG9jLnhtbFBLBQYAAAAABgAGAFkB&#10;AACABQAAAAA=&#10;">
                  <v:fill on="f" focussize="0,0"/>
                  <v:stroke weight="0pt" color="#000000" joinstyle="round"/>
                  <v:imagedata o:title=""/>
                  <o:lock v:ext="edit" aspectratio="f"/>
                </v:line>
                <v:line id="_x0000_s1026" o:spid="_x0000_s1026" o:spt="20" style="position:absolute;left:2830830;top:1981200;flip:y;height:35560;width:0;" filled="f" stroked="t" coordsize="21600,21600" o:gfxdata="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Ux5&#10;o9YAAAAFAQAADwAAAAAAAAABACAAAAAiAAAAZHJzL2Rvd25yZXYueG1sUEsBAhQAFAAAAAgAh07i&#10;QPopo+PrAQAAqwMAAA4AAAAAAAAAAQAgAAAAJQEAAGRycy9lMm9Eb2MueG1sUEsFBgAAAAAGAAYA&#10;WQEAAIIFAAAAAA==&#10;">
                  <v:fill on="f" focussize="0,0"/>
                  <v:stroke weight="0pt" color="#000000" joinstyle="round"/>
                  <v:imagedata o:title=""/>
                  <o:lock v:ext="edit" aspectratio="f"/>
                </v:line>
                <v:line id="_x0000_s1026" o:spid="_x0000_s1026" o:spt="20" style="position:absolute;left:3282950;top:1981200;flip:y;height:35560;width:0;" filled="f" stroked="t" coordsize="21600,21600" o:gfxdata="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Ux5&#10;o9YAAAAFAQAADwAAAAAAAAABACAAAAAiAAAAZHJzL2Rvd25yZXYueG1sUEsBAhQAFAAAAAgAh07i&#10;QB+oJFnrAQAAqwMAAA4AAAAAAAAAAQAgAAAAJQEAAGRycy9lMm9Eb2MueG1sUEsFBgAAAAAGAAYA&#10;WQEAAIIFAAAAAA==&#10;">
                  <v:fill on="f" focussize="0,0"/>
                  <v:stroke weight="0pt" color="#000000" joinstyle="round"/>
                  <v:imagedata o:title=""/>
                  <o:lock v:ext="edit" aspectratio="f"/>
                </v:line>
                <v:line id="_x0000_s1026" o:spid="_x0000_s1026" o:spt="20" style="position:absolute;left:3741420;top:1981200;flip:y;height:35560;width:0;" filled="f" stroked="t" coordsize="21600,21600" o:gfxdata="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Ux5&#10;o9YAAAAFAQAADwAAAAAAAAABACAAAAAiAAAAZHJzL2Rvd25yZXYueG1sUEsBAhQAFAAAAAgAh07i&#10;QKkmLN7rAQAAqwMAAA4AAAAAAAAAAQAgAAAAJQEAAGRycy9lMm9Eb2MueG1sUEsFBgAAAAAGAAYA&#10;WQEAAIIFAAAAAA==&#10;">
                  <v:fill on="f" focussize="0,0"/>
                  <v:stroke weight="0pt" color="#000000" joinstyle="round"/>
                  <v:imagedata o:title=""/>
                  <o:lock v:ext="edit" aspectratio="f"/>
                </v:line>
                <v:line id="_x0000_s1026" o:spid="_x0000_s1026" o:spt="20" style="position:absolute;left:4200525;top:1981200;flip:y;height:35560;width:0;" filled="f" stroked="t" coordsize="21600,21600" o:gfxdata="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ZTHmj&#10;1gAAAAUBAAAPAAAAAAAAAAEAIAAAACIAAABkcnMvZG93bnJldi54bWxQSwECFAAUAAAACACHTuJA&#10;oiQFDeoBAACrAwAADgAAAAAAAAABACAAAAAlAQAAZHJzL2Uyb0RvYy54bWxQSwUGAAAAAAYABgBZ&#10;AQAAgQUAAAAA&#10;">
                  <v:fill on="f" focussize="0,0"/>
                  <v:stroke weight="0pt" color="#000000" joinstyle="round"/>
                  <v:imagedata o:title=""/>
                  <o:lock v:ext="edit" aspectratio="f"/>
                </v:line>
                <v:line id="_x0000_s1026" o:spid="_x0000_s1026" o:spt="20" style="position:absolute;left:4659630;top:1981200;flip:y;height:35560;width:0;" filled="f" stroked="t" coordsize="21600,21600" o:gfxdata="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Ux5&#10;o9YAAAAFAQAADwAAAAAAAAABACAAAAAiAAAAZHJzL2Rvd25yZXYueG1sUEsBAhQAFAAAAAgAh07i&#10;QJEZqtTrAQAAqwMAAA4AAAAAAAAAAQAgAAAAJQEAAGRycy9lMm9Eb2MueG1sUEsFBgAAAAAGAAYA&#10;WQEAAIIFAAAAAA==&#10;">
                  <v:fill on="f" focussize="0,0"/>
                  <v:stroke weight="0pt" color="#000000" joinstyle="round"/>
                  <v:imagedata o:title=""/>
                  <o:lock v:ext="edit" aspectratio="f"/>
                </v:line>
                <v:line id="_x0000_s1026" o:spid="_x0000_s1026" o:spt="20" style="position:absolute;left:5118100;top:1981200;flip:y;height:35560;width:0;" filled="f" stroked="t" coordsize="21600,21600" o:gfxdata="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lMeaPW&#10;AAAABQEAAA8AAAAAAAAAAQAgAAAAIgAAAGRycy9kb3ducmV2LnhtbFBLAQIUABQAAAAIAIdO4kBn&#10;i/Ym6QEAAKsDAAAOAAAAAAAAAAEAIAAAACUBAABkcnMvZTJvRG9jLnhtbFBLBQYAAAAABgAGAFkB&#10;AACABQAAAAA=&#10;">
                  <v:fill on="f" focussize="0,0"/>
                  <v:stroke weight="0pt" color="#000000" joinstyle="round"/>
                  <v:imagedata o:title=""/>
                  <o:lock v:ext="edit" aspectratio="f"/>
                </v:line>
                <v:line id="_x0000_s1026" o:spid="_x0000_s1026" o:spt="20" style="position:absolute;left:5577205;top:1981200;flip:y;height:35560;width:0;" filled="f" stroked="t" coordsize="21600,21600" o:gfxdata="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lM&#10;eaPWAAAABQEAAA8AAAAAAAAAAQAgAAAAIgAAAGRycy9kb3ducmV2LnhtbFBLAQIUABQAAAAIAIdO&#10;4kBhsPAf7AEAAKsDAAAOAAAAAAAAAAEAIAAAACUBAABkcnMvZTJvRG9jLnhtbFBLBQYAAAAABgAG&#10;AFkBAACDBQAAAAA=&#10;">
                  <v:fill on="f" focussize="0,0"/>
                  <v:stroke weight="0pt" color="#000000" joinstyle="round"/>
                  <v:imagedata o:title=""/>
                  <o:lock v:ext="edit" aspectratio="f"/>
                </v:line>
                <v:shape id="_x0000_s1026" o:spid="_x0000_s1026" o:spt="100" style="position:absolute;left:536575;top:874395;height:225425;width:459105;" filled="f" stroked="t" coordsize="723,355" o:gfxdata="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UTb9vWAAAABQEAAA8A&#10;AAAAAAAAAQAgAAAAIgAAAGRycy9kb3ducmV2LnhtbFBLAQIUABQAAAAIAIdO4kCgafnKUgIAAMYE&#10;AAAOAAAAAAAAAAEAIAAAACUBAABkcnMvZTJvRG9jLnhtbFBLBQYAAAAABgAGAFkBAADpBQAAAAA=&#10;" path="m0,355l178,266,356,189,545,100,723,0e">
                  <v:fill on="f" focussize="0,0"/>
                  <v:stroke weight="0.55pt" color="#000080" joinstyle="round"/>
                  <v:imagedata o:title=""/>
                  <o:lock v:ext="edit" aspectratio="f"/>
                </v:shape>
                <v:shape id="_x0000_s1026" o:spid="_x0000_s1026" o:spt="100" style="position:absolute;left:995680;top:508000;height:366395;width:458470;" filled="f" stroked="t" coordsize="722,577" o:gfxdata="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TgLs8dUAAAAFAQAADwAAAAAAAAABACAAAAAiAAAAZHJzL2Rvd25yZXYueG1sUEsBAhQA&#10;FAAAAAgAh07iQC/W5/BnAgAAFAUAAA4AAAAAAAAAAQAgAAAAJAEAAGRycy9lMm9Eb2MueG1sUEsF&#10;BgAAAAAGAAYAWQEAAP0FAAAAAA==&#10;" path="m0,577l89,510,177,444,355,288,544,133,633,55,722,0e">
                  <v:fill on="f" focussize="0,0"/>
                  <v:stroke weight="0.55pt" color="#000080" joinstyle="round"/>
                  <v:imagedata o:title=""/>
                  <o:lock v:ext="edit" aspectratio="f"/>
                </v:shape>
                <v:shape id="_x0000_s1026" o:spid="_x0000_s1026" o:spt="100" style="position:absolute;left:1454150;top:324485;height:183515;width:459105;" filled="f" stroked="t" coordsize="723,289" o:gfxdata="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vHNjXUAAAABQEAAA8AAAAA&#10;AAAAAQAgAAAAIgAAAGRycy9kb3ducmV2LnhtbFBLAQIUABQAAAAIAIdO4kD82T9HUQIAAMYEAAAO&#10;AAAAAAAAAAEAIAAAACMBAABkcnMvZTJvRG9jLnhtbFBLBQYAAAAABgAGAFkBAADmBQAAAAA=&#10;" path="m0,289l178,189,356,111,545,44,723,0e">
                  <v:fill on="f" focussize="0,0"/>
                  <v:stroke weight="0.55pt" color="#000080" joinstyle="round"/>
                  <v:imagedata o:title=""/>
                  <o:lock v:ext="edit" aspectratio="f"/>
                </v:shape>
                <v:shape id="_x0000_s1026" o:spid="_x0000_s1026" o:spt="100" style="position:absolute;left:1913255;top:302895;height:42545;width:459105;" filled="f" stroked="t" coordsize="723,67" o:gfxdata="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uNq2fV&#10;AAAABQEAAA8AAAAAAAAAAQAgAAAAIgAAAGRycy9kb3ducmV2LnhtbFBLAQIUABQAAAAIAIdO4kAy&#10;Gxp8XAIAAA4FAAAOAAAAAAAAAAEAIAAAACQBAABkcnMvZTJvRG9jLnhtbFBLBQYAAAAABgAGAFkB&#10;AADyBQAAAAA=&#10;" path="m0,34l178,12,356,0,456,0,545,12,634,34,723,67e">
                  <v:fill on="f" focussize="0,0"/>
                  <v:stroke weight="0.55pt" color="#000080" joinstyle="round"/>
                  <v:imagedata o:title=""/>
                  <o:lock v:ext="edit" aspectratio="f"/>
                </v:shape>
                <v:shape id="_x0000_s1026" o:spid="_x0000_s1026" o:spt="100" style="position:absolute;left:2372360;top:345440;height:367030;width:458470;" filled="f" stroked="t" coordsize="722,578" o:gfxdata="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IlZRu1wAAAAUBAAAPAAAAAAAAAAEAIAAA&#10;ACIAAABkcnMvZG93bnJldi54bWxQSwECFAAUAAAACACHTuJAIWvHY38CAADbBQAADgAAAAAAAAAB&#10;ACAAAAAmAQAAZHJzL2Uyb0RvYy54bWxQSwUGAAAAAAYABgBZAQAAFwYAAAAA&#10;" path="m0,0l44,22,88,56,177,133,266,233,366,333,455,433,544,511,589,544,633,566,678,578,722,578e">
                  <v:fill on="f" focussize="0,0"/>
                  <v:stroke weight="0.55pt" color="#000080" joinstyle="round"/>
                  <v:imagedata o:title=""/>
                  <o:lock v:ext="edit" aspectratio="f"/>
                </v:shape>
                <v:shape id="_x0000_s1026" o:spid="_x0000_s1026" o:spt="100" style="position:absolute;left:2830830;top:281940;height:430530;width:452120;" filled="f" stroked="t" coordsize="712,678" o:gfxdata="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e8iA4dgAAAAFAQAA&#10;DwAAAAAAAAABACAAAAAiAAAAZHJzL2Rvd25yZXYueG1sUEsBAhQAFAAAAAgAh07iQGLPBDSLAgAA&#10;2wUAAA4AAAAAAAAAAQAgAAAAJwEAAGRycy9lMm9Eb2MueG1sUEsFBgAAAAAGAAYAWQEAACQGAAAA&#10;AA==&#10;" path="m0,678l45,666,89,644,134,622,178,578,267,489,356,378,445,256,534,145,623,56,667,22,712,0e">
                  <v:fill on="f" focussize="0,0"/>
                  <v:stroke weight="0.55pt" color="#000080" joinstyle="round"/>
                  <v:imagedata o:title=""/>
                  <o:lock v:ext="edit" aspectratio="f"/>
                </v:shape>
                <v:shape id="_x0000_s1026" o:spid="_x0000_s1026" o:spt="100" style="position:absolute;left:3282950;top:254000;height:48895;width:458470;" filled="f" stroked="t" coordsize="722,77" o:gfxdata="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s2fyzS&#10;AAAABQEAAA8AAAAAAAAAAQAgAAAAIgAAAGRycy9kb3ducmV2LnhtbFBLAQIUABQAAAAIAIdO4kDd&#10;pZH6XwIAAA0FAAAOAAAAAAAAAAEAIAAAACEBAABkcnMvZTJvRG9jLnhtbFBLBQYAAAAABgAGAFkB&#10;AADyBQAAAAA=&#10;" path="m0,44l89,11,178,0,267,0,355,11,544,44,722,77e">
                  <v:fill on="f" focussize="0,0"/>
                  <v:stroke weight="0.55pt" color="#000080" joinstyle="round"/>
                  <v:imagedata o:title=""/>
                  <o:lock v:ext="edit" aspectratio="f"/>
                </v:shape>
                <v:shape id="_x0000_s1026" o:spid="_x0000_s1026" o:spt="100" style="position:absolute;left:3741420;top:302895;height:85090;width:459105;" filled="f" stroked="t" coordsize="723,134" o:gfxdata="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FO5O9UAAAAFAQAADwAAAAAAAAABACAAAAAiAAAAZHJzL2Rvd25yZXYueG1sUEsBAhQAFAAA&#10;AAgAh07iQGtTZuJkAgAANQUAAA4AAAAAAAAAAQAgAAAAJAEAAGRycy9lMm9Eb2MueG1sUEsFBgAA&#10;AAAGAAYAWQEAAPoFAAAAAA==&#10;" path="m0,0l89,12,178,0,356,0,456,12,545,34,634,67,723,134e">
                  <v:fill on="f" focussize="0,0"/>
                  <v:stroke weight="0.55pt" color="#000080" joinstyle="round"/>
                  <v:imagedata o:title=""/>
                  <o:lock v:ext="edit" aspectratio="f"/>
                </v:shape>
                <v:shape id="_x0000_s1026" o:spid="_x0000_s1026" o:spt="100" style="position:absolute;left:4200525;top:387985;height:669925;width:459105;" filled="f" stroked="t" coordsize="723,1055" o:gfxdata="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ebDh&#10;1wAAAAUBAAAPAAAAAAAAAAEAIAAAACIAAABkcnMvZG93bnJldi54bWxQSwECFAAUAAAACACHTuJA&#10;pWNI4JQCAAAHBgAADgAAAAAAAAABACAAAAAmAQAAZHJzL2Uyb0RvYy54bWxQSwUGAAAAAAYABgBZ&#10;AQAALAYAAAAA&#10;" path="m0,0l44,44,89,100,133,155,178,233,267,377,356,544,456,710,545,855,589,921,634,977,678,1021,723,1055e">
                  <v:fill on="f" focussize="0,0"/>
                  <v:stroke weight="0.55pt" color="#000080" joinstyle="round"/>
                  <v:imagedata o:title=""/>
                  <o:lock v:ext="edit" aspectratio="f"/>
                </v:shape>
                <v:shape id="_x0000_s1026" o:spid="_x0000_s1026" o:spt="100" style="position:absolute;left:4659630;top:937895;height:140970;width:458470;" filled="f" stroked="t" coordsize="722,222" o:gfxdata="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J0h2DzXAAAABQEAAA8A&#10;AAAAAAAAAQAgAAAAIgAAAGRycy9kb3ducmV2LnhtbFBLAQIUABQAAAAIAIdO4kDH/2zwigIAANgF&#10;AAAOAAAAAAAAAAEAIAAAACYBAABkcnMvZTJvRG9jLnhtbFBLBQYAAAAABgAGAFkBAAAiBgAAAAA=&#10;" path="m0,189l44,211,89,222,133,222,178,222,266,189,355,144,455,89,544,44,633,11,678,0,722,0e">
                  <v:fill on="f" focussize="0,0"/>
                  <v:stroke weight="0.55pt" color="#000080" joinstyle="round"/>
                  <v:imagedata o:title=""/>
                  <o:lock v:ext="edit" aspectratio="f"/>
                </v:shape>
                <v:shape id="_x0000_s1026" o:spid="_x0000_s1026" o:spt="100" style="position:absolute;left:5118100;top:937895;height:183515;width:459105;" filled="f" stroked="t" coordsize="723,289" o:gfxdata="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LxzY1&#10;1AAAAAUBAAAPAAAAAAAAAAEAIAAAACIAAABkcnMvZG93bnJldi54bWxQSwECFAAUAAAACACHTuJA&#10;ApwC7V4CAAATBQAADgAAAAAAAAABACAAAAAjAQAAZHJzL2Uyb0RvYy54bWxQSwUGAAAAAAYABgBZ&#10;AQAA8wUAAAAA&#10;" path="m0,0l89,11,178,33,267,78,356,111,545,200,723,289e">
                  <v:fill on="f" focussize="0,0"/>
                  <v:stroke weight="0.55pt" color="#000080" joinstyle="round"/>
                  <v:imagedata o:title=""/>
                  <o:lock v:ext="edit" aspectratio="f"/>
                </v:shape>
                <v:shape id="_x0000_s1026" o:spid="_x0000_s1026" o:spt="100" style="position:absolute;left:515620;top:1078865;height:42545;width:41910;" fillcolor="#000080" filled="t" stroked="t" coordsize="66,67" o:gfxdata="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gxctXWAAAABQEAAA8AAAAAAAAAAQAgAAAAIgAA&#10;AGRycy9kb3ducmV2LnhtbFBLAQIUABQAAAAIAIdO4kBvCaXyQwIAAO0EAAAOAAAAAAAAAAEAIAAA&#10;ACUBAABkcnMvZTJvRG9jLnhtbFBLBQYAAAAABgAGAFkBAADaBQAAAAA=&#10;" path="m33,0l66,33,33,67,0,33,33,0xe">
                  <v:fill on="t" focussize="0,0"/>
                  <v:stroke weight="0.55pt" color="#000080" joinstyle="round"/>
                  <v:imagedata o:title=""/>
                  <o:lock v:ext="edit" aspectratio="f"/>
                </v:shape>
                <v:shape id="_x0000_s1026" o:spid="_x0000_s1026" o:spt="100" style="position:absolute;left:974090;top:853440;height:41910;width:42545;" fillcolor="#000080" filled="t" stroked="t" coordsize="67,66" o:gfxdata="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Q1X17VAAAABQEAAA8AAAAAAAAAAQAgAAAAIgAAAGRy&#10;cy9kb3ducmV2LnhtbFBLAQIUABQAAAAIAIdO4kBMKepVQQIAAOwEAAAOAAAAAAAAAAEAIAAAACQB&#10;AABkcnMvZTJvRG9jLnhtbFBLBQYAAAAABgAGAFkBAADXBQAAAAA=&#10;" path="m34,0l67,33,34,66,0,33,34,0xe">
                  <v:fill on="t" focussize="0,0"/>
                  <v:stroke weight="0.55pt" color="#000080" joinstyle="round"/>
                  <v:imagedata o:title=""/>
                  <o:lock v:ext="edit" aspectratio="f"/>
                </v:shape>
                <v:shape id="_x0000_s1026" o:spid="_x0000_s1026" o:spt="100" style="position:absolute;left:1433195;top:486410;height:42545;width:42545;" fillcolor="#000080" filled="t" stroked="t" coordsize="67,67" o:gfxdata="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&#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wP3TDXAAAABQEAAA8AAAAAAAAAAQAgAAAAIgAAAGRy&#10;cy9kb3ducmV2LnhtbFBLAQIUABQAAAAIAIdO4kBRoc/2PwIAAO0EAAAOAAAAAAAAAAEAIAAAACYB&#10;AABkcnMvZTJvRG9jLnhtbFBLBQYAAAAABgAGAFkBAADXBQAAAAA=&#10;" path="m33,0l67,34,33,67,0,34,33,0xe">
                  <v:fill on="t" focussize="0,0"/>
                  <v:stroke weight="0.55pt" color="#000080" joinstyle="round"/>
                  <v:imagedata o:title=""/>
                  <o:lock v:ext="edit" aspectratio="f"/>
                </v:shape>
                <v:shape id="_x0000_s1026" o:spid="_x0000_s1026" o:spt="100" style="position:absolute;left:1892300;top:302895;height:42545;width:41910;" fillcolor="#000080" filled="t" stroked="t" coordsize="66,67" o:gfxdata="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DFy1dYAAAAFAQAADwAAAAAAAAABACAAAAAiAAAA&#10;ZHJzL2Rvd25yZXYueG1sUEsBAhQAFAAAAAgAh07iQEkzyEhCAgAA7QQAAA4AAAAAAAAAAQAgAAAA&#10;JQEAAGRycy9lMm9Eb2MueG1sUEsFBgAAAAAGAAYAWQEAANkFAAAAAA==&#10;" path="m33,0l66,34,33,67,0,34,33,0xe">
                  <v:fill on="t" focussize="0,0"/>
                  <v:stroke weight="0.55pt" color="#000080" joinstyle="round"/>
                  <v:imagedata o:title=""/>
                  <o:lock v:ext="edit" aspectratio="f"/>
                </v:shape>
                <v:shape id="_x0000_s1026" o:spid="_x0000_s1026" o:spt="100" style="position:absolute;left:2350770;top:324485;height:41910;width:42545;" fillcolor="#000080" filled="t" stroked="t" coordsize="67,66" o:gfxdata="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kNV9e1QAAAAUBAAAPAAAAAAAAAAEAIAAAACIAAABk&#10;cnMvZG93bnJldi54bWxQSwECFAAUAAAACACHTuJAG1RhXUICAADtBAAADgAAAAAAAAABACAAAAAk&#10;AQAAZHJzL2Uyb0RvYy54bWxQSwUGAAAAAAYABgBZAQAA2AUAAAAA&#10;" path="m34,0l67,33,34,66,0,33,34,0xe">
                  <v:fill on="t" focussize="0,0"/>
                  <v:stroke weight="0.55pt" color="#000080" joinstyle="round"/>
                  <v:imagedata o:title=""/>
                  <o:lock v:ext="edit" aspectratio="f"/>
                </v:shape>
                <v:shape id="_x0000_s1026" o:spid="_x0000_s1026" o:spt="100" style="position:absolute;left:2809875;top:690880;height:42545;width:42545;" fillcolor="#000080" filled="t" stroked="t" coordsize="67,67" o:gfxdata="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wP3TDXAAAABQEAAA8AAAAAAAAAAQAgAAAAIgAAAGRy&#10;cy9kb3ducmV2LnhtbFBLAQIUABQAAAAIAIdO4kDsxSO3PwIAAO0EAAAOAAAAAAAAAAEAIAAAACYB&#10;AABkcnMvZTJvRG9jLnhtbFBLBQYAAAAABgAGAFkBAADXBQAAAAA=&#10;" path="m33,0l67,34,33,67,0,34,33,0xe">
                  <v:fill on="t" focussize="0,0"/>
                  <v:stroke weight="0.55pt" color="#000080" joinstyle="round"/>
                  <v:imagedata o:title=""/>
                  <o:lock v:ext="edit" aspectratio="f"/>
                </v:shape>
                <v:shape id="_x0000_s1026" o:spid="_x0000_s1026" o:spt="100" style="position:absolute;left:3261360;top:260985;height:41910;width:42545;" fillcolor="#000080" filled="t" stroked="t" coordsize="67,66" o:gfxdata="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DVfXtUAAAAFAQAADwAAAAAAAAABACAAAAAiAAAAZHJz&#10;L2Rvd25yZXYueG1sUEsBAhQAFAAAAAgAh07iQBSz/9JAAgAA7QQAAA4AAAAAAAAAAQAgAAAAJAEA&#10;AGRycy9lMm9Eb2MueG1sUEsFBgAAAAAGAAYAWQEAANYFAAAAAA==&#10;" path="m34,0l67,33,34,66,0,33,34,0xe">
                  <v:fill on="t" focussize="0,0"/>
                  <v:stroke weight="0.55pt" color="#000080" joinstyle="round"/>
                  <v:imagedata o:title=""/>
                  <o:lock v:ext="edit" aspectratio="f"/>
                </v:shape>
                <v:shape id="_x0000_s1026" o:spid="_x0000_s1026" o:spt="100" style="position:absolute;left:3720465;top:281940;height:42545;width:42545;" fillcolor="#000080" filled="t" stroked="t" coordsize="67,67" o:gfxdata="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MD90w1wAAAAUBAAAPAAAAAAAAAAEAIAAAACIAAABkcnMv&#10;ZG93bnJldi54bWxQSwECFAAUAAAACACHTuJA0manDT0CAADtBAAADgAAAAAAAAABACAAAAAmAQAA&#10;ZHJzL2Uyb0RvYy54bWxQSwUGAAAAAAYABgBZAQAA1QUAAAAA&#10;" path="m33,0l67,33,33,67,0,33,33,0xe">
                  <v:fill on="t" focussize="0,0"/>
                  <v:stroke weight="0.55pt" color="#000080" joinstyle="round"/>
                  <v:imagedata o:title=""/>
                  <o:lock v:ext="edit" aspectratio="f"/>
                </v:shape>
                <v:shape id="_x0000_s1026" o:spid="_x0000_s1026" o:spt="100" style="position:absolute;left:4179570;top:366395;height:42545;width:41910;" fillcolor="#000080" filled="t" stroked="t" coordsize="66,67" o:gfxdata="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gxctXWAAAABQEAAA8AAAAAAAAAAQAgAAAAIgAAAGRy&#10;cy9kb3ducmV2LnhtbFBLAQIUABQAAAAIAIdO4kAmIiYyQAIAAO0EAAAOAAAAAAAAAAEAIAAAACUB&#10;AABkcnMvZTJvRG9jLnhtbFBLBQYAAAAABgAGAFkBAADXBQAAAAA=&#10;" path="m33,0l66,34,33,67,0,34,33,0xe">
                  <v:fill on="t" focussize="0,0"/>
                  <v:stroke weight="0.55pt" color="#000080" joinstyle="round"/>
                  <v:imagedata o:title=""/>
                  <o:lock v:ext="edit" aspectratio="f"/>
                </v:shape>
                <v:shape id="_x0000_s1026" o:spid="_x0000_s1026" o:spt="100" style="position:absolute;left:4638040;top:1036320;height:42545;width:42545;" fillcolor="#000080" filled="t" stroked="t" coordsize="67,67" o:gfxdata="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A/dMNcAAAAFAQAADwAAAAAAAAABACAAAAAiAAAAZHJz&#10;L2Rvd25yZXYueG1sUEsBAhQAFAAAAAgAh07iQLB9JKY+AgAA7gQAAA4AAAAAAAAAAQAgAAAAJgEA&#10;AGRycy9lMm9Eb2MueG1sUEsFBgAAAAAGAAYAWQEAANYFAAAAAA==&#10;" path="m34,0l67,34,34,67,0,34,34,0xe">
                  <v:fill on="t" focussize="0,0"/>
                  <v:stroke weight="0.55pt" color="#000080" joinstyle="round"/>
                  <v:imagedata o:title=""/>
                  <o:lock v:ext="edit" aspectratio="f"/>
                </v:shape>
                <v:shape id="_x0000_s1026" o:spid="_x0000_s1026" o:spt="100" style="position:absolute;left:5097145;top:916940;height:41910;width:42545;" fillcolor="#000080" filled="t" stroked="t" coordsize="67,66" o:gfxdata="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Q1X17VAAAABQEAAA8AAAAAAAAAAQAgAAAAIgAAAGRycy9k&#10;b3ducmV2LnhtbFBLAQIUABQAAAAIAIdO4kD6X25lPgIAAO0EAAAOAAAAAAAAAAEAIAAAACQBAABk&#10;cnMvZTJvRG9jLnhtbFBLBQYAAAAABgAGAFkBAADUBQAAAAA=&#10;" path="m33,0l67,33,33,66,0,33,33,0xe">
                  <v:fill on="t" focussize="0,0"/>
                  <v:stroke weight="0.55pt" color="#000080" joinstyle="round"/>
                  <v:imagedata o:title=""/>
                  <o:lock v:ext="edit" aspectratio="f"/>
                </v:shape>
                <v:shape id="_x0000_s1026" o:spid="_x0000_s1026" o:spt="100" style="position:absolute;left:5556250;top:1099820;height:42545;width:41910;" fillcolor="#000080" filled="t" stroked="t" coordsize="66,67" o:gfxdata="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DFy1dYAAAAFAQAADwAAAAAAAAABACAA&#10;AAAiAAAAZHJzL2Rvd25yZXYueG1sUEsBAhQAFAAAAAgAh07iQIiYiflIAgAA7gQAAA4AAAAAAAAA&#10;AQAgAAAAJQEAAGRycy9lMm9Eb2MueG1sUEsFBgAAAAAGAAYAWQEAAN8FAAAAAA==&#10;" path="m33,0l66,34,33,67,0,34,33,0xe">
                  <v:fill on="t" focussize="0,0"/>
                  <v:stroke weight="0.55pt" color="#000080" joinstyle="round"/>
                  <v:imagedata o:title=""/>
                  <o:lock v:ext="edit" aspectratio="f"/>
                </v:shape>
                <v:rect id="_x0000_s1026" o:spid="_x0000_s1026" o:spt="1" style="position:absolute;left:282575;top:1967230;height:132080;width:1530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myWt&#10;1AAAAAUBAAAPAAAAAAAAAAEAIAAAACIAAABkcnMvZG93bnJldi54bWxQSwECFAAUAAAACACHTuJA&#10;VBXFtrMBAABLAwAADgAAAAAAAAABACAAAAAjAQAAZHJzL2Uyb0RvYy54bWxQSwUGAAAAAAYABgBZ&#10;AQAASAUAAAAA&#10;">
                  <v:fill on="f" focussize="0,0"/>
                  <v:stroke on="f"/>
                  <v:imagedata o:title=""/>
                  <o:lock v:ext="edit" aspectratio="f"/>
                  <v:textbox inset="0mm,0mm,0mm,0mm" style="mso-fit-shape-to-text:t;">
                    <w:txbxContent>
                      <w:p>
                        <w:r>
                          <w:rPr>
                            <w:rFonts w:ascii="宋体" w:cs="宋体"/>
                            <w:color w:val="000000"/>
                            <w:sz w:val="16"/>
                            <w:szCs w:val="16"/>
                          </w:rPr>
                          <w:t>0.8</w:t>
                        </w:r>
                      </w:p>
                    </w:txbxContent>
                  </v:textbox>
                </v:rect>
                <v:rect id="_x0000_s1026" o:spid="_x0000_s1026" o:spt="1" style="position:absolute;left:282575;top:1762760;height:132080;width:1530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myWt&#10;1AAAAAUBAAAPAAAAAAAAAAEAIAAAACIAAABkcnMvZG93bnJldi54bWxQSwECFAAUAAAACACHTuJA&#10;dsT4WrMBAABLAwAADgAAAAAAAAABACAAAAAjAQAAZHJzL2Uyb0RvYy54bWxQSwUGAAAAAAYABgBZ&#10;AQAASAUAAAAA&#10;">
                  <v:fill on="f" focussize="0,0"/>
                  <v:stroke on="f"/>
                  <v:imagedata o:title=""/>
                  <o:lock v:ext="edit" aspectratio="f"/>
                  <v:textbox inset="0mm,0mm,0mm,0mm" style="mso-fit-shape-to-text:t;">
                    <w:txbxContent>
                      <w:p>
                        <w:r>
                          <w:rPr>
                            <w:rFonts w:ascii="宋体" w:cs="宋体"/>
                            <w:color w:val="000000"/>
                            <w:sz w:val="16"/>
                            <w:szCs w:val="16"/>
                          </w:rPr>
                          <w:t>0.9</w:t>
                        </w:r>
                      </w:p>
                    </w:txbxContent>
                  </v:textbox>
                </v:rect>
                <v:rect id="_x0000_s1026" o:spid="_x0000_s1026" o:spt="1" style="position:absolute;left:395605;top:1558290;height:132080;width:514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myWt&#10;1AAAAAUBAAAPAAAAAAAAAAEAIAAAACIAAABkcnMvZG93bnJldi54bWxQSwECFAAUAAAACACHTuJA&#10;sRN7HLMBAABKAwAADgAAAAAAAAABACAAAAAjAQAAZHJzL2Uyb0RvYy54bWxQSwUGAAAAAAYABgBZ&#10;AQAASAUAAAAA&#10;">
                  <v:fill on="f" focussize="0,0"/>
                  <v:stroke on="f"/>
                  <v:imagedata o:title=""/>
                  <o:lock v:ext="edit" aspectratio="f"/>
                  <v:textbox inset="0mm,0mm,0mm,0mm" style="mso-fit-shape-to-text:t;">
                    <w:txbxContent>
                      <w:p>
                        <w:r>
                          <w:rPr>
                            <w:rFonts w:ascii="宋体" w:cs="宋体"/>
                            <w:color w:val="000000"/>
                            <w:sz w:val="16"/>
                            <w:szCs w:val="16"/>
                          </w:rPr>
                          <w:t>1</w:t>
                        </w:r>
                      </w:p>
                    </w:txbxContent>
                  </v:textbox>
                </v:rect>
                <v:rect id="_x0000_s1026" o:spid="_x0000_s1026" o:spt="1" style="position:absolute;left:282575;top:1353820;height:132080;width:1530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bJa3U&#10;AAAABQEAAA8AAAAAAAAAAQAgAAAAIgAAAGRycy9kb3ducmV2LnhtbFBLAQIUABQAAAAIAIdO4kB8&#10;0L17sgEAAEsDAAAOAAAAAAAAAAEAIAAAACMBAABkcnMvZTJvRG9jLnhtbFBLBQYAAAAABgAGAFkB&#10;AABHBQAAAAA=&#10;">
                  <v:fill on="f" focussize="0,0"/>
                  <v:stroke on="f"/>
                  <v:imagedata o:title=""/>
                  <o:lock v:ext="edit" aspectratio="f"/>
                  <v:textbox inset="0mm,0mm,0mm,0mm" style="mso-fit-shape-to-text:t;">
                    <w:txbxContent>
                      <w:p>
                        <w:r>
                          <w:rPr>
                            <w:rFonts w:ascii="宋体" w:cs="宋体"/>
                            <w:color w:val="000000"/>
                            <w:sz w:val="16"/>
                            <w:szCs w:val="16"/>
                          </w:rPr>
                          <w:t>1.1</w:t>
                        </w:r>
                      </w:p>
                    </w:txbxContent>
                  </v:textbox>
                </v:rect>
                <v:rect id="_x0000_s1026" o:spid="_x0000_s1026" o:spt="1" style="position:absolute;left:282575;top:1149350;height:132080;width:1530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5sl&#10;rdQAAAAFAQAADwAAAAAAAAABACAAAAAiAAAAZHJzL2Rvd25yZXYueG1sUEsBAhQAFAAAAAgAh07i&#10;QNkXW4q0AQAASwMAAA4AAAAAAAAAAQAgAAAAIwEAAGRycy9lMm9Eb2MueG1sUEsFBgAAAAAGAAYA&#10;WQEAAEkFAAAAAA==&#10;">
                  <v:fill on="f" focussize="0,0"/>
                  <v:stroke on="f"/>
                  <v:imagedata o:title=""/>
                  <o:lock v:ext="edit" aspectratio="f"/>
                  <v:textbox inset="0mm,0mm,0mm,0mm" style="mso-fit-shape-to-text:t;">
                    <w:txbxContent>
                      <w:p>
                        <w:r>
                          <w:rPr>
                            <w:rFonts w:ascii="宋体" w:cs="宋体"/>
                            <w:color w:val="000000"/>
                            <w:sz w:val="16"/>
                            <w:szCs w:val="16"/>
                          </w:rPr>
                          <w:t>1.2</w:t>
                        </w:r>
                      </w:p>
                    </w:txbxContent>
                  </v:textbox>
                </v:rect>
                <v:rect id="_x0000_s1026" o:spid="_x0000_s1026" o:spt="1" style="position:absolute;left:282575;top:951865;height:132080;width:1530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b&#10;Ja3UAAAABQEAAA8AAAAAAAAAAQAgAAAAIgAAAGRycy9kb3ducmV2LnhtbFBLAQIUABQAAAAIAIdO&#10;4kBxBPx9tQEAAEo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6"/>
                            <w:szCs w:val="16"/>
                          </w:rPr>
                          <w:t>1.3</w:t>
                        </w:r>
                      </w:p>
                    </w:txbxContent>
                  </v:textbox>
                </v:rect>
                <v:rect id="_x0000_s1026" o:spid="_x0000_s1026" o:spt="1" style="position:absolute;left:282575;top:747395;height:132080;width:1530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10;myWt1AAAAAUBAAAPAAAAAAAAAAEAIAAAACIAAABkcnMvZG93bnJldi54bWxQSwECFAAUAAAACACH&#10;TuJA4xIfHLYBAABKAwAADgAAAAAAAAABACAAAAAjAQAAZHJzL2Uyb0RvYy54bWxQSwUGAAAAAAYA&#10;BgBZAQAASwUAAAAA&#10;">
                  <v:fill on="f" focussize="0,0"/>
                  <v:stroke on="f"/>
                  <v:imagedata o:title=""/>
                  <o:lock v:ext="edit" aspectratio="f"/>
                  <v:textbox inset="0mm,0mm,0mm,0mm" style="mso-fit-shape-to-text:t;">
                    <w:txbxContent>
                      <w:p>
                        <w:r>
                          <w:rPr>
                            <w:rFonts w:ascii="宋体" w:cs="宋体"/>
                            <w:color w:val="000000"/>
                            <w:sz w:val="16"/>
                            <w:szCs w:val="16"/>
                          </w:rPr>
                          <w:t>1.4</w:t>
                        </w:r>
                      </w:p>
                    </w:txbxContent>
                  </v:textbox>
                </v:rect>
                <v:rect id="_x0000_s1026" o:spid="_x0000_s1026" o:spt="1" style="position:absolute;left:282575;top:542925;height:132080;width:1530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b&#10;Ja3UAAAABQEAAA8AAAAAAAAAAQAgAAAAIgAAAGRycy9kb3ducmV2LnhtbFBLAQIUABQAAAAIAIdO&#10;4kACGB/VtQEAAEo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6"/>
                            <w:szCs w:val="16"/>
                          </w:rPr>
                          <w:t>1.5</w:t>
                        </w:r>
                      </w:p>
                    </w:txbxContent>
                  </v:textbox>
                </v:rect>
                <v:rect id="_x0000_s1026" o:spid="_x0000_s1026" o:spt="1" style="position:absolute;left:282575;top:338455;height:132080;width:1530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5sl&#10;rdQAAAAFAQAADwAAAAAAAAABACAAAAAiAAAAZHJzL2Rvd25yZXYueG1sUEsBAhQAFAAAAAgAh07i&#10;QArHTQq0AQAASgMAAA4AAAAAAAAAAQAgAAAAIwEAAGRycy9lMm9Eb2MueG1sUEsFBgAAAAAGAAYA&#10;WQEAAEkFAAAAAA==&#10;">
                  <v:fill on="f" focussize="0,0"/>
                  <v:stroke on="f"/>
                  <v:imagedata o:title=""/>
                  <o:lock v:ext="edit" aspectratio="f"/>
                  <v:textbox inset="0mm,0mm,0mm,0mm" style="mso-fit-shape-to-text:t;">
                    <w:txbxContent>
                      <w:p>
                        <w:r>
                          <w:rPr>
                            <w:rFonts w:ascii="宋体" w:cs="宋体"/>
                            <w:color w:val="000000"/>
                            <w:sz w:val="16"/>
                            <w:szCs w:val="16"/>
                          </w:rPr>
                          <w:t>1.6</w:t>
                        </w:r>
                      </w:p>
                    </w:txbxContent>
                  </v:textbox>
                </v:rect>
                <v:rect id="_x0000_s1026" o:spid="_x0000_s1026" o:spt="1" style="position:absolute;left:282575;top:133985;height:132080;width:1530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myWt&#10;1AAAAAUBAAAPAAAAAAAAAAEAIAAAACIAAABkcnMvZG93bnJldi54bWxQSwECFAAUAAAACACHTuJA&#10;sjkLIrMBAABKAwAADgAAAAAAAAABACAAAAAjAQAAZHJzL2Uyb0RvYy54bWxQSwUGAAAAAAYABgBZ&#10;AQAASAUAAAAA&#10;">
                  <v:fill on="f" focussize="0,0"/>
                  <v:stroke on="f"/>
                  <v:imagedata o:title=""/>
                  <o:lock v:ext="edit" aspectratio="f"/>
                  <v:textbox inset="0mm,0mm,0mm,0mm" style="mso-fit-shape-to-text:t;">
                    <w:txbxContent>
                      <w:p>
                        <w:r>
                          <w:rPr>
                            <w:rFonts w:ascii="宋体" w:cs="宋体"/>
                            <w:color w:val="000000"/>
                            <w:sz w:val="16"/>
                            <w:szCs w:val="16"/>
                          </w:rPr>
                          <w:t>1.7</w:t>
                        </w:r>
                      </w:p>
                    </w:txbxContent>
                  </v:textbox>
                </v:rect>
                <v:rect id="_x0000_s1026" o:spid="_x0000_s1026" o:spt="1" style="position:absolute;left:508000;top:2115185;height:132080;width:514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bJa3U&#10;AAAABQEAAA8AAAAAAAAAAQAgAAAAIgAAAGRycy9kb3ducmV2LnhtbFBLAQIUABQAAAAIAIdO4kCf&#10;xsQEsgEAAEoDAAAOAAAAAAAAAAEAIAAAACMBAABkcnMvZTJvRG9jLnhtbFBLBQYAAAAABgAGAFkB&#10;AABHBQAAAAA=&#10;">
                  <v:fill on="f" focussize="0,0"/>
                  <v:stroke on="f"/>
                  <v:imagedata o:title=""/>
                  <o:lock v:ext="edit" aspectratio="f"/>
                  <v:textbox inset="0mm,0mm,0mm,0mm" style="mso-fit-shape-to-text:t;">
                    <w:txbxContent>
                      <w:p>
                        <w:r>
                          <w:rPr>
                            <w:rFonts w:ascii="宋体" w:cs="宋体"/>
                            <w:color w:val="000000"/>
                            <w:sz w:val="16"/>
                            <w:szCs w:val="16"/>
                          </w:rPr>
                          <w:t>1</w:t>
                        </w:r>
                      </w:p>
                    </w:txbxContent>
                  </v:textbox>
                </v:rect>
                <v:rect id="_x0000_s1026" o:spid="_x0000_s1026" o:spt="1" style="position:absolute;left:967105;top:2115185;height:132080;width:514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b&#10;Ja3UAAAABQEAAA8AAAAAAAAAAQAgAAAAIgAAAGRycy9kb3ducmV2LnhtbFBLAQIUABQAAAAIAIdO&#10;4kAxA6HCtQEAAEo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6"/>
                            <w:szCs w:val="16"/>
                          </w:rPr>
                          <w:t>2</w:t>
                        </w:r>
                      </w:p>
                    </w:txbxContent>
                  </v:textbox>
                </v:rect>
                <v:rect id="_x0000_s1026" o:spid="_x0000_s1026" o:spt="1" style="position:absolute;left:1426210;top:2115185;height:132080;width:514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10;myWt1AAAAAUBAAAPAAAAAAAAAAEAIAAAACIAAABkcnMvZG93bnJldi54bWxQSwECFAAUAAAACACH&#10;TuJA6bwB2bYBAABLAwAADgAAAAAAAAABACAAAAAjAQAAZHJzL2Uyb0RvYy54bWxQSwUGAAAAAAYA&#10;BgBZAQAASwUAAAAA&#10;">
                  <v:fill on="f" focussize="0,0"/>
                  <v:stroke on="f"/>
                  <v:imagedata o:title=""/>
                  <o:lock v:ext="edit" aspectratio="f"/>
                  <v:textbox inset="0mm,0mm,0mm,0mm" style="mso-fit-shape-to-text:t;">
                    <w:txbxContent>
                      <w:p>
                        <w:r>
                          <w:rPr>
                            <w:rFonts w:ascii="宋体" w:cs="宋体"/>
                            <w:color w:val="000000"/>
                            <w:sz w:val="16"/>
                            <w:szCs w:val="16"/>
                          </w:rPr>
                          <w:t>3</w:t>
                        </w:r>
                      </w:p>
                    </w:txbxContent>
                  </v:textbox>
                </v:rect>
                <v:rect id="_x0000_s1026" o:spid="_x0000_s1026" o:spt="1" style="position:absolute;left:1884680;top:2115185;height:132080;width:514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10;myWt1AAAAAUBAAAPAAAAAAAAAAEAIAAAACIAAABkcnMvZG93bnJldi54bWxQSwECFAAUAAAACACH&#10;TuJAiWp1qrYBAABLAwAADgAAAAAAAAABACAAAAAjAQAAZHJzL2Uyb0RvYy54bWxQSwUGAAAAAAYA&#10;BgBZAQAASwUAAAAA&#10;">
                  <v:fill on="f" focussize="0,0"/>
                  <v:stroke on="f"/>
                  <v:imagedata o:title=""/>
                  <o:lock v:ext="edit" aspectratio="f"/>
                  <v:textbox inset="0mm,0mm,0mm,0mm" style="mso-fit-shape-to-text:t;">
                    <w:txbxContent>
                      <w:p>
                        <w:r>
                          <w:rPr>
                            <w:rFonts w:ascii="宋体" w:cs="宋体"/>
                            <w:color w:val="000000"/>
                            <w:sz w:val="16"/>
                            <w:szCs w:val="16"/>
                          </w:rPr>
                          <w:t>4</w:t>
                        </w:r>
                      </w:p>
                    </w:txbxContent>
                  </v:textbox>
                </v:rect>
                <v:rect id="_x0000_s1026" o:spid="_x0000_s1026" o:spt="1" style="position:absolute;left:2343785;top:2115185;height:132080;width:514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b&#10;Ja3UAAAABQEAAA8AAAAAAAAAAQAgAAAAIgAAAGRycy9kb3ducmV2LnhtbFBLAQIUABQAAAAIAIdO&#10;4kDVManXtQEAAEs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6"/>
                            <w:szCs w:val="16"/>
                          </w:rPr>
                          <w:t>5</w:t>
                        </w:r>
                      </w:p>
                    </w:txbxContent>
                  </v:textbox>
                </v:rect>
                <v:rect id="_x0000_s1026" o:spid="_x0000_s1026" o:spt="1" style="position:absolute;left:2802890;top:2115185;height:132080;width:514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b&#10;Ja3UAAAABQEAAA8AAAAAAAAAAQAgAAAAIgAAAGRycy9kb3ducmV2LnhtbFBLAQIUABQAAAAIAIdO&#10;4kDyz1LVtQEAAEs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6"/>
                            <w:szCs w:val="16"/>
                          </w:rPr>
                          <w:t>6</w:t>
                        </w:r>
                      </w:p>
                    </w:txbxContent>
                  </v:textbox>
                </v:rect>
                <v:rect id="_x0000_s1026" o:spid="_x0000_s1026" o:spt="1" style="position:absolute;left:3254375;top:2115185;height:132080;width:514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10;myWt1AAAAAUBAAAPAAAAAAAAAAEAIAAAACIAAABkcnMvZG93bnJldi54bWxQSwECFAAUAAAACACH&#10;TuJAr5rwSLYBAABLAwAADgAAAAAAAAABACAAAAAjAQAAZHJzL2Uyb0RvYy54bWxQSwUGAAAAAAYA&#10;BgBZAQAASwUAAAAA&#10;">
                  <v:fill on="f" focussize="0,0"/>
                  <v:stroke on="f"/>
                  <v:imagedata o:title=""/>
                  <o:lock v:ext="edit" aspectratio="f"/>
                  <v:textbox inset="0mm,0mm,0mm,0mm" style="mso-fit-shape-to-text:t;">
                    <w:txbxContent>
                      <w:p>
                        <w:r>
                          <w:rPr>
                            <w:rFonts w:ascii="宋体" w:cs="宋体"/>
                            <w:color w:val="000000"/>
                            <w:sz w:val="16"/>
                            <w:szCs w:val="16"/>
                          </w:rPr>
                          <w:t>7</w:t>
                        </w:r>
                      </w:p>
                    </w:txbxContent>
                  </v:textbox>
                </v:rect>
                <v:rect id="_x0000_s1026" o:spid="_x0000_s1026" o:spt="1" style="position:absolute;left:3713480;top:2115185;height:132080;width:514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5slrdQAAAAFAQAADwAAAAAAAAABACAAAAAiAAAAZHJzL2Rvd25yZXYueG1sUEsBAhQAFAAAAAgA&#10;h07iQH2BX6+3AQAASwMAAA4AAAAAAAAAAQAgAAAAIwEAAGRycy9lMm9Eb2MueG1sUEsFBgAAAAAG&#10;AAYAWQEAAEwFAAAAAA==&#10;">
                  <v:fill on="f" focussize="0,0"/>
                  <v:stroke on="f"/>
                  <v:imagedata o:title=""/>
                  <o:lock v:ext="edit" aspectratio="f"/>
                  <v:textbox inset="0mm,0mm,0mm,0mm" style="mso-fit-shape-to-text:t;">
                    <w:txbxContent>
                      <w:p>
                        <w:r>
                          <w:rPr>
                            <w:rFonts w:ascii="宋体" w:cs="宋体"/>
                            <w:color w:val="000000"/>
                            <w:sz w:val="16"/>
                            <w:szCs w:val="16"/>
                          </w:rPr>
                          <w:t>8</w:t>
                        </w:r>
                      </w:p>
                    </w:txbxContent>
                  </v:textbox>
                </v:rect>
                <v:rect id="_x0000_s1026" o:spid="_x0000_s1026" o:spt="1" style="position:absolute;left:4172585;top:2115185;height:132080;width:514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5sl&#10;rdQAAAAFAQAADwAAAAAAAAABACAAAAAiAAAAZHJzL2Rvd25yZXYueG1sUEsBAhQAFAAAAAgAh07i&#10;QJ+hrxy0AQAASwMAAA4AAAAAAAAAAQAgAAAAIwEAAGRycy9lMm9Eb2MueG1sUEsFBgAAAAAGAAYA&#10;WQEAAEkFAAAAAA==&#10;">
                  <v:fill on="f" focussize="0,0"/>
                  <v:stroke on="f"/>
                  <v:imagedata o:title=""/>
                  <o:lock v:ext="edit" aspectratio="f"/>
                  <v:textbox inset="0mm,0mm,0mm,0mm" style="mso-fit-shape-to-text:t;">
                    <w:txbxContent>
                      <w:p>
                        <w:r>
                          <w:rPr>
                            <w:rFonts w:ascii="宋体" w:cs="宋体"/>
                            <w:color w:val="000000"/>
                            <w:sz w:val="16"/>
                            <w:szCs w:val="16"/>
                          </w:rPr>
                          <w:t>9</w:t>
                        </w:r>
                      </w:p>
                    </w:txbxContent>
                  </v:textbox>
                </v:rect>
                <v:rect id="_x0000_s1026" o:spid="_x0000_s1026" o:spt="1" style="position:absolute;left:4603115;top:2115185;height:132080;width:1022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b&#10;Ja3UAAAABQEAAA8AAAAAAAAAAQAgAAAAIgAAAGRycy9kb3ducmV2LnhtbFBLAQIUABQAAAAIAIdO&#10;4kDZQETWtQEAAEw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6"/>
                            <w:szCs w:val="16"/>
                          </w:rPr>
                          <w:t>10</w:t>
                        </w:r>
                      </w:p>
                    </w:txbxContent>
                  </v:textbox>
                </v:rect>
                <v:rect id="_x0000_s1026" o:spid="_x0000_s1026" o:spt="1" style="position:absolute;left:5061585;top:2115185;height:132080;width:1022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b&#10;Ja3UAAAABQEAAA8AAAAAAAAAAQAgAAAAIgAAAGRycy9kb3ducmV2LnhtbFBLAQIUABQAAAAIAIdO&#10;4kAMj41FtQEAAEw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6"/>
                            <w:szCs w:val="16"/>
                          </w:rPr>
                          <w:t>11</w:t>
                        </w:r>
                      </w:p>
                    </w:txbxContent>
                  </v:textbox>
                </v:rect>
                <v:rect id="_x0000_s1026" o:spid="_x0000_s1026" o:spt="1" style="position:absolute;left:5520690;top:2115185;height:132080;width:1022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bJa3UAAAABQEAAA8AAAAAAAAAAQAgAAAAIgAAAGRycy9kb3ducmV2LnhtbFBLAQIUABQAAAAI&#10;AIdO4kCQegtTuAEAAEwDAAAOAAAAAAAAAAEAIAAAACMBAABkcnMvZTJvRG9jLnhtbFBLBQYAAAAA&#10;BgAGAFkBAABNBQAAAAA=&#10;">
                  <v:fill on="f" focussize="0,0"/>
                  <v:stroke on="f"/>
                  <v:imagedata o:title=""/>
                  <o:lock v:ext="edit" aspectratio="f"/>
                  <v:textbox inset="0mm,0mm,0mm,0mm" style="mso-fit-shape-to-text:t;">
                    <w:txbxContent>
                      <w:p>
                        <w:r>
                          <w:rPr>
                            <w:rFonts w:ascii="宋体" w:cs="宋体"/>
                            <w:color w:val="000000"/>
                            <w:sz w:val="16"/>
                            <w:szCs w:val="16"/>
                          </w:rPr>
                          <w:t>12</w:t>
                        </w:r>
                      </w:p>
                    </w:txbxContent>
                  </v:textbox>
                </v:rect>
                <v:rect id="_x0000_s1026" o:spid="_x0000_s1026" o:spt="1" style="position:absolute;left:2950845;top:2270760;height:132080;width:2038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5sl&#10;rdQAAAAFAQAADwAAAAAAAAABACAAAAAiAAAAZHJzL2Rvd25yZXYueG1sUEsBAhQAFAAAAAgAh07i&#10;QGdD/5u0AQAATAMAAA4AAAAAAAAAAQAgAAAAIwEAAGRycy9lMm9Eb2MueG1sUEsFBgAAAAAGAAYA&#10;WQEAAEkFAAAAAA==&#10;">
                  <v:fill on="f" focussize="0,0"/>
                  <v:stroke on="f"/>
                  <v:imagedata o:title=""/>
                  <o:lock v:ext="edit" aspectratio="f"/>
                  <v:textbox inset="0mm,0mm,0mm,0mm" style="mso-fit-shape-to-text:t;">
                    <w:txbxContent>
                      <w:p>
                        <w:r>
                          <w:rPr>
                            <w:rFonts w:hint="eastAsia" w:ascii="宋体" w:cs="宋体"/>
                            <w:color w:val="000000"/>
                            <w:sz w:val="16"/>
                            <w:szCs w:val="16"/>
                          </w:rPr>
                          <w:t>月份</w:t>
                        </w:r>
                      </w:p>
                    </w:txbxContent>
                  </v:textbox>
                </v:rect>
                <v:rect id="_x0000_s1026" o:spid="_x0000_s1026" o:spt="1" style="position:absolute;left:-247650;top:1153160;height:228600;width:792480;rotation:-5898240f;" filled="f" stroked="f" coordsize="21600,21600" o:gfxdata="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R1d0dUAAAAFAQAADwAAAAAAAAABACAAAAAiAAAAZHJzL2Rvd25yZXYueG1sUEsBAhQAFAAAAAgA&#10;h07iQEH6F1m2AQAAQwMAAA4AAAAAAAAAAQAgAAAAJAEAAGRycy9lMm9Eb2MueG1sUEsFBgAAAAAG&#10;AAYAWQEAAEwFAAAAAA==&#10;">
                  <v:fill on="f" focussize="0,0"/>
                  <v:stroke on="f"/>
                  <v:imagedata o:title=""/>
                  <o:lock v:ext="edit" aspectratio="f"/>
                  <v:textbox inset="0mm,0mm,0mm,0mm" style="layout-flow:vertical-ideographic;">
                    <w:txbxContent>
                      <w:p>
                        <w:r>
                          <w:rPr>
                            <w:rFonts w:hint="eastAsia" w:ascii="宋体" w:cs="宋体"/>
                            <w:color w:val="000000"/>
                            <w:sz w:val="16"/>
                            <w:szCs w:val="16"/>
                          </w:rPr>
                          <w:t>平均风速m/s</w:t>
                        </w:r>
                      </w:p>
                    </w:txbxContent>
                  </v:textbox>
                </v:rect>
                <w10:wrap type="none"/>
                <w10:anchorlock/>
              </v:group>
            </w:pict>
          </mc:Fallback>
        </mc:AlternateContent>
      </w:r>
    </w:p>
    <w:p>
      <w:pPr>
        <w:adjustRightInd w:val="0"/>
        <w:snapToGrid w:val="0"/>
        <w:spacing w:line="348" w:lineRule="auto"/>
        <w:jc w:val="center"/>
        <w:rPr>
          <w:b/>
        </w:rPr>
      </w:pPr>
      <w:r>
        <w:rPr>
          <w:b/>
        </w:rPr>
        <w:t>图</w:t>
      </w:r>
      <w:r>
        <w:rPr>
          <w:rFonts w:hint="eastAsia"/>
          <w:b/>
        </w:rPr>
        <w:t>8</w:t>
      </w:r>
      <w:r>
        <w:rPr>
          <w:b/>
        </w:rPr>
        <w:t>.2  年平均风速的月变化</w:t>
      </w:r>
    </w:p>
    <w:p>
      <w:pPr>
        <w:adjustRightInd w:val="0"/>
        <w:snapToGrid w:val="0"/>
        <w:spacing w:line="360" w:lineRule="auto"/>
        <w:ind w:left="480"/>
        <w:rPr>
          <w:rFonts w:hint="eastAsia" w:ascii="宋体" w:hAnsi="宋体"/>
        </w:rPr>
      </w:pPr>
    </w:p>
    <w:p>
      <w:pPr>
        <w:numPr>
          <w:ilvl w:val="0"/>
          <w:numId w:val="5"/>
        </w:numPr>
        <w:adjustRightInd w:val="0"/>
        <w:snapToGrid w:val="0"/>
        <w:spacing w:line="360" w:lineRule="auto"/>
        <w:rPr>
          <w:rFonts w:hint="eastAsia" w:ascii="宋体" w:hAnsi="宋体"/>
        </w:rPr>
      </w:pPr>
      <w:r>
        <w:rPr>
          <w:rFonts w:hint="eastAsia" w:ascii="宋体" w:hAnsi="宋体"/>
        </w:rPr>
        <w:t>地面风场</w:t>
      </w:r>
    </w:p>
    <w:p>
      <w:pPr>
        <w:adjustRightInd w:val="0"/>
        <w:snapToGrid w:val="0"/>
        <w:spacing w:line="360" w:lineRule="auto"/>
        <w:ind w:firstLine="420" w:firstLineChars="200"/>
        <w:rPr>
          <w:rFonts w:hint="eastAsia"/>
        </w:rPr>
      </w:pPr>
      <w:r>
        <w:t>根据</w:t>
      </w:r>
      <w:r>
        <w:rPr>
          <w:rFonts w:hint="eastAsia"/>
        </w:rPr>
        <w:t>白市驿</w:t>
      </w:r>
      <w:r>
        <w:t>气象站观测资料，</w:t>
      </w:r>
      <w:r>
        <w:rPr>
          <w:rFonts w:hint="eastAsia"/>
        </w:rPr>
        <w:t>白市驿</w:t>
      </w:r>
      <w:r>
        <w:t>常年主导风向为N风</w:t>
      </w:r>
      <w:r>
        <w:rPr>
          <w:rFonts w:hint="eastAsia"/>
        </w:rPr>
        <w:t>（参表8</w:t>
      </w:r>
      <w:r>
        <w:t>-</w:t>
      </w:r>
      <w:r>
        <w:rPr>
          <w:rFonts w:hint="eastAsia"/>
        </w:rPr>
        <w:t>3及图8</w:t>
      </w:r>
      <w:r>
        <w:t>.</w:t>
      </w:r>
      <w:r>
        <w:rPr>
          <w:rFonts w:hint="eastAsia"/>
        </w:rPr>
        <w:t>3），</w:t>
      </w:r>
      <w:r>
        <w:t>风频在5.9~16.2%，次主导风向为S风，全年频率为5.2%。静风频率高是该地地面风场特点之一，在57.5~77.6%之间，其中以秋季为最高。由于静风频率高，包括静风在内的年均风速仅0.94m/s。</w:t>
      </w:r>
    </w:p>
    <w:p>
      <w:pPr>
        <w:spacing w:line="360" w:lineRule="auto"/>
        <w:ind w:firstLine="420" w:firstLineChars="200"/>
        <w:rPr>
          <w:rFonts w:hint="eastAsia"/>
        </w:rPr>
      </w:pPr>
      <w:r>
        <w:rPr>
          <w:rFonts w:hint="eastAsia"/>
        </w:rPr>
        <w:t>与07年气象资料形成的风玫瑰图相比较，白市驿常年主导风向有一定偏差，偏移角度约45°，考虑到这种情况，本次评价大气预测在N风和NW风下风向布设了较多关心点。</w:t>
      </w:r>
    </w:p>
    <w:p>
      <w:pPr>
        <w:pStyle w:val="27"/>
        <w:rPr>
          <w:rFonts w:hint="eastAsia" w:eastAsia="宋体"/>
          <w:b/>
          <w:sz w:val="24"/>
          <w:szCs w:val="24"/>
        </w:rPr>
      </w:pPr>
      <w:r>
        <w:rPr>
          <w:rFonts w:hint="eastAsia" w:eastAsia="宋体"/>
          <w:b/>
          <w:sz w:val="24"/>
          <w:szCs w:val="24"/>
        </w:rPr>
        <w:t>表8</w:t>
      </w:r>
      <w:r>
        <w:rPr>
          <w:rFonts w:eastAsia="宋体"/>
          <w:b/>
          <w:sz w:val="24"/>
          <w:szCs w:val="24"/>
        </w:rPr>
        <w:t>-</w:t>
      </w:r>
      <w:r>
        <w:rPr>
          <w:rFonts w:hint="eastAsia" w:eastAsia="宋体"/>
          <w:b/>
          <w:sz w:val="24"/>
          <w:szCs w:val="24"/>
        </w:rPr>
        <w:t xml:space="preserve">3     </w:t>
      </w:r>
      <w:r>
        <w:rPr>
          <w:rFonts w:eastAsia="宋体"/>
          <w:b/>
          <w:sz w:val="24"/>
          <w:szCs w:val="24"/>
        </w:rPr>
        <w:t xml:space="preserve"> </w:t>
      </w:r>
      <w:r>
        <w:rPr>
          <w:rFonts w:hint="eastAsia" w:eastAsia="宋体"/>
          <w:b/>
          <w:sz w:val="24"/>
          <w:szCs w:val="24"/>
        </w:rPr>
        <w:t>白市驿气象站气象数据统计表</w:t>
      </w:r>
    </w:p>
    <w:tbl>
      <w:tblPr>
        <w:tblStyle w:val="21"/>
        <w:tblW w:w="80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360"/>
        <w:gridCol w:w="1316"/>
        <w:gridCol w:w="1460"/>
        <w:gridCol w:w="1509"/>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0" w:hRule="atLeast"/>
          <w:jc w:val="center"/>
        </w:trPr>
        <w:tc>
          <w:tcPr>
            <w:tcW w:w="765" w:type="dxa"/>
            <w:vMerge w:val="restart"/>
            <w:vAlign w:val="center"/>
          </w:tcPr>
          <w:p>
            <w:pPr>
              <w:spacing w:line="360" w:lineRule="auto"/>
              <w:jc w:val="center"/>
              <w:rPr>
                <w:rFonts w:hint="eastAsia"/>
                <w:sz w:val="21"/>
                <w:szCs w:val="21"/>
              </w:rPr>
            </w:pPr>
            <w:r>
              <w:rPr>
                <w:rFonts w:hint="eastAsia"/>
                <w:sz w:val="21"/>
                <w:szCs w:val="21"/>
              </w:rPr>
              <w:t>方位</w:t>
            </w:r>
          </w:p>
        </w:tc>
        <w:tc>
          <w:tcPr>
            <w:tcW w:w="1360" w:type="dxa"/>
            <w:vAlign w:val="center"/>
          </w:tcPr>
          <w:p>
            <w:pPr>
              <w:spacing w:line="360" w:lineRule="auto"/>
              <w:jc w:val="center"/>
              <w:rPr>
                <w:rFonts w:hint="eastAsia"/>
                <w:sz w:val="21"/>
                <w:szCs w:val="21"/>
              </w:rPr>
            </w:pPr>
            <w:r>
              <w:rPr>
                <w:rFonts w:hint="eastAsia"/>
                <w:sz w:val="21"/>
                <w:szCs w:val="21"/>
              </w:rPr>
              <w:t>春</w:t>
            </w:r>
          </w:p>
        </w:tc>
        <w:tc>
          <w:tcPr>
            <w:tcW w:w="1316" w:type="dxa"/>
            <w:vAlign w:val="center"/>
          </w:tcPr>
          <w:p>
            <w:pPr>
              <w:spacing w:line="360" w:lineRule="auto"/>
              <w:jc w:val="center"/>
              <w:rPr>
                <w:rFonts w:hint="eastAsia"/>
                <w:sz w:val="21"/>
                <w:szCs w:val="21"/>
              </w:rPr>
            </w:pPr>
            <w:r>
              <w:rPr>
                <w:rFonts w:hint="eastAsia"/>
                <w:sz w:val="21"/>
                <w:szCs w:val="21"/>
              </w:rPr>
              <w:t>夏</w:t>
            </w:r>
          </w:p>
        </w:tc>
        <w:tc>
          <w:tcPr>
            <w:tcW w:w="1460" w:type="dxa"/>
            <w:vAlign w:val="center"/>
          </w:tcPr>
          <w:p>
            <w:pPr>
              <w:spacing w:line="360" w:lineRule="auto"/>
              <w:jc w:val="center"/>
              <w:rPr>
                <w:rFonts w:hint="eastAsia"/>
                <w:sz w:val="21"/>
                <w:szCs w:val="21"/>
              </w:rPr>
            </w:pPr>
            <w:r>
              <w:rPr>
                <w:rFonts w:hint="eastAsia"/>
                <w:sz w:val="21"/>
                <w:szCs w:val="21"/>
              </w:rPr>
              <w:t>秋</w:t>
            </w:r>
          </w:p>
        </w:tc>
        <w:tc>
          <w:tcPr>
            <w:tcW w:w="1509" w:type="dxa"/>
            <w:vAlign w:val="center"/>
          </w:tcPr>
          <w:p>
            <w:pPr>
              <w:spacing w:line="360" w:lineRule="auto"/>
              <w:jc w:val="center"/>
              <w:rPr>
                <w:rFonts w:hint="eastAsia"/>
                <w:sz w:val="21"/>
                <w:szCs w:val="21"/>
              </w:rPr>
            </w:pPr>
            <w:r>
              <w:rPr>
                <w:rFonts w:hint="eastAsia"/>
                <w:sz w:val="21"/>
                <w:szCs w:val="21"/>
              </w:rPr>
              <w:t>冬</w:t>
            </w:r>
          </w:p>
        </w:tc>
        <w:tc>
          <w:tcPr>
            <w:tcW w:w="1669" w:type="dxa"/>
            <w:vAlign w:val="center"/>
          </w:tcPr>
          <w:p>
            <w:pPr>
              <w:spacing w:line="360" w:lineRule="auto"/>
              <w:jc w:val="center"/>
              <w:rPr>
                <w:rFonts w:hint="eastAsia"/>
                <w:sz w:val="21"/>
                <w:szCs w:val="21"/>
              </w:rPr>
            </w:pPr>
            <w:r>
              <w:rPr>
                <w:rFonts w:hint="eastAsia"/>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765" w:type="dxa"/>
            <w:vMerge w:val="continue"/>
            <w:vAlign w:val="center"/>
          </w:tcPr>
          <w:p>
            <w:pPr>
              <w:spacing w:line="360" w:lineRule="auto"/>
              <w:jc w:val="center"/>
              <w:rPr>
                <w:rFonts w:hint="eastAsia"/>
                <w:sz w:val="21"/>
                <w:szCs w:val="21"/>
              </w:rPr>
            </w:pPr>
          </w:p>
        </w:tc>
        <w:tc>
          <w:tcPr>
            <w:tcW w:w="1360" w:type="dxa"/>
            <w:vAlign w:val="center"/>
          </w:tcPr>
          <w:p>
            <w:pPr>
              <w:spacing w:line="360" w:lineRule="auto"/>
              <w:jc w:val="center"/>
              <w:rPr>
                <w:rFonts w:hint="eastAsia"/>
                <w:sz w:val="21"/>
                <w:szCs w:val="21"/>
              </w:rPr>
            </w:pPr>
            <w:r>
              <w:rPr>
                <w:rFonts w:hint="eastAsia"/>
                <w:sz w:val="21"/>
                <w:szCs w:val="21"/>
              </w:rPr>
              <w:t>风频/风速</w:t>
            </w:r>
          </w:p>
        </w:tc>
        <w:tc>
          <w:tcPr>
            <w:tcW w:w="1316" w:type="dxa"/>
            <w:vAlign w:val="center"/>
          </w:tcPr>
          <w:p>
            <w:pPr>
              <w:spacing w:line="360" w:lineRule="auto"/>
              <w:jc w:val="center"/>
              <w:rPr>
                <w:rFonts w:hint="eastAsia"/>
                <w:sz w:val="21"/>
                <w:szCs w:val="21"/>
              </w:rPr>
            </w:pPr>
            <w:r>
              <w:rPr>
                <w:rFonts w:hint="eastAsia"/>
                <w:sz w:val="21"/>
                <w:szCs w:val="21"/>
              </w:rPr>
              <w:t>风频/风速</w:t>
            </w:r>
          </w:p>
        </w:tc>
        <w:tc>
          <w:tcPr>
            <w:tcW w:w="1460" w:type="dxa"/>
            <w:vAlign w:val="center"/>
          </w:tcPr>
          <w:p>
            <w:pPr>
              <w:spacing w:line="360" w:lineRule="auto"/>
              <w:jc w:val="center"/>
              <w:rPr>
                <w:rFonts w:hint="eastAsia"/>
                <w:sz w:val="21"/>
                <w:szCs w:val="21"/>
              </w:rPr>
            </w:pPr>
            <w:r>
              <w:rPr>
                <w:rFonts w:hint="eastAsia"/>
                <w:sz w:val="21"/>
                <w:szCs w:val="21"/>
              </w:rPr>
              <w:t>风频/风速</w:t>
            </w:r>
          </w:p>
        </w:tc>
        <w:tc>
          <w:tcPr>
            <w:tcW w:w="1509" w:type="dxa"/>
            <w:vAlign w:val="center"/>
          </w:tcPr>
          <w:p>
            <w:pPr>
              <w:spacing w:line="360" w:lineRule="auto"/>
              <w:jc w:val="center"/>
              <w:rPr>
                <w:rFonts w:hint="eastAsia"/>
                <w:sz w:val="21"/>
                <w:szCs w:val="21"/>
              </w:rPr>
            </w:pPr>
            <w:r>
              <w:rPr>
                <w:rFonts w:hint="eastAsia"/>
                <w:sz w:val="21"/>
                <w:szCs w:val="21"/>
              </w:rPr>
              <w:t>风频/风速</w:t>
            </w:r>
          </w:p>
        </w:tc>
        <w:tc>
          <w:tcPr>
            <w:tcW w:w="1669" w:type="dxa"/>
            <w:vAlign w:val="center"/>
          </w:tcPr>
          <w:p>
            <w:pPr>
              <w:spacing w:line="360" w:lineRule="auto"/>
              <w:jc w:val="center"/>
              <w:rPr>
                <w:rFonts w:hint="eastAsia"/>
                <w:sz w:val="21"/>
                <w:szCs w:val="21"/>
              </w:rPr>
            </w:pPr>
            <w:r>
              <w:rPr>
                <w:rFonts w:hint="eastAsia"/>
                <w:sz w:val="21"/>
                <w:szCs w:val="21"/>
              </w:rPr>
              <w:t>风频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765" w:type="dxa"/>
            <w:vAlign w:val="center"/>
          </w:tcPr>
          <w:p>
            <w:pPr>
              <w:spacing w:line="360" w:lineRule="auto"/>
              <w:jc w:val="center"/>
              <w:rPr>
                <w:rFonts w:hint="eastAsia"/>
                <w:sz w:val="21"/>
                <w:szCs w:val="21"/>
              </w:rPr>
            </w:pPr>
            <w:r>
              <w:rPr>
                <w:rFonts w:hint="eastAsia"/>
                <w:sz w:val="21"/>
                <w:szCs w:val="21"/>
              </w:rPr>
              <w:t>N</w:t>
            </w:r>
          </w:p>
        </w:tc>
        <w:tc>
          <w:tcPr>
            <w:tcW w:w="1360" w:type="dxa"/>
            <w:vAlign w:val="center"/>
          </w:tcPr>
          <w:p>
            <w:pPr>
              <w:spacing w:line="360" w:lineRule="auto"/>
              <w:jc w:val="center"/>
              <w:rPr>
                <w:rFonts w:hint="eastAsia"/>
                <w:sz w:val="21"/>
                <w:szCs w:val="21"/>
              </w:rPr>
            </w:pPr>
            <w:r>
              <w:rPr>
                <w:rFonts w:hint="eastAsia"/>
                <w:sz w:val="21"/>
                <w:szCs w:val="21"/>
              </w:rPr>
              <w:t>15.25/3.2</w:t>
            </w:r>
          </w:p>
        </w:tc>
        <w:tc>
          <w:tcPr>
            <w:tcW w:w="1316" w:type="dxa"/>
            <w:vAlign w:val="center"/>
          </w:tcPr>
          <w:p>
            <w:pPr>
              <w:spacing w:line="360" w:lineRule="auto"/>
              <w:jc w:val="center"/>
              <w:rPr>
                <w:rFonts w:hint="eastAsia"/>
                <w:sz w:val="21"/>
                <w:szCs w:val="21"/>
              </w:rPr>
            </w:pPr>
            <w:r>
              <w:rPr>
                <w:rFonts w:hint="eastAsia"/>
                <w:sz w:val="21"/>
                <w:szCs w:val="21"/>
              </w:rPr>
              <w:t>11.7/3</w:t>
            </w:r>
          </w:p>
        </w:tc>
        <w:tc>
          <w:tcPr>
            <w:tcW w:w="1460" w:type="dxa"/>
            <w:vAlign w:val="center"/>
          </w:tcPr>
          <w:p>
            <w:pPr>
              <w:spacing w:line="360" w:lineRule="auto"/>
              <w:jc w:val="center"/>
              <w:rPr>
                <w:rFonts w:hint="eastAsia"/>
                <w:sz w:val="21"/>
                <w:szCs w:val="21"/>
              </w:rPr>
            </w:pPr>
            <w:r>
              <w:rPr>
                <w:rFonts w:hint="eastAsia"/>
                <w:sz w:val="21"/>
                <w:szCs w:val="21"/>
              </w:rPr>
              <w:t>5.9/2.8</w:t>
            </w:r>
          </w:p>
        </w:tc>
        <w:tc>
          <w:tcPr>
            <w:tcW w:w="1509" w:type="dxa"/>
            <w:vAlign w:val="center"/>
          </w:tcPr>
          <w:p>
            <w:pPr>
              <w:spacing w:line="360" w:lineRule="auto"/>
              <w:jc w:val="center"/>
              <w:rPr>
                <w:rFonts w:hint="eastAsia"/>
                <w:sz w:val="21"/>
                <w:szCs w:val="21"/>
              </w:rPr>
            </w:pPr>
            <w:r>
              <w:rPr>
                <w:rFonts w:hint="eastAsia"/>
                <w:sz w:val="21"/>
                <w:szCs w:val="21"/>
              </w:rPr>
              <w:t>12.9/2.9</w:t>
            </w:r>
          </w:p>
        </w:tc>
        <w:tc>
          <w:tcPr>
            <w:tcW w:w="1669" w:type="dxa"/>
            <w:vAlign w:val="center"/>
          </w:tcPr>
          <w:p>
            <w:pPr>
              <w:spacing w:line="360" w:lineRule="auto"/>
              <w:jc w:val="center"/>
              <w:rPr>
                <w:rFonts w:hint="eastAsia"/>
                <w:sz w:val="21"/>
                <w:szCs w:val="21"/>
              </w:rPr>
            </w:pPr>
            <w:r>
              <w:rPr>
                <w:rFonts w:hint="eastAsia"/>
                <w:sz w:val="21"/>
                <w:szCs w:val="21"/>
              </w:rPr>
              <w:t>11.6/3.03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765" w:type="dxa"/>
            <w:vAlign w:val="center"/>
          </w:tcPr>
          <w:p>
            <w:pPr>
              <w:spacing w:line="360" w:lineRule="auto"/>
              <w:jc w:val="center"/>
              <w:rPr>
                <w:rFonts w:hint="eastAsia"/>
                <w:sz w:val="21"/>
                <w:szCs w:val="21"/>
              </w:rPr>
            </w:pPr>
            <w:r>
              <w:rPr>
                <w:rFonts w:hint="eastAsia"/>
                <w:sz w:val="21"/>
                <w:szCs w:val="21"/>
              </w:rPr>
              <w:t>NNE</w:t>
            </w:r>
          </w:p>
        </w:tc>
        <w:tc>
          <w:tcPr>
            <w:tcW w:w="1360" w:type="dxa"/>
            <w:vAlign w:val="center"/>
          </w:tcPr>
          <w:p>
            <w:pPr>
              <w:spacing w:line="360" w:lineRule="auto"/>
              <w:jc w:val="center"/>
              <w:rPr>
                <w:rFonts w:hint="eastAsia"/>
                <w:sz w:val="21"/>
                <w:szCs w:val="21"/>
              </w:rPr>
            </w:pPr>
            <w:r>
              <w:rPr>
                <w:rFonts w:hint="eastAsia"/>
                <w:sz w:val="21"/>
                <w:szCs w:val="21"/>
              </w:rPr>
              <w:t>4.80/3</w:t>
            </w:r>
          </w:p>
        </w:tc>
        <w:tc>
          <w:tcPr>
            <w:tcW w:w="1316" w:type="dxa"/>
            <w:vAlign w:val="center"/>
          </w:tcPr>
          <w:p>
            <w:pPr>
              <w:spacing w:line="360" w:lineRule="auto"/>
              <w:jc w:val="center"/>
              <w:rPr>
                <w:rFonts w:hint="eastAsia"/>
                <w:sz w:val="21"/>
                <w:szCs w:val="21"/>
              </w:rPr>
            </w:pPr>
            <w:r>
              <w:rPr>
                <w:rFonts w:hint="eastAsia"/>
                <w:sz w:val="21"/>
                <w:szCs w:val="21"/>
              </w:rPr>
              <w:t>2.6/2.7</w:t>
            </w:r>
          </w:p>
        </w:tc>
        <w:tc>
          <w:tcPr>
            <w:tcW w:w="1460" w:type="dxa"/>
            <w:vAlign w:val="center"/>
          </w:tcPr>
          <w:p>
            <w:pPr>
              <w:spacing w:line="360" w:lineRule="auto"/>
              <w:jc w:val="center"/>
              <w:rPr>
                <w:rFonts w:hint="eastAsia"/>
                <w:sz w:val="21"/>
                <w:szCs w:val="21"/>
              </w:rPr>
            </w:pPr>
            <w:r>
              <w:rPr>
                <w:rFonts w:hint="eastAsia"/>
                <w:sz w:val="21"/>
                <w:szCs w:val="21"/>
              </w:rPr>
              <w:t>2.6/2.2</w:t>
            </w:r>
          </w:p>
        </w:tc>
        <w:tc>
          <w:tcPr>
            <w:tcW w:w="1509" w:type="dxa"/>
            <w:vAlign w:val="center"/>
          </w:tcPr>
          <w:p>
            <w:pPr>
              <w:spacing w:line="360" w:lineRule="auto"/>
              <w:jc w:val="center"/>
              <w:rPr>
                <w:rFonts w:hint="eastAsia"/>
                <w:sz w:val="21"/>
                <w:szCs w:val="21"/>
              </w:rPr>
            </w:pPr>
            <w:r>
              <w:rPr>
                <w:rFonts w:hint="eastAsia"/>
                <w:sz w:val="21"/>
                <w:szCs w:val="21"/>
              </w:rPr>
              <w:t>2.8/2.7</w:t>
            </w:r>
          </w:p>
        </w:tc>
        <w:tc>
          <w:tcPr>
            <w:tcW w:w="1669" w:type="dxa"/>
            <w:vAlign w:val="center"/>
          </w:tcPr>
          <w:p>
            <w:pPr>
              <w:spacing w:line="360" w:lineRule="auto"/>
              <w:jc w:val="center"/>
              <w:rPr>
                <w:rFonts w:hint="eastAsia"/>
                <w:sz w:val="21"/>
                <w:szCs w:val="21"/>
              </w:rPr>
            </w:pPr>
            <w:r>
              <w:rPr>
                <w:rFonts w:hint="eastAsia"/>
                <w:sz w:val="21"/>
                <w:szCs w:val="21"/>
              </w:rPr>
              <w:t>3.2/2.71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765" w:type="dxa"/>
            <w:vAlign w:val="center"/>
          </w:tcPr>
          <w:p>
            <w:pPr>
              <w:spacing w:line="360" w:lineRule="auto"/>
              <w:jc w:val="center"/>
              <w:rPr>
                <w:rFonts w:hint="eastAsia"/>
                <w:sz w:val="21"/>
                <w:szCs w:val="21"/>
              </w:rPr>
            </w:pPr>
            <w:r>
              <w:rPr>
                <w:rFonts w:hint="eastAsia"/>
                <w:sz w:val="21"/>
                <w:szCs w:val="21"/>
              </w:rPr>
              <w:t>NE</w:t>
            </w:r>
          </w:p>
        </w:tc>
        <w:tc>
          <w:tcPr>
            <w:tcW w:w="1360" w:type="dxa"/>
            <w:vAlign w:val="center"/>
          </w:tcPr>
          <w:p>
            <w:pPr>
              <w:spacing w:line="360" w:lineRule="auto"/>
              <w:jc w:val="center"/>
              <w:rPr>
                <w:rFonts w:hint="eastAsia"/>
                <w:sz w:val="21"/>
                <w:szCs w:val="21"/>
              </w:rPr>
            </w:pPr>
            <w:r>
              <w:rPr>
                <w:rFonts w:hint="eastAsia"/>
                <w:sz w:val="21"/>
                <w:szCs w:val="21"/>
              </w:rPr>
              <w:t>3.75/2.5</w:t>
            </w:r>
          </w:p>
        </w:tc>
        <w:tc>
          <w:tcPr>
            <w:tcW w:w="1316" w:type="dxa"/>
            <w:vAlign w:val="center"/>
          </w:tcPr>
          <w:p>
            <w:pPr>
              <w:spacing w:line="360" w:lineRule="auto"/>
              <w:jc w:val="center"/>
              <w:rPr>
                <w:rFonts w:hint="eastAsia"/>
                <w:sz w:val="21"/>
                <w:szCs w:val="21"/>
              </w:rPr>
            </w:pPr>
            <w:r>
              <w:rPr>
                <w:rFonts w:hint="eastAsia"/>
                <w:sz w:val="21"/>
                <w:szCs w:val="21"/>
              </w:rPr>
              <w:t>2.6/3.4</w:t>
            </w:r>
          </w:p>
        </w:tc>
        <w:tc>
          <w:tcPr>
            <w:tcW w:w="1460" w:type="dxa"/>
            <w:vAlign w:val="center"/>
          </w:tcPr>
          <w:p>
            <w:pPr>
              <w:spacing w:line="360" w:lineRule="auto"/>
              <w:jc w:val="center"/>
              <w:rPr>
                <w:rFonts w:hint="eastAsia"/>
                <w:sz w:val="21"/>
                <w:szCs w:val="21"/>
              </w:rPr>
            </w:pPr>
            <w:r>
              <w:rPr>
                <w:rFonts w:hint="eastAsia"/>
                <w:sz w:val="21"/>
                <w:szCs w:val="21"/>
              </w:rPr>
              <w:t>1.8/2.3</w:t>
            </w:r>
          </w:p>
        </w:tc>
        <w:tc>
          <w:tcPr>
            <w:tcW w:w="1509" w:type="dxa"/>
            <w:vAlign w:val="center"/>
          </w:tcPr>
          <w:p>
            <w:pPr>
              <w:spacing w:line="360" w:lineRule="auto"/>
              <w:jc w:val="center"/>
              <w:rPr>
                <w:rFonts w:hint="eastAsia"/>
                <w:sz w:val="21"/>
                <w:szCs w:val="21"/>
              </w:rPr>
            </w:pPr>
            <w:r>
              <w:rPr>
                <w:rFonts w:hint="eastAsia"/>
                <w:sz w:val="21"/>
                <w:szCs w:val="21"/>
              </w:rPr>
              <w:t>1.05/3</w:t>
            </w:r>
          </w:p>
        </w:tc>
        <w:tc>
          <w:tcPr>
            <w:tcW w:w="1669" w:type="dxa"/>
            <w:vAlign w:val="center"/>
          </w:tcPr>
          <w:p>
            <w:pPr>
              <w:spacing w:line="360" w:lineRule="auto"/>
              <w:jc w:val="center"/>
              <w:rPr>
                <w:rFonts w:hint="eastAsia"/>
                <w:sz w:val="21"/>
                <w:szCs w:val="21"/>
              </w:rPr>
            </w:pPr>
            <w:r>
              <w:rPr>
                <w:rFonts w:hint="eastAsia"/>
                <w:sz w:val="21"/>
                <w:szCs w:val="21"/>
              </w:rPr>
              <w:t>3.0/2.83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765" w:type="dxa"/>
            <w:vAlign w:val="center"/>
          </w:tcPr>
          <w:p>
            <w:pPr>
              <w:spacing w:line="360" w:lineRule="auto"/>
              <w:jc w:val="center"/>
              <w:rPr>
                <w:rFonts w:hint="eastAsia"/>
                <w:sz w:val="21"/>
                <w:szCs w:val="21"/>
              </w:rPr>
            </w:pPr>
            <w:r>
              <w:rPr>
                <w:rFonts w:hint="eastAsia"/>
                <w:sz w:val="21"/>
                <w:szCs w:val="21"/>
              </w:rPr>
              <w:t>ENE</w:t>
            </w:r>
          </w:p>
        </w:tc>
        <w:tc>
          <w:tcPr>
            <w:tcW w:w="1360" w:type="dxa"/>
            <w:vAlign w:val="center"/>
          </w:tcPr>
          <w:p>
            <w:pPr>
              <w:spacing w:line="360" w:lineRule="auto"/>
              <w:jc w:val="center"/>
              <w:rPr>
                <w:rFonts w:hint="eastAsia"/>
                <w:sz w:val="21"/>
                <w:szCs w:val="21"/>
              </w:rPr>
            </w:pPr>
            <w:r>
              <w:rPr>
                <w:rFonts w:hint="eastAsia"/>
                <w:sz w:val="21"/>
                <w:szCs w:val="21"/>
              </w:rPr>
              <w:t>0/0</w:t>
            </w:r>
          </w:p>
        </w:tc>
        <w:tc>
          <w:tcPr>
            <w:tcW w:w="1316" w:type="dxa"/>
            <w:vAlign w:val="center"/>
          </w:tcPr>
          <w:p>
            <w:pPr>
              <w:spacing w:line="360" w:lineRule="auto"/>
              <w:jc w:val="center"/>
              <w:rPr>
                <w:rFonts w:hint="eastAsia"/>
                <w:sz w:val="21"/>
                <w:szCs w:val="21"/>
              </w:rPr>
            </w:pPr>
            <w:r>
              <w:rPr>
                <w:rFonts w:hint="eastAsia"/>
                <w:sz w:val="21"/>
                <w:szCs w:val="21"/>
              </w:rPr>
              <w:t>0.4/2</w:t>
            </w:r>
          </w:p>
        </w:tc>
        <w:tc>
          <w:tcPr>
            <w:tcW w:w="1460" w:type="dxa"/>
            <w:vAlign w:val="center"/>
          </w:tcPr>
          <w:p>
            <w:pPr>
              <w:spacing w:line="360" w:lineRule="auto"/>
              <w:jc w:val="center"/>
              <w:rPr>
                <w:rFonts w:hint="eastAsia"/>
                <w:sz w:val="21"/>
                <w:szCs w:val="21"/>
              </w:rPr>
            </w:pPr>
            <w:r>
              <w:rPr>
                <w:rFonts w:hint="eastAsia"/>
                <w:sz w:val="21"/>
                <w:szCs w:val="21"/>
              </w:rPr>
              <w:t>0/0</w:t>
            </w:r>
          </w:p>
        </w:tc>
        <w:tc>
          <w:tcPr>
            <w:tcW w:w="1509" w:type="dxa"/>
            <w:vAlign w:val="center"/>
          </w:tcPr>
          <w:p>
            <w:pPr>
              <w:spacing w:line="360" w:lineRule="auto"/>
              <w:jc w:val="center"/>
              <w:rPr>
                <w:rFonts w:hint="eastAsia"/>
                <w:sz w:val="21"/>
                <w:szCs w:val="21"/>
              </w:rPr>
            </w:pPr>
            <w:r>
              <w:rPr>
                <w:rFonts w:hint="eastAsia"/>
                <w:sz w:val="21"/>
                <w:szCs w:val="21"/>
              </w:rPr>
              <w:t>1.6/2.9</w:t>
            </w:r>
          </w:p>
        </w:tc>
        <w:tc>
          <w:tcPr>
            <w:tcW w:w="1669" w:type="dxa"/>
            <w:vAlign w:val="center"/>
          </w:tcPr>
          <w:p>
            <w:pPr>
              <w:spacing w:line="360" w:lineRule="auto"/>
              <w:jc w:val="center"/>
              <w:rPr>
                <w:rFonts w:hint="eastAsia"/>
                <w:sz w:val="21"/>
                <w:szCs w:val="21"/>
              </w:rPr>
            </w:pPr>
            <w:r>
              <w:rPr>
                <w:rFonts w:hint="eastAsia"/>
                <w:sz w:val="21"/>
                <w:szCs w:val="21"/>
              </w:rPr>
              <w:t>0.5/2.7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765" w:type="dxa"/>
            <w:vAlign w:val="center"/>
          </w:tcPr>
          <w:p>
            <w:pPr>
              <w:spacing w:line="360" w:lineRule="auto"/>
              <w:jc w:val="center"/>
              <w:rPr>
                <w:rFonts w:hint="eastAsia"/>
                <w:sz w:val="21"/>
                <w:szCs w:val="21"/>
              </w:rPr>
            </w:pPr>
            <w:r>
              <w:rPr>
                <w:rFonts w:hint="eastAsia"/>
                <w:sz w:val="21"/>
                <w:szCs w:val="21"/>
              </w:rPr>
              <w:t>E</w:t>
            </w:r>
          </w:p>
        </w:tc>
        <w:tc>
          <w:tcPr>
            <w:tcW w:w="1360" w:type="dxa"/>
            <w:vAlign w:val="center"/>
          </w:tcPr>
          <w:p>
            <w:pPr>
              <w:spacing w:line="360" w:lineRule="auto"/>
              <w:jc w:val="center"/>
              <w:rPr>
                <w:rFonts w:hint="eastAsia"/>
                <w:sz w:val="21"/>
                <w:szCs w:val="21"/>
              </w:rPr>
            </w:pPr>
            <w:r>
              <w:rPr>
                <w:rFonts w:hint="eastAsia"/>
                <w:sz w:val="21"/>
                <w:szCs w:val="21"/>
              </w:rPr>
              <w:t>3.75/3.3</w:t>
            </w:r>
          </w:p>
        </w:tc>
        <w:tc>
          <w:tcPr>
            <w:tcW w:w="1316" w:type="dxa"/>
            <w:vAlign w:val="center"/>
          </w:tcPr>
          <w:p>
            <w:pPr>
              <w:spacing w:line="360" w:lineRule="auto"/>
              <w:jc w:val="center"/>
              <w:rPr>
                <w:rFonts w:hint="eastAsia"/>
                <w:sz w:val="21"/>
                <w:szCs w:val="21"/>
              </w:rPr>
            </w:pPr>
            <w:r>
              <w:rPr>
                <w:rFonts w:hint="eastAsia"/>
                <w:sz w:val="21"/>
                <w:szCs w:val="21"/>
              </w:rPr>
              <w:t>2.6/2.8</w:t>
            </w:r>
          </w:p>
        </w:tc>
        <w:tc>
          <w:tcPr>
            <w:tcW w:w="1460" w:type="dxa"/>
            <w:vAlign w:val="center"/>
          </w:tcPr>
          <w:p>
            <w:pPr>
              <w:spacing w:line="360" w:lineRule="auto"/>
              <w:jc w:val="center"/>
              <w:rPr>
                <w:rFonts w:hint="eastAsia"/>
                <w:sz w:val="21"/>
                <w:szCs w:val="21"/>
              </w:rPr>
            </w:pPr>
            <w:r>
              <w:rPr>
                <w:rFonts w:hint="eastAsia"/>
                <w:sz w:val="21"/>
                <w:szCs w:val="21"/>
              </w:rPr>
              <w:t>0.5/3.3</w:t>
            </w:r>
          </w:p>
        </w:tc>
        <w:tc>
          <w:tcPr>
            <w:tcW w:w="1509" w:type="dxa"/>
            <w:vAlign w:val="center"/>
          </w:tcPr>
          <w:p>
            <w:pPr>
              <w:spacing w:line="360" w:lineRule="auto"/>
              <w:jc w:val="center"/>
              <w:rPr>
                <w:rFonts w:hint="eastAsia"/>
                <w:sz w:val="21"/>
                <w:szCs w:val="21"/>
              </w:rPr>
            </w:pPr>
            <w:r>
              <w:rPr>
                <w:rFonts w:hint="eastAsia"/>
                <w:sz w:val="21"/>
                <w:szCs w:val="21"/>
              </w:rPr>
              <w:t>1.4/3.3</w:t>
            </w:r>
          </w:p>
        </w:tc>
        <w:tc>
          <w:tcPr>
            <w:tcW w:w="1669" w:type="dxa"/>
            <w:vAlign w:val="center"/>
          </w:tcPr>
          <w:p>
            <w:pPr>
              <w:spacing w:line="360" w:lineRule="auto"/>
              <w:jc w:val="center"/>
              <w:rPr>
                <w:rFonts w:hint="eastAsia"/>
                <w:sz w:val="21"/>
                <w:szCs w:val="21"/>
              </w:rPr>
            </w:pPr>
            <w:r>
              <w:rPr>
                <w:rFonts w:hint="eastAsia"/>
                <w:sz w:val="21"/>
                <w:szCs w:val="21"/>
              </w:rPr>
              <w:t>2.1/3.15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765" w:type="dxa"/>
            <w:vAlign w:val="center"/>
          </w:tcPr>
          <w:p>
            <w:pPr>
              <w:spacing w:line="360" w:lineRule="auto"/>
              <w:jc w:val="center"/>
              <w:rPr>
                <w:rFonts w:hint="eastAsia"/>
                <w:sz w:val="21"/>
                <w:szCs w:val="21"/>
              </w:rPr>
            </w:pPr>
            <w:r>
              <w:rPr>
                <w:rFonts w:hint="eastAsia"/>
                <w:sz w:val="21"/>
                <w:szCs w:val="21"/>
              </w:rPr>
              <w:t>ESE</w:t>
            </w:r>
          </w:p>
        </w:tc>
        <w:tc>
          <w:tcPr>
            <w:tcW w:w="1360" w:type="dxa"/>
            <w:vAlign w:val="center"/>
          </w:tcPr>
          <w:p>
            <w:pPr>
              <w:spacing w:line="360" w:lineRule="auto"/>
              <w:jc w:val="center"/>
              <w:rPr>
                <w:rFonts w:hint="eastAsia"/>
                <w:sz w:val="21"/>
                <w:szCs w:val="21"/>
              </w:rPr>
            </w:pPr>
            <w:r>
              <w:rPr>
                <w:rFonts w:hint="eastAsia"/>
                <w:sz w:val="21"/>
                <w:szCs w:val="21"/>
              </w:rPr>
              <w:t>0.40/2</w:t>
            </w:r>
          </w:p>
        </w:tc>
        <w:tc>
          <w:tcPr>
            <w:tcW w:w="1316" w:type="dxa"/>
            <w:vAlign w:val="center"/>
          </w:tcPr>
          <w:p>
            <w:pPr>
              <w:spacing w:line="360" w:lineRule="auto"/>
              <w:jc w:val="center"/>
              <w:rPr>
                <w:rFonts w:hint="eastAsia"/>
                <w:sz w:val="21"/>
                <w:szCs w:val="21"/>
              </w:rPr>
            </w:pPr>
            <w:r>
              <w:rPr>
                <w:rFonts w:hint="eastAsia"/>
                <w:sz w:val="21"/>
                <w:szCs w:val="21"/>
              </w:rPr>
              <w:t>1.8/3.4</w:t>
            </w:r>
          </w:p>
        </w:tc>
        <w:tc>
          <w:tcPr>
            <w:tcW w:w="1460" w:type="dxa"/>
            <w:vAlign w:val="center"/>
          </w:tcPr>
          <w:p>
            <w:pPr>
              <w:spacing w:line="360" w:lineRule="auto"/>
              <w:jc w:val="center"/>
              <w:rPr>
                <w:rFonts w:hint="eastAsia"/>
                <w:sz w:val="21"/>
                <w:szCs w:val="21"/>
              </w:rPr>
            </w:pPr>
            <w:r>
              <w:rPr>
                <w:rFonts w:hint="eastAsia"/>
                <w:sz w:val="21"/>
                <w:szCs w:val="21"/>
              </w:rPr>
              <w:t>0.2/2</w:t>
            </w:r>
          </w:p>
        </w:tc>
        <w:tc>
          <w:tcPr>
            <w:tcW w:w="1509" w:type="dxa"/>
            <w:vAlign w:val="center"/>
          </w:tcPr>
          <w:p>
            <w:pPr>
              <w:spacing w:line="360" w:lineRule="auto"/>
              <w:jc w:val="center"/>
              <w:rPr>
                <w:rFonts w:hint="eastAsia"/>
                <w:sz w:val="21"/>
                <w:szCs w:val="21"/>
              </w:rPr>
            </w:pPr>
            <w:r>
              <w:rPr>
                <w:rFonts w:hint="eastAsia"/>
                <w:sz w:val="21"/>
                <w:szCs w:val="21"/>
              </w:rPr>
              <w:t>0/0</w:t>
            </w:r>
          </w:p>
        </w:tc>
        <w:tc>
          <w:tcPr>
            <w:tcW w:w="1669" w:type="dxa"/>
            <w:vAlign w:val="center"/>
          </w:tcPr>
          <w:p>
            <w:pPr>
              <w:spacing w:line="360" w:lineRule="auto"/>
              <w:jc w:val="center"/>
              <w:rPr>
                <w:rFonts w:hint="eastAsia"/>
                <w:sz w:val="21"/>
                <w:szCs w:val="21"/>
              </w:rPr>
            </w:pPr>
            <w:r>
              <w:rPr>
                <w:rFonts w:hint="eastAsia"/>
                <w:sz w:val="21"/>
                <w:szCs w:val="21"/>
              </w:rPr>
              <w:t>0.6/3.08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765" w:type="dxa"/>
            <w:vAlign w:val="center"/>
          </w:tcPr>
          <w:p>
            <w:pPr>
              <w:spacing w:line="360" w:lineRule="auto"/>
              <w:jc w:val="center"/>
              <w:rPr>
                <w:rFonts w:hint="eastAsia"/>
                <w:sz w:val="21"/>
                <w:szCs w:val="21"/>
              </w:rPr>
            </w:pPr>
            <w:r>
              <w:rPr>
                <w:rFonts w:hint="eastAsia"/>
                <w:sz w:val="21"/>
                <w:szCs w:val="21"/>
              </w:rPr>
              <w:t>SE</w:t>
            </w:r>
          </w:p>
        </w:tc>
        <w:tc>
          <w:tcPr>
            <w:tcW w:w="1360" w:type="dxa"/>
            <w:vAlign w:val="center"/>
          </w:tcPr>
          <w:p>
            <w:pPr>
              <w:spacing w:line="360" w:lineRule="auto"/>
              <w:jc w:val="center"/>
              <w:rPr>
                <w:rFonts w:hint="eastAsia"/>
                <w:sz w:val="21"/>
                <w:szCs w:val="21"/>
              </w:rPr>
            </w:pPr>
            <w:r>
              <w:rPr>
                <w:rFonts w:hint="eastAsia"/>
                <w:sz w:val="21"/>
                <w:szCs w:val="21"/>
              </w:rPr>
              <w:t>1.50/2.7</w:t>
            </w:r>
          </w:p>
        </w:tc>
        <w:tc>
          <w:tcPr>
            <w:tcW w:w="1316" w:type="dxa"/>
            <w:vAlign w:val="center"/>
          </w:tcPr>
          <w:p>
            <w:pPr>
              <w:spacing w:line="360" w:lineRule="auto"/>
              <w:jc w:val="center"/>
              <w:rPr>
                <w:rFonts w:hint="eastAsia"/>
                <w:sz w:val="21"/>
                <w:szCs w:val="21"/>
              </w:rPr>
            </w:pPr>
            <w:r>
              <w:rPr>
                <w:rFonts w:hint="eastAsia"/>
                <w:sz w:val="21"/>
                <w:szCs w:val="21"/>
              </w:rPr>
              <w:t>2.8/3.2</w:t>
            </w:r>
          </w:p>
        </w:tc>
        <w:tc>
          <w:tcPr>
            <w:tcW w:w="1460" w:type="dxa"/>
            <w:vAlign w:val="center"/>
          </w:tcPr>
          <w:p>
            <w:pPr>
              <w:spacing w:line="360" w:lineRule="auto"/>
              <w:jc w:val="center"/>
              <w:rPr>
                <w:rFonts w:hint="eastAsia"/>
                <w:sz w:val="21"/>
                <w:szCs w:val="21"/>
              </w:rPr>
            </w:pPr>
            <w:r>
              <w:rPr>
                <w:rFonts w:hint="eastAsia"/>
                <w:sz w:val="21"/>
                <w:szCs w:val="21"/>
              </w:rPr>
              <w:t>0.4/3</w:t>
            </w:r>
          </w:p>
        </w:tc>
        <w:tc>
          <w:tcPr>
            <w:tcW w:w="1509" w:type="dxa"/>
            <w:vAlign w:val="center"/>
          </w:tcPr>
          <w:p>
            <w:pPr>
              <w:spacing w:line="360" w:lineRule="auto"/>
              <w:jc w:val="center"/>
              <w:rPr>
                <w:rFonts w:hint="eastAsia"/>
                <w:sz w:val="21"/>
                <w:szCs w:val="21"/>
              </w:rPr>
            </w:pPr>
            <w:r>
              <w:rPr>
                <w:rFonts w:hint="eastAsia"/>
                <w:sz w:val="21"/>
                <w:szCs w:val="21"/>
              </w:rPr>
              <w:t>0.6/2</w:t>
            </w:r>
          </w:p>
        </w:tc>
        <w:tc>
          <w:tcPr>
            <w:tcW w:w="1669" w:type="dxa"/>
            <w:vAlign w:val="center"/>
          </w:tcPr>
          <w:p>
            <w:pPr>
              <w:spacing w:line="360" w:lineRule="auto"/>
              <w:jc w:val="center"/>
              <w:rPr>
                <w:rFonts w:hint="eastAsia"/>
                <w:sz w:val="21"/>
                <w:szCs w:val="21"/>
              </w:rPr>
            </w:pPr>
            <w:r>
              <w:rPr>
                <w:rFonts w:hint="eastAsia"/>
                <w:sz w:val="21"/>
                <w:szCs w:val="21"/>
              </w:rPr>
              <w:t>1.3/2.92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765" w:type="dxa"/>
            <w:vAlign w:val="center"/>
          </w:tcPr>
          <w:p>
            <w:pPr>
              <w:spacing w:line="360" w:lineRule="auto"/>
              <w:jc w:val="center"/>
              <w:rPr>
                <w:rFonts w:hint="eastAsia"/>
                <w:sz w:val="21"/>
                <w:szCs w:val="21"/>
              </w:rPr>
            </w:pPr>
            <w:r>
              <w:rPr>
                <w:rFonts w:hint="eastAsia"/>
                <w:sz w:val="21"/>
                <w:szCs w:val="21"/>
              </w:rPr>
              <w:t>SSE</w:t>
            </w:r>
          </w:p>
        </w:tc>
        <w:tc>
          <w:tcPr>
            <w:tcW w:w="1360" w:type="dxa"/>
            <w:vAlign w:val="center"/>
          </w:tcPr>
          <w:p>
            <w:pPr>
              <w:spacing w:line="360" w:lineRule="auto"/>
              <w:jc w:val="center"/>
              <w:rPr>
                <w:rFonts w:hint="eastAsia"/>
                <w:sz w:val="21"/>
                <w:szCs w:val="21"/>
              </w:rPr>
            </w:pPr>
            <w:r>
              <w:rPr>
                <w:rFonts w:hint="eastAsia"/>
                <w:sz w:val="21"/>
                <w:szCs w:val="21"/>
              </w:rPr>
              <w:t>0/0</w:t>
            </w:r>
          </w:p>
        </w:tc>
        <w:tc>
          <w:tcPr>
            <w:tcW w:w="1316" w:type="dxa"/>
            <w:vAlign w:val="center"/>
          </w:tcPr>
          <w:p>
            <w:pPr>
              <w:spacing w:line="360" w:lineRule="auto"/>
              <w:jc w:val="center"/>
              <w:rPr>
                <w:rFonts w:hint="eastAsia"/>
                <w:sz w:val="21"/>
                <w:szCs w:val="21"/>
              </w:rPr>
            </w:pPr>
            <w:r>
              <w:rPr>
                <w:rFonts w:hint="eastAsia"/>
                <w:sz w:val="21"/>
                <w:szCs w:val="21"/>
              </w:rPr>
              <w:t>0.6/2.7</w:t>
            </w:r>
          </w:p>
        </w:tc>
        <w:tc>
          <w:tcPr>
            <w:tcW w:w="1460" w:type="dxa"/>
            <w:vAlign w:val="center"/>
          </w:tcPr>
          <w:p>
            <w:pPr>
              <w:spacing w:line="360" w:lineRule="auto"/>
              <w:jc w:val="center"/>
              <w:rPr>
                <w:rFonts w:hint="eastAsia"/>
                <w:sz w:val="21"/>
                <w:szCs w:val="21"/>
              </w:rPr>
            </w:pPr>
            <w:r>
              <w:rPr>
                <w:rFonts w:hint="eastAsia"/>
                <w:sz w:val="21"/>
                <w:szCs w:val="21"/>
              </w:rPr>
              <w:t>1.0/2.8</w:t>
            </w:r>
          </w:p>
        </w:tc>
        <w:tc>
          <w:tcPr>
            <w:tcW w:w="1509" w:type="dxa"/>
            <w:vAlign w:val="center"/>
          </w:tcPr>
          <w:p>
            <w:pPr>
              <w:spacing w:line="360" w:lineRule="auto"/>
              <w:jc w:val="center"/>
              <w:rPr>
                <w:rFonts w:hint="eastAsia"/>
                <w:sz w:val="21"/>
                <w:szCs w:val="21"/>
              </w:rPr>
            </w:pPr>
            <w:r>
              <w:rPr>
                <w:rFonts w:hint="eastAsia"/>
                <w:sz w:val="21"/>
                <w:szCs w:val="21"/>
              </w:rPr>
              <w:t>0/0</w:t>
            </w:r>
          </w:p>
        </w:tc>
        <w:tc>
          <w:tcPr>
            <w:tcW w:w="1669" w:type="dxa"/>
            <w:vAlign w:val="center"/>
          </w:tcPr>
          <w:p>
            <w:pPr>
              <w:spacing w:line="360" w:lineRule="auto"/>
              <w:jc w:val="center"/>
              <w:rPr>
                <w:rFonts w:hint="eastAsia"/>
                <w:sz w:val="21"/>
                <w:szCs w:val="21"/>
              </w:rPr>
            </w:pPr>
            <w:r>
              <w:rPr>
                <w:rFonts w:hint="eastAsia"/>
                <w:sz w:val="21"/>
                <w:szCs w:val="21"/>
              </w:rPr>
              <w:t>0.4/2.75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765" w:type="dxa"/>
            <w:vAlign w:val="center"/>
          </w:tcPr>
          <w:p>
            <w:pPr>
              <w:spacing w:line="360" w:lineRule="auto"/>
              <w:jc w:val="center"/>
              <w:rPr>
                <w:rFonts w:hint="eastAsia"/>
                <w:sz w:val="21"/>
                <w:szCs w:val="21"/>
              </w:rPr>
            </w:pPr>
            <w:r>
              <w:rPr>
                <w:rFonts w:hint="eastAsia"/>
                <w:sz w:val="21"/>
                <w:szCs w:val="21"/>
              </w:rPr>
              <w:t>S</w:t>
            </w:r>
          </w:p>
        </w:tc>
        <w:tc>
          <w:tcPr>
            <w:tcW w:w="1360" w:type="dxa"/>
            <w:vAlign w:val="center"/>
          </w:tcPr>
          <w:p>
            <w:pPr>
              <w:spacing w:line="360" w:lineRule="auto"/>
              <w:jc w:val="center"/>
              <w:rPr>
                <w:rFonts w:hint="eastAsia"/>
                <w:sz w:val="21"/>
                <w:szCs w:val="21"/>
              </w:rPr>
            </w:pPr>
            <w:r>
              <w:rPr>
                <w:rFonts w:hint="eastAsia"/>
                <w:sz w:val="21"/>
                <w:szCs w:val="21"/>
              </w:rPr>
              <w:t>3.30/2.2</w:t>
            </w:r>
          </w:p>
        </w:tc>
        <w:tc>
          <w:tcPr>
            <w:tcW w:w="1316" w:type="dxa"/>
            <w:vAlign w:val="center"/>
          </w:tcPr>
          <w:p>
            <w:pPr>
              <w:spacing w:line="360" w:lineRule="auto"/>
              <w:jc w:val="center"/>
              <w:rPr>
                <w:rFonts w:hint="eastAsia"/>
                <w:sz w:val="21"/>
                <w:szCs w:val="21"/>
              </w:rPr>
            </w:pPr>
            <w:r>
              <w:rPr>
                <w:rFonts w:hint="eastAsia"/>
                <w:sz w:val="21"/>
                <w:szCs w:val="21"/>
              </w:rPr>
              <w:t>7.9/2.5</w:t>
            </w:r>
          </w:p>
        </w:tc>
        <w:tc>
          <w:tcPr>
            <w:tcW w:w="1460" w:type="dxa"/>
            <w:vAlign w:val="center"/>
          </w:tcPr>
          <w:p>
            <w:pPr>
              <w:spacing w:line="360" w:lineRule="auto"/>
              <w:jc w:val="center"/>
              <w:rPr>
                <w:rFonts w:hint="eastAsia"/>
                <w:sz w:val="21"/>
                <w:szCs w:val="21"/>
              </w:rPr>
            </w:pPr>
            <w:r>
              <w:rPr>
                <w:rFonts w:hint="eastAsia"/>
                <w:sz w:val="21"/>
                <w:szCs w:val="21"/>
              </w:rPr>
              <w:t>5.7/2.1</w:t>
            </w:r>
          </w:p>
        </w:tc>
        <w:tc>
          <w:tcPr>
            <w:tcW w:w="1509" w:type="dxa"/>
            <w:vAlign w:val="center"/>
          </w:tcPr>
          <w:p>
            <w:pPr>
              <w:spacing w:line="360" w:lineRule="auto"/>
              <w:jc w:val="center"/>
              <w:rPr>
                <w:rFonts w:hint="eastAsia"/>
                <w:sz w:val="21"/>
                <w:szCs w:val="21"/>
              </w:rPr>
            </w:pPr>
            <w:r>
              <w:rPr>
                <w:rFonts w:hint="eastAsia"/>
                <w:sz w:val="21"/>
                <w:szCs w:val="21"/>
              </w:rPr>
              <w:t>4.05/2</w:t>
            </w:r>
          </w:p>
        </w:tc>
        <w:tc>
          <w:tcPr>
            <w:tcW w:w="1669" w:type="dxa"/>
            <w:vAlign w:val="center"/>
          </w:tcPr>
          <w:p>
            <w:pPr>
              <w:spacing w:line="360" w:lineRule="auto"/>
              <w:jc w:val="center"/>
              <w:rPr>
                <w:rFonts w:hint="eastAsia"/>
                <w:sz w:val="21"/>
                <w:szCs w:val="21"/>
              </w:rPr>
            </w:pPr>
            <w:r>
              <w:rPr>
                <w:rFonts w:hint="eastAsia"/>
                <w:sz w:val="21"/>
                <w:szCs w:val="21"/>
              </w:rPr>
              <w:t>5.2/2.26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765" w:type="dxa"/>
            <w:vAlign w:val="center"/>
          </w:tcPr>
          <w:p>
            <w:pPr>
              <w:spacing w:line="360" w:lineRule="auto"/>
              <w:jc w:val="center"/>
              <w:rPr>
                <w:rFonts w:hint="eastAsia"/>
                <w:sz w:val="21"/>
                <w:szCs w:val="21"/>
              </w:rPr>
            </w:pPr>
            <w:r>
              <w:rPr>
                <w:rFonts w:hint="eastAsia"/>
                <w:sz w:val="21"/>
                <w:szCs w:val="21"/>
              </w:rPr>
              <w:t>SSW</w:t>
            </w:r>
          </w:p>
        </w:tc>
        <w:tc>
          <w:tcPr>
            <w:tcW w:w="1360" w:type="dxa"/>
            <w:vAlign w:val="center"/>
          </w:tcPr>
          <w:p>
            <w:pPr>
              <w:spacing w:line="360" w:lineRule="auto"/>
              <w:jc w:val="center"/>
              <w:rPr>
                <w:rFonts w:hint="eastAsia"/>
                <w:sz w:val="21"/>
                <w:szCs w:val="21"/>
              </w:rPr>
            </w:pPr>
            <w:r>
              <w:rPr>
                <w:rFonts w:hint="eastAsia"/>
                <w:sz w:val="21"/>
                <w:szCs w:val="21"/>
              </w:rPr>
              <w:t>1.00/2.6</w:t>
            </w:r>
          </w:p>
        </w:tc>
        <w:tc>
          <w:tcPr>
            <w:tcW w:w="1316" w:type="dxa"/>
            <w:vAlign w:val="center"/>
          </w:tcPr>
          <w:p>
            <w:pPr>
              <w:spacing w:line="360" w:lineRule="auto"/>
              <w:jc w:val="center"/>
              <w:rPr>
                <w:rFonts w:hint="eastAsia"/>
                <w:sz w:val="21"/>
                <w:szCs w:val="21"/>
              </w:rPr>
            </w:pPr>
            <w:r>
              <w:rPr>
                <w:rFonts w:hint="eastAsia"/>
                <w:sz w:val="21"/>
                <w:szCs w:val="21"/>
              </w:rPr>
              <w:t>0.2/3</w:t>
            </w:r>
          </w:p>
        </w:tc>
        <w:tc>
          <w:tcPr>
            <w:tcW w:w="1460" w:type="dxa"/>
            <w:vAlign w:val="center"/>
          </w:tcPr>
          <w:p>
            <w:pPr>
              <w:spacing w:line="360" w:lineRule="auto"/>
              <w:jc w:val="center"/>
              <w:rPr>
                <w:rFonts w:hint="eastAsia"/>
                <w:sz w:val="21"/>
                <w:szCs w:val="21"/>
              </w:rPr>
            </w:pPr>
            <w:r>
              <w:rPr>
                <w:rFonts w:hint="eastAsia"/>
                <w:sz w:val="21"/>
                <w:szCs w:val="21"/>
              </w:rPr>
              <w:t>0/0</w:t>
            </w:r>
          </w:p>
        </w:tc>
        <w:tc>
          <w:tcPr>
            <w:tcW w:w="1509" w:type="dxa"/>
            <w:vAlign w:val="center"/>
          </w:tcPr>
          <w:p>
            <w:pPr>
              <w:spacing w:line="360" w:lineRule="auto"/>
              <w:jc w:val="center"/>
              <w:rPr>
                <w:rFonts w:hint="eastAsia"/>
                <w:sz w:val="21"/>
                <w:szCs w:val="21"/>
              </w:rPr>
            </w:pPr>
            <w:r>
              <w:rPr>
                <w:rFonts w:hint="eastAsia"/>
                <w:sz w:val="21"/>
                <w:szCs w:val="21"/>
              </w:rPr>
              <w:t>0.2/2</w:t>
            </w:r>
          </w:p>
        </w:tc>
        <w:tc>
          <w:tcPr>
            <w:tcW w:w="1669" w:type="dxa"/>
            <w:vAlign w:val="center"/>
          </w:tcPr>
          <w:p>
            <w:pPr>
              <w:spacing w:line="360" w:lineRule="auto"/>
              <w:jc w:val="center"/>
              <w:rPr>
                <w:rFonts w:hint="eastAsia"/>
                <w:sz w:val="21"/>
                <w:szCs w:val="21"/>
              </w:rPr>
            </w:pPr>
            <w:r>
              <w:rPr>
                <w:rFonts w:hint="eastAsia"/>
                <w:sz w:val="21"/>
                <w:szCs w:val="21"/>
              </w:rPr>
              <w:t>0.4/2.57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765" w:type="dxa"/>
            <w:vAlign w:val="center"/>
          </w:tcPr>
          <w:p>
            <w:pPr>
              <w:spacing w:line="360" w:lineRule="auto"/>
              <w:jc w:val="center"/>
              <w:rPr>
                <w:rFonts w:hint="eastAsia"/>
                <w:sz w:val="21"/>
                <w:szCs w:val="21"/>
              </w:rPr>
            </w:pPr>
            <w:r>
              <w:rPr>
                <w:rFonts w:hint="eastAsia"/>
                <w:sz w:val="21"/>
                <w:szCs w:val="21"/>
              </w:rPr>
              <w:t>SW</w:t>
            </w:r>
          </w:p>
        </w:tc>
        <w:tc>
          <w:tcPr>
            <w:tcW w:w="1360" w:type="dxa"/>
            <w:vAlign w:val="center"/>
          </w:tcPr>
          <w:p>
            <w:pPr>
              <w:spacing w:line="360" w:lineRule="auto"/>
              <w:jc w:val="center"/>
              <w:rPr>
                <w:rFonts w:hint="eastAsia"/>
                <w:sz w:val="21"/>
                <w:szCs w:val="21"/>
              </w:rPr>
            </w:pPr>
            <w:r>
              <w:rPr>
                <w:rFonts w:hint="eastAsia"/>
                <w:sz w:val="21"/>
                <w:szCs w:val="21"/>
              </w:rPr>
              <w:t>0.63/2.3</w:t>
            </w:r>
          </w:p>
        </w:tc>
        <w:tc>
          <w:tcPr>
            <w:tcW w:w="1316" w:type="dxa"/>
            <w:vAlign w:val="center"/>
          </w:tcPr>
          <w:p>
            <w:pPr>
              <w:spacing w:line="360" w:lineRule="auto"/>
              <w:jc w:val="center"/>
              <w:rPr>
                <w:rFonts w:hint="eastAsia"/>
                <w:sz w:val="21"/>
                <w:szCs w:val="21"/>
              </w:rPr>
            </w:pPr>
            <w:r>
              <w:rPr>
                <w:rFonts w:hint="eastAsia"/>
                <w:sz w:val="21"/>
                <w:szCs w:val="21"/>
              </w:rPr>
              <w:t>3.05/2.5</w:t>
            </w:r>
          </w:p>
        </w:tc>
        <w:tc>
          <w:tcPr>
            <w:tcW w:w="1460" w:type="dxa"/>
            <w:vAlign w:val="center"/>
          </w:tcPr>
          <w:p>
            <w:pPr>
              <w:spacing w:line="360" w:lineRule="auto"/>
              <w:jc w:val="center"/>
              <w:rPr>
                <w:rFonts w:hint="eastAsia"/>
                <w:sz w:val="21"/>
                <w:szCs w:val="21"/>
              </w:rPr>
            </w:pPr>
            <w:r>
              <w:rPr>
                <w:rFonts w:hint="eastAsia"/>
                <w:sz w:val="21"/>
                <w:szCs w:val="21"/>
              </w:rPr>
              <w:t>1.4/2.1</w:t>
            </w:r>
          </w:p>
        </w:tc>
        <w:tc>
          <w:tcPr>
            <w:tcW w:w="1509" w:type="dxa"/>
            <w:vAlign w:val="center"/>
          </w:tcPr>
          <w:p>
            <w:pPr>
              <w:spacing w:line="360" w:lineRule="auto"/>
              <w:jc w:val="center"/>
              <w:rPr>
                <w:rFonts w:hint="eastAsia"/>
                <w:sz w:val="21"/>
                <w:szCs w:val="21"/>
              </w:rPr>
            </w:pPr>
            <w:r>
              <w:rPr>
                <w:rFonts w:hint="eastAsia"/>
                <w:sz w:val="21"/>
                <w:szCs w:val="21"/>
              </w:rPr>
              <w:t>0.2/3</w:t>
            </w:r>
          </w:p>
        </w:tc>
        <w:tc>
          <w:tcPr>
            <w:tcW w:w="1669" w:type="dxa"/>
            <w:vAlign w:val="center"/>
          </w:tcPr>
          <w:p>
            <w:pPr>
              <w:spacing w:line="360" w:lineRule="auto"/>
              <w:jc w:val="center"/>
              <w:rPr>
                <w:rFonts w:hint="eastAsia"/>
                <w:sz w:val="21"/>
                <w:szCs w:val="21"/>
              </w:rPr>
            </w:pPr>
            <w:r>
              <w:rPr>
                <w:rFonts w:hint="eastAsia"/>
                <w:sz w:val="21"/>
                <w:szCs w:val="21"/>
              </w:rPr>
              <w:t>1.3/2.38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765" w:type="dxa"/>
            <w:vAlign w:val="center"/>
          </w:tcPr>
          <w:p>
            <w:pPr>
              <w:spacing w:line="360" w:lineRule="auto"/>
              <w:jc w:val="center"/>
              <w:rPr>
                <w:rFonts w:hint="eastAsia"/>
                <w:sz w:val="21"/>
                <w:szCs w:val="21"/>
              </w:rPr>
            </w:pPr>
            <w:r>
              <w:rPr>
                <w:rFonts w:hint="eastAsia"/>
                <w:sz w:val="21"/>
                <w:szCs w:val="21"/>
              </w:rPr>
              <w:t>WSW</w:t>
            </w:r>
          </w:p>
        </w:tc>
        <w:tc>
          <w:tcPr>
            <w:tcW w:w="1360" w:type="dxa"/>
            <w:vAlign w:val="center"/>
          </w:tcPr>
          <w:p>
            <w:pPr>
              <w:spacing w:line="360" w:lineRule="auto"/>
              <w:jc w:val="center"/>
              <w:rPr>
                <w:rFonts w:hint="eastAsia"/>
                <w:sz w:val="21"/>
                <w:szCs w:val="21"/>
              </w:rPr>
            </w:pPr>
            <w:r>
              <w:rPr>
                <w:rFonts w:hint="eastAsia"/>
                <w:sz w:val="21"/>
                <w:szCs w:val="21"/>
              </w:rPr>
              <w:t>0/0</w:t>
            </w:r>
          </w:p>
        </w:tc>
        <w:tc>
          <w:tcPr>
            <w:tcW w:w="1316" w:type="dxa"/>
            <w:vAlign w:val="center"/>
          </w:tcPr>
          <w:p>
            <w:pPr>
              <w:spacing w:line="360" w:lineRule="auto"/>
              <w:jc w:val="center"/>
              <w:rPr>
                <w:rFonts w:hint="eastAsia"/>
                <w:sz w:val="21"/>
                <w:szCs w:val="21"/>
              </w:rPr>
            </w:pPr>
            <w:r>
              <w:rPr>
                <w:rFonts w:hint="eastAsia"/>
                <w:sz w:val="21"/>
                <w:szCs w:val="21"/>
              </w:rPr>
              <w:t>0.2/3</w:t>
            </w:r>
          </w:p>
        </w:tc>
        <w:tc>
          <w:tcPr>
            <w:tcW w:w="1460" w:type="dxa"/>
            <w:vAlign w:val="center"/>
          </w:tcPr>
          <w:p>
            <w:pPr>
              <w:spacing w:line="360" w:lineRule="auto"/>
              <w:jc w:val="center"/>
              <w:rPr>
                <w:rFonts w:hint="eastAsia"/>
                <w:sz w:val="21"/>
                <w:szCs w:val="21"/>
              </w:rPr>
            </w:pPr>
            <w:r>
              <w:rPr>
                <w:rFonts w:hint="eastAsia"/>
                <w:sz w:val="21"/>
                <w:szCs w:val="21"/>
              </w:rPr>
              <w:t>0.2/1</w:t>
            </w:r>
          </w:p>
        </w:tc>
        <w:tc>
          <w:tcPr>
            <w:tcW w:w="1509" w:type="dxa"/>
            <w:vAlign w:val="center"/>
          </w:tcPr>
          <w:p>
            <w:pPr>
              <w:spacing w:line="360" w:lineRule="auto"/>
              <w:jc w:val="center"/>
              <w:rPr>
                <w:rFonts w:hint="eastAsia"/>
                <w:sz w:val="21"/>
                <w:szCs w:val="21"/>
              </w:rPr>
            </w:pPr>
            <w:r>
              <w:rPr>
                <w:rFonts w:hint="eastAsia"/>
                <w:sz w:val="21"/>
                <w:szCs w:val="21"/>
              </w:rPr>
              <w:t>0.2/2</w:t>
            </w:r>
          </w:p>
        </w:tc>
        <w:tc>
          <w:tcPr>
            <w:tcW w:w="1669" w:type="dxa"/>
            <w:vAlign w:val="center"/>
          </w:tcPr>
          <w:p>
            <w:pPr>
              <w:spacing w:line="360" w:lineRule="auto"/>
              <w:jc w:val="center"/>
              <w:rPr>
                <w:rFonts w:hint="eastAsia"/>
                <w:sz w:val="21"/>
                <w:szCs w:val="21"/>
              </w:rPr>
            </w:pPr>
            <w:r>
              <w:rPr>
                <w:rFonts w:hint="eastAsia"/>
                <w:sz w:val="21"/>
                <w:szCs w:val="21"/>
              </w:rPr>
              <w:t>0.2/2.0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765" w:type="dxa"/>
            <w:vAlign w:val="center"/>
          </w:tcPr>
          <w:p>
            <w:pPr>
              <w:spacing w:line="360" w:lineRule="auto"/>
              <w:jc w:val="center"/>
              <w:rPr>
                <w:rFonts w:hint="eastAsia"/>
                <w:sz w:val="21"/>
                <w:szCs w:val="21"/>
              </w:rPr>
            </w:pPr>
            <w:r>
              <w:rPr>
                <w:rFonts w:hint="eastAsia"/>
                <w:sz w:val="21"/>
                <w:szCs w:val="21"/>
              </w:rPr>
              <w:t>W</w:t>
            </w:r>
          </w:p>
        </w:tc>
        <w:tc>
          <w:tcPr>
            <w:tcW w:w="1360" w:type="dxa"/>
            <w:vAlign w:val="center"/>
          </w:tcPr>
          <w:p>
            <w:pPr>
              <w:spacing w:line="360" w:lineRule="auto"/>
              <w:jc w:val="center"/>
              <w:rPr>
                <w:rFonts w:hint="eastAsia"/>
                <w:sz w:val="21"/>
                <w:szCs w:val="21"/>
              </w:rPr>
            </w:pPr>
            <w:r>
              <w:rPr>
                <w:rFonts w:hint="eastAsia"/>
                <w:sz w:val="21"/>
                <w:szCs w:val="21"/>
              </w:rPr>
              <w:t>1.50/2.9</w:t>
            </w:r>
          </w:p>
        </w:tc>
        <w:tc>
          <w:tcPr>
            <w:tcW w:w="1316" w:type="dxa"/>
            <w:vAlign w:val="center"/>
          </w:tcPr>
          <w:p>
            <w:pPr>
              <w:spacing w:line="360" w:lineRule="auto"/>
              <w:jc w:val="center"/>
              <w:rPr>
                <w:rFonts w:hint="eastAsia"/>
                <w:sz w:val="21"/>
                <w:szCs w:val="21"/>
              </w:rPr>
            </w:pPr>
            <w:r>
              <w:rPr>
                <w:rFonts w:hint="eastAsia"/>
                <w:sz w:val="21"/>
                <w:szCs w:val="21"/>
              </w:rPr>
              <w:t>3.25/2.4</w:t>
            </w:r>
          </w:p>
        </w:tc>
        <w:tc>
          <w:tcPr>
            <w:tcW w:w="1460" w:type="dxa"/>
            <w:vAlign w:val="center"/>
          </w:tcPr>
          <w:p>
            <w:pPr>
              <w:spacing w:line="360" w:lineRule="auto"/>
              <w:jc w:val="center"/>
              <w:rPr>
                <w:rFonts w:hint="eastAsia"/>
                <w:sz w:val="21"/>
                <w:szCs w:val="21"/>
              </w:rPr>
            </w:pPr>
            <w:r>
              <w:rPr>
                <w:rFonts w:hint="eastAsia"/>
                <w:sz w:val="21"/>
                <w:szCs w:val="21"/>
              </w:rPr>
              <w:t>0.8/2.3</w:t>
            </w:r>
          </w:p>
        </w:tc>
        <w:tc>
          <w:tcPr>
            <w:tcW w:w="1509" w:type="dxa"/>
            <w:vAlign w:val="center"/>
          </w:tcPr>
          <w:p>
            <w:pPr>
              <w:spacing w:line="360" w:lineRule="auto"/>
              <w:jc w:val="center"/>
              <w:rPr>
                <w:rFonts w:hint="eastAsia"/>
                <w:sz w:val="21"/>
                <w:szCs w:val="21"/>
              </w:rPr>
            </w:pPr>
            <w:r>
              <w:rPr>
                <w:rFonts w:hint="eastAsia"/>
                <w:sz w:val="21"/>
                <w:szCs w:val="21"/>
              </w:rPr>
              <w:t>0.2/2</w:t>
            </w:r>
          </w:p>
        </w:tc>
        <w:tc>
          <w:tcPr>
            <w:tcW w:w="1669" w:type="dxa"/>
            <w:vAlign w:val="center"/>
          </w:tcPr>
          <w:p>
            <w:pPr>
              <w:spacing w:line="360" w:lineRule="auto"/>
              <w:jc w:val="center"/>
              <w:rPr>
                <w:rFonts w:hint="eastAsia"/>
                <w:sz w:val="21"/>
                <w:szCs w:val="21"/>
              </w:rPr>
            </w:pPr>
            <w:r>
              <w:rPr>
                <w:rFonts w:hint="eastAsia"/>
                <w:sz w:val="21"/>
                <w:szCs w:val="21"/>
              </w:rPr>
              <w:t>1.4/2.46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765" w:type="dxa"/>
            <w:vAlign w:val="center"/>
          </w:tcPr>
          <w:p>
            <w:pPr>
              <w:spacing w:line="360" w:lineRule="auto"/>
              <w:jc w:val="center"/>
              <w:rPr>
                <w:rFonts w:hint="eastAsia"/>
                <w:sz w:val="21"/>
                <w:szCs w:val="21"/>
              </w:rPr>
            </w:pPr>
            <w:r>
              <w:rPr>
                <w:rFonts w:hint="eastAsia"/>
                <w:sz w:val="21"/>
                <w:szCs w:val="21"/>
              </w:rPr>
              <w:t>WNW</w:t>
            </w:r>
          </w:p>
        </w:tc>
        <w:tc>
          <w:tcPr>
            <w:tcW w:w="1360" w:type="dxa"/>
            <w:vAlign w:val="center"/>
          </w:tcPr>
          <w:p>
            <w:pPr>
              <w:spacing w:line="360" w:lineRule="auto"/>
              <w:jc w:val="center"/>
              <w:rPr>
                <w:rFonts w:hint="eastAsia"/>
                <w:sz w:val="21"/>
                <w:szCs w:val="21"/>
              </w:rPr>
            </w:pPr>
            <w:r>
              <w:rPr>
                <w:rFonts w:hint="eastAsia"/>
                <w:sz w:val="21"/>
                <w:szCs w:val="21"/>
              </w:rPr>
              <w:t>0.63/2.3</w:t>
            </w:r>
          </w:p>
        </w:tc>
        <w:tc>
          <w:tcPr>
            <w:tcW w:w="1316" w:type="dxa"/>
            <w:vAlign w:val="center"/>
          </w:tcPr>
          <w:p>
            <w:pPr>
              <w:spacing w:line="360" w:lineRule="auto"/>
              <w:jc w:val="center"/>
              <w:rPr>
                <w:rFonts w:hint="eastAsia"/>
                <w:sz w:val="21"/>
                <w:szCs w:val="21"/>
              </w:rPr>
            </w:pPr>
            <w:r>
              <w:rPr>
                <w:rFonts w:hint="eastAsia"/>
                <w:sz w:val="21"/>
                <w:szCs w:val="21"/>
              </w:rPr>
              <w:t>0.4/2.5</w:t>
            </w:r>
          </w:p>
        </w:tc>
        <w:tc>
          <w:tcPr>
            <w:tcW w:w="1460" w:type="dxa"/>
            <w:vAlign w:val="center"/>
          </w:tcPr>
          <w:p>
            <w:pPr>
              <w:spacing w:line="360" w:lineRule="auto"/>
              <w:jc w:val="center"/>
              <w:rPr>
                <w:rFonts w:hint="eastAsia"/>
                <w:sz w:val="21"/>
                <w:szCs w:val="21"/>
              </w:rPr>
            </w:pPr>
            <w:r>
              <w:rPr>
                <w:rFonts w:hint="eastAsia"/>
                <w:sz w:val="21"/>
                <w:szCs w:val="21"/>
              </w:rPr>
              <w:t>0.2/2</w:t>
            </w:r>
          </w:p>
        </w:tc>
        <w:tc>
          <w:tcPr>
            <w:tcW w:w="1509" w:type="dxa"/>
            <w:vAlign w:val="center"/>
          </w:tcPr>
          <w:p>
            <w:pPr>
              <w:spacing w:line="360" w:lineRule="auto"/>
              <w:jc w:val="center"/>
              <w:rPr>
                <w:rFonts w:hint="eastAsia"/>
                <w:sz w:val="21"/>
                <w:szCs w:val="21"/>
              </w:rPr>
            </w:pPr>
            <w:r>
              <w:rPr>
                <w:rFonts w:hint="eastAsia"/>
                <w:sz w:val="21"/>
                <w:szCs w:val="21"/>
              </w:rPr>
              <w:t>0.2/3</w:t>
            </w:r>
          </w:p>
        </w:tc>
        <w:tc>
          <w:tcPr>
            <w:tcW w:w="1669" w:type="dxa"/>
            <w:vAlign w:val="center"/>
          </w:tcPr>
          <w:p>
            <w:pPr>
              <w:spacing w:line="360" w:lineRule="auto"/>
              <w:jc w:val="center"/>
              <w:rPr>
                <w:rFonts w:hint="eastAsia"/>
                <w:sz w:val="21"/>
                <w:szCs w:val="21"/>
              </w:rPr>
            </w:pPr>
            <w:r>
              <w:rPr>
                <w:rFonts w:hint="eastAsia"/>
                <w:sz w:val="21"/>
                <w:szCs w:val="21"/>
              </w:rPr>
              <w:t>0.4/2.43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765" w:type="dxa"/>
            <w:vAlign w:val="center"/>
          </w:tcPr>
          <w:p>
            <w:pPr>
              <w:spacing w:line="360" w:lineRule="auto"/>
              <w:jc w:val="center"/>
              <w:rPr>
                <w:rFonts w:hint="eastAsia"/>
                <w:sz w:val="21"/>
                <w:szCs w:val="21"/>
              </w:rPr>
            </w:pPr>
            <w:r>
              <w:rPr>
                <w:rFonts w:hint="eastAsia"/>
                <w:sz w:val="21"/>
                <w:szCs w:val="21"/>
              </w:rPr>
              <w:t>NW</w:t>
            </w:r>
          </w:p>
        </w:tc>
        <w:tc>
          <w:tcPr>
            <w:tcW w:w="1360" w:type="dxa"/>
            <w:vAlign w:val="center"/>
          </w:tcPr>
          <w:p>
            <w:pPr>
              <w:spacing w:line="360" w:lineRule="auto"/>
              <w:jc w:val="center"/>
              <w:rPr>
                <w:rFonts w:hint="eastAsia"/>
                <w:sz w:val="21"/>
                <w:szCs w:val="21"/>
              </w:rPr>
            </w:pPr>
            <w:r>
              <w:rPr>
                <w:rFonts w:hint="eastAsia"/>
                <w:sz w:val="21"/>
                <w:szCs w:val="21"/>
              </w:rPr>
              <w:t>1.70/3.1</w:t>
            </w:r>
          </w:p>
        </w:tc>
        <w:tc>
          <w:tcPr>
            <w:tcW w:w="1316" w:type="dxa"/>
            <w:vAlign w:val="center"/>
          </w:tcPr>
          <w:p>
            <w:pPr>
              <w:spacing w:line="360" w:lineRule="auto"/>
              <w:jc w:val="center"/>
              <w:rPr>
                <w:rFonts w:hint="eastAsia"/>
                <w:sz w:val="21"/>
                <w:szCs w:val="21"/>
              </w:rPr>
            </w:pPr>
            <w:r>
              <w:rPr>
                <w:rFonts w:hint="eastAsia"/>
                <w:sz w:val="21"/>
                <w:szCs w:val="21"/>
              </w:rPr>
              <w:t>2.4/2.7</w:t>
            </w:r>
          </w:p>
        </w:tc>
        <w:tc>
          <w:tcPr>
            <w:tcW w:w="1460" w:type="dxa"/>
            <w:vAlign w:val="center"/>
          </w:tcPr>
          <w:p>
            <w:pPr>
              <w:spacing w:line="360" w:lineRule="auto"/>
              <w:jc w:val="center"/>
              <w:rPr>
                <w:rFonts w:hint="eastAsia"/>
                <w:sz w:val="21"/>
                <w:szCs w:val="21"/>
              </w:rPr>
            </w:pPr>
            <w:r>
              <w:rPr>
                <w:rFonts w:hint="eastAsia"/>
                <w:sz w:val="21"/>
                <w:szCs w:val="21"/>
              </w:rPr>
              <w:t>1.4/2.6</w:t>
            </w:r>
          </w:p>
        </w:tc>
        <w:tc>
          <w:tcPr>
            <w:tcW w:w="1509" w:type="dxa"/>
            <w:vAlign w:val="center"/>
          </w:tcPr>
          <w:p>
            <w:pPr>
              <w:spacing w:line="360" w:lineRule="auto"/>
              <w:jc w:val="center"/>
              <w:rPr>
                <w:rFonts w:hint="eastAsia"/>
                <w:sz w:val="21"/>
                <w:szCs w:val="21"/>
              </w:rPr>
            </w:pPr>
            <w:r>
              <w:rPr>
                <w:rFonts w:hint="eastAsia"/>
                <w:sz w:val="21"/>
                <w:szCs w:val="21"/>
              </w:rPr>
              <w:t>0.8/3.8</w:t>
            </w:r>
          </w:p>
        </w:tc>
        <w:tc>
          <w:tcPr>
            <w:tcW w:w="1669" w:type="dxa"/>
            <w:vAlign w:val="center"/>
          </w:tcPr>
          <w:p>
            <w:pPr>
              <w:spacing w:line="360" w:lineRule="auto"/>
              <w:jc w:val="center"/>
              <w:rPr>
                <w:rFonts w:hint="eastAsia"/>
                <w:sz w:val="21"/>
                <w:szCs w:val="21"/>
              </w:rPr>
            </w:pPr>
            <w:r>
              <w:rPr>
                <w:rFonts w:hint="eastAsia"/>
                <w:sz w:val="21"/>
                <w:szCs w:val="21"/>
              </w:rPr>
              <w:t>1.6/2.90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765" w:type="dxa"/>
            <w:vAlign w:val="center"/>
          </w:tcPr>
          <w:p>
            <w:pPr>
              <w:spacing w:line="360" w:lineRule="auto"/>
              <w:jc w:val="center"/>
              <w:rPr>
                <w:rFonts w:hint="eastAsia"/>
                <w:sz w:val="21"/>
                <w:szCs w:val="21"/>
              </w:rPr>
            </w:pPr>
            <w:r>
              <w:rPr>
                <w:rFonts w:hint="eastAsia"/>
                <w:sz w:val="21"/>
                <w:szCs w:val="21"/>
              </w:rPr>
              <w:t>NNW</w:t>
            </w:r>
          </w:p>
        </w:tc>
        <w:tc>
          <w:tcPr>
            <w:tcW w:w="1360" w:type="dxa"/>
            <w:vAlign w:val="center"/>
          </w:tcPr>
          <w:p>
            <w:pPr>
              <w:spacing w:line="360" w:lineRule="auto"/>
              <w:jc w:val="center"/>
              <w:rPr>
                <w:rFonts w:hint="eastAsia"/>
                <w:sz w:val="21"/>
                <w:szCs w:val="21"/>
              </w:rPr>
            </w:pPr>
            <w:r>
              <w:rPr>
                <w:rFonts w:hint="eastAsia"/>
                <w:sz w:val="21"/>
                <w:szCs w:val="21"/>
              </w:rPr>
              <w:t>1.00/2.8</w:t>
            </w:r>
          </w:p>
        </w:tc>
        <w:tc>
          <w:tcPr>
            <w:tcW w:w="1316" w:type="dxa"/>
            <w:vAlign w:val="center"/>
          </w:tcPr>
          <w:p>
            <w:pPr>
              <w:spacing w:line="360" w:lineRule="auto"/>
              <w:jc w:val="center"/>
              <w:rPr>
                <w:rFonts w:hint="eastAsia"/>
                <w:sz w:val="21"/>
                <w:szCs w:val="21"/>
              </w:rPr>
            </w:pPr>
            <w:r>
              <w:rPr>
                <w:rFonts w:hint="eastAsia"/>
                <w:sz w:val="21"/>
                <w:szCs w:val="21"/>
              </w:rPr>
              <w:t>0/0</w:t>
            </w:r>
          </w:p>
        </w:tc>
        <w:tc>
          <w:tcPr>
            <w:tcW w:w="1460" w:type="dxa"/>
            <w:vAlign w:val="center"/>
          </w:tcPr>
          <w:p>
            <w:pPr>
              <w:spacing w:line="360" w:lineRule="auto"/>
              <w:jc w:val="center"/>
              <w:rPr>
                <w:rFonts w:hint="eastAsia"/>
                <w:sz w:val="21"/>
                <w:szCs w:val="21"/>
              </w:rPr>
            </w:pPr>
            <w:r>
              <w:rPr>
                <w:rFonts w:hint="eastAsia"/>
                <w:sz w:val="21"/>
                <w:szCs w:val="21"/>
              </w:rPr>
              <w:t>1.2/4</w:t>
            </w:r>
          </w:p>
        </w:tc>
        <w:tc>
          <w:tcPr>
            <w:tcW w:w="1509" w:type="dxa"/>
            <w:vAlign w:val="center"/>
          </w:tcPr>
          <w:p>
            <w:pPr>
              <w:spacing w:line="360" w:lineRule="auto"/>
              <w:jc w:val="center"/>
              <w:rPr>
                <w:rFonts w:hint="eastAsia"/>
                <w:sz w:val="21"/>
                <w:szCs w:val="21"/>
              </w:rPr>
            </w:pPr>
            <w:r>
              <w:rPr>
                <w:rFonts w:hint="eastAsia"/>
                <w:sz w:val="21"/>
                <w:szCs w:val="21"/>
              </w:rPr>
              <w:t>0.6/3</w:t>
            </w:r>
          </w:p>
        </w:tc>
        <w:tc>
          <w:tcPr>
            <w:tcW w:w="1669" w:type="dxa"/>
            <w:vAlign w:val="center"/>
          </w:tcPr>
          <w:p>
            <w:pPr>
              <w:spacing w:line="360" w:lineRule="auto"/>
              <w:jc w:val="center"/>
              <w:rPr>
                <w:rFonts w:hint="eastAsia"/>
                <w:sz w:val="21"/>
                <w:szCs w:val="21"/>
              </w:rPr>
            </w:pPr>
            <w:r>
              <w:rPr>
                <w:rFonts w:hint="eastAsia"/>
                <w:sz w:val="21"/>
                <w:szCs w:val="21"/>
              </w:rPr>
              <w:t>0.5/3.0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765" w:type="dxa"/>
            <w:vAlign w:val="center"/>
          </w:tcPr>
          <w:p>
            <w:pPr>
              <w:spacing w:line="360" w:lineRule="auto"/>
              <w:jc w:val="center"/>
              <w:rPr>
                <w:rFonts w:hint="eastAsia"/>
                <w:sz w:val="21"/>
                <w:szCs w:val="21"/>
              </w:rPr>
            </w:pPr>
            <w:r>
              <w:rPr>
                <w:rFonts w:hint="eastAsia"/>
                <w:sz w:val="21"/>
                <w:szCs w:val="21"/>
              </w:rPr>
              <w:t>C</w:t>
            </w:r>
          </w:p>
        </w:tc>
        <w:tc>
          <w:tcPr>
            <w:tcW w:w="1360" w:type="dxa"/>
            <w:vAlign w:val="center"/>
          </w:tcPr>
          <w:p>
            <w:pPr>
              <w:spacing w:line="360" w:lineRule="auto"/>
              <w:jc w:val="center"/>
              <w:rPr>
                <w:rFonts w:hint="eastAsia"/>
                <w:sz w:val="21"/>
                <w:szCs w:val="21"/>
              </w:rPr>
            </w:pPr>
            <w:r>
              <w:rPr>
                <w:rFonts w:hint="eastAsia"/>
                <w:sz w:val="21"/>
                <w:szCs w:val="21"/>
              </w:rPr>
              <w:t>59.80/0</w:t>
            </w:r>
          </w:p>
        </w:tc>
        <w:tc>
          <w:tcPr>
            <w:tcW w:w="1316" w:type="dxa"/>
            <w:vAlign w:val="center"/>
          </w:tcPr>
          <w:p>
            <w:pPr>
              <w:spacing w:line="360" w:lineRule="auto"/>
              <w:jc w:val="center"/>
              <w:rPr>
                <w:rFonts w:hint="eastAsia"/>
                <w:sz w:val="21"/>
                <w:szCs w:val="21"/>
              </w:rPr>
            </w:pPr>
            <w:r>
              <w:rPr>
                <w:rFonts w:hint="eastAsia"/>
                <w:sz w:val="21"/>
                <w:szCs w:val="21"/>
              </w:rPr>
              <w:t>57.5/0</w:t>
            </w:r>
          </w:p>
        </w:tc>
        <w:tc>
          <w:tcPr>
            <w:tcW w:w="1460" w:type="dxa"/>
            <w:vAlign w:val="center"/>
          </w:tcPr>
          <w:p>
            <w:pPr>
              <w:spacing w:line="360" w:lineRule="auto"/>
              <w:jc w:val="center"/>
              <w:rPr>
                <w:rFonts w:hint="eastAsia"/>
                <w:sz w:val="21"/>
                <w:szCs w:val="21"/>
              </w:rPr>
            </w:pPr>
            <w:r>
              <w:rPr>
                <w:rFonts w:hint="eastAsia"/>
                <w:sz w:val="21"/>
                <w:szCs w:val="21"/>
              </w:rPr>
              <w:t>77.6/0</w:t>
            </w:r>
          </w:p>
        </w:tc>
        <w:tc>
          <w:tcPr>
            <w:tcW w:w="1509" w:type="dxa"/>
            <w:vAlign w:val="center"/>
          </w:tcPr>
          <w:p>
            <w:pPr>
              <w:spacing w:line="360" w:lineRule="auto"/>
              <w:jc w:val="center"/>
              <w:rPr>
                <w:rFonts w:hint="eastAsia"/>
                <w:sz w:val="21"/>
                <w:szCs w:val="21"/>
              </w:rPr>
            </w:pPr>
            <w:r>
              <w:rPr>
                <w:rFonts w:hint="eastAsia"/>
                <w:sz w:val="21"/>
                <w:szCs w:val="21"/>
              </w:rPr>
              <w:t>70.2/0</w:t>
            </w:r>
          </w:p>
        </w:tc>
        <w:tc>
          <w:tcPr>
            <w:tcW w:w="1669" w:type="dxa"/>
            <w:vAlign w:val="center"/>
          </w:tcPr>
          <w:p>
            <w:pPr>
              <w:spacing w:line="360" w:lineRule="auto"/>
              <w:jc w:val="center"/>
              <w:rPr>
                <w:rFonts w:hint="eastAsia"/>
                <w:sz w:val="21"/>
                <w:szCs w:val="21"/>
              </w:rPr>
            </w:pPr>
            <w:r>
              <w:rPr>
                <w:rFonts w:hint="eastAsia"/>
                <w:sz w:val="21"/>
                <w:szCs w:val="21"/>
              </w:rPr>
              <w:t>66.3/0</w:t>
            </w:r>
          </w:p>
        </w:tc>
      </w:tr>
    </w:tbl>
    <w:p>
      <w:pPr>
        <w:adjustRightInd w:val="0"/>
        <w:snapToGrid w:val="0"/>
        <w:spacing w:line="360" w:lineRule="auto"/>
        <w:ind w:firstLine="562" w:firstLineChars="200"/>
        <w:rPr>
          <w:rFonts w:hint="eastAsia"/>
          <w:b/>
          <w:sz w:val="28"/>
          <w:szCs w:val="28"/>
        </w:rPr>
      </w:pPr>
    </w:p>
    <w:p>
      <w:pPr>
        <w:spacing w:line="360" w:lineRule="auto"/>
        <w:rPr>
          <w:b/>
        </w:rPr>
      </w:pPr>
      <w:r>
        <w:rPr>
          <w:rFonts w:hint="eastAsia"/>
          <w:b/>
        </w:rPr>
        <w:t>8</w:t>
      </w:r>
      <w:r>
        <w:rPr>
          <w:b/>
        </w:rPr>
        <w:t>.1.2营运期大气环境影响预测与评价</w:t>
      </w:r>
    </w:p>
    <w:p>
      <w:pPr>
        <w:adjustRightInd w:val="0"/>
        <w:snapToGrid w:val="0"/>
        <w:spacing w:line="360" w:lineRule="auto"/>
        <w:ind w:firstLine="315" w:firstLineChars="150"/>
      </w:pPr>
      <w:r>
        <w:t>（1）污染源计算清单</w:t>
      </w:r>
    </w:p>
    <w:p>
      <w:pPr>
        <w:adjustRightInd w:val="0"/>
        <w:snapToGrid w:val="0"/>
        <w:spacing w:line="360" w:lineRule="auto"/>
        <w:ind w:firstLine="480"/>
      </w:pPr>
      <w:r>
        <w:t>对技改项目点源进行调查核算，结果见表</w:t>
      </w:r>
      <w:r>
        <w:rPr>
          <w:rFonts w:hint="eastAsia"/>
        </w:rPr>
        <w:t>8</w:t>
      </w:r>
      <w:r>
        <w:t>-</w:t>
      </w:r>
      <w:r>
        <w:rPr>
          <w:rFonts w:hint="eastAsia"/>
        </w:rPr>
        <w:t>4</w:t>
      </w:r>
      <w:r>
        <w:t>。</w:t>
      </w:r>
    </w:p>
    <w:p>
      <w:pPr>
        <w:adjustRightInd w:val="0"/>
        <w:snapToGrid w:val="0"/>
        <w:spacing w:line="360" w:lineRule="auto"/>
        <w:ind w:firstLine="420" w:firstLineChars="200"/>
      </w:pPr>
      <w:r>
        <w:t>（2）计算点的确定</w:t>
      </w:r>
    </w:p>
    <w:p>
      <w:pPr>
        <w:adjustRightInd w:val="0"/>
        <w:snapToGrid w:val="0"/>
        <w:spacing w:line="360" w:lineRule="auto"/>
        <w:ind w:firstLine="480"/>
      </w:pPr>
      <w:r>
        <w:rPr>
          <w:rFonts w:hint="eastAsia" w:ascii="宋体" w:hAnsi="宋体" w:cs="宋体"/>
        </w:rPr>
        <w:t>◆</w:t>
      </w:r>
      <w:r>
        <w:t>环境保护目标点</w:t>
      </w:r>
    </w:p>
    <w:p>
      <w:pPr>
        <w:adjustRightInd w:val="0"/>
        <w:snapToGrid w:val="0"/>
        <w:spacing w:line="360" w:lineRule="auto"/>
        <w:ind w:firstLine="480"/>
      </w:pPr>
      <w:r>
        <w:t>根据现状调查，确定的环境影响预测点坐标见表</w:t>
      </w:r>
      <w:r>
        <w:rPr>
          <w:rFonts w:hint="eastAsia"/>
        </w:rPr>
        <w:t>8</w:t>
      </w:r>
      <w:r>
        <w:t>-</w:t>
      </w:r>
      <w:r>
        <w:rPr>
          <w:rFonts w:hint="eastAsia"/>
        </w:rPr>
        <w:t>5</w:t>
      </w:r>
      <w:r>
        <w:t>。</w:t>
      </w:r>
    </w:p>
    <w:p>
      <w:pPr>
        <w:adjustRightInd w:val="0"/>
        <w:snapToGrid w:val="0"/>
        <w:spacing w:line="360" w:lineRule="auto"/>
        <w:ind w:firstLine="480"/>
      </w:pPr>
      <w:r>
        <w:rPr>
          <w:rFonts w:hint="eastAsia" w:ascii="宋体" w:hAnsi="宋体" w:cs="宋体"/>
        </w:rPr>
        <w:t>◆</w:t>
      </w:r>
      <w:r>
        <w:t>计算网格点</w:t>
      </w:r>
    </w:p>
    <w:p>
      <w:pPr>
        <w:adjustRightInd w:val="0"/>
        <w:snapToGrid w:val="0"/>
        <w:spacing w:line="360" w:lineRule="auto"/>
        <w:ind w:firstLine="480"/>
      </w:pPr>
      <w:r>
        <w:t>采用直角从标网格，</w:t>
      </w:r>
      <w:r>
        <w:rPr>
          <w:rFonts w:hint="eastAsia"/>
        </w:rPr>
        <w:t>考虑到评价范围较大，</w:t>
      </w:r>
      <w:r>
        <w:t>根据导则要求，预测网格点采用</w:t>
      </w:r>
      <w:r>
        <w:rPr>
          <w:rFonts w:hint="eastAsia"/>
        </w:rPr>
        <w:t>网格等间距法</w:t>
      </w:r>
      <w:r>
        <w:t>布置，</w:t>
      </w:r>
      <w:r>
        <w:rPr>
          <w:rFonts w:hint="eastAsia"/>
        </w:rPr>
        <w:t>距离源中心≤1000m，网格间距为50m；距离源中心＞1000m，</w:t>
      </w:r>
      <w:r>
        <w:t>网格间距</w:t>
      </w:r>
      <w:r>
        <w:rPr>
          <w:rFonts w:hint="eastAsia"/>
        </w:rPr>
        <w:t>X轴</w:t>
      </w:r>
      <w:r>
        <w:t>为1</w:t>
      </w:r>
      <w:r>
        <w:rPr>
          <w:rFonts w:hint="eastAsia"/>
        </w:rPr>
        <w:t>4</w:t>
      </w:r>
      <w:r>
        <w:t>0m，</w:t>
      </w:r>
      <w:r>
        <w:rPr>
          <w:rFonts w:hint="eastAsia"/>
        </w:rPr>
        <w:t>Y轴为170m</w:t>
      </w:r>
      <w:r>
        <w:t>。计算网格见图</w:t>
      </w:r>
      <w:r>
        <w:rPr>
          <w:rFonts w:hint="eastAsia"/>
        </w:rPr>
        <w:t>8</w:t>
      </w:r>
      <w:r>
        <w:t>.</w:t>
      </w:r>
      <w:r>
        <w:rPr>
          <w:rFonts w:hint="eastAsia"/>
        </w:rPr>
        <w:t>4</w:t>
      </w:r>
      <w:r>
        <w:t>。</w:t>
      </w:r>
    </w:p>
    <w:p>
      <w:pPr>
        <w:adjustRightInd w:val="0"/>
        <w:snapToGrid w:val="0"/>
        <w:spacing w:line="360" w:lineRule="auto"/>
        <w:ind w:firstLine="420" w:firstLineChars="200"/>
      </w:pPr>
      <w:r>
        <w:t>（3）气象条件</w:t>
      </w:r>
    </w:p>
    <w:p>
      <w:pPr>
        <w:adjustRightInd w:val="0"/>
        <w:snapToGrid w:val="0"/>
        <w:spacing w:line="360" w:lineRule="auto"/>
        <w:ind w:firstLine="420" w:firstLineChars="200"/>
        <w:rPr>
          <w:rFonts w:hint="eastAsia"/>
          <w:b/>
          <w:sz w:val="28"/>
          <w:szCs w:val="28"/>
        </w:rPr>
        <w:sectPr>
          <w:pgSz w:w="11906" w:h="16838"/>
          <w:pgMar w:top="1440" w:right="1418" w:bottom="1440" w:left="1418" w:header="851" w:footer="992" w:gutter="0"/>
          <w:paperSrc w:first="20070" w:other="20070"/>
          <w:cols w:space="425" w:num="1"/>
          <w:docGrid w:linePitch="312" w:charSpace="0"/>
        </w:sectPr>
      </w:pPr>
      <w:r>
        <w:t>利用沙坪坝区气象站200</w:t>
      </w:r>
      <w:r>
        <w:rPr>
          <w:rFonts w:hint="eastAsia"/>
        </w:rPr>
        <w:t>7</w:t>
      </w:r>
      <w:r>
        <w:t>年</w:t>
      </w:r>
      <w:r>
        <w:rPr>
          <w:rFonts w:hint="eastAsia"/>
        </w:rPr>
        <w:t>全年</w:t>
      </w:r>
      <w:r>
        <w:t>的逐日逐时风向、风速统计出的风玫瑰图见图</w:t>
      </w:r>
      <w:r>
        <w:rPr>
          <w:rFonts w:hint="eastAsia"/>
        </w:rPr>
        <w:t>8</w:t>
      </w:r>
      <w:r>
        <w:t>.</w:t>
      </w:r>
      <w:r>
        <w:rPr>
          <w:rFonts w:hint="eastAsia"/>
        </w:rPr>
        <w:t>5</w:t>
      </w:r>
      <w:r>
        <w:t>。</w:t>
      </w:r>
    </w:p>
    <w:p>
      <w:pPr>
        <w:adjustRightInd w:val="0"/>
        <w:snapToGrid w:val="0"/>
        <w:spacing w:line="348" w:lineRule="auto"/>
        <w:jc w:val="center"/>
        <w:rPr>
          <w:rFonts w:hint="eastAsia"/>
          <w:b/>
          <w:sz w:val="28"/>
          <w:szCs w:val="28"/>
        </w:rPr>
      </w:pPr>
      <w:r>
        <w:rPr>
          <w:rFonts w:hint="eastAsia"/>
          <w:b/>
          <w:sz w:val="28"/>
          <w:szCs w:val="28"/>
        </w:rPr>
        <w:drawing>
          <wp:anchor distT="0" distB="0" distL="114300" distR="114300" simplePos="0" relativeHeight="251859968" behindDoc="0" locked="0" layoutInCell="1" allowOverlap="1">
            <wp:simplePos x="0" y="0"/>
            <wp:positionH relativeFrom="column">
              <wp:posOffset>100330</wp:posOffset>
            </wp:positionH>
            <wp:positionV relativeFrom="paragraph">
              <wp:posOffset>-283210</wp:posOffset>
            </wp:positionV>
            <wp:extent cx="8467725" cy="5447030"/>
            <wp:effectExtent l="0" t="0" r="9525" b="1270"/>
            <wp:wrapNone/>
            <wp:docPr id="376" name="图片 361" descr="风向玫瑰图（白市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61" descr="风向玫瑰图（白市驿）"/>
                    <pic:cNvPicPr>
                      <a:picLocks noChangeAspect="1"/>
                    </pic:cNvPicPr>
                  </pic:nvPicPr>
                  <pic:blipFill>
                    <a:blip r:embed="rId45"/>
                    <a:stretch>
                      <a:fillRect/>
                    </a:stretch>
                  </pic:blipFill>
                  <pic:spPr>
                    <a:xfrm>
                      <a:off x="0" y="0"/>
                      <a:ext cx="8467725" cy="5447030"/>
                    </a:xfrm>
                    <a:prstGeom prst="rect">
                      <a:avLst/>
                    </a:prstGeom>
                    <a:noFill/>
                    <a:ln>
                      <a:noFill/>
                    </a:ln>
                  </pic:spPr>
                </pic:pic>
              </a:graphicData>
            </a:graphic>
          </wp:anchor>
        </w:drawing>
      </w:r>
    </w:p>
    <w:p>
      <w:pPr>
        <w:adjustRightInd w:val="0"/>
        <w:snapToGrid w:val="0"/>
        <w:spacing w:line="348" w:lineRule="auto"/>
        <w:jc w:val="center"/>
        <w:rPr>
          <w:rFonts w:hint="eastAsia"/>
          <w:b/>
          <w:sz w:val="28"/>
          <w:szCs w:val="28"/>
        </w:rPr>
      </w:pPr>
    </w:p>
    <w:p>
      <w:pPr>
        <w:adjustRightInd w:val="0"/>
        <w:snapToGrid w:val="0"/>
        <w:spacing w:line="348" w:lineRule="auto"/>
        <w:jc w:val="center"/>
        <w:rPr>
          <w:rFonts w:hint="eastAsia"/>
          <w:b/>
          <w:sz w:val="28"/>
          <w:szCs w:val="28"/>
        </w:rPr>
      </w:pPr>
    </w:p>
    <w:p>
      <w:pPr>
        <w:adjustRightInd w:val="0"/>
        <w:snapToGrid w:val="0"/>
        <w:spacing w:line="348" w:lineRule="auto"/>
        <w:jc w:val="center"/>
        <w:rPr>
          <w:rFonts w:hint="eastAsia"/>
          <w:b/>
          <w:sz w:val="28"/>
          <w:szCs w:val="28"/>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pPr>
      <w:r>
        <w:rPr>
          <w:b/>
          <w:snapToGrid w:val="0"/>
          <w:kern w:val="0"/>
        </w:rPr>
        <w:t>图</w:t>
      </w:r>
      <w:r>
        <w:rPr>
          <w:rFonts w:hint="eastAsia"/>
          <w:b/>
          <w:snapToGrid w:val="0"/>
          <w:kern w:val="0"/>
        </w:rPr>
        <w:t>8</w:t>
      </w:r>
      <w:r>
        <w:rPr>
          <w:b/>
          <w:snapToGrid w:val="0"/>
          <w:kern w:val="0"/>
        </w:rPr>
        <w:t>.</w:t>
      </w:r>
      <w:r>
        <w:rPr>
          <w:rFonts w:hint="eastAsia"/>
          <w:b/>
          <w:snapToGrid w:val="0"/>
          <w:kern w:val="0"/>
        </w:rPr>
        <w:t>3</w:t>
      </w:r>
      <w:r>
        <w:rPr>
          <w:b/>
          <w:snapToGrid w:val="0"/>
          <w:kern w:val="0"/>
        </w:rPr>
        <w:t xml:space="preserve">  沙坪坝区</w:t>
      </w:r>
      <w:r>
        <w:rPr>
          <w:rFonts w:hint="eastAsia"/>
          <w:b/>
          <w:snapToGrid w:val="0"/>
          <w:kern w:val="0"/>
        </w:rPr>
        <w:t>白市驿</w:t>
      </w:r>
      <w:r>
        <w:rPr>
          <w:b/>
          <w:snapToGrid w:val="0"/>
          <w:kern w:val="0"/>
        </w:rPr>
        <w:t>各季及全年风频玫瑰图</w:t>
      </w:r>
    </w:p>
    <w:p>
      <w:pPr>
        <w:pStyle w:val="27"/>
        <w:rPr>
          <w:rFonts w:eastAsia="宋体"/>
          <w:b/>
          <w:sz w:val="24"/>
          <w:szCs w:val="24"/>
        </w:rPr>
      </w:pPr>
      <w:r>
        <w:rPr>
          <w:rFonts w:eastAsia="宋体"/>
          <w:b/>
          <w:sz w:val="24"/>
          <w:szCs w:val="24"/>
        </w:rPr>
        <w:t>表</w:t>
      </w:r>
      <w:r>
        <w:rPr>
          <w:rFonts w:hint="eastAsia" w:eastAsia="宋体"/>
          <w:b/>
          <w:sz w:val="24"/>
          <w:szCs w:val="24"/>
        </w:rPr>
        <w:t>8</w:t>
      </w:r>
      <w:r>
        <w:rPr>
          <w:rFonts w:eastAsia="宋体"/>
          <w:b/>
          <w:sz w:val="24"/>
          <w:szCs w:val="24"/>
        </w:rPr>
        <w:t>-</w:t>
      </w:r>
      <w:r>
        <w:rPr>
          <w:rFonts w:hint="eastAsia" w:eastAsia="宋体"/>
          <w:b/>
          <w:sz w:val="24"/>
          <w:szCs w:val="24"/>
        </w:rPr>
        <w:t>4</w:t>
      </w:r>
      <w:r>
        <w:rPr>
          <w:rFonts w:eastAsia="宋体"/>
          <w:b/>
          <w:sz w:val="24"/>
          <w:szCs w:val="24"/>
        </w:rPr>
        <w:t xml:space="preserve">  正常条件下有组织排放的废气源强参数</w:t>
      </w:r>
    </w:p>
    <w:tbl>
      <w:tblPr>
        <w:tblStyle w:val="21"/>
        <w:tblW w:w="13690" w:type="dxa"/>
        <w:jc w:val="center"/>
        <w:tblInd w:w="-8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2076"/>
        <w:gridCol w:w="900"/>
        <w:gridCol w:w="1080"/>
        <w:gridCol w:w="1440"/>
        <w:gridCol w:w="900"/>
        <w:gridCol w:w="900"/>
        <w:gridCol w:w="1080"/>
        <w:gridCol w:w="1080"/>
        <w:gridCol w:w="1080"/>
        <w:gridCol w:w="710"/>
        <w:gridCol w:w="720"/>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5" w:hRule="atLeast"/>
          <w:jc w:val="center"/>
        </w:trPr>
        <w:tc>
          <w:tcPr>
            <w:tcW w:w="814" w:type="dxa"/>
            <w:vAlign w:val="center"/>
          </w:tcPr>
          <w:p>
            <w:pPr>
              <w:snapToGrid w:val="0"/>
              <w:spacing w:line="360" w:lineRule="exact"/>
              <w:jc w:val="center"/>
              <w:rPr>
                <w:snapToGrid w:val="0"/>
                <w:kern w:val="0"/>
                <w:sz w:val="21"/>
                <w:szCs w:val="21"/>
              </w:rPr>
            </w:pPr>
            <w:r>
              <w:rPr>
                <w:snapToGrid w:val="0"/>
                <w:kern w:val="0"/>
                <w:sz w:val="21"/>
                <w:szCs w:val="21"/>
              </w:rPr>
              <w:t>序号</w:t>
            </w:r>
          </w:p>
        </w:tc>
        <w:tc>
          <w:tcPr>
            <w:tcW w:w="2076"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污染源名称</w:t>
            </w:r>
          </w:p>
        </w:tc>
        <w:tc>
          <w:tcPr>
            <w:tcW w:w="90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X坐标m</w:t>
            </w:r>
          </w:p>
        </w:tc>
        <w:tc>
          <w:tcPr>
            <w:tcW w:w="108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Y坐标</w:t>
            </w:r>
          </w:p>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m</w:t>
            </w:r>
          </w:p>
        </w:tc>
        <w:tc>
          <w:tcPr>
            <w:tcW w:w="144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排气筒底部</w:t>
            </w:r>
          </w:p>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海拔高度m</w:t>
            </w:r>
          </w:p>
        </w:tc>
        <w:tc>
          <w:tcPr>
            <w:tcW w:w="90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排气筒</w:t>
            </w:r>
          </w:p>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高度m</w:t>
            </w:r>
          </w:p>
        </w:tc>
        <w:tc>
          <w:tcPr>
            <w:tcW w:w="90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排气筒</w:t>
            </w:r>
          </w:p>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内径m</w:t>
            </w:r>
          </w:p>
        </w:tc>
        <w:tc>
          <w:tcPr>
            <w:tcW w:w="108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烟气出口</w:t>
            </w:r>
          </w:p>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速度m/s</w:t>
            </w:r>
          </w:p>
        </w:tc>
        <w:tc>
          <w:tcPr>
            <w:tcW w:w="108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烟气出口</w:t>
            </w:r>
          </w:p>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温度</w:t>
            </w:r>
            <w:r>
              <w:rPr>
                <w:rFonts w:ascii="Times New Roman" w:hAnsi="宋体"/>
                <w:sz w:val="21"/>
                <w:szCs w:val="21"/>
              </w:rPr>
              <w:t>℃</w:t>
            </w:r>
          </w:p>
        </w:tc>
        <w:tc>
          <w:tcPr>
            <w:tcW w:w="108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年排放</w:t>
            </w:r>
          </w:p>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小时数h</w:t>
            </w:r>
          </w:p>
        </w:tc>
        <w:tc>
          <w:tcPr>
            <w:tcW w:w="71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排放</w:t>
            </w:r>
          </w:p>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因子</w:t>
            </w:r>
          </w:p>
        </w:tc>
        <w:tc>
          <w:tcPr>
            <w:tcW w:w="1630" w:type="dxa"/>
            <w:gridSpan w:val="2"/>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源强g/s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2" w:hRule="atLeast"/>
          <w:jc w:val="center"/>
        </w:trPr>
        <w:tc>
          <w:tcPr>
            <w:tcW w:w="814" w:type="dxa"/>
            <w:vAlign w:val="center"/>
          </w:tcPr>
          <w:p>
            <w:pPr>
              <w:jc w:val="center"/>
              <w:rPr>
                <w:sz w:val="21"/>
                <w:szCs w:val="21"/>
              </w:rPr>
            </w:pPr>
            <w:r>
              <w:rPr>
                <w:sz w:val="21"/>
                <w:szCs w:val="21"/>
              </w:rPr>
              <w:t>1</w:t>
            </w:r>
          </w:p>
        </w:tc>
        <w:tc>
          <w:tcPr>
            <w:tcW w:w="2076" w:type="dxa"/>
            <w:vAlign w:val="center"/>
          </w:tcPr>
          <w:p>
            <w:pPr>
              <w:jc w:val="center"/>
              <w:rPr>
                <w:sz w:val="21"/>
                <w:szCs w:val="21"/>
              </w:rPr>
            </w:pPr>
            <w:r>
              <w:rPr>
                <w:sz w:val="21"/>
                <w:szCs w:val="21"/>
              </w:rPr>
              <w:t>石灰石破碎</w:t>
            </w:r>
          </w:p>
        </w:tc>
        <w:tc>
          <w:tcPr>
            <w:tcW w:w="900" w:type="dxa"/>
            <w:vAlign w:val="center"/>
          </w:tcPr>
          <w:p>
            <w:pPr>
              <w:jc w:val="center"/>
              <w:rPr>
                <w:sz w:val="21"/>
                <w:szCs w:val="21"/>
              </w:rPr>
            </w:pPr>
            <w:r>
              <w:rPr>
                <w:sz w:val="21"/>
                <w:szCs w:val="21"/>
              </w:rPr>
              <w:t>624069</w:t>
            </w:r>
          </w:p>
        </w:tc>
        <w:tc>
          <w:tcPr>
            <w:tcW w:w="1080" w:type="dxa"/>
            <w:vAlign w:val="center"/>
          </w:tcPr>
          <w:p>
            <w:pPr>
              <w:jc w:val="center"/>
              <w:rPr>
                <w:sz w:val="21"/>
                <w:szCs w:val="21"/>
              </w:rPr>
            </w:pPr>
            <w:r>
              <w:rPr>
                <w:sz w:val="21"/>
                <w:szCs w:val="21"/>
              </w:rPr>
              <w:t>3283035</w:t>
            </w:r>
          </w:p>
        </w:tc>
        <w:tc>
          <w:tcPr>
            <w:tcW w:w="1440" w:type="dxa"/>
            <w:vAlign w:val="center"/>
          </w:tcPr>
          <w:p>
            <w:pPr>
              <w:pStyle w:val="26"/>
              <w:spacing w:line="240" w:lineRule="exact"/>
              <w:jc w:val="center"/>
              <w:rPr>
                <w:sz w:val="21"/>
                <w:szCs w:val="21"/>
              </w:rPr>
            </w:pPr>
            <w:r>
              <w:rPr>
                <w:sz w:val="21"/>
                <w:szCs w:val="21"/>
              </w:rPr>
              <w:t>339</w:t>
            </w:r>
          </w:p>
        </w:tc>
        <w:tc>
          <w:tcPr>
            <w:tcW w:w="900" w:type="dxa"/>
            <w:vAlign w:val="center"/>
          </w:tcPr>
          <w:p>
            <w:pPr>
              <w:pStyle w:val="26"/>
              <w:spacing w:line="240" w:lineRule="exact"/>
              <w:jc w:val="center"/>
              <w:rPr>
                <w:sz w:val="21"/>
                <w:szCs w:val="21"/>
              </w:rPr>
            </w:pPr>
            <w:r>
              <w:rPr>
                <w:sz w:val="21"/>
                <w:szCs w:val="21"/>
              </w:rPr>
              <w:t>35</w:t>
            </w:r>
          </w:p>
        </w:tc>
        <w:tc>
          <w:tcPr>
            <w:tcW w:w="900" w:type="dxa"/>
            <w:vAlign w:val="center"/>
          </w:tcPr>
          <w:p>
            <w:pPr>
              <w:pStyle w:val="26"/>
              <w:spacing w:line="240" w:lineRule="exact"/>
              <w:jc w:val="center"/>
              <w:rPr>
                <w:sz w:val="21"/>
                <w:szCs w:val="21"/>
              </w:rPr>
            </w:pPr>
            <w:r>
              <w:rPr>
                <w:sz w:val="21"/>
                <w:szCs w:val="21"/>
              </w:rPr>
              <w:t>0.85</w:t>
            </w:r>
          </w:p>
        </w:tc>
        <w:tc>
          <w:tcPr>
            <w:tcW w:w="1080" w:type="dxa"/>
            <w:vAlign w:val="center"/>
          </w:tcPr>
          <w:p>
            <w:pPr>
              <w:pStyle w:val="26"/>
              <w:spacing w:line="240" w:lineRule="exact"/>
              <w:jc w:val="center"/>
              <w:rPr>
                <w:sz w:val="21"/>
                <w:szCs w:val="21"/>
              </w:rPr>
            </w:pPr>
            <w:r>
              <w:rPr>
                <w:sz w:val="21"/>
                <w:szCs w:val="21"/>
              </w:rPr>
              <w:t>10.285</w:t>
            </w:r>
          </w:p>
        </w:tc>
        <w:tc>
          <w:tcPr>
            <w:tcW w:w="1080" w:type="dxa"/>
            <w:vAlign w:val="center"/>
          </w:tcPr>
          <w:p>
            <w:pPr>
              <w:pStyle w:val="26"/>
              <w:spacing w:line="240" w:lineRule="exact"/>
              <w:jc w:val="center"/>
              <w:rPr>
                <w:sz w:val="21"/>
                <w:szCs w:val="21"/>
              </w:rPr>
            </w:pPr>
            <w:r>
              <w:rPr>
                <w:sz w:val="21"/>
                <w:szCs w:val="21"/>
              </w:rPr>
              <w:t>20</w:t>
            </w:r>
          </w:p>
        </w:tc>
        <w:tc>
          <w:tcPr>
            <w:tcW w:w="1080" w:type="dxa"/>
            <w:vAlign w:val="center"/>
          </w:tcPr>
          <w:p>
            <w:pPr>
              <w:pStyle w:val="26"/>
              <w:spacing w:line="240" w:lineRule="exact"/>
              <w:jc w:val="center"/>
              <w:rPr>
                <w:sz w:val="21"/>
                <w:szCs w:val="21"/>
              </w:rPr>
            </w:pPr>
            <w:r>
              <w:rPr>
                <w:sz w:val="21"/>
                <w:szCs w:val="21"/>
              </w:rPr>
              <w:t>2188</w:t>
            </w:r>
          </w:p>
        </w:tc>
        <w:tc>
          <w:tcPr>
            <w:tcW w:w="710" w:type="dxa"/>
            <w:vAlign w:val="center"/>
          </w:tcPr>
          <w:p>
            <w:pPr>
              <w:pStyle w:val="26"/>
              <w:spacing w:line="240" w:lineRule="exact"/>
              <w:jc w:val="center"/>
              <w:rPr>
                <w:sz w:val="21"/>
                <w:szCs w:val="21"/>
              </w:rPr>
            </w:pPr>
            <w:r>
              <w:rPr>
                <w:sz w:val="21"/>
                <w:szCs w:val="21"/>
              </w:rPr>
              <w:t>粉尘</w:t>
            </w:r>
          </w:p>
        </w:tc>
        <w:tc>
          <w:tcPr>
            <w:tcW w:w="1630" w:type="dxa"/>
            <w:gridSpan w:val="2"/>
            <w:vAlign w:val="center"/>
          </w:tcPr>
          <w:p>
            <w:pPr>
              <w:pStyle w:val="26"/>
              <w:spacing w:line="240" w:lineRule="exact"/>
              <w:jc w:val="center"/>
              <w:rPr>
                <w:sz w:val="21"/>
                <w:szCs w:val="21"/>
              </w:rPr>
            </w:pPr>
            <w:r>
              <w:rPr>
                <w:sz w:val="21"/>
                <w:szCs w:val="21"/>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3" w:hRule="atLeast"/>
          <w:jc w:val="center"/>
        </w:trPr>
        <w:tc>
          <w:tcPr>
            <w:tcW w:w="814" w:type="dxa"/>
            <w:vAlign w:val="center"/>
          </w:tcPr>
          <w:p>
            <w:pPr>
              <w:jc w:val="center"/>
              <w:rPr>
                <w:sz w:val="21"/>
                <w:szCs w:val="21"/>
              </w:rPr>
            </w:pPr>
            <w:r>
              <w:rPr>
                <w:sz w:val="21"/>
                <w:szCs w:val="21"/>
              </w:rPr>
              <w:t>2</w:t>
            </w:r>
          </w:p>
        </w:tc>
        <w:tc>
          <w:tcPr>
            <w:tcW w:w="2076" w:type="dxa"/>
            <w:vAlign w:val="center"/>
          </w:tcPr>
          <w:p>
            <w:pPr>
              <w:jc w:val="center"/>
              <w:rPr>
                <w:sz w:val="21"/>
                <w:szCs w:val="21"/>
              </w:rPr>
            </w:pPr>
            <w:r>
              <w:rPr>
                <w:sz w:val="21"/>
                <w:szCs w:val="21"/>
              </w:rPr>
              <w:t>石灰石均化</w:t>
            </w:r>
          </w:p>
        </w:tc>
        <w:tc>
          <w:tcPr>
            <w:tcW w:w="900" w:type="dxa"/>
            <w:vAlign w:val="center"/>
          </w:tcPr>
          <w:p>
            <w:pPr>
              <w:jc w:val="center"/>
              <w:rPr>
                <w:rFonts w:hint="eastAsia"/>
                <w:sz w:val="21"/>
                <w:szCs w:val="21"/>
              </w:rPr>
            </w:pPr>
            <w:r>
              <w:rPr>
                <w:rFonts w:hint="eastAsia"/>
                <w:sz w:val="21"/>
                <w:szCs w:val="21"/>
              </w:rPr>
              <w:t>624089</w:t>
            </w:r>
          </w:p>
        </w:tc>
        <w:tc>
          <w:tcPr>
            <w:tcW w:w="1080" w:type="dxa"/>
            <w:vAlign w:val="center"/>
          </w:tcPr>
          <w:p>
            <w:pPr>
              <w:jc w:val="center"/>
              <w:rPr>
                <w:rFonts w:hint="eastAsia"/>
                <w:sz w:val="21"/>
                <w:szCs w:val="21"/>
              </w:rPr>
            </w:pPr>
            <w:r>
              <w:rPr>
                <w:rFonts w:hint="eastAsia"/>
                <w:sz w:val="21"/>
                <w:szCs w:val="21"/>
              </w:rPr>
              <w:t>3283038</w:t>
            </w:r>
          </w:p>
        </w:tc>
        <w:tc>
          <w:tcPr>
            <w:tcW w:w="1440" w:type="dxa"/>
            <w:vAlign w:val="center"/>
          </w:tcPr>
          <w:p>
            <w:pPr>
              <w:jc w:val="center"/>
              <w:rPr>
                <w:sz w:val="21"/>
                <w:szCs w:val="21"/>
              </w:rPr>
            </w:pPr>
            <w:r>
              <w:rPr>
                <w:sz w:val="21"/>
                <w:szCs w:val="21"/>
              </w:rPr>
              <w:t>339</w:t>
            </w:r>
          </w:p>
        </w:tc>
        <w:tc>
          <w:tcPr>
            <w:tcW w:w="900" w:type="dxa"/>
            <w:vAlign w:val="center"/>
          </w:tcPr>
          <w:p>
            <w:pPr>
              <w:pStyle w:val="26"/>
              <w:spacing w:line="240" w:lineRule="exact"/>
              <w:jc w:val="center"/>
              <w:rPr>
                <w:sz w:val="21"/>
                <w:szCs w:val="21"/>
              </w:rPr>
            </w:pPr>
            <w:r>
              <w:rPr>
                <w:sz w:val="21"/>
                <w:szCs w:val="21"/>
              </w:rPr>
              <w:t>15</w:t>
            </w:r>
          </w:p>
        </w:tc>
        <w:tc>
          <w:tcPr>
            <w:tcW w:w="900" w:type="dxa"/>
            <w:vAlign w:val="center"/>
          </w:tcPr>
          <w:p>
            <w:pPr>
              <w:pStyle w:val="26"/>
              <w:spacing w:line="240" w:lineRule="exact"/>
              <w:jc w:val="center"/>
              <w:rPr>
                <w:rFonts w:hint="eastAsia"/>
                <w:sz w:val="21"/>
                <w:szCs w:val="21"/>
              </w:rPr>
            </w:pPr>
            <w:r>
              <w:rPr>
                <w:rFonts w:hint="eastAsia"/>
                <w:sz w:val="21"/>
                <w:szCs w:val="21"/>
              </w:rPr>
              <w:t>0.86</w:t>
            </w:r>
          </w:p>
        </w:tc>
        <w:tc>
          <w:tcPr>
            <w:tcW w:w="1080" w:type="dxa"/>
            <w:vAlign w:val="center"/>
          </w:tcPr>
          <w:p>
            <w:pPr>
              <w:pStyle w:val="26"/>
              <w:spacing w:line="240" w:lineRule="exact"/>
              <w:jc w:val="center"/>
              <w:rPr>
                <w:sz w:val="21"/>
                <w:szCs w:val="21"/>
              </w:rPr>
            </w:pPr>
            <w:r>
              <w:rPr>
                <w:sz w:val="21"/>
                <w:szCs w:val="21"/>
              </w:rPr>
              <w:t>12.144</w:t>
            </w:r>
          </w:p>
        </w:tc>
        <w:tc>
          <w:tcPr>
            <w:tcW w:w="1080" w:type="dxa"/>
            <w:vAlign w:val="center"/>
          </w:tcPr>
          <w:p>
            <w:pPr>
              <w:pStyle w:val="26"/>
              <w:spacing w:line="240" w:lineRule="exact"/>
              <w:jc w:val="center"/>
              <w:rPr>
                <w:sz w:val="21"/>
                <w:szCs w:val="21"/>
              </w:rPr>
            </w:pPr>
            <w:r>
              <w:rPr>
                <w:sz w:val="21"/>
                <w:szCs w:val="21"/>
              </w:rPr>
              <w:t>20</w:t>
            </w:r>
          </w:p>
        </w:tc>
        <w:tc>
          <w:tcPr>
            <w:tcW w:w="1080" w:type="dxa"/>
            <w:vAlign w:val="center"/>
          </w:tcPr>
          <w:p>
            <w:pPr>
              <w:jc w:val="center"/>
              <w:rPr>
                <w:sz w:val="21"/>
                <w:szCs w:val="21"/>
              </w:rPr>
            </w:pPr>
            <w:r>
              <w:rPr>
                <w:sz w:val="21"/>
                <w:szCs w:val="21"/>
              </w:rPr>
              <w:t>3047</w:t>
            </w:r>
          </w:p>
        </w:tc>
        <w:tc>
          <w:tcPr>
            <w:tcW w:w="710" w:type="dxa"/>
            <w:vAlign w:val="center"/>
          </w:tcPr>
          <w:p>
            <w:pPr>
              <w:pStyle w:val="26"/>
              <w:spacing w:line="240" w:lineRule="exact"/>
              <w:jc w:val="center"/>
              <w:rPr>
                <w:sz w:val="21"/>
                <w:szCs w:val="21"/>
              </w:rPr>
            </w:pPr>
            <w:r>
              <w:rPr>
                <w:sz w:val="21"/>
                <w:szCs w:val="21"/>
              </w:rPr>
              <w:t>粉尘</w:t>
            </w:r>
          </w:p>
        </w:tc>
        <w:tc>
          <w:tcPr>
            <w:tcW w:w="1630" w:type="dxa"/>
            <w:gridSpan w:val="2"/>
            <w:vAlign w:val="center"/>
          </w:tcPr>
          <w:p>
            <w:pPr>
              <w:pStyle w:val="26"/>
              <w:spacing w:line="240" w:lineRule="exact"/>
              <w:jc w:val="center"/>
              <w:rPr>
                <w:rFonts w:hint="eastAsia"/>
                <w:sz w:val="21"/>
                <w:szCs w:val="21"/>
              </w:rPr>
            </w:pPr>
            <w:r>
              <w:rPr>
                <w:rFonts w:hint="eastAsia"/>
                <w:sz w:val="21"/>
                <w:szCs w:val="21"/>
              </w:rPr>
              <w:t>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4" w:hRule="atLeast"/>
          <w:jc w:val="center"/>
        </w:trPr>
        <w:tc>
          <w:tcPr>
            <w:tcW w:w="814" w:type="dxa"/>
            <w:vAlign w:val="center"/>
          </w:tcPr>
          <w:p>
            <w:pPr>
              <w:jc w:val="center"/>
              <w:rPr>
                <w:sz w:val="21"/>
                <w:szCs w:val="21"/>
              </w:rPr>
            </w:pPr>
            <w:r>
              <w:rPr>
                <w:sz w:val="21"/>
                <w:szCs w:val="21"/>
              </w:rPr>
              <w:t>3</w:t>
            </w:r>
          </w:p>
        </w:tc>
        <w:tc>
          <w:tcPr>
            <w:tcW w:w="2076" w:type="dxa"/>
            <w:vAlign w:val="center"/>
          </w:tcPr>
          <w:p>
            <w:pPr>
              <w:jc w:val="center"/>
              <w:rPr>
                <w:sz w:val="21"/>
                <w:szCs w:val="21"/>
              </w:rPr>
            </w:pPr>
            <w:r>
              <w:rPr>
                <w:sz w:val="21"/>
                <w:szCs w:val="21"/>
              </w:rPr>
              <w:t>原煤均化及输送</w:t>
            </w:r>
          </w:p>
        </w:tc>
        <w:tc>
          <w:tcPr>
            <w:tcW w:w="900" w:type="dxa"/>
            <w:vAlign w:val="center"/>
          </w:tcPr>
          <w:p>
            <w:pPr>
              <w:jc w:val="center"/>
              <w:rPr>
                <w:rFonts w:hint="eastAsia"/>
                <w:sz w:val="21"/>
                <w:szCs w:val="21"/>
              </w:rPr>
            </w:pPr>
            <w:r>
              <w:rPr>
                <w:rFonts w:hint="eastAsia"/>
                <w:sz w:val="21"/>
                <w:szCs w:val="21"/>
              </w:rPr>
              <w:t>624127</w:t>
            </w:r>
          </w:p>
        </w:tc>
        <w:tc>
          <w:tcPr>
            <w:tcW w:w="1080" w:type="dxa"/>
            <w:vAlign w:val="center"/>
          </w:tcPr>
          <w:p>
            <w:pPr>
              <w:jc w:val="center"/>
              <w:rPr>
                <w:rFonts w:hint="eastAsia"/>
                <w:sz w:val="21"/>
                <w:szCs w:val="21"/>
              </w:rPr>
            </w:pPr>
            <w:r>
              <w:rPr>
                <w:rFonts w:hint="eastAsia"/>
                <w:sz w:val="21"/>
                <w:szCs w:val="21"/>
              </w:rPr>
              <w:t>3283193</w:t>
            </w:r>
          </w:p>
        </w:tc>
        <w:tc>
          <w:tcPr>
            <w:tcW w:w="1440" w:type="dxa"/>
            <w:vAlign w:val="center"/>
          </w:tcPr>
          <w:p>
            <w:pPr>
              <w:jc w:val="center"/>
              <w:rPr>
                <w:sz w:val="21"/>
                <w:szCs w:val="21"/>
              </w:rPr>
            </w:pPr>
            <w:r>
              <w:rPr>
                <w:sz w:val="21"/>
                <w:szCs w:val="21"/>
              </w:rPr>
              <w:t>339</w:t>
            </w:r>
          </w:p>
        </w:tc>
        <w:tc>
          <w:tcPr>
            <w:tcW w:w="900" w:type="dxa"/>
            <w:vAlign w:val="center"/>
          </w:tcPr>
          <w:p>
            <w:pPr>
              <w:pStyle w:val="26"/>
              <w:spacing w:line="240" w:lineRule="exact"/>
              <w:jc w:val="center"/>
              <w:rPr>
                <w:sz w:val="21"/>
                <w:szCs w:val="21"/>
              </w:rPr>
            </w:pPr>
            <w:r>
              <w:rPr>
                <w:sz w:val="21"/>
                <w:szCs w:val="21"/>
              </w:rPr>
              <w:t>15</w:t>
            </w:r>
          </w:p>
        </w:tc>
        <w:tc>
          <w:tcPr>
            <w:tcW w:w="900" w:type="dxa"/>
            <w:vAlign w:val="center"/>
          </w:tcPr>
          <w:p>
            <w:pPr>
              <w:pStyle w:val="26"/>
              <w:spacing w:line="240" w:lineRule="exact"/>
              <w:jc w:val="center"/>
              <w:rPr>
                <w:sz w:val="21"/>
                <w:szCs w:val="21"/>
              </w:rPr>
            </w:pPr>
            <w:r>
              <w:rPr>
                <w:rFonts w:hint="eastAsia"/>
                <w:sz w:val="21"/>
                <w:szCs w:val="21"/>
              </w:rPr>
              <w:t>0.86</w:t>
            </w:r>
          </w:p>
        </w:tc>
        <w:tc>
          <w:tcPr>
            <w:tcW w:w="1080" w:type="dxa"/>
            <w:vAlign w:val="center"/>
          </w:tcPr>
          <w:p>
            <w:pPr>
              <w:pStyle w:val="26"/>
              <w:spacing w:line="240" w:lineRule="exact"/>
              <w:jc w:val="center"/>
              <w:rPr>
                <w:sz w:val="21"/>
                <w:szCs w:val="21"/>
              </w:rPr>
            </w:pPr>
            <w:r>
              <w:rPr>
                <w:sz w:val="21"/>
                <w:szCs w:val="21"/>
              </w:rPr>
              <w:t>12.144</w:t>
            </w:r>
          </w:p>
        </w:tc>
        <w:tc>
          <w:tcPr>
            <w:tcW w:w="1080" w:type="dxa"/>
            <w:vAlign w:val="center"/>
          </w:tcPr>
          <w:p>
            <w:pPr>
              <w:pStyle w:val="16"/>
              <w:snapToGrid w:val="0"/>
              <w:spacing w:line="240" w:lineRule="exact"/>
              <w:jc w:val="center"/>
              <w:rPr>
                <w:sz w:val="21"/>
                <w:szCs w:val="21"/>
              </w:rPr>
            </w:pPr>
            <w:r>
              <w:rPr>
                <w:sz w:val="21"/>
                <w:szCs w:val="21"/>
              </w:rPr>
              <w:t>20</w:t>
            </w:r>
          </w:p>
        </w:tc>
        <w:tc>
          <w:tcPr>
            <w:tcW w:w="1080" w:type="dxa"/>
            <w:vAlign w:val="center"/>
          </w:tcPr>
          <w:p>
            <w:pPr>
              <w:jc w:val="center"/>
              <w:rPr>
                <w:sz w:val="21"/>
                <w:szCs w:val="21"/>
              </w:rPr>
            </w:pPr>
            <w:r>
              <w:rPr>
                <w:sz w:val="21"/>
                <w:szCs w:val="21"/>
              </w:rPr>
              <w:t>1623</w:t>
            </w:r>
          </w:p>
        </w:tc>
        <w:tc>
          <w:tcPr>
            <w:tcW w:w="710" w:type="dxa"/>
            <w:vAlign w:val="center"/>
          </w:tcPr>
          <w:p>
            <w:pPr>
              <w:pStyle w:val="26"/>
              <w:spacing w:line="240" w:lineRule="exact"/>
              <w:jc w:val="center"/>
              <w:rPr>
                <w:sz w:val="21"/>
                <w:szCs w:val="21"/>
              </w:rPr>
            </w:pPr>
            <w:r>
              <w:rPr>
                <w:sz w:val="21"/>
                <w:szCs w:val="21"/>
              </w:rPr>
              <w:t>粉尘</w:t>
            </w:r>
          </w:p>
        </w:tc>
        <w:tc>
          <w:tcPr>
            <w:tcW w:w="1630" w:type="dxa"/>
            <w:gridSpan w:val="2"/>
            <w:vAlign w:val="center"/>
          </w:tcPr>
          <w:p>
            <w:pPr>
              <w:pStyle w:val="26"/>
              <w:spacing w:line="240" w:lineRule="exact"/>
              <w:jc w:val="center"/>
              <w:rPr>
                <w:rFonts w:hint="eastAsia"/>
                <w:sz w:val="21"/>
                <w:szCs w:val="21"/>
              </w:rPr>
            </w:pPr>
            <w:r>
              <w:rPr>
                <w:rFonts w:hint="eastAsia"/>
                <w:sz w:val="21"/>
                <w:szCs w:val="21"/>
              </w:rPr>
              <w:t>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9" w:hRule="atLeast"/>
          <w:jc w:val="center"/>
        </w:trPr>
        <w:tc>
          <w:tcPr>
            <w:tcW w:w="814" w:type="dxa"/>
            <w:vAlign w:val="center"/>
          </w:tcPr>
          <w:p>
            <w:pPr>
              <w:jc w:val="center"/>
              <w:rPr>
                <w:sz w:val="21"/>
                <w:szCs w:val="21"/>
              </w:rPr>
            </w:pPr>
            <w:r>
              <w:rPr>
                <w:sz w:val="21"/>
                <w:szCs w:val="21"/>
              </w:rPr>
              <w:t>4</w:t>
            </w:r>
          </w:p>
        </w:tc>
        <w:tc>
          <w:tcPr>
            <w:tcW w:w="2076" w:type="dxa"/>
            <w:vAlign w:val="center"/>
          </w:tcPr>
          <w:p>
            <w:pPr>
              <w:jc w:val="center"/>
              <w:rPr>
                <w:sz w:val="21"/>
                <w:szCs w:val="21"/>
              </w:rPr>
            </w:pPr>
            <w:r>
              <w:rPr>
                <w:sz w:val="21"/>
                <w:szCs w:val="21"/>
              </w:rPr>
              <w:t>辅料均化及输送</w:t>
            </w:r>
          </w:p>
        </w:tc>
        <w:tc>
          <w:tcPr>
            <w:tcW w:w="900" w:type="dxa"/>
            <w:vAlign w:val="center"/>
          </w:tcPr>
          <w:p>
            <w:pPr>
              <w:jc w:val="center"/>
              <w:rPr>
                <w:rFonts w:hint="eastAsia"/>
                <w:sz w:val="21"/>
                <w:szCs w:val="21"/>
              </w:rPr>
            </w:pPr>
            <w:r>
              <w:rPr>
                <w:rFonts w:hint="eastAsia"/>
                <w:sz w:val="21"/>
                <w:szCs w:val="21"/>
              </w:rPr>
              <w:t>624125</w:t>
            </w:r>
          </w:p>
        </w:tc>
        <w:tc>
          <w:tcPr>
            <w:tcW w:w="1080" w:type="dxa"/>
            <w:vAlign w:val="center"/>
          </w:tcPr>
          <w:p>
            <w:pPr>
              <w:jc w:val="center"/>
              <w:rPr>
                <w:rFonts w:hint="eastAsia"/>
                <w:sz w:val="21"/>
                <w:szCs w:val="21"/>
              </w:rPr>
            </w:pPr>
            <w:r>
              <w:rPr>
                <w:rFonts w:hint="eastAsia"/>
                <w:sz w:val="21"/>
                <w:szCs w:val="21"/>
              </w:rPr>
              <w:t>3283094</w:t>
            </w:r>
          </w:p>
        </w:tc>
        <w:tc>
          <w:tcPr>
            <w:tcW w:w="1440" w:type="dxa"/>
            <w:vAlign w:val="center"/>
          </w:tcPr>
          <w:p>
            <w:pPr>
              <w:jc w:val="center"/>
              <w:rPr>
                <w:sz w:val="21"/>
                <w:szCs w:val="21"/>
              </w:rPr>
            </w:pPr>
            <w:r>
              <w:rPr>
                <w:sz w:val="21"/>
                <w:szCs w:val="21"/>
              </w:rPr>
              <w:t>339</w:t>
            </w:r>
          </w:p>
        </w:tc>
        <w:tc>
          <w:tcPr>
            <w:tcW w:w="900" w:type="dxa"/>
            <w:vAlign w:val="center"/>
          </w:tcPr>
          <w:p>
            <w:pPr>
              <w:pStyle w:val="26"/>
              <w:spacing w:line="240" w:lineRule="exact"/>
              <w:jc w:val="center"/>
              <w:rPr>
                <w:sz w:val="21"/>
                <w:szCs w:val="21"/>
              </w:rPr>
            </w:pPr>
            <w:r>
              <w:rPr>
                <w:sz w:val="21"/>
                <w:szCs w:val="21"/>
              </w:rPr>
              <w:t>15</w:t>
            </w:r>
          </w:p>
        </w:tc>
        <w:tc>
          <w:tcPr>
            <w:tcW w:w="900" w:type="dxa"/>
            <w:vAlign w:val="center"/>
          </w:tcPr>
          <w:p>
            <w:pPr>
              <w:pStyle w:val="26"/>
              <w:spacing w:line="240" w:lineRule="exact"/>
              <w:jc w:val="center"/>
              <w:rPr>
                <w:sz w:val="21"/>
                <w:szCs w:val="21"/>
              </w:rPr>
            </w:pPr>
            <w:r>
              <w:rPr>
                <w:rFonts w:hint="eastAsia"/>
                <w:sz w:val="21"/>
                <w:szCs w:val="21"/>
              </w:rPr>
              <w:t>0.86</w:t>
            </w:r>
          </w:p>
        </w:tc>
        <w:tc>
          <w:tcPr>
            <w:tcW w:w="1080" w:type="dxa"/>
            <w:vAlign w:val="center"/>
          </w:tcPr>
          <w:p>
            <w:pPr>
              <w:pStyle w:val="26"/>
              <w:spacing w:line="240" w:lineRule="exact"/>
              <w:jc w:val="center"/>
              <w:rPr>
                <w:sz w:val="21"/>
                <w:szCs w:val="21"/>
              </w:rPr>
            </w:pPr>
            <w:r>
              <w:rPr>
                <w:sz w:val="21"/>
                <w:szCs w:val="21"/>
              </w:rPr>
              <w:t>12.144</w:t>
            </w:r>
          </w:p>
        </w:tc>
        <w:tc>
          <w:tcPr>
            <w:tcW w:w="1080" w:type="dxa"/>
            <w:vAlign w:val="center"/>
          </w:tcPr>
          <w:p>
            <w:pPr>
              <w:pStyle w:val="16"/>
              <w:snapToGrid w:val="0"/>
              <w:spacing w:line="240" w:lineRule="exact"/>
              <w:jc w:val="center"/>
              <w:rPr>
                <w:sz w:val="21"/>
                <w:szCs w:val="21"/>
              </w:rPr>
            </w:pPr>
            <w:r>
              <w:rPr>
                <w:sz w:val="21"/>
                <w:szCs w:val="21"/>
              </w:rPr>
              <w:t>20</w:t>
            </w:r>
          </w:p>
        </w:tc>
        <w:tc>
          <w:tcPr>
            <w:tcW w:w="1080" w:type="dxa"/>
            <w:vAlign w:val="center"/>
          </w:tcPr>
          <w:p>
            <w:pPr>
              <w:jc w:val="center"/>
              <w:rPr>
                <w:sz w:val="21"/>
                <w:szCs w:val="21"/>
              </w:rPr>
            </w:pPr>
            <w:r>
              <w:rPr>
                <w:sz w:val="21"/>
                <w:szCs w:val="21"/>
              </w:rPr>
              <w:t>1649</w:t>
            </w:r>
          </w:p>
        </w:tc>
        <w:tc>
          <w:tcPr>
            <w:tcW w:w="710" w:type="dxa"/>
            <w:vAlign w:val="center"/>
          </w:tcPr>
          <w:p>
            <w:pPr>
              <w:pStyle w:val="26"/>
              <w:spacing w:line="240" w:lineRule="exact"/>
              <w:jc w:val="center"/>
              <w:rPr>
                <w:sz w:val="21"/>
                <w:szCs w:val="21"/>
              </w:rPr>
            </w:pPr>
            <w:r>
              <w:rPr>
                <w:sz w:val="21"/>
                <w:szCs w:val="21"/>
              </w:rPr>
              <w:t>粉尘</w:t>
            </w:r>
          </w:p>
        </w:tc>
        <w:tc>
          <w:tcPr>
            <w:tcW w:w="1630" w:type="dxa"/>
            <w:gridSpan w:val="2"/>
            <w:vAlign w:val="center"/>
          </w:tcPr>
          <w:p>
            <w:pPr>
              <w:pStyle w:val="26"/>
              <w:spacing w:line="240" w:lineRule="exact"/>
              <w:jc w:val="center"/>
              <w:rPr>
                <w:rFonts w:hint="eastAsia"/>
                <w:sz w:val="21"/>
                <w:szCs w:val="21"/>
              </w:rPr>
            </w:pPr>
            <w:r>
              <w:rPr>
                <w:rFonts w:hint="eastAsia"/>
                <w:sz w:val="21"/>
                <w:szCs w:val="21"/>
              </w:rPr>
              <w:t>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1" w:hRule="atLeast"/>
          <w:jc w:val="center"/>
        </w:trPr>
        <w:tc>
          <w:tcPr>
            <w:tcW w:w="814" w:type="dxa"/>
            <w:vAlign w:val="center"/>
          </w:tcPr>
          <w:p>
            <w:pPr>
              <w:jc w:val="center"/>
              <w:rPr>
                <w:sz w:val="21"/>
                <w:szCs w:val="21"/>
              </w:rPr>
            </w:pPr>
            <w:r>
              <w:rPr>
                <w:sz w:val="21"/>
                <w:szCs w:val="21"/>
              </w:rPr>
              <w:t>5</w:t>
            </w:r>
          </w:p>
        </w:tc>
        <w:tc>
          <w:tcPr>
            <w:tcW w:w="2076" w:type="dxa"/>
            <w:vAlign w:val="center"/>
          </w:tcPr>
          <w:p>
            <w:pPr>
              <w:jc w:val="center"/>
              <w:rPr>
                <w:sz w:val="21"/>
                <w:szCs w:val="21"/>
              </w:rPr>
            </w:pPr>
            <w:r>
              <w:rPr>
                <w:sz w:val="21"/>
                <w:szCs w:val="21"/>
              </w:rPr>
              <w:t>原料配料库顶</w:t>
            </w:r>
          </w:p>
        </w:tc>
        <w:tc>
          <w:tcPr>
            <w:tcW w:w="900" w:type="dxa"/>
            <w:vAlign w:val="center"/>
          </w:tcPr>
          <w:p>
            <w:pPr>
              <w:jc w:val="center"/>
              <w:rPr>
                <w:rFonts w:hint="eastAsia"/>
                <w:sz w:val="21"/>
                <w:szCs w:val="21"/>
              </w:rPr>
            </w:pPr>
            <w:r>
              <w:rPr>
                <w:rFonts w:hint="eastAsia"/>
                <w:sz w:val="21"/>
                <w:szCs w:val="21"/>
              </w:rPr>
              <w:t>624133</w:t>
            </w:r>
          </w:p>
        </w:tc>
        <w:tc>
          <w:tcPr>
            <w:tcW w:w="1080" w:type="dxa"/>
            <w:vAlign w:val="center"/>
          </w:tcPr>
          <w:p>
            <w:pPr>
              <w:jc w:val="center"/>
              <w:rPr>
                <w:rFonts w:hint="eastAsia"/>
                <w:sz w:val="21"/>
                <w:szCs w:val="21"/>
              </w:rPr>
            </w:pPr>
            <w:r>
              <w:rPr>
                <w:rFonts w:hint="eastAsia"/>
                <w:sz w:val="21"/>
                <w:szCs w:val="21"/>
              </w:rPr>
              <w:t>3283074</w:t>
            </w:r>
          </w:p>
        </w:tc>
        <w:tc>
          <w:tcPr>
            <w:tcW w:w="1440" w:type="dxa"/>
            <w:vAlign w:val="center"/>
          </w:tcPr>
          <w:p>
            <w:pPr>
              <w:jc w:val="center"/>
              <w:rPr>
                <w:sz w:val="21"/>
                <w:szCs w:val="21"/>
              </w:rPr>
            </w:pPr>
            <w:r>
              <w:rPr>
                <w:sz w:val="21"/>
                <w:szCs w:val="21"/>
              </w:rPr>
              <w:t>339</w:t>
            </w:r>
          </w:p>
        </w:tc>
        <w:tc>
          <w:tcPr>
            <w:tcW w:w="900" w:type="dxa"/>
            <w:vAlign w:val="center"/>
          </w:tcPr>
          <w:p>
            <w:pPr>
              <w:pStyle w:val="26"/>
              <w:spacing w:line="240" w:lineRule="exact"/>
              <w:jc w:val="center"/>
              <w:rPr>
                <w:sz w:val="21"/>
                <w:szCs w:val="21"/>
              </w:rPr>
            </w:pPr>
            <w:r>
              <w:rPr>
                <w:sz w:val="21"/>
                <w:szCs w:val="21"/>
              </w:rPr>
              <w:t>30</w:t>
            </w:r>
          </w:p>
        </w:tc>
        <w:tc>
          <w:tcPr>
            <w:tcW w:w="900" w:type="dxa"/>
            <w:vAlign w:val="center"/>
          </w:tcPr>
          <w:p>
            <w:pPr>
              <w:pStyle w:val="26"/>
              <w:spacing w:line="240" w:lineRule="exact"/>
              <w:jc w:val="center"/>
              <w:rPr>
                <w:rFonts w:hint="eastAsia"/>
                <w:sz w:val="21"/>
                <w:szCs w:val="21"/>
              </w:rPr>
            </w:pPr>
            <w:r>
              <w:rPr>
                <w:rFonts w:hint="eastAsia"/>
                <w:sz w:val="21"/>
                <w:szCs w:val="21"/>
              </w:rPr>
              <w:t>0.9</w:t>
            </w:r>
          </w:p>
        </w:tc>
        <w:tc>
          <w:tcPr>
            <w:tcW w:w="1080" w:type="dxa"/>
            <w:vAlign w:val="center"/>
          </w:tcPr>
          <w:p>
            <w:pPr>
              <w:pStyle w:val="26"/>
              <w:spacing w:line="240" w:lineRule="exact"/>
              <w:jc w:val="center"/>
              <w:rPr>
                <w:sz w:val="21"/>
                <w:szCs w:val="21"/>
              </w:rPr>
            </w:pPr>
            <w:r>
              <w:rPr>
                <w:sz w:val="21"/>
                <w:szCs w:val="21"/>
              </w:rPr>
              <w:t>11.708</w:t>
            </w:r>
          </w:p>
        </w:tc>
        <w:tc>
          <w:tcPr>
            <w:tcW w:w="1080" w:type="dxa"/>
            <w:vAlign w:val="center"/>
          </w:tcPr>
          <w:p>
            <w:pPr>
              <w:pStyle w:val="16"/>
              <w:snapToGrid w:val="0"/>
              <w:spacing w:line="240" w:lineRule="exact"/>
              <w:jc w:val="center"/>
              <w:rPr>
                <w:sz w:val="21"/>
                <w:szCs w:val="21"/>
              </w:rPr>
            </w:pPr>
            <w:r>
              <w:rPr>
                <w:sz w:val="21"/>
                <w:szCs w:val="21"/>
              </w:rPr>
              <w:t>20</w:t>
            </w:r>
          </w:p>
        </w:tc>
        <w:tc>
          <w:tcPr>
            <w:tcW w:w="1080" w:type="dxa"/>
            <w:vAlign w:val="center"/>
          </w:tcPr>
          <w:p>
            <w:pPr>
              <w:jc w:val="center"/>
              <w:rPr>
                <w:sz w:val="21"/>
                <w:szCs w:val="21"/>
              </w:rPr>
            </w:pPr>
            <w:r>
              <w:rPr>
                <w:sz w:val="21"/>
                <w:szCs w:val="21"/>
              </w:rPr>
              <w:t>5583</w:t>
            </w:r>
          </w:p>
        </w:tc>
        <w:tc>
          <w:tcPr>
            <w:tcW w:w="710" w:type="dxa"/>
            <w:vAlign w:val="center"/>
          </w:tcPr>
          <w:p>
            <w:pPr>
              <w:pStyle w:val="26"/>
              <w:spacing w:line="240" w:lineRule="exact"/>
              <w:jc w:val="center"/>
              <w:rPr>
                <w:sz w:val="21"/>
                <w:szCs w:val="21"/>
              </w:rPr>
            </w:pPr>
            <w:r>
              <w:rPr>
                <w:sz w:val="21"/>
                <w:szCs w:val="21"/>
              </w:rPr>
              <w:t>粉尘</w:t>
            </w:r>
          </w:p>
        </w:tc>
        <w:tc>
          <w:tcPr>
            <w:tcW w:w="1630" w:type="dxa"/>
            <w:gridSpan w:val="2"/>
            <w:vAlign w:val="center"/>
          </w:tcPr>
          <w:p>
            <w:pPr>
              <w:pStyle w:val="26"/>
              <w:spacing w:line="240" w:lineRule="exact"/>
              <w:jc w:val="center"/>
              <w:rPr>
                <w:rFonts w:hint="eastAsia"/>
                <w:sz w:val="21"/>
                <w:szCs w:val="21"/>
              </w:rPr>
            </w:pPr>
            <w:r>
              <w:rPr>
                <w:rFonts w:hint="eastAsia"/>
                <w:sz w:val="21"/>
                <w:szCs w:val="21"/>
              </w:rPr>
              <w:t>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7" w:hRule="atLeast"/>
          <w:jc w:val="center"/>
        </w:trPr>
        <w:tc>
          <w:tcPr>
            <w:tcW w:w="814" w:type="dxa"/>
            <w:vAlign w:val="center"/>
          </w:tcPr>
          <w:p>
            <w:pPr>
              <w:jc w:val="center"/>
              <w:rPr>
                <w:sz w:val="21"/>
                <w:szCs w:val="21"/>
              </w:rPr>
            </w:pPr>
            <w:r>
              <w:rPr>
                <w:sz w:val="21"/>
                <w:szCs w:val="21"/>
              </w:rPr>
              <w:t>6</w:t>
            </w:r>
          </w:p>
        </w:tc>
        <w:tc>
          <w:tcPr>
            <w:tcW w:w="2076" w:type="dxa"/>
            <w:vAlign w:val="center"/>
          </w:tcPr>
          <w:p>
            <w:pPr>
              <w:jc w:val="center"/>
              <w:rPr>
                <w:sz w:val="21"/>
                <w:szCs w:val="21"/>
              </w:rPr>
            </w:pPr>
            <w:r>
              <w:rPr>
                <w:sz w:val="21"/>
                <w:szCs w:val="21"/>
              </w:rPr>
              <w:t>原料配料库底</w:t>
            </w:r>
          </w:p>
        </w:tc>
        <w:tc>
          <w:tcPr>
            <w:tcW w:w="900" w:type="dxa"/>
            <w:vAlign w:val="center"/>
          </w:tcPr>
          <w:p>
            <w:pPr>
              <w:jc w:val="center"/>
              <w:rPr>
                <w:rFonts w:hint="eastAsia"/>
                <w:sz w:val="21"/>
                <w:szCs w:val="21"/>
              </w:rPr>
            </w:pPr>
            <w:r>
              <w:rPr>
                <w:rFonts w:hint="eastAsia"/>
                <w:sz w:val="21"/>
                <w:szCs w:val="21"/>
              </w:rPr>
              <w:t>624119</w:t>
            </w:r>
          </w:p>
        </w:tc>
        <w:tc>
          <w:tcPr>
            <w:tcW w:w="1080" w:type="dxa"/>
            <w:vAlign w:val="center"/>
          </w:tcPr>
          <w:p>
            <w:pPr>
              <w:jc w:val="center"/>
              <w:rPr>
                <w:rFonts w:hint="eastAsia"/>
                <w:sz w:val="21"/>
                <w:szCs w:val="21"/>
              </w:rPr>
            </w:pPr>
            <w:r>
              <w:rPr>
                <w:rFonts w:hint="eastAsia"/>
                <w:sz w:val="21"/>
                <w:szCs w:val="21"/>
              </w:rPr>
              <w:t>3283074</w:t>
            </w:r>
          </w:p>
        </w:tc>
        <w:tc>
          <w:tcPr>
            <w:tcW w:w="1440" w:type="dxa"/>
            <w:vAlign w:val="center"/>
          </w:tcPr>
          <w:p>
            <w:pPr>
              <w:jc w:val="center"/>
              <w:rPr>
                <w:sz w:val="21"/>
                <w:szCs w:val="21"/>
              </w:rPr>
            </w:pPr>
            <w:r>
              <w:rPr>
                <w:sz w:val="21"/>
                <w:szCs w:val="21"/>
              </w:rPr>
              <w:t>339</w:t>
            </w:r>
          </w:p>
        </w:tc>
        <w:tc>
          <w:tcPr>
            <w:tcW w:w="900" w:type="dxa"/>
            <w:vAlign w:val="center"/>
          </w:tcPr>
          <w:p>
            <w:pPr>
              <w:pStyle w:val="26"/>
              <w:spacing w:line="240" w:lineRule="exact"/>
              <w:jc w:val="center"/>
              <w:rPr>
                <w:sz w:val="21"/>
                <w:szCs w:val="21"/>
              </w:rPr>
            </w:pPr>
            <w:r>
              <w:rPr>
                <w:sz w:val="21"/>
                <w:szCs w:val="21"/>
              </w:rPr>
              <w:t>15</w:t>
            </w:r>
          </w:p>
        </w:tc>
        <w:tc>
          <w:tcPr>
            <w:tcW w:w="900" w:type="dxa"/>
            <w:vAlign w:val="center"/>
          </w:tcPr>
          <w:p>
            <w:pPr>
              <w:pStyle w:val="26"/>
              <w:spacing w:line="240" w:lineRule="exact"/>
              <w:jc w:val="center"/>
              <w:rPr>
                <w:rFonts w:hint="eastAsia"/>
                <w:sz w:val="21"/>
                <w:szCs w:val="21"/>
              </w:rPr>
            </w:pPr>
            <w:r>
              <w:rPr>
                <w:rFonts w:hint="eastAsia"/>
                <w:sz w:val="21"/>
                <w:szCs w:val="21"/>
              </w:rPr>
              <w:t>0.9</w:t>
            </w:r>
          </w:p>
        </w:tc>
        <w:tc>
          <w:tcPr>
            <w:tcW w:w="1080" w:type="dxa"/>
            <w:vAlign w:val="center"/>
          </w:tcPr>
          <w:p>
            <w:pPr>
              <w:pStyle w:val="26"/>
              <w:spacing w:line="240" w:lineRule="exact"/>
              <w:jc w:val="center"/>
              <w:rPr>
                <w:sz w:val="21"/>
                <w:szCs w:val="21"/>
              </w:rPr>
            </w:pPr>
            <w:r>
              <w:rPr>
                <w:sz w:val="21"/>
                <w:szCs w:val="21"/>
              </w:rPr>
              <w:t>11.708</w:t>
            </w:r>
          </w:p>
        </w:tc>
        <w:tc>
          <w:tcPr>
            <w:tcW w:w="1080" w:type="dxa"/>
            <w:vAlign w:val="center"/>
          </w:tcPr>
          <w:p>
            <w:pPr>
              <w:pStyle w:val="16"/>
              <w:snapToGrid w:val="0"/>
              <w:spacing w:line="240" w:lineRule="exact"/>
              <w:jc w:val="center"/>
              <w:rPr>
                <w:sz w:val="21"/>
                <w:szCs w:val="21"/>
              </w:rPr>
            </w:pPr>
            <w:r>
              <w:rPr>
                <w:sz w:val="21"/>
                <w:szCs w:val="21"/>
              </w:rPr>
              <w:t>20</w:t>
            </w:r>
          </w:p>
        </w:tc>
        <w:tc>
          <w:tcPr>
            <w:tcW w:w="1080" w:type="dxa"/>
            <w:vAlign w:val="center"/>
          </w:tcPr>
          <w:p>
            <w:pPr>
              <w:jc w:val="center"/>
              <w:rPr>
                <w:sz w:val="21"/>
                <w:szCs w:val="21"/>
              </w:rPr>
            </w:pPr>
            <w:r>
              <w:rPr>
                <w:sz w:val="21"/>
                <w:szCs w:val="21"/>
              </w:rPr>
              <w:t>5583</w:t>
            </w:r>
          </w:p>
        </w:tc>
        <w:tc>
          <w:tcPr>
            <w:tcW w:w="710" w:type="dxa"/>
            <w:vAlign w:val="center"/>
          </w:tcPr>
          <w:p>
            <w:pPr>
              <w:pStyle w:val="26"/>
              <w:spacing w:line="240" w:lineRule="exact"/>
              <w:jc w:val="center"/>
              <w:rPr>
                <w:sz w:val="21"/>
                <w:szCs w:val="21"/>
              </w:rPr>
            </w:pPr>
            <w:r>
              <w:rPr>
                <w:sz w:val="21"/>
                <w:szCs w:val="21"/>
              </w:rPr>
              <w:t>粉尘</w:t>
            </w:r>
          </w:p>
        </w:tc>
        <w:tc>
          <w:tcPr>
            <w:tcW w:w="1630" w:type="dxa"/>
            <w:gridSpan w:val="2"/>
            <w:vAlign w:val="center"/>
          </w:tcPr>
          <w:p>
            <w:pPr>
              <w:pStyle w:val="26"/>
              <w:spacing w:line="240" w:lineRule="exact"/>
              <w:jc w:val="center"/>
              <w:rPr>
                <w:rFonts w:hint="eastAsia"/>
                <w:sz w:val="21"/>
                <w:szCs w:val="21"/>
              </w:rPr>
            </w:pPr>
            <w:r>
              <w:rPr>
                <w:rFonts w:hint="eastAsia"/>
                <w:sz w:val="21"/>
                <w:szCs w:val="21"/>
              </w:rPr>
              <w:t>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3" w:hRule="atLeast"/>
          <w:jc w:val="center"/>
        </w:trPr>
        <w:tc>
          <w:tcPr>
            <w:tcW w:w="814" w:type="dxa"/>
            <w:vMerge w:val="restart"/>
            <w:vAlign w:val="center"/>
          </w:tcPr>
          <w:p>
            <w:pPr>
              <w:jc w:val="center"/>
              <w:rPr>
                <w:sz w:val="21"/>
                <w:szCs w:val="21"/>
              </w:rPr>
            </w:pPr>
            <w:r>
              <w:rPr>
                <w:sz w:val="21"/>
                <w:szCs w:val="21"/>
              </w:rPr>
              <w:t>7</w:t>
            </w:r>
          </w:p>
        </w:tc>
        <w:tc>
          <w:tcPr>
            <w:tcW w:w="2076" w:type="dxa"/>
            <w:vMerge w:val="restart"/>
            <w:vAlign w:val="center"/>
          </w:tcPr>
          <w:p>
            <w:pPr>
              <w:jc w:val="center"/>
              <w:rPr>
                <w:sz w:val="21"/>
                <w:szCs w:val="21"/>
              </w:rPr>
            </w:pPr>
            <w:r>
              <w:rPr>
                <w:sz w:val="21"/>
                <w:szCs w:val="21"/>
              </w:rPr>
              <w:t>窑尾</w:t>
            </w:r>
          </w:p>
        </w:tc>
        <w:tc>
          <w:tcPr>
            <w:tcW w:w="900" w:type="dxa"/>
            <w:vMerge w:val="restart"/>
            <w:vAlign w:val="center"/>
          </w:tcPr>
          <w:p>
            <w:pPr>
              <w:jc w:val="center"/>
              <w:rPr>
                <w:rFonts w:hint="eastAsia"/>
                <w:sz w:val="21"/>
                <w:szCs w:val="21"/>
              </w:rPr>
            </w:pPr>
            <w:r>
              <w:rPr>
                <w:rFonts w:hint="eastAsia"/>
                <w:sz w:val="21"/>
                <w:szCs w:val="21"/>
              </w:rPr>
              <w:t>624082</w:t>
            </w:r>
          </w:p>
        </w:tc>
        <w:tc>
          <w:tcPr>
            <w:tcW w:w="1080" w:type="dxa"/>
            <w:vMerge w:val="restart"/>
            <w:vAlign w:val="center"/>
          </w:tcPr>
          <w:p>
            <w:pPr>
              <w:jc w:val="center"/>
              <w:rPr>
                <w:rFonts w:hint="eastAsia"/>
                <w:sz w:val="21"/>
                <w:szCs w:val="21"/>
              </w:rPr>
            </w:pPr>
            <w:r>
              <w:rPr>
                <w:rFonts w:hint="eastAsia"/>
                <w:sz w:val="21"/>
                <w:szCs w:val="21"/>
              </w:rPr>
              <w:t>3283104</w:t>
            </w:r>
          </w:p>
        </w:tc>
        <w:tc>
          <w:tcPr>
            <w:tcW w:w="1440" w:type="dxa"/>
            <w:vMerge w:val="restart"/>
            <w:vAlign w:val="center"/>
          </w:tcPr>
          <w:p>
            <w:pPr>
              <w:jc w:val="center"/>
              <w:rPr>
                <w:sz w:val="21"/>
                <w:szCs w:val="21"/>
              </w:rPr>
            </w:pPr>
            <w:r>
              <w:rPr>
                <w:sz w:val="21"/>
                <w:szCs w:val="21"/>
              </w:rPr>
              <w:t>339</w:t>
            </w:r>
          </w:p>
        </w:tc>
        <w:tc>
          <w:tcPr>
            <w:tcW w:w="900" w:type="dxa"/>
            <w:vMerge w:val="restart"/>
            <w:vAlign w:val="center"/>
          </w:tcPr>
          <w:p>
            <w:pPr>
              <w:pStyle w:val="26"/>
              <w:spacing w:line="240" w:lineRule="exact"/>
              <w:jc w:val="center"/>
              <w:rPr>
                <w:sz w:val="21"/>
                <w:szCs w:val="21"/>
              </w:rPr>
            </w:pPr>
            <w:r>
              <w:rPr>
                <w:sz w:val="21"/>
                <w:szCs w:val="21"/>
              </w:rPr>
              <w:t>110</w:t>
            </w:r>
          </w:p>
        </w:tc>
        <w:tc>
          <w:tcPr>
            <w:tcW w:w="900" w:type="dxa"/>
            <w:vMerge w:val="restart"/>
            <w:vAlign w:val="center"/>
          </w:tcPr>
          <w:p>
            <w:pPr>
              <w:pStyle w:val="26"/>
              <w:spacing w:line="240" w:lineRule="exact"/>
              <w:jc w:val="center"/>
              <w:rPr>
                <w:sz w:val="21"/>
                <w:szCs w:val="21"/>
              </w:rPr>
            </w:pPr>
            <w:r>
              <w:rPr>
                <w:sz w:val="21"/>
                <w:szCs w:val="21"/>
              </w:rPr>
              <w:t>3.0</w:t>
            </w:r>
          </w:p>
        </w:tc>
        <w:tc>
          <w:tcPr>
            <w:tcW w:w="1080" w:type="dxa"/>
            <w:vMerge w:val="restart"/>
            <w:vAlign w:val="center"/>
          </w:tcPr>
          <w:p>
            <w:pPr>
              <w:pStyle w:val="26"/>
              <w:spacing w:line="240" w:lineRule="exact"/>
              <w:jc w:val="center"/>
              <w:rPr>
                <w:sz w:val="21"/>
                <w:szCs w:val="21"/>
              </w:rPr>
            </w:pPr>
            <w:r>
              <w:rPr>
                <w:sz w:val="21"/>
                <w:szCs w:val="21"/>
              </w:rPr>
              <w:t>13.588</w:t>
            </w:r>
          </w:p>
        </w:tc>
        <w:tc>
          <w:tcPr>
            <w:tcW w:w="1080" w:type="dxa"/>
            <w:vMerge w:val="restart"/>
            <w:vAlign w:val="center"/>
          </w:tcPr>
          <w:p>
            <w:pPr>
              <w:pStyle w:val="16"/>
              <w:snapToGrid w:val="0"/>
              <w:spacing w:line="240" w:lineRule="exact"/>
              <w:jc w:val="center"/>
              <w:rPr>
                <w:sz w:val="21"/>
                <w:szCs w:val="21"/>
              </w:rPr>
            </w:pPr>
            <w:r>
              <w:rPr>
                <w:sz w:val="21"/>
                <w:szCs w:val="21"/>
              </w:rPr>
              <w:t>120</w:t>
            </w:r>
          </w:p>
        </w:tc>
        <w:tc>
          <w:tcPr>
            <w:tcW w:w="1080" w:type="dxa"/>
            <w:vMerge w:val="restart"/>
            <w:vAlign w:val="center"/>
          </w:tcPr>
          <w:p>
            <w:pPr>
              <w:jc w:val="center"/>
              <w:rPr>
                <w:sz w:val="21"/>
                <w:szCs w:val="21"/>
              </w:rPr>
            </w:pPr>
            <w:r>
              <w:rPr>
                <w:sz w:val="21"/>
                <w:szCs w:val="21"/>
              </w:rPr>
              <w:t>7440</w:t>
            </w:r>
          </w:p>
        </w:tc>
        <w:tc>
          <w:tcPr>
            <w:tcW w:w="710" w:type="dxa"/>
            <w:vAlign w:val="center"/>
          </w:tcPr>
          <w:p>
            <w:pPr>
              <w:pStyle w:val="26"/>
              <w:spacing w:line="240" w:lineRule="exact"/>
              <w:jc w:val="center"/>
              <w:rPr>
                <w:sz w:val="21"/>
                <w:szCs w:val="21"/>
              </w:rPr>
            </w:pPr>
            <w:r>
              <w:rPr>
                <w:sz w:val="21"/>
                <w:szCs w:val="21"/>
              </w:rPr>
              <w:t>烟尘</w:t>
            </w:r>
          </w:p>
        </w:tc>
        <w:tc>
          <w:tcPr>
            <w:tcW w:w="1630" w:type="dxa"/>
            <w:gridSpan w:val="2"/>
            <w:vAlign w:val="center"/>
          </w:tcPr>
          <w:p>
            <w:pPr>
              <w:pStyle w:val="26"/>
              <w:spacing w:line="240" w:lineRule="exact"/>
              <w:jc w:val="center"/>
              <w:rPr>
                <w:sz w:val="21"/>
                <w:szCs w:val="21"/>
              </w:rPr>
            </w:pPr>
            <w:r>
              <w:rPr>
                <w:sz w:val="21"/>
                <w:szCs w:val="21"/>
              </w:rPr>
              <w:t>2.881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3" w:hRule="atLeast"/>
          <w:jc w:val="center"/>
        </w:trPr>
        <w:tc>
          <w:tcPr>
            <w:tcW w:w="814" w:type="dxa"/>
            <w:vMerge w:val="continue"/>
            <w:vAlign w:val="center"/>
          </w:tcPr>
          <w:p>
            <w:pPr>
              <w:jc w:val="center"/>
              <w:rPr>
                <w:sz w:val="21"/>
                <w:szCs w:val="21"/>
              </w:rPr>
            </w:pPr>
          </w:p>
        </w:tc>
        <w:tc>
          <w:tcPr>
            <w:tcW w:w="2076" w:type="dxa"/>
            <w:vMerge w:val="continue"/>
            <w:vAlign w:val="center"/>
          </w:tcPr>
          <w:p>
            <w:pPr>
              <w:jc w:val="center"/>
              <w:rPr>
                <w:sz w:val="21"/>
                <w:szCs w:val="21"/>
              </w:rPr>
            </w:pPr>
          </w:p>
        </w:tc>
        <w:tc>
          <w:tcPr>
            <w:tcW w:w="900" w:type="dxa"/>
            <w:vMerge w:val="continue"/>
            <w:vAlign w:val="center"/>
          </w:tcPr>
          <w:p>
            <w:pPr>
              <w:jc w:val="center"/>
              <w:rPr>
                <w:sz w:val="21"/>
                <w:szCs w:val="21"/>
              </w:rPr>
            </w:pPr>
          </w:p>
        </w:tc>
        <w:tc>
          <w:tcPr>
            <w:tcW w:w="1080" w:type="dxa"/>
            <w:vMerge w:val="continue"/>
            <w:vAlign w:val="center"/>
          </w:tcPr>
          <w:p>
            <w:pPr>
              <w:jc w:val="center"/>
              <w:rPr>
                <w:sz w:val="21"/>
                <w:szCs w:val="21"/>
              </w:rPr>
            </w:pPr>
          </w:p>
        </w:tc>
        <w:tc>
          <w:tcPr>
            <w:tcW w:w="1440" w:type="dxa"/>
            <w:vMerge w:val="continue"/>
            <w:vAlign w:val="center"/>
          </w:tcPr>
          <w:p>
            <w:pPr>
              <w:jc w:val="center"/>
              <w:rPr>
                <w:sz w:val="21"/>
                <w:szCs w:val="21"/>
              </w:rPr>
            </w:pPr>
          </w:p>
        </w:tc>
        <w:tc>
          <w:tcPr>
            <w:tcW w:w="900" w:type="dxa"/>
            <w:vMerge w:val="continue"/>
            <w:vAlign w:val="center"/>
          </w:tcPr>
          <w:p>
            <w:pPr>
              <w:pStyle w:val="26"/>
              <w:spacing w:line="240" w:lineRule="exact"/>
              <w:jc w:val="center"/>
              <w:rPr>
                <w:sz w:val="21"/>
                <w:szCs w:val="21"/>
              </w:rPr>
            </w:pPr>
          </w:p>
        </w:tc>
        <w:tc>
          <w:tcPr>
            <w:tcW w:w="900" w:type="dxa"/>
            <w:vMerge w:val="continue"/>
            <w:vAlign w:val="center"/>
          </w:tcPr>
          <w:p>
            <w:pPr>
              <w:pStyle w:val="26"/>
              <w:spacing w:line="240" w:lineRule="exact"/>
              <w:jc w:val="center"/>
              <w:rPr>
                <w:sz w:val="21"/>
                <w:szCs w:val="21"/>
              </w:rPr>
            </w:pPr>
          </w:p>
        </w:tc>
        <w:tc>
          <w:tcPr>
            <w:tcW w:w="1080" w:type="dxa"/>
            <w:vMerge w:val="continue"/>
            <w:vAlign w:val="center"/>
          </w:tcPr>
          <w:p>
            <w:pPr>
              <w:pStyle w:val="26"/>
              <w:spacing w:line="240" w:lineRule="exact"/>
              <w:jc w:val="center"/>
              <w:rPr>
                <w:sz w:val="21"/>
                <w:szCs w:val="21"/>
              </w:rPr>
            </w:pPr>
          </w:p>
        </w:tc>
        <w:tc>
          <w:tcPr>
            <w:tcW w:w="1080" w:type="dxa"/>
            <w:vMerge w:val="continue"/>
            <w:vAlign w:val="center"/>
          </w:tcPr>
          <w:p>
            <w:pPr>
              <w:pStyle w:val="16"/>
              <w:snapToGrid w:val="0"/>
              <w:spacing w:line="240" w:lineRule="exact"/>
              <w:jc w:val="center"/>
              <w:rPr>
                <w:sz w:val="21"/>
                <w:szCs w:val="21"/>
              </w:rPr>
            </w:pPr>
          </w:p>
        </w:tc>
        <w:tc>
          <w:tcPr>
            <w:tcW w:w="1080" w:type="dxa"/>
            <w:vMerge w:val="continue"/>
            <w:vAlign w:val="center"/>
          </w:tcPr>
          <w:p>
            <w:pPr>
              <w:jc w:val="center"/>
              <w:rPr>
                <w:sz w:val="21"/>
                <w:szCs w:val="21"/>
              </w:rPr>
            </w:pPr>
          </w:p>
        </w:tc>
        <w:tc>
          <w:tcPr>
            <w:tcW w:w="710" w:type="dxa"/>
            <w:vAlign w:val="center"/>
          </w:tcPr>
          <w:p>
            <w:pPr>
              <w:pStyle w:val="26"/>
              <w:spacing w:line="240" w:lineRule="exact"/>
              <w:jc w:val="center"/>
              <w:rPr>
                <w:sz w:val="21"/>
                <w:szCs w:val="21"/>
              </w:rPr>
            </w:pPr>
            <w:r>
              <w:rPr>
                <w:sz w:val="21"/>
                <w:szCs w:val="21"/>
              </w:rPr>
              <w:t>SO</w:t>
            </w:r>
            <w:r>
              <w:rPr>
                <w:sz w:val="21"/>
                <w:szCs w:val="21"/>
                <w:vertAlign w:val="subscript"/>
              </w:rPr>
              <w:t>2</w:t>
            </w:r>
          </w:p>
        </w:tc>
        <w:tc>
          <w:tcPr>
            <w:tcW w:w="1630" w:type="dxa"/>
            <w:gridSpan w:val="2"/>
            <w:vAlign w:val="center"/>
          </w:tcPr>
          <w:p>
            <w:pPr>
              <w:pStyle w:val="26"/>
              <w:spacing w:line="240" w:lineRule="exact"/>
              <w:jc w:val="center"/>
              <w:rPr>
                <w:rFonts w:hint="eastAsia"/>
                <w:sz w:val="21"/>
                <w:szCs w:val="21"/>
              </w:rPr>
            </w:pPr>
            <w:r>
              <w:rPr>
                <w:sz w:val="21"/>
                <w:szCs w:val="21"/>
              </w:rPr>
              <w:t>8.</w:t>
            </w:r>
            <w:r>
              <w:rPr>
                <w:rFonts w:hint="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3" w:hRule="atLeast"/>
          <w:jc w:val="center"/>
        </w:trPr>
        <w:tc>
          <w:tcPr>
            <w:tcW w:w="814" w:type="dxa"/>
            <w:vMerge w:val="continue"/>
            <w:vAlign w:val="center"/>
          </w:tcPr>
          <w:p>
            <w:pPr>
              <w:jc w:val="center"/>
              <w:rPr>
                <w:sz w:val="21"/>
                <w:szCs w:val="21"/>
              </w:rPr>
            </w:pPr>
          </w:p>
        </w:tc>
        <w:tc>
          <w:tcPr>
            <w:tcW w:w="2076" w:type="dxa"/>
            <w:vMerge w:val="continue"/>
            <w:vAlign w:val="center"/>
          </w:tcPr>
          <w:p>
            <w:pPr>
              <w:jc w:val="center"/>
              <w:rPr>
                <w:sz w:val="21"/>
                <w:szCs w:val="21"/>
              </w:rPr>
            </w:pPr>
          </w:p>
        </w:tc>
        <w:tc>
          <w:tcPr>
            <w:tcW w:w="900" w:type="dxa"/>
            <w:vMerge w:val="continue"/>
            <w:vAlign w:val="center"/>
          </w:tcPr>
          <w:p>
            <w:pPr>
              <w:jc w:val="center"/>
              <w:rPr>
                <w:sz w:val="21"/>
                <w:szCs w:val="21"/>
              </w:rPr>
            </w:pPr>
          </w:p>
        </w:tc>
        <w:tc>
          <w:tcPr>
            <w:tcW w:w="1080" w:type="dxa"/>
            <w:vMerge w:val="continue"/>
            <w:vAlign w:val="center"/>
          </w:tcPr>
          <w:p>
            <w:pPr>
              <w:jc w:val="center"/>
              <w:rPr>
                <w:sz w:val="21"/>
                <w:szCs w:val="21"/>
              </w:rPr>
            </w:pPr>
          </w:p>
        </w:tc>
        <w:tc>
          <w:tcPr>
            <w:tcW w:w="1440" w:type="dxa"/>
            <w:vMerge w:val="continue"/>
            <w:vAlign w:val="center"/>
          </w:tcPr>
          <w:p>
            <w:pPr>
              <w:jc w:val="center"/>
              <w:rPr>
                <w:sz w:val="21"/>
                <w:szCs w:val="21"/>
              </w:rPr>
            </w:pPr>
          </w:p>
        </w:tc>
        <w:tc>
          <w:tcPr>
            <w:tcW w:w="900" w:type="dxa"/>
            <w:vMerge w:val="continue"/>
            <w:vAlign w:val="center"/>
          </w:tcPr>
          <w:p>
            <w:pPr>
              <w:pStyle w:val="26"/>
              <w:spacing w:line="240" w:lineRule="exact"/>
              <w:jc w:val="center"/>
              <w:rPr>
                <w:sz w:val="21"/>
                <w:szCs w:val="21"/>
              </w:rPr>
            </w:pPr>
          </w:p>
        </w:tc>
        <w:tc>
          <w:tcPr>
            <w:tcW w:w="900" w:type="dxa"/>
            <w:vMerge w:val="continue"/>
            <w:vAlign w:val="center"/>
          </w:tcPr>
          <w:p>
            <w:pPr>
              <w:pStyle w:val="26"/>
              <w:spacing w:line="240" w:lineRule="exact"/>
              <w:jc w:val="center"/>
              <w:rPr>
                <w:sz w:val="21"/>
                <w:szCs w:val="21"/>
              </w:rPr>
            </w:pPr>
          </w:p>
        </w:tc>
        <w:tc>
          <w:tcPr>
            <w:tcW w:w="1080" w:type="dxa"/>
            <w:vMerge w:val="continue"/>
            <w:vAlign w:val="center"/>
          </w:tcPr>
          <w:p>
            <w:pPr>
              <w:pStyle w:val="26"/>
              <w:spacing w:line="240" w:lineRule="exact"/>
              <w:jc w:val="center"/>
              <w:rPr>
                <w:sz w:val="21"/>
                <w:szCs w:val="21"/>
              </w:rPr>
            </w:pPr>
          </w:p>
        </w:tc>
        <w:tc>
          <w:tcPr>
            <w:tcW w:w="1080" w:type="dxa"/>
            <w:vMerge w:val="continue"/>
            <w:vAlign w:val="center"/>
          </w:tcPr>
          <w:p>
            <w:pPr>
              <w:pStyle w:val="16"/>
              <w:snapToGrid w:val="0"/>
              <w:spacing w:line="240" w:lineRule="exact"/>
              <w:jc w:val="center"/>
              <w:rPr>
                <w:sz w:val="21"/>
                <w:szCs w:val="21"/>
              </w:rPr>
            </w:pPr>
          </w:p>
        </w:tc>
        <w:tc>
          <w:tcPr>
            <w:tcW w:w="1080" w:type="dxa"/>
            <w:vMerge w:val="continue"/>
            <w:vAlign w:val="center"/>
          </w:tcPr>
          <w:p>
            <w:pPr>
              <w:jc w:val="center"/>
              <w:rPr>
                <w:sz w:val="21"/>
                <w:szCs w:val="21"/>
              </w:rPr>
            </w:pPr>
          </w:p>
        </w:tc>
        <w:tc>
          <w:tcPr>
            <w:tcW w:w="710" w:type="dxa"/>
            <w:vMerge w:val="restart"/>
            <w:vAlign w:val="center"/>
          </w:tcPr>
          <w:p>
            <w:pPr>
              <w:pStyle w:val="26"/>
              <w:spacing w:line="240" w:lineRule="exact"/>
              <w:jc w:val="center"/>
              <w:rPr>
                <w:sz w:val="21"/>
                <w:szCs w:val="21"/>
              </w:rPr>
            </w:pPr>
            <w:r>
              <w:rPr>
                <w:sz w:val="21"/>
                <w:szCs w:val="21"/>
              </w:rPr>
              <w:t>NO</w:t>
            </w:r>
            <w:r>
              <w:rPr>
                <w:sz w:val="21"/>
                <w:szCs w:val="21"/>
                <w:vertAlign w:val="subscript"/>
              </w:rPr>
              <w:t>X</w:t>
            </w:r>
          </w:p>
        </w:tc>
        <w:tc>
          <w:tcPr>
            <w:tcW w:w="720" w:type="dxa"/>
            <w:vAlign w:val="center"/>
          </w:tcPr>
          <w:p>
            <w:pPr>
              <w:pStyle w:val="26"/>
              <w:spacing w:line="240" w:lineRule="exact"/>
              <w:jc w:val="center"/>
              <w:rPr>
                <w:sz w:val="21"/>
                <w:szCs w:val="21"/>
              </w:rPr>
            </w:pPr>
            <w:r>
              <w:rPr>
                <w:sz w:val="21"/>
                <w:szCs w:val="21"/>
              </w:rPr>
              <w:t>小时</w:t>
            </w:r>
          </w:p>
        </w:tc>
        <w:tc>
          <w:tcPr>
            <w:tcW w:w="910" w:type="dxa"/>
            <w:vAlign w:val="center"/>
          </w:tcPr>
          <w:p>
            <w:pPr>
              <w:pStyle w:val="26"/>
              <w:spacing w:line="240" w:lineRule="exact"/>
              <w:jc w:val="center"/>
              <w:rPr>
                <w:sz w:val="21"/>
                <w:szCs w:val="21"/>
              </w:rPr>
            </w:pPr>
            <w:r>
              <w:rPr>
                <w:sz w:val="21"/>
                <w:szCs w:val="21"/>
              </w:rPr>
              <w:t>60.48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3" w:hRule="atLeast"/>
          <w:jc w:val="center"/>
        </w:trPr>
        <w:tc>
          <w:tcPr>
            <w:tcW w:w="814" w:type="dxa"/>
            <w:vMerge w:val="continue"/>
            <w:vAlign w:val="center"/>
          </w:tcPr>
          <w:p>
            <w:pPr>
              <w:jc w:val="center"/>
              <w:rPr>
                <w:sz w:val="21"/>
                <w:szCs w:val="21"/>
              </w:rPr>
            </w:pPr>
          </w:p>
        </w:tc>
        <w:tc>
          <w:tcPr>
            <w:tcW w:w="2076" w:type="dxa"/>
            <w:vMerge w:val="continue"/>
            <w:vAlign w:val="center"/>
          </w:tcPr>
          <w:p>
            <w:pPr>
              <w:jc w:val="center"/>
              <w:rPr>
                <w:sz w:val="21"/>
                <w:szCs w:val="21"/>
              </w:rPr>
            </w:pPr>
          </w:p>
        </w:tc>
        <w:tc>
          <w:tcPr>
            <w:tcW w:w="900" w:type="dxa"/>
            <w:vMerge w:val="continue"/>
            <w:vAlign w:val="center"/>
          </w:tcPr>
          <w:p>
            <w:pPr>
              <w:jc w:val="center"/>
              <w:rPr>
                <w:sz w:val="21"/>
                <w:szCs w:val="21"/>
              </w:rPr>
            </w:pPr>
          </w:p>
        </w:tc>
        <w:tc>
          <w:tcPr>
            <w:tcW w:w="1080" w:type="dxa"/>
            <w:vMerge w:val="continue"/>
            <w:vAlign w:val="center"/>
          </w:tcPr>
          <w:p>
            <w:pPr>
              <w:jc w:val="center"/>
              <w:rPr>
                <w:sz w:val="21"/>
                <w:szCs w:val="21"/>
              </w:rPr>
            </w:pPr>
          </w:p>
        </w:tc>
        <w:tc>
          <w:tcPr>
            <w:tcW w:w="1440" w:type="dxa"/>
            <w:vMerge w:val="continue"/>
            <w:vAlign w:val="center"/>
          </w:tcPr>
          <w:p>
            <w:pPr>
              <w:jc w:val="center"/>
              <w:rPr>
                <w:sz w:val="21"/>
                <w:szCs w:val="21"/>
              </w:rPr>
            </w:pPr>
          </w:p>
        </w:tc>
        <w:tc>
          <w:tcPr>
            <w:tcW w:w="900" w:type="dxa"/>
            <w:vMerge w:val="continue"/>
            <w:vAlign w:val="center"/>
          </w:tcPr>
          <w:p>
            <w:pPr>
              <w:pStyle w:val="26"/>
              <w:spacing w:line="240" w:lineRule="exact"/>
              <w:jc w:val="center"/>
              <w:rPr>
                <w:sz w:val="21"/>
                <w:szCs w:val="21"/>
              </w:rPr>
            </w:pPr>
          </w:p>
        </w:tc>
        <w:tc>
          <w:tcPr>
            <w:tcW w:w="900" w:type="dxa"/>
            <w:vMerge w:val="continue"/>
            <w:vAlign w:val="center"/>
          </w:tcPr>
          <w:p>
            <w:pPr>
              <w:pStyle w:val="26"/>
              <w:spacing w:line="240" w:lineRule="exact"/>
              <w:jc w:val="center"/>
              <w:rPr>
                <w:sz w:val="21"/>
                <w:szCs w:val="21"/>
              </w:rPr>
            </w:pPr>
          </w:p>
        </w:tc>
        <w:tc>
          <w:tcPr>
            <w:tcW w:w="1080" w:type="dxa"/>
            <w:vMerge w:val="continue"/>
            <w:vAlign w:val="center"/>
          </w:tcPr>
          <w:p>
            <w:pPr>
              <w:pStyle w:val="26"/>
              <w:spacing w:line="240" w:lineRule="exact"/>
              <w:jc w:val="center"/>
              <w:rPr>
                <w:sz w:val="21"/>
                <w:szCs w:val="21"/>
              </w:rPr>
            </w:pPr>
          </w:p>
        </w:tc>
        <w:tc>
          <w:tcPr>
            <w:tcW w:w="1080" w:type="dxa"/>
            <w:vMerge w:val="continue"/>
            <w:vAlign w:val="center"/>
          </w:tcPr>
          <w:p>
            <w:pPr>
              <w:pStyle w:val="16"/>
              <w:snapToGrid w:val="0"/>
              <w:spacing w:line="240" w:lineRule="exact"/>
              <w:jc w:val="center"/>
              <w:rPr>
                <w:sz w:val="21"/>
                <w:szCs w:val="21"/>
              </w:rPr>
            </w:pPr>
          </w:p>
        </w:tc>
        <w:tc>
          <w:tcPr>
            <w:tcW w:w="1080" w:type="dxa"/>
            <w:vMerge w:val="continue"/>
            <w:vAlign w:val="center"/>
          </w:tcPr>
          <w:p>
            <w:pPr>
              <w:jc w:val="center"/>
              <w:rPr>
                <w:sz w:val="21"/>
                <w:szCs w:val="21"/>
              </w:rPr>
            </w:pPr>
          </w:p>
        </w:tc>
        <w:tc>
          <w:tcPr>
            <w:tcW w:w="710" w:type="dxa"/>
            <w:vMerge w:val="continue"/>
            <w:vAlign w:val="center"/>
          </w:tcPr>
          <w:p>
            <w:pPr>
              <w:pStyle w:val="26"/>
              <w:spacing w:line="240" w:lineRule="exact"/>
              <w:jc w:val="center"/>
              <w:rPr>
                <w:sz w:val="21"/>
                <w:szCs w:val="21"/>
              </w:rPr>
            </w:pPr>
          </w:p>
        </w:tc>
        <w:tc>
          <w:tcPr>
            <w:tcW w:w="720" w:type="dxa"/>
            <w:vAlign w:val="center"/>
          </w:tcPr>
          <w:p>
            <w:pPr>
              <w:pStyle w:val="26"/>
              <w:spacing w:line="240" w:lineRule="exact"/>
              <w:jc w:val="center"/>
              <w:rPr>
                <w:sz w:val="21"/>
                <w:szCs w:val="21"/>
              </w:rPr>
            </w:pPr>
            <w:r>
              <w:rPr>
                <w:sz w:val="21"/>
                <w:szCs w:val="21"/>
              </w:rPr>
              <w:t>年</w:t>
            </w:r>
          </w:p>
        </w:tc>
        <w:tc>
          <w:tcPr>
            <w:tcW w:w="910" w:type="dxa"/>
            <w:vAlign w:val="center"/>
          </w:tcPr>
          <w:p>
            <w:pPr>
              <w:pStyle w:val="26"/>
              <w:spacing w:line="240" w:lineRule="exact"/>
              <w:jc w:val="center"/>
              <w:rPr>
                <w:sz w:val="21"/>
                <w:szCs w:val="21"/>
              </w:rPr>
            </w:pPr>
            <w:r>
              <w:rPr>
                <w:sz w:val="21"/>
                <w:szCs w:val="21"/>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7" w:hRule="atLeast"/>
          <w:jc w:val="center"/>
        </w:trPr>
        <w:tc>
          <w:tcPr>
            <w:tcW w:w="814" w:type="dxa"/>
            <w:vAlign w:val="center"/>
          </w:tcPr>
          <w:p>
            <w:pPr>
              <w:jc w:val="center"/>
              <w:rPr>
                <w:sz w:val="21"/>
                <w:szCs w:val="21"/>
              </w:rPr>
            </w:pPr>
            <w:r>
              <w:rPr>
                <w:sz w:val="21"/>
                <w:szCs w:val="21"/>
              </w:rPr>
              <w:t>8</w:t>
            </w:r>
          </w:p>
        </w:tc>
        <w:tc>
          <w:tcPr>
            <w:tcW w:w="2076" w:type="dxa"/>
            <w:vAlign w:val="center"/>
          </w:tcPr>
          <w:p>
            <w:pPr>
              <w:jc w:val="center"/>
              <w:rPr>
                <w:sz w:val="21"/>
                <w:szCs w:val="21"/>
              </w:rPr>
            </w:pPr>
            <w:r>
              <w:rPr>
                <w:sz w:val="21"/>
                <w:szCs w:val="21"/>
              </w:rPr>
              <w:t>生料均化库顶</w:t>
            </w:r>
          </w:p>
        </w:tc>
        <w:tc>
          <w:tcPr>
            <w:tcW w:w="900" w:type="dxa"/>
            <w:vAlign w:val="center"/>
          </w:tcPr>
          <w:p>
            <w:pPr>
              <w:jc w:val="center"/>
              <w:rPr>
                <w:rFonts w:hint="eastAsia"/>
                <w:sz w:val="21"/>
                <w:szCs w:val="21"/>
              </w:rPr>
            </w:pPr>
            <w:r>
              <w:rPr>
                <w:rFonts w:hint="eastAsia"/>
                <w:sz w:val="21"/>
                <w:szCs w:val="21"/>
              </w:rPr>
              <w:t>624106</w:t>
            </w:r>
          </w:p>
        </w:tc>
        <w:tc>
          <w:tcPr>
            <w:tcW w:w="1080" w:type="dxa"/>
            <w:vAlign w:val="center"/>
          </w:tcPr>
          <w:p>
            <w:pPr>
              <w:jc w:val="center"/>
              <w:rPr>
                <w:rFonts w:hint="eastAsia"/>
                <w:sz w:val="21"/>
                <w:szCs w:val="21"/>
              </w:rPr>
            </w:pPr>
            <w:r>
              <w:rPr>
                <w:rFonts w:hint="eastAsia"/>
                <w:sz w:val="21"/>
                <w:szCs w:val="21"/>
              </w:rPr>
              <w:t>3283113</w:t>
            </w:r>
          </w:p>
        </w:tc>
        <w:tc>
          <w:tcPr>
            <w:tcW w:w="1440" w:type="dxa"/>
            <w:vAlign w:val="center"/>
          </w:tcPr>
          <w:p>
            <w:pPr>
              <w:pStyle w:val="26"/>
              <w:spacing w:line="240" w:lineRule="exact"/>
              <w:jc w:val="center"/>
              <w:rPr>
                <w:sz w:val="21"/>
                <w:szCs w:val="21"/>
              </w:rPr>
            </w:pPr>
            <w:r>
              <w:rPr>
                <w:sz w:val="21"/>
                <w:szCs w:val="21"/>
              </w:rPr>
              <w:t>339</w:t>
            </w:r>
          </w:p>
        </w:tc>
        <w:tc>
          <w:tcPr>
            <w:tcW w:w="900" w:type="dxa"/>
            <w:vAlign w:val="center"/>
          </w:tcPr>
          <w:p>
            <w:pPr>
              <w:pStyle w:val="26"/>
              <w:spacing w:line="240" w:lineRule="exact"/>
              <w:jc w:val="center"/>
              <w:rPr>
                <w:sz w:val="21"/>
                <w:szCs w:val="21"/>
              </w:rPr>
            </w:pPr>
            <w:r>
              <w:rPr>
                <w:sz w:val="21"/>
                <w:szCs w:val="21"/>
              </w:rPr>
              <w:t>65</w:t>
            </w:r>
          </w:p>
        </w:tc>
        <w:tc>
          <w:tcPr>
            <w:tcW w:w="900" w:type="dxa"/>
            <w:vAlign w:val="center"/>
          </w:tcPr>
          <w:p>
            <w:pPr>
              <w:pStyle w:val="26"/>
              <w:spacing w:line="240" w:lineRule="exact"/>
              <w:jc w:val="center"/>
              <w:rPr>
                <w:rFonts w:hint="eastAsia"/>
                <w:sz w:val="21"/>
                <w:szCs w:val="21"/>
              </w:rPr>
            </w:pPr>
            <w:r>
              <w:rPr>
                <w:rFonts w:hint="eastAsia"/>
                <w:sz w:val="21"/>
                <w:szCs w:val="21"/>
              </w:rPr>
              <w:t>0.98</w:t>
            </w:r>
          </w:p>
        </w:tc>
        <w:tc>
          <w:tcPr>
            <w:tcW w:w="1080" w:type="dxa"/>
            <w:vAlign w:val="center"/>
          </w:tcPr>
          <w:p>
            <w:pPr>
              <w:pStyle w:val="26"/>
              <w:spacing w:line="240" w:lineRule="exact"/>
              <w:jc w:val="center"/>
              <w:rPr>
                <w:sz w:val="21"/>
                <w:szCs w:val="21"/>
              </w:rPr>
            </w:pPr>
            <w:r>
              <w:rPr>
                <w:sz w:val="21"/>
                <w:szCs w:val="21"/>
              </w:rPr>
              <w:t>7.944</w:t>
            </w:r>
          </w:p>
        </w:tc>
        <w:tc>
          <w:tcPr>
            <w:tcW w:w="1080" w:type="dxa"/>
            <w:vAlign w:val="center"/>
          </w:tcPr>
          <w:p>
            <w:pPr>
              <w:pStyle w:val="26"/>
              <w:spacing w:line="240" w:lineRule="exact"/>
              <w:jc w:val="center"/>
              <w:rPr>
                <w:sz w:val="21"/>
                <w:szCs w:val="21"/>
              </w:rPr>
            </w:pPr>
            <w:r>
              <w:rPr>
                <w:sz w:val="21"/>
                <w:szCs w:val="21"/>
              </w:rPr>
              <w:t>40</w:t>
            </w:r>
          </w:p>
        </w:tc>
        <w:tc>
          <w:tcPr>
            <w:tcW w:w="1080" w:type="dxa"/>
            <w:vAlign w:val="center"/>
          </w:tcPr>
          <w:p>
            <w:pPr>
              <w:jc w:val="center"/>
              <w:rPr>
                <w:sz w:val="21"/>
                <w:szCs w:val="21"/>
              </w:rPr>
            </w:pPr>
            <w:r>
              <w:rPr>
                <w:sz w:val="21"/>
                <w:szCs w:val="21"/>
              </w:rPr>
              <w:t>7440</w:t>
            </w:r>
          </w:p>
        </w:tc>
        <w:tc>
          <w:tcPr>
            <w:tcW w:w="710" w:type="dxa"/>
            <w:vAlign w:val="center"/>
          </w:tcPr>
          <w:p>
            <w:pPr>
              <w:pStyle w:val="26"/>
              <w:spacing w:line="240" w:lineRule="exact"/>
              <w:jc w:val="center"/>
              <w:rPr>
                <w:sz w:val="21"/>
                <w:szCs w:val="21"/>
              </w:rPr>
            </w:pPr>
            <w:r>
              <w:rPr>
                <w:sz w:val="21"/>
                <w:szCs w:val="21"/>
              </w:rPr>
              <w:t>粉尘</w:t>
            </w:r>
          </w:p>
        </w:tc>
        <w:tc>
          <w:tcPr>
            <w:tcW w:w="1630" w:type="dxa"/>
            <w:gridSpan w:val="2"/>
            <w:vAlign w:val="center"/>
          </w:tcPr>
          <w:p>
            <w:pPr>
              <w:pStyle w:val="26"/>
              <w:spacing w:line="240" w:lineRule="exact"/>
              <w:jc w:val="center"/>
              <w:rPr>
                <w:rFonts w:hint="eastAsia"/>
                <w:sz w:val="21"/>
                <w:szCs w:val="21"/>
              </w:rPr>
            </w:pPr>
            <w:r>
              <w:rPr>
                <w:rFonts w:hint="eastAsia"/>
                <w:sz w:val="21"/>
                <w:szCs w:val="21"/>
              </w:rPr>
              <w:t>0.184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atLeast"/>
          <w:jc w:val="center"/>
        </w:trPr>
        <w:tc>
          <w:tcPr>
            <w:tcW w:w="814" w:type="dxa"/>
            <w:vAlign w:val="center"/>
          </w:tcPr>
          <w:p>
            <w:pPr>
              <w:jc w:val="center"/>
              <w:rPr>
                <w:sz w:val="21"/>
                <w:szCs w:val="21"/>
              </w:rPr>
            </w:pPr>
            <w:r>
              <w:rPr>
                <w:sz w:val="21"/>
                <w:szCs w:val="21"/>
              </w:rPr>
              <w:t>9</w:t>
            </w:r>
          </w:p>
        </w:tc>
        <w:tc>
          <w:tcPr>
            <w:tcW w:w="2076" w:type="dxa"/>
            <w:vAlign w:val="center"/>
          </w:tcPr>
          <w:p>
            <w:pPr>
              <w:jc w:val="center"/>
              <w:rPr>
                <w:sz w:val="21"/>
                <w:szCs w:val="21"/>
              </w:rPr>
            </w:pPr>
            <w:r>
              <w:rPr>
                <w:sz w:val="21"/>
                <w:szCs w:val="21"/>
              </w:rPr>
              <w:t>生料均化库底</w:t>
            </w:r>
          </w:p>
        </w:tc>
        <w:tc>
          <w:tcPr>
            <w:tcW w:w="900" w:type="dxa"/>
            <w:vAlign w:val="center"/>
          </w:tcPr>
          <w:p>
            <w:pPr>
              <w:jc w:val="center"/>
              <w:rPr>
                <w:rFonts w:hint="eastAsia"/>
                <w:sz w:val="21"/>
                <w:szCs w:val="21"/>
              </w:rPr>
            </w:pPr>
            <w:r>
              <w:rPr>
                <w:rFonts w:hint="eastAsia"/>
                <w:sz w:val="21"/>
                <w:szCs w:val="21"/>
              </w:rPr>
              <w:t>624105</w:t>
            </w:r>
          </w:p>
        </w:tc>
        <w:tc>
          <w:tcPr>
            <w:tcW w:w="1080" w:type="dxa"/>
            <w:vAlign w:val="center"/>
          </w:tcPr>
          <w:p>
            <w:pPr>
              <w:jc w:val="center"/>
              <w:rPr>
                <w:rFonts w:hint="eastAsia"/>
                <w:sz w:val="21"/>
                <w:szCs w:val="21"/>
              </w:rPr>
            </w:pPr>
            <w:r>
              <w:rPr>
                <w:rFonts w:hint="eastAsia"/>
                <w:sz w:val="21"/>
                <w:szCs w:val="21"/>
              </w:rPr>
              <w:t>3283105</w:t>
            </w:r>
          </w:p>
        </w:tc>
        <w:tc>
          <w:tcPr>
            <w:tcW w:w="1440" w:type="dxa"/>
            <w:vAlign w:val="center"/>
          </w:tcPr>
          <w:p>
            <w:pPr>
              <w:jc w:val="center"/>
              <w:rPr>
                <w:sz w:val="21"/>
                <w:szCs w:val="21"/>
              </w:rPr>
            </w:pPr>
            <w:r>
              <w:rPr>
                <w:sz w:val="21"/>
                <w:szCs w:val="21"/>
              </w:rPr>
              <w:t>339</w:t>
            </w:r>
          </w:p>
        </w:tc>
        <w:tc>
          <w:tcPr>
            <w:tcW w:w="900" w:type="dxa"/>
            <w:vAlign w:val="center"/>
          </w:tcPr>
          <w:p>
            <w:pPr>
              <w:pStyle w:val="26"/>
              <w:spacing w:line="240" w:lineRule="exact"/>
              <w:jc w:val="center"/>
              <w:rPr>
                <w:sz w:val="21"/>
                <w:szCs w:val="21"/>
              </w:rPr>
            </w:pPr>
            <w:r>
              <w:rPr>
                <w:sz w:val="21"/>
                <w:szCs w:val="21"/>
              </w:rPr>
              <w:t>15</w:t>
            </w:r>
          </w:p>
        </w:tc>
        <w:tc>
          <w:tcPr>
            <w:tcW w:w="900" w:type="dxa"/>
            <w:vAlign w:val="center"/>
          </w:tcPr>
          <w:p>
            <w:pPr>
              <w:pStyle w:val="26"/>
              <w:spacing w:line="240" w:lineRule="exact"/>
              <w:jc w:val="center"/>
              <w:rPr>
                <w:rFonts w:hint="eastAsia"/>
                <w:sz w:val="21"/>
                <w:szCs w:val="21"/>
              </w:rPr>
            </w:pPr>
            <w:r>
              <w:rPr>
                <w:rFonts w:hint="eastAsia"/>
                <w:sz w:val="21"/>
                <w:szCs w:val="21"/>
              </w:rPr>
              <w:t>0.64</w:t>
            </w:r>
          </w:p>
        </w:tc>
        <w:tc>
          <w:tcPr>
            <w:tcW w:w="1080" w:type="dxa"/>
            <w:vAlign w:val="center"/>
          </w:tcPr>
          <w:p>
            <w:pPr>
              <w:pStyle w:val="26"/>
              <w:spacing w:line="240" w:lineRule="exact"/>
              <w:jc w:val="center"/>
              <w:rPr>
                <w:sz w:val="21"/>
                <w:szCs w:val="21"/>
              </w:rPr>
            </w:pPr>
            <w:r>
              <w:rPr>
                <w:sz w:val="21"/>
                <w:szCs w:val="21"/>
              </w:rPr>
              <w:t>11.708</w:t>
            </w:r>
          </w:p>
        </w:tc>
        <w:tc>
          <w:tcPr>
            <w:tcW w:w="1080" w:type="dxa"/>
            <w:vAlign w:val="center"/>
          </w:tcPr>
          <w:p>
            <w:pPr>
              <w:pStyle w:val="26"/>
              <w:spacing w:line="240" w:lineRule="exact"/>
              <w:jc w:val="center"/>
              <w:rPr>
                <w:sz w:val="21"/>
                <w:szCs w:val="21"/>
              </w:rPr>
            </w:pPr>
            <w:r>
              <w:rPr>
                <w:sz w:val="21"/>
                <w:szCs w:val="21"/>
              </w:rPr>
              <w:t>40</w:t>
            </w:r>
          </w:p>
        </w:tc>
        <w:tc>
          <w:tcPr>
            <w:tcW w:w="1080" w:type="dxa"/>
            <w:vAlign w:val="center"/>
          </w:tcPr>
          <w:p>
            <w:pPr>
              <w:jc w:val="center"/>
              <w:rPr>
                <w:sz w:val="21"/>
                <w:szCs w:val="21"/>
              </w:rPr>
            </w:pPr>
            <w:r>
              <w:rPr>
                <w:sz w:val="21"/>
                <w:szCs w:val="21"/>
              </w:rPr>
              <w:t>7440</w:t>
            </w:r>
          </w:p>
        </w:tc>
        <w:tc>
          <w:tcPr>
            <w:tcW w:w="710" w:type="dxa"/>
            <w:vAlign w:val="center"/>
          </w:tcPr>
          <w:p>
            <w:pPr>
              <w:pStyle w:val="26"/>
              <w:spacing w:line="240" w:lineRule="exact"/>
              <w:jc w:val="center"/>
              <w:rPr>
                <w:sz w:val="21"/>
                <w:szCs w:val="21"/>
              </w:rPr>
            </w:pPr>
            <w:r>
              <w:rPr>
                <w:sz w:val="21"/>
                <w:szCs w:val="21"/>
              </w:rPr>
              <w:t>粉尘</w:t>
            </w:r>
          </w:p>
        </w:tc>
        <w:tc>
          <w:tcPr>
            <w:tcW w:w="1630" w:type="dxa"/>
            <w:gridSpan w:val="2"/>
            <w:vAlign w:val="center"/>
          </w:tcPr>
          <w:p>
            <w:pPr>
              <w:pStyle w:val="26"/>
              <w:spacing w:line="240" w:lineRule="exact"/>
              <w:jc w:val="center"/>
              <w:rPr>
                <w:rFonts w:hint="eastAsia"/>
                <w:sz w:val="21"/>
                <w:szCs w:val="21"/>
              </w:rPr>
            </w:pPr>
            <w:r>
              <w:rPr>
                <w:rFonts w:hint="eastAsia"/>
                <w:sz w:val="21"/>
                <w:szCs w:val="21"/>
              </w:rPr>
              <w:t>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2" w:hRule="atLeast"/>
          <w:jc w:val="center"/>
        </w:trPr>
        <w:tc>
          <w:tcPr>
            <w:tcW w:w="814" w:type="dxa"/>
            <w:vAlign w:val="center"/>
          </w:tcPr>
          <w:p>
            <w:pPr>
              <w:jc w:val="center"/>
              <w:rPr>
                <w:sz w:val="21"/>
                <w:szCs w:val="21"/>
              </w:rPr>
            </w:pPr>
            <w:r>
              <w:rPr>
                <w:sz w:val="21"/>
                <w:szCs w:val="21"/>
              </w:rPr>
              <w:t>10</w:t>
            </w:r>
          </w:p>
        </w:tc>
        <w:tc>
          <w:tcPr>
            <w:tcW w:w="2076" w:type="dxa"/>
            <w:vAlign w:val="center"/>
          </w:tcPr>
          <w:p>
            <w:pPr>
              <w:jc w:val="center"/>
              <w:rPr>
                <w:sz w:val="21"/>
                <w:szCs w:val="21"/>
              </w:rPr>
            </w:pPr>
            <w:r>
              <w:rPr>
                <w:sz w:val="21"/>
                <w:szCs w:val="21"/>
              </w:rPr>
              <w:t>窑头</w:t>
            </w:r>
          </w:p>
        </w:tc>
        <w:tc>
          <w:tcPr>
            <w:tcW w:w="900" w:type="dxa"/>
            <w:vAlign w:val="center"/>
          </w:tcPr>
          <w:p>
            <w:pPr>
              <w:jc w:val="center"/>
              <w:rPr>
                <w:rFonts w:hint="eastAsia"/>
                <w:sz w:val="21"/>
                <w:szCs w:val="21"/>
              </w:rPr>
            </w:pPr>
            <w:r>
              <w:rPr>
                <w:rFonts w:hint="eastAsia"/>
                <w:sz w:val="21"/>
                <w:szCs w:val="21"/>
              </w:rPr>
              <w:t>624087</w:t>
            </w:r>
          </w:p>
        </w:tc>
        <w:tc>
          <w:tcPr>
            <w:tcW w:w="1080" w:type="dxa"/>
            <w:vAlign w:val="center"/>
          </w:tcPr>
          <w:p>
            <w:pPr>
              <w:jc w:val="center"/>
              <w:rPr>
                <w:rFonts w:hint="eastAsia"/>
                <w:sz w:val="21"/>
                <w:szCs w:val="21"/>
              </w:rPr>
            </w:pPr>
            <w:r>
              <w:rPr>
                <w:rFonts w:hint="eastAsia"/>
                <w:sz w:val="21"/>
                <w:szCs w:val="21"/>
              </w:rPr>
              <w:t>3283184</w:t>
            </w:r>
          </w:p>
        </w:tc>
        <w:tc>
          <w:tcPr>
            <w:tcW w:w="1440" w:type="dxa"/>
            <w:vAlign w:val="center"/>
          </w:tcPr>
          <w:p>
            <w:pPr>
              <w:jc w:val="center"/>
              <w:rPr>
                <w:sz w:val="21"/>
                <w:szCs w:val="21"/>
              </w:rPr>
            </w:pPr>
            <w:r>
              <w:rPr>
                <w:sz w:val="21"/>
                <w:szCs w:val="21"/>
              </w:rPr>
              <w:t>339</w:t>
            </w:r>
          </w:p>
        </w:tc>
        <w:tc>
          <w:tcPr>
            <w:tcW w:w="900" w:type="dxa"/>
            <w:vAlign w:val="center"/>
          </w:tcPr>
          <w:p>
            <w:pPr>
              <w:pStyle w:val="26"/>
              <w:spacing w:line="240" w:lineRule="exact"/>
              <w:jc w:val="center"/>
              <w:rPr>
                <w:sz w:val="21"/>
                <w:szCs w:val="21"/>
              </w:rPr>
            </w:pPr>
            <w:r>
              <w:rPr>
                <w:sz w:val="21"/>
                <w:szCs w:val="21"/>
              </w:rPr>
              <w:t>40</w:t>
            </w:r>
          </w:p>
        </w:tc>
        <w:tc>
          <w:tcPr>
            <w:tcW w:w="900" w:type="dxa"/>
            <w:vAlign w:val="center"/>
          </w:tcPr>
          <w:p>
            <w:pPr>
              <w:pStyle w:val="26"/>
              <w:spacing w:line="240" w:lineRule="exact"/>
              <w:jc w:val="center"/>
              <w:rPr>
                <w:sz w:val="21"/>
                <w:szCs w:val="21"/>
              </w:rPr>
            </w:pPr>
            <w:r>
              <w:rPr>
                <w:sz w:val="21"/>
                <w:szCs w:val="21"/>
              </w:rPr>
              <w:t>2.5</w:t>
            </w:r>
          </w:p>
        </w:tc>
        <w:tc>
          <w:tcPr>
            <w:tcW w:w="1080" w:type="dxa"/>
            <w:vAlign w:val="center"/>
          </w:tcPr>
          <w:p>
            <w:pPr>
              <w:pStyle w:val="26"/>
              <w:spacing w:line="240" w:lineRule="exact"/>
              <w:jc w:val="center"/>
              <w:rPr>
                <w:sz w:val="21"/>
                <w:szCs w:val="21"/>
              </w:rPr>
            </w:pPr>
            <w:r>
              <w:rPr>
                <w:sz w:val="21"/>
                <w:szCs w:val="21"/>
              </w:rPr>
              <w:t>15.853</w:t>
            </w:r>
          </w:p>
        </w:tc>
        <w:tc>
          <w:tcPr>
            <w:tcW w:w="1080" w:type="dxa"/>
            <w:vAlign w:val="center"/>
          </w:tcPr>
          <w:p>
            <w:pPr>
              <w:pStyle w:val="26"/>
              <w:spacing w:line="240" w:lineRule="exact"/>
              <w:jc w:val="center"/>
              <w:rPr>
                <w:sz w:val="21"/>
                <w:szCs w:val="21"/>
              </w:rPr>
            </w:pPr>
            <w:r>
              <w:rPr>
                <w:sz w:val="21"/>
                <w:szCs w:val="21"/>
              </w:rPr>
              <w:t>150</w:t>
            </w:r>
          </w:p>
        </w:tc>
        <w:tc>
          <w:tcPr>
            <w:tcW w:w="1080" w:type="dxa"/>
            <w:vAlign w:val="center"/>
          </w:tcPr>
          <w:p>
            <w:pPr>
              <w:jc w:val="center"/>
              <w:rPr>
                <w:sz w:val="21"/>
                <w:szCs w:val="21"/>
              </w:rPr>
            </w:pPr>
            <w:r>
              <w:rPr>
                <w:sz w:val="21"/>
                <w:szCs w:val="21"/>
              </w:rPr>
              <w:t>7440</w:t>
            </w:r>
          </w:p>
        </w:tc>
        <w:tc>
          <w:tcPr>
            <w:tcW w:w="710" w:type="dxa"/>
            <w:vAlign w:val="center"/>
          </w:tcPr>
          <w:p>
            <w:pPr>
              <w:pStyle w:val="26"/>
              <w:spacing w:line="240" w:lineRule="exact"/>
              <w:jc w:val="center"/>
              <w:rPr>
                <w:sz w:val="21"/>
                <w:szCs w:val="21"/>
              </w:rPr>
            </w:pPr>
            <w:r>
              <w:rPr>
                <w:sz w:val="21"/>
                <w:szCs w:val="21"/>
              </w:rPr>
              <w:t>粉尘</w:t>
            </w:r>
          </w:p>
        </w:tc>
        <w:tc>
          <w:tcPr>
            <w:tcW w:w="1630" w:type="dxa"/>
            <w:gridSpan w:val="2"/>
            <w:vAlign w:val="center"/>
          </w:tcPr>
          <w:p>
            <w:pPr>
              <w:pStyle w:val="26"/>
              <w:spacing w:line="240" w:lineRule="exact"/>
              <w:jc w:val="center"/>
              <w:rPr>
                <w:sz w:val="21"/>
                <w:szCs w:val="21"/>
              </w:rPr>
            </w:pPr>
            <w:r>
              <w:rPr>
                <w:sz w:val="21"/>
                <w:szCs w:val="21"/>
              </w:rPr>
              <w:t>2.333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7" w:hRule="atLeast"/>
          <w:jc w:val="center"/>
        </w:trPr>
        <w:tc>
          <w:tcPr>
            <w:tcW w:w="814" w:type="dxa"/>
            <w:vAlign w:val="center"/>
          </w:tcPr>
          <w:p>
            <w:pPr>
              <w:jc w:val="center"/>
              <w:rPr>
                <w:sz w:val="21"/>
                <w:szCs w:val="21"/>
              </w:rPr>
            </w:pPr>
            <w:r>
              <w:rPr>
                <w:sz w:val="21"/>
                <w:szCs w:val="21"/>
              </w:rPr>
              <w:t>11</w:t>
            </w:r>
          </w:p>
        </w:tc>
        <w:tc>
          <w:tcPr>
            <w:tcW w:w="2076" w:type="dxa"/>
            <w:vAlign w:val="center"/>
          </w:tcPr>
          <w:p>
            <w:pPr>
              <w:jc w:val="center"/>
              <w:rPr>
                <w:sz w:val="21"/>
                <w:szCs w:val="21"/>
              </w:rPr>
            </w:pPr>
            <w:r>
              <w:rPr>
                <w:sz w:val="21"/>
                <w:szCs w:val="21"/>
              </w:rPr>
              <w:t>熟料库底</w:t>
            </w:r>
          </w:p>
        </w:tc>
        <w:tc>
          <w:tcPr>
            <w:tcW w:w="900" w:type="dxa"/>
            <w:vAlign w:val="center"/>
          </w:tcPr>
          <w:p>
            <w:pPr>
              <w:jc w:val="center"/>
              <w:rPr>
                <w:rFonts w:hint="eastAsia"/>
                <w:sz w:val="21"/>
                <w:szCs w:val="21"/>
              </w:rPr>
            </w:pPr>
            <w:r>
              <w:rPr>
                <w:rFonts w:hint="eastAsia"/>
                <w:sz w:val="21"/>
                <w:szCs w:val="21"/>
              </w:rPr>
              <w:t>624140</w:t>
            </w:r>
          </w:p>
        </w:tc>
        <w:tc>
          <w:tcPr>
            <w:tcW w:w="1080" w:type="dxa"/>
            <w:vAlign w:val="center"/>
          </w:tcPr>
          <w:p>
            <w:pPr>
              <w:jc w:val="center"/>
              <w:rPr>
                <w:rFonts w:hint="eastAsia"/>
                <w:sz w:val="21"/>
                <w:szCs w:val="21"/>
              </w:rPr>
            </w:pPr>
            <w:r>
              <w:rPr>
                <w:rFonts w:hint="eastAsia"/>
                <w:sz w:val="21"/>
                <w:szCs w:val="21"/>
              </w:rPr>
              <w:t>3283225</w:t>
            </w:r>
          </w:p>
        </w:tc>
        <w:tc>
          <w:tcPr>
            <w:tcW w:w="1440" w:type="dxa"/>
            <w:vAlign w:val="center"/>
          </w:tcPr>
          <w:p>
            <w:pPr>
              <w:jc w:val="center"/>
              <w:rPr>
                <w:sz w:val="21"/>
                <w:szCs w:val="21"/>
              </w:rPr>
            </w:pPr>
            <w:r>
              <w:rPr>
                <w:sz w:val="21"/>
                <w:szCs w:val="21"/>
              </w:rPr>
              <w:t>339</w:t>
            </w:r>
          </w:p>
        </w:tc>
        <w:tc>
          <w:tcPr>
            <w:tcW w:w="900" w:type="dxa"/>
            <w:vAlign w:val="center"/>
          </w:tcPr>
          <w:p>
            <w:pPr>
              <w:pStyle w:val="26"/>
              <w:spacing w:line="240" w:lineRule="exact"/>
              <w:jc w:val="center"/>
              <w:rPr>
                <w:sz w:val="21"/>
                <w:szCs w:val="21"/>
              </w:rPr>
            </w:pPr>
            <w:r>
              <w:rPr>
                <w:sz w:val="21"/>
                <w:szCs w:val="21"/>
              </w:rPr>
              <w:t>15</w:t>
            </w:r>
          </w:p>
        </w:tc>
        <w:tc>
          <w:tcPr>
            <w:tcW w:w="900" w:type="dxa"/>
            <w:vAlign w:val="center"/>
          </w:tcPr>
          <w:p>
            <w:pPr>
              <w:pStyle w:val="26"/>
              <w:spacing w:line="240" w:lineRule="exact"/>
              <w:jc w:val="center"/>
              <w:rPr>
                <w:rFonts w:hint="eastAsia"/>
                <w:sz w:val="21"/>
                <w:szCs w:val="21"/>
              </w:rPr>
            </w:pPr>
            <w:r>
              <w:rPr>
                <w:rFonts w:hint="eastAsia"/>
                <w:sz w:val="21"/>
                <w:szCs w:val="21"/>
              </w:rPr>
              <w:t>0.84</w:t>
            </w:r>
          </w:p>
        </w:tc>
        <w:tc>
          <w:tcPr>
            <w:tcW w:w="1080" w:type="dxa"/>
            <w:vAlign w:val="center"/>
          </w:tcPr>
          <w:p>
            <w:pPr>
              <w:pStyle w:val="26"/>
              <w:spacing w:line="240" w:lineRule="exact"/>
              <w:jc w:val="center"/>
              <w:rPr>
                <w:sz w:val="21"/>
                <w:szCs w:val="21"/>
              </w:rPr>
            </w:pPr>
            <w:r>
              <w:rPr>
                <w:sz w:val="21"/>
                <w:szCs w:val="21"/>
              </w:rPr>
              <w:t>11.795</w:t>
            </w:r>
          </w:p>
        </w:tc>
        <w:tc>
          <w:tcPr>
            <w:tcW w:w="1080" w:type="dxa"/>
            <w:vAlign w:val="center"/>
          </w:tcPr>
          <w:p>
            <w:pPr>
              <w:pStyle w:val="26"/>
              <w:spacing w:line="240" w:lineRule="exact"/>
              <w:jc w:val="center"/>
              <w:rPr>
                <w:sz w:val="21"/>
                <w:szCs w:val="21"/>
              </w:rPr>
            </w:pPr>
            <w:r>
              <w:rPr>
                <w:sz w:val="21"/>
                <w:szCs w:val="21"/>
              </w:rPr>
              <w:t>40</w:t>
            </w:r>
          </w:p>
        </w:tc>
        <w:tc>
          <w:tcPr>
            <w:tcW w:w="1080" w:type="dxa"/>
            <w:vAlign w:val="center"/>
          </w:tcPr>
          <w:p>
            <w:pPr>
              <w:jc w:val="center"/>
              <w:rPr>
                <w:sz w:val="21"/>
                <w:szCs w:val="21"/>
              </w:rPr>
            </w:pPr>
            <w:r>
              <w:rPr>
                <w:sz w:val="21"/>
                <w:szCs w:val="21"/>
              </w:rPr>
              <w:t>7440</w:t>
            </w:r>
          </w:p>
        </w:tc>
        <w:tc>
          <w:tcPr>
            <w:tcW w:w="710" w:type="dxa"/>
            <w:vAlign w:val="center"/>
          </w:tcPr>
          <w:p>
            <w:pPr>
              <w:pStyle w:val="26"/>
              <w:spacing w:line="240" w:lineRule="exact"/>
              <w:jc w:val="center"/>
              <w:rPr>
                <w:sz w:val="21"/>
                <w:szCs w:val="21"/>
              </w:rPr>
            </w:pPr>
            <w:r>
              <w:rPr>
                <w:sz w:val="21"/>
                <w:szCs w:val="21"/>
              </w:rPr>
              <w:t>烟尘</w:t>
            </w:r>
          </w:p>
        </w:tc>
        <w:tc>
          <w:tcPr>
            <w:tcW w:w="1630" w:type="dxa"/>
            <w:gridSpan w:val="2"/>
            <w:vAlign w:val="center"/>
          </w:tcPr>
          <w:p>
            <w:pPr>
              <w:pStyle w:val="26"/>
              <w:spacing w:line="240" w:lineRule="exact"/>
              <w:jc w:val="center"/>
              <w:rPr>
                <w:rFonts w:hint="eastAsia"/>
                <w:sz w:val="21"/>
                <w:szCs w:val="21"/>
              </w:rPr>
            </w:pPr>
            <w:r>
              <w:rPr>
                <w:rFonts w:hint="eastAsia"/>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atLeast"/>
          <w:jc w:val="center"/>
        </w:trPr>
        <w:tc>
          <w:tcPr>
            <w:tcW w:w="814" w:type="dxa"/>
            <w:vAlign w:val="center"/>
          </w:tcPr>
          <w:p>
            <w:pPr>
              <w:jc w:val="center"/>
              <w:rPr>
                <w:sz w:val="21"/>
                <w:szCs w:val="21"/>
              </w:rPr>
            </w:pPr>
            <w:r>
              <w:rPr>
                <w:sz w:val="21"/>
                <w:szCs w:val="21"/>
              </w:rPr>
              <w:t>12</w:t>
            </w:r>
          </w:p>
        </w:tc>
        <w:tc>
          <w:tcPr>
            <w:tcW w:w="2076" w:type="dxa"/>
            <w:vAlign w:val="center"/>
          </w:tcPr>
          <w:p>
            <w:pPr>
              <w:jc w:val="center"/>
              <w:rPr>
                <w:sz w:val="21"/>
                <w:szCs w:val="21"/>
              </w:rPr>
            </w:pPr>
            <w:r>
              <w:rPr>
                <w:sz w:val="21"/>
                <w:szCs w:val="21"/>
              </w:rPr>
              <w:t>熟料库顶</w:t>
            </w:r>
          </w:p>
        </w:tc>
        <w:tc>
          <w:tcPr>
            <w:tcW w:w="900" w:type="dxa"/>
            <w:vAlign w:val="center"/>
          </w:tcPr>
          <w:p>
            <w:pPr>
              <w:jc w:val="center"/>
              <w:rPr>
                <w:rFonts w:hint="eastAsia"/>
                <w:sz w:val="21"/>
                <w:szCs w:val="21"/>
              </w:rPr>
            </w:pPr>
            <w:r>
              <w:rPr>
                <w:rFonts w:hint="eastAsia"/>
                <w:sz w:val="21"/>
                <w:szCs w:val="21"/>
              </w:rPr>
              <w:t>624141</w:t>
            </w:r>
          </w:p>
        </w:tc>
        <w:tc>
          <w:tcPr>
            <w:tcW w:w="1080" w:type="dxa"/>
            <w:vAlign w:val="center"/>
          </w:tcPr>
          <w:p>
            <w:pPr>
              <w:jc w:val="center"/>
              <w:rPr>
                <w:rFonts w:hint="eastAsia"/>
                <w:sz w:val="21"/>
                <w:szCs w:val="21"/>
              </w:rPr>
            </w:pPr>
            <w:r>
              <w:rPr>
                <w:rFonts w:hint="eastAsia"/>
                <w:sz w:val="21"/>
                <w:szCs w:val="21"/>
              </w:rPr>
              <w:t>3283234</w:t>
            </w:r>
          </w:p>
        </w:tc>
        <w:tc>
          <w:tcPr>
            <w:tcW w:w="1440" w:type="dxa"/>
            <w:vAlign w:val="center"/>
          </w:tcPr>
          <w:p>
            <w:pPr>
              <w:jc w:val="center"/>
              <w:rPr>
                <w:sz w:val="21"/>
                <w:szCs w:val="21"/>
              </w:rPr>
            </w:pPr>
            <w:r>
              <w:rPr>
                <w:sz w:val="21"/>
                <w:szCs w:val="21"/>
              </w:rPr>
              <w:t>339</w:t>
            </w:r>
          </w:p>
        </w:tc>
        <w:tc>
          <w:tcPr>
            <w:tcW w:w="90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50</w:t>
            </w:r>
          </w:p>
        </w:tc>
        <w:tc>
          <w:tcPr>
            <w:tcW w:w="900" w:type="dxa"/>
            <w:vAlign w:val="center"/>
          </w:tcPr>
          <w:p>
            <w:pPr>
              <w:pStyle w:val="9"/>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0.84</w:t>
            </w:r>
          </w:p>
        </w:tc>
        <w:tc>
          <w:tcPr>
            <w:tcW w:w="1080" w:type="dxa"/>
            <w:vAlign w:val="center"/>
          </w:tcPr>
          <w:p>
            <w:pPr>
              <w:pStyle w:val="26"/>
              <w:spacing w:line="240" w:lineRule="exact"/>
              <w:jc w:val="center"/>
              <w:rPr>
                <w:sz w:val="21"/>
                <w:szCs w:val="21"/>
              </w:rPr>
            </w:pPr>
            <w:r>
              <w:rPr>
                <w:sz w:val="21"/>
                <w:szCs w:val="21"/>
              </w:rPr>
              <w:t>11.795</w:t>
            </w:r>
          </w:p>
        </w:tc>
        <w:tc>
          <w:tcPr>
            <w:tcW w:w="108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40</w:t>
            </w:r>
          </w:p>
        </w:tc>
        <w:tc>
          <w:tcPr>
            <w:tcW w:w="1080" w:type="dxa"/>
            <w:vAlign w:val="center"/>
          </w:tcPr>
          <w:p>
            <w:pPr>
              <w:jc w:val="center"/>
              <w:rPr>
                <w:sz w:val="21"/>
                <w:szCs w:val="21"/>
              </w:rPr>
            </w:pPr>
            <w:r>
              <w:rPr>
                <w:sz w:val="21"/>
                <w:szCs w:val="21"/>
              </w:rPr>
              <w:t>7440</w:t>
            </w:r>
          </w:p>
        </w:tc>
        <w:tc>
          <w:tcPr>
            <w:tcW w:w="71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粉尘</w:t>
            </w:r>
          </w:p>
        </w:tc>
        <w:tc>
          <w:tcPr>
            <w:tcW w:w="1630" w:type="dxa"/>
            <w:gridSpan w:val="2"/>
            <w:vAlign w:val="center"/>
          </w:tcPr>
          <w:p>
            <w:pPr>
              <w:pStyle w:val="9"/>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1" w:hRule="atLeast"/>
          <w:jc w:val="center"/>
        </w:trPr>
        <w:tc>
          <w:tcPr>
            <w:tcW w:w="814" w:type="dxa"/>
            <w:vAlign w:val="center"/>
          </w:tcPr>
          <w:p>
            <w:pPr>
              <w:jc w:val="center"/>
              <w:rPr>
                <w:sz w:val="21"/>
                <w:szCs w:val="21"/>
              </w:rPr>
            </w:pPr>
            <w:r>
              <w:rPr>
                <w:sz w:val="21"/>
                <w:szCs w:val="21"/>
              </w:rPr>
              <w:t>13</w:t>
            </w:r>
          </w:p>
        </w:tc>
        <w:tc>
          <w:tcPr>
            <w:tcW w:w="2076" w:type="dxa"/>
            <w:vAlign w:val="center"/>
          </w:tcPr>
          <w:p>
            <w:pPr>
              <w:jc w:val="center"/>
              <w:rPr>
                <w:sz w:val="21"/>
                <w:szCs w:val="21"/>
              </w:rPr>
            </w:pPr>
            <w:r>
              <w:rPr>
                <w:sz w:val="21"/>
                <w:szCs w:val="21"/>
              </w:rPr>
              <w:t>煤粉制备</w:t>
            </w:r>
          </w:p>
        </w:tc>
        <w:tc>
          <w:tcPr>
            <w:tcW w:w="900" w:type="dxa"/>
            <w:vAlign w:val="center"/>
          </w:tcPr>
          <w:p>
            <w:pPr>
              <w:jc w:val="center"/>
              <w:rPr>
                <w:rFonts w:hint="eastAsia"/>
                <w:sz w:val="21"/>
                <w:szCs w:val="21"/>
              </w:rPr>
            </w:pPr>
            <w:r>
              <w:rPr>
                <w:rFonts w:hint="eastAsia"/>
                <w:sz w:val="21"/>
                <w:szCs w:val="21"/>
              </w:rPr>
              <w:t>624075</w:t>
            </w:r>
          </w:p>
        </w:tc>
        <w:tc>
          <w:tcPr>
            <w:tcW w:w="1080" w:type="dxa"/>
            <w:vAlign w:val="center"/>
          </w:tcPr>
          <w:p>
            <w:pPr>
              <w:jc w:val="center"/>
              <w:rPr>
                <w:rFonts w:hint="eastAsia"/>
                <w:sz w:val="21"/>
                <w:szCs w:val="21"/>
              </w:rPr>
            </w:pPr>
            <w:r>
              <w:rPr>
                <w:rFonts w:hint="eastAsia"/>
                <w:sz w:val="21"/>
                <w:szCs w:val="21"/>
              </w:rPr>
              <w:t>3283194</w:t>
            </w:r>
          </w:p>
        </w:tc>
        <w:tc>
          <w:tcPr>
            <w:tcW w:w="1440" w:type="dxa"/>
            <w:vAlign w:val="center"/>
          </w:tcPr>
          <w:p>
            <w:pPr>
              <w:pStyle w:val="26"/>
              <w:spacing w:line="240" w:lineRule="exact"/>
              <w:jc w:val="center"/>
              <w:rPr>
                <w:sz w:val="21"/>
                <w:szCs w:val="21"/>
              </w:rPr>
            </w:pPr>
            <w:r>
              <w:rPr>
                <w:sz w:val="21"/>
                <w:szCs w:val="21"/>
              </w:rPr>
              <w:t>339</w:t>
            </w:r>
          </w:p>
        </w:tc>
        <w:tc>
          <w:tcPr>
            <w:tcW w:w="90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40</w:t>
            </w:r>
          </w:p>
        </w:tc>
        <w:tc>
          <w:tcPr>
            <w:tcW w:w="90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0.8</w:t>
            </w:r>
          </w:p>
        </w:tc>
        <w:tc>
          <w:tcPr>
            <w:tcW w:w="108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23.222</w:t>
            </w:r>
          </w:p>
        </w:tc>
        <w:tc>
          <w:tcPr>
            <w:tcW w:w="108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75</w:t>
            </w:r>
          </w:p>
        </w:tc>
        <w:tc>
          <w:tcPr>
            <w:tcW w:w="1080" w:type="dxa"/>
            <w:vAlign w:val="center"/>
          </w:tcPr>
          <w:p>
            <w:pPr>
              <w:jc w:val="center"/>
              <w:rPr>
                <w:sz w:val="21"/>
                <w:szCs w:val="21"/>
              </w:rPr>
            </w:pPr>
            <w:r>
              <w:rPr>
                <w:sz w:val="21"/>
                <w:szCs w:val="21"/>
              </w:rPr>
              <w:t>5444</w:t>
            </w:r>
          </w:p>
        </w:tc>
        <w:tc>
          <w:tcPr>
            <w:tcW w:w="71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粉尘</w:t>
            </w:r>
          </w:p>
        </w:tc>
        <w:tc>
          <w:tcPr>
            <w:tcW w:w="1630" w:type="dxa"/>
            <w:gridSpan w:val="2"/>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5" w:hRule="atLeast"/>
          <w:jc w:val="center"/>
        </w:trPr>
        <w:tc>
          <w:tcPr>
            <w:tcW w:w="814" w:type="dxa"/>
            <w:vAlign w:val="center"/>
          </w:tcPr>
          <w:p>
            <w:pPr>
              <w:jc w:val="center"/>
              <w:rPr>
                <w:sz w:val="21"/>
                <w:szCs w:val="21"/>
              </w:rPr>
            </w:pPr>
            <w:r>
              <w:rPr>
                <w:sz w:val="21"/>
                <w:szCs w:val="21"/>
              </w:rPr>
              <w:t>14</w:t>
            </w:r>
          </w:p>
        </w:tc>
        <w:tc>
          <w:tcPr>
            <w:tcW w:w="2076" w:type="dxa"/>
            <w:vAlign w:val="center"/>
          </w:tcPr>
          <w:p>
            <w:pPr>
              <w:jc w:val="center"/>
              <w:rPr>
                <w:rFonts w:hint="eastAsia"/>
                <w:sz w:val="21"/>
                <w:szCs w:val="21"/>
              </w:rPr>
            </w:pPr>
            <w:r>
              <w:rPr>
                <w:sz w:val="21"/>
                <w:szCs w:val="21"/>
              </w:rPr>
              <w:t>水泥配料</w:t>
            </w:r>
            <w:r>
              <w:rPr>
                <w:rFonts w:hint="eastAsia"/>
                <w:sz w:val="21"/>
                <w:szCs w:val="21"/>
              </w:rPr>
              <w:t>1</w:t>
            </w:r>
          </w:p>
        </w:tc>
        <w:tc>
          <w:tcPr>
            <w:tcW w:w="900" w:type="dxa"/>
            <w:vAlign w:val="center"/>
          </w:tcPr>
          <w:p>
            <w:pPr>
              <w:jc w:val="center"/>
              <w:rPr>
                <w:rFonts w:hint="eastAsia"/>
                <w:sz w:val="21"/>
                <w:szCs w:val="21"/>
              </w:rPr>
            </w:pPr>
            <w:r>
              <w:rPr>
                <w:rFonts w:hint="eastAsia"/>
                <w:sz w:val="21"/>
                <w:szCs w:val="21"/>
              </w:rPr>
              <w:t>624118</w:t>
            </w:r>
          </w:p>
        </w:tc>
        <w:tc>
          <w:tcPr>
            <w:tcW w:w="1080" w:type="dxa"/>
            <w:vAlign w:val="center"/>
          </w:tcPr>
          <w:p>
            <w:pPr>
              <w:jc w:val="center"/>
              <w:rPr>
                <w:rFonts w:hint="eastAsia"/>
                <w:sz w:val="21"/>
                <w:szCs w:val="21"/>
              </w:rPr>
            </w:pPr>
            <w:r>
              <w:rPr>
                <w:rFonts w:hint="eastAsia"/>
                <w:sz w:val="21"/>
                <w:szCs w:val="21"/>
              </w:rPr>
              <w:t>3283246</w:t>
            </w:r>
          </w:p>
        </w:tc>
        <w:tc>
          <w:tcPr>
            <w:tcW w:w="1440" w:type="dxa"/>
            <w:vAlign w:val="center"/>
          </w:tcPr>
          <w:p>
            <w:pPr>
              <w:pStyle w:val="26"/>
              <w:spacing w:line="240" w:lineRule="exact"/>
              <w:jc w:val="center"/>
              <w:rPr>
                <w:sz w:val="21"/>
                <w:szCs w:val="21"/>
              </w:rPr>
            </w:pPr>
            <w:r>
              <w:rPr>
                <w:sz w:val="21"/>
                <w:szCs w:val="21"/>
              </w:rPr>
              <w:t>339</w:t>
            </w:r>
          </w:p>
        </w:tc>
        <w:tc>
          <w:tcPr>
            <w:tcW w:w="90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30</w:t>
            </w:r>
          </w:p>
        </w:tc>
        <w:tc>
          <w:tcPr>
            <w:tcW w:w="900" w:type="dxa"/>
            <w:vAlign w:val="center"/>
          </w:tcPr>
          <w:p>
            <w:pPr>
              <w:pStyle w:val="9"/>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1.0</w:t>
            </w:r>
          </w:p>
        </w:tc>
        <w:tc>
          <w:tcPr>
            <w:tcW w:w="108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11.708</w:t>
            </w:r>
          </w:p>
        </w:tc>
        <w:tc>
          <w:tcPr>
            <w:tcW w:w="108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20</w:t>
            </w:r>
          </w:p>
        </w:tc>
        <w:tc>
          <w:tcPr>
            <w:tcW w:w="1080" w:type="dxa"/>
            <w:vAlign w:val="center"/>
          </w:tcPr>
          <w:p>
            <w:pPr>
              <w:jc w:val="center"/>
              <w:rPr>
                <w:sz w:val="21"/>
                <w:szCs w:val="21"/>
              </w:rPr>
            </w:pPr>
            <w:r>
              <w:rPr>
                <w:sz w:val="21"/>
                <w:szCs w:val="21"/>
              </w:rPr>
              <w:t>6158</w:t>
            </w:r>
          </w:p>
        </w:tc>
        <w:tc>
          <w:tcPr>
            <w:tcW w:w="71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粉尘</w:t>
            </w:r>
          </w:p>
        </w:tc>
        <w:tc>
          <w:tcPr>
            <w:tcW w:w="1630" w:type="dxa"/>
            <w:gridSpan w:val="2"/>
            <w:vAlign w:val="center"/>
          </w:tcPr>
          <w:p>
            <w:pPr>
              <w:pStyle w:val="9"/>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5" w:hRule="atLeast"/>
          <w:jc w:val="center"/>
        </w:trPr>
        <w:tc>
          <w:tcPr>
            <w:tcW w:w="814" w:type="dxa"/>
            <w:vAlign w:val="center"/>
          </w:tcPr>
          <w:p>
            <w:pPr>
              <w:jc w:val="center"/>
              <w:rPr>
                <w:sz w:val="21"/>
                <w:szCs w:val="21"/>
              </w:rPr>
            </w:pPr>
            <w:r>
              <w:rPr>
                <w:sz w:val="21"/>
                <w:szCs w:val="21"/>
              </w:rPr>
              <w:t>15</w:t>
            </w:r>
          </w:p>
        </w:tc>
        <w:tc>
          <w:tcPr>
            <w:tcW w:w="2076" w:type="dxa"/>
            <w:vAlign w:val="center"/>
          </w:tcPr>
          <w:p>
            <w:pPr>
              <w:jc w:val="center"/>
              <w:rPr>
                <w:rFonts w:hint="eastAsia"/>
                <w:sz w:val="21"/>
                <w:szCs w:val="21"/>
              </w:rPr>
            </w:pPr>
            <w:r>
              <w:rPr>
                <w:sz w:val="21"/>
                <w:szCs w:val="21"/>
              </w:rPr>
              <w:t>水泥配料</w:t>
            </w:r>
            <w:r>
              <w:rPr>
                <w:rFonts w:hint="eastAsia"/>
                <w:sz w:val="21"/>
                <w:szCs w:val="21"/>
              </w:rPr>
              <w:t>2</w:t>
            </w:r>
          </w:p>
        </w:tc>
        <w:tc>
          <w:tcPr>
            <w:tcW w:w="900" w:type="dxa"/>
            <w:vAlign w:val="center"/>
          </w:tcPr>
          <w:p>
            <w:pPr>
              <w:jc w:val="center"/>
              <w:rPr>
                <w:sz w:val="21"/>
                <w:szCs w:val="21"/>
              </w:rPr>
            </w:pPr>
            <w:r>
              <w:rPr>
                <w:rFonts w:hint="eastAsia"/>
                <w:sz w:val="21"/>
                <w:szCs w:val="21"/>
              </w:rPr>
              <w:t>624113</w:t>
            </w:r>
          </w:p>
        </w:tc>
        <w:tc>
          <w:tcPr>
            <w:tcW w:w="1080" w:type="dxa"/>
            <w:vAlign w:val="center"/>
          </w:tcPr>
          <w:p>
            <w:pPr>
              <w:jc w:val="center"/>
              <w:rPr>
                <w:rFonts w:hint="eastAsia"/>
                <w:sz w:val="21"/>
                <w:szCs w:val="21"/>
              </w:rPr>
            </w:pPr>
            <w:r>
              <w:rPr>
                <w:rFonts w:hint="eastAsia"/>
                <w:sz w:val="21"/>
                <w:szCs w:val="21"/>
              </w:rPr>
              <w:t>3283239</w:t>
            </w:r>
          </w:p>
        </w:tc>
        <w:tc>
          <w:tcPr>
            <w:tcW w:w="1440" w:type="dxa"/>
            <w:vAlign w:val="center"/>
          </w:tcPr>
          <w:p>
            <w:pPr>
              <w:jc w:val="center"/>
              <w:rPr>
                <w:sz w:val="21"/>
                <w:szCs w:val="21"/>
              </w:rPr>
            </w:pPr>
            <w:r>
              <w:rPr>
                <w:sz w:val="21"/>
                <w:szCs w:val="21"/>
              </w:rPr>
              <w:t>339</w:t>
            </w:r>
          </w:p>
        </w:tc>
        <w:tc>
          <w:tcPr>
            <w:tcW w:w="90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15</w:t>
            </w:r>
          </w:p>
        </w:tc>
        <w:tc>
          <w:tcPr>
            <w:tcW w:w="900" w:type="dxa"/>
            <w:vAlign w:val="center"/>
          </w:tcPr>
          <w:p>
            <w:pPr>
              <w:pStyle w:val="9"/>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1.0</w:t>
            </w:r>
          </w:p>
        </w:tc>
        <w:tc>
          <w:tcPr>
            <w:tcW w:w="108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11.708</w:t>
            </w:r>
          </w:p>
        </w:tc>
        <w:tc>
          <w:tcPr>
            <w:tcW w:w="108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20</w:t>
            </w:r>
          </w:p>
        </w:tc>
        <w:tc>
          <w:tcPr>
            <w:tcW w:w="1080" w:type="dxa"/>
            <w:vAlign w:val="center"/>
          </w:tcPr>
          <w:p>
            <w:pPr>
              <w:jc w:val="center"/>
              <w:rPr>
                <w:sz w:val="21"/>
                <w:szCs w:val="21"/>
              </w:rPr>
            </w:pPr>
            <w:r>
              <w:rPr>
                <w:sz w:val="21"/>
                <w:szCs w:val="21"/>
              </w:rPr>
              <w:t>6158</w:t>
            </w:r>
          </w:p>
        </w:tc>
        <w:tc>
          <w:tcPr>
            <w:tcW w:w="710" w:type="dxa"/>
            <w:vAlign w:val="center"/>
          </w:tcPr>
          <w:p>
            <w:pPr>
              <w:pStyle w:val="26"/>
              <w:spacing w:line="240" w:lineRule="exact"/>
              <w:jc w:val="center"/>
              <w:rPr>
                <w:sz w:val="21"/>
                <w:szCs w:val="21"/>
              </w:rPr>
            </w:pPr>
            <w:r>
              <w:rPr>
                <w:sz w:val="21"/>
                <w:szCs w:val="21"/>
              </w:rPr>
              <w:t>粉尘</w:t>
            </w:r>
          </w:p>
        </w:tc>
        <w:tc>
          <w:tcPr>
            <w:tcW w:w="1630" w:type="dxa"/>
            <w:gridSpan w:val="2"/>
            <w:vAlign w:val="center"/>
          </w:tcPr>
          <w:p>
            <w:pPr>
              <w:pStyle w:val="9"/>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5" w:hRule="atLeast"/>
          <w:jc w:val="center"/>
        </w:trPr>
        <w:tc>
          <w:tcPr>
            <w:tcW w:w="814" w:type="dxa"/>
            <w:vAlign w:val="center"/>
          </w:tcPr>
          <w:p>
            <w:pPr>
              <w:jc w:val="center"/>
              <w:rPr>
                <w:sz w:val="21"/>
                <w:szCs w:val="21"/>
              </w:rPr>
            </w:pPr>
            <w:r>
              <w:rPr>
                <w:sz w:val="21"/>
                <w:szCs w:val="21"/>
              </w:rPr>
              <w:t>16</w:t>
            </w:r>
          </w:p>
        </w:tc>
        <w:tc>
          <w:tcPr>
            <w:tcW w:w="2076" w:type="dxa"/>
            <w:vAlign w:val="center"/>
          </w:tcPr>
          <w:p>
            <w:pPr>
              <w:jc w:val="center"/>
              <w:rPr>
                <w:sz w:val="21"/>
                <w:szCs w:val="21"/>
              </w:rPr>
            </w:pPr>
            <w:r>
              <w:rPr>
                <w:sz w:val="21"/>
                <w:szCs w:val="21"/>
              </w:rPr>
              <w:t>水泥粉磨</w:t>
            </w:r>
          </w:p>
        </w:tc>
        <w:tc>
          <w:tcPr>
            <w:tcW w:w="900" w:type="dxa"/>
            <w:vAlign w:val="center"/>
          </w:tcPr>
          <w:p>
            <w:pPr>
              <w:jc w:val="center"/>
              <w:rPr>
                <w:rFonts w:hint="eastAsia"/>
                <w:sz w:val="21"/>
                <w:szCs w:val="21"/>
              </w:rPr>
            </w:pPr>
            <w:r>
              <w:rPr>
                <w:rFonts w:hint="eastAsia"/>
                <w:sz w:val="21"/>
                <w:szCs w:val="21"/>
              </w:rPr>
              <w:t>624099</w:t>
            </w:r>
          </w:p>
        </w:tc>
        <w:tc>
          <w:tcPr>
            <w:tcW w:w="1080" w:type="dxa"/>
            <w:vAlign w:val="center"/>
          </w:tcPr>
          <w:p>
            <w:pPr>
              <w:jc w:val="center"/>
              <w:rPr>
                <w:rFonts w:hint="eastAsia"/>
                <w:sz w:val="21"/>
                <w:szCs w:val="21"/>
              </w:rPr>
            </w:pPr>
            <w:r>
              <w:rPr>
                <w:rFonts w:hint="eastAsia"/>
                <w:sz w:val="21"/>
                <w:szCs w:val="21"/>
              </w:rPr>
              <w:t>3283250</w:t>
            </w:r>
          </w:p>
        </w:tc>
        <w:tc>
          <w:tcPr>
            <w:tcW w:w="1440" w:type="dxa"/>
            <w:vAlign w:val="center"/>
          </w:tcPr>
          <w:p>
            <w:pPr>
              <w:jc w:val="center"/>
              <w:rPr>
                <w:sz w:val="21"/>
                <w:szCs w:val="21"/>
              </w:rPr>
            </w:pPr>
            <w:r>
              <w:rPr>
                <w:sz w:val="21"/>
                <w:szCs w:val="21"/>
              </w:rPr>
              <w:t>339</w:t>
            </w:r>
          </w:p>
        </w:tc>
        <w:tc>
          <w:tcPr>
            <w:tcW w:w="90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40</w:t>
            </w:r>
          </w:p>
        </w:tc>
        <w:tc>
          <w:tcPr>
            <w:tcW w:w="90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1.2</w:t>
            </w:r>
          </w:p>
        </w:tc>
        <w:tc>
          <w:tcPr>
            <w:tcW w:w="108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51.604</w:t>
            </w:r>
          </w:p>
        </w:tc>
        <w:tc>
          <w:tcPr>
            <w:tcW w:w="108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60</w:t>
            </w:r>
          </w:p>
        </w:tc>
        <w:tc>
          <w:tcPr>
            <w:tcW w:w="1080" w:type="dxa"/>
            <w:vAlign w:val="center"/>
          </w:tcPr>
          <w:p>
            <w:pPr>
              <w:jc w:val="center"/>
              <w:rPr>
                <w:sz w:val="21"/>
                <w:szCs w:val="21"/>
              </w:rPr>
            </w:pPr>
            <w:r>
              <w:rPr>
                <w:sz w:val="21"/>
                <w:szCs w:val="21"/>
              </w:rPr>
              <w:t>6774</w:t>
            </w:r>
          </w:p>
        </w:tc>
        <w:tc>
          <w:tcPr>
            <w:tcW w:w="710" w:type="dxa"/>
            <w:vAlign w:val="center"/>
          </w:tcPr>
          <w:p>
            <w:pPr>
              <w:pStyle w:val="26"/>
              <w:spacing w:line="240" w:lineRule="exact"/>
              <w:jc w:val="center"/>
              <w:rPr>
                <w:sz w:val="21"/>
                <w:szCs w:val="21"/>
              </w:rPr>
            </w:pPr>
            <w:r>
              <w:rPr>
                <w:sz w:val="21"/>
                <w:szCs w:val="21"/>
              </w:rPr>
              <w:t>粉尘</w:t>
            </w:r>
          </w:p>
        </w:tc>
        <w:tc>
          <w:tcPr>
            <w:tcW w:w="1630" w:type="dxa"/>
            <w:gridSpan w:val="2"/>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5" w:hRule="atLeast"/>
          <w:jc w:val="center"/>
        </w:trPr>
        <w:tc>
          <w:tcPr>
            <w:tcW w:w="814" w:type="dxa"/>
            <w:vAlign w:val="center"/>
          </w:tcPr>
          <w:p>
            <w:pPr>
              <w:jc w:val="center"/>
              <w:rPr>
                <w:sz w:val="21"/>
                <w:szCs w:val="21"/>
              </w:rPr>
            </w:pPr>
            <w:r>
              <w:rPr>
                <w:sz w:val="21"/>
                <w:szCs w:val="21"/>
              </w:rPr>
              <w:t>17</w:t>
            </w:r>
          </w:p>
        </w:tc>
        <w:tc>
          <w:tcPr>
            <w:tcW w:w="2076" w:type="dxa"/>
            <w:vAlign w:val="center"/>
          </w:tcPr>
          <w:p>
            <w:pPr>
              <w:jc w:val="center"/>
              <w:rPr>
                <w:sz w:val="21"/>
                <w:szCs w:val="21"/>
              </w:rPr>
            </w:pPr>
            <w:r>
              <w:rPr>
                <w:sz w:val="21"/>
                <w:szCs w:val="21"/>
              </w:rPr>
              <w:t>水泥库顶</w:t>
            </w:r>
          </w:p>
        </w:tc>
        <w:tc>
          <w:tcPr>
            <w:tcW w:w="900" w:type="dxa"/>
            <w:vAlign w:val="center"/>
          </w:tcPr>
          <w:p>
            <w:pPr>
              <w:jc w:val="center"/>
              <w:rPr>
                <w:rFonts w:hint="eastAsia"/>
                <w:sz w:val="21"/>
                <w:szCs w:val="21"/>
              </w:rPr>
            </w:pPr>
            <w:r>
              <w:rPr>
                <w:rFonts w:hint="eastAsia"/>
                <w:sz w:val="21"/>
                <w:szCs w:val="21"/>
              </w:rPr>
              <w:t>624102</w:t>
            </w:r>
          </w:p>
        </w:tc>
        <w:tc>
          <w:tcPr>
            <w:tcW w:w="1080" w:type="dxa"/>
            <w:vAlign w:val="center"/>
          </w:tcPr>
          <w:p>
            <w:pPr>
              <w:jc w:val="center"/>
              <w:rPr>
                <w:rFonts w:hint="eastAsia"/>
                <w:sz w:val="21"/>
                <w:szCs w:val="21"/>
              </w:rPr>
            </w:pPr>
            <w:r>
              <w:rPr>
                <w:rFonts w:hint="eastAsia"/>
                <w:sz w:val="21"/>
                <w:szCs w:val="21"/>
              </w:rPr>
              <w:t>3283303</w:t>
            </w:r>
          </w:p>
        </w:tc>
        <w:tc>
          <w:tcPr>
            <w:tcW w:w="1440" w:type="dxa"/>
            <w:vAlign w:val="center"/>
          </w:tcPr>
          <w:p>
            <w:pPr>
              <w:jc w:val="center"/>
              <w:rPr>
                <w:sz w:val="21"/>
                <w:szCs w:val="21"/>
              </w:rPr>
            </w:pPr>
            <w:r>
              <w:rPr>
                <w:sz w:val="21"/>
                <w:szCs w:val="21"/>
              </w:rPr>
              <w:t>339</w:t>
            </w:r>
          </w:p>
        </w:tc>
        <w:tc>
          <w:tcPr>
            <w:tcW w:w="90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50</w:t>
            </w:r>
          </w:p>
        </w:tc>
        <w:tc>
          <w:tcPr>
            <w:tcW w:w="900" w:type="dxa"/>
            <w:vAlign w:val="center"/>
          </w:tcPr>
          <w:p>
            <w:pPr>
              <w:pStyle w:val="9"/>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1.22</w:t>
            </w:r>
          </w:p>
        </w:tc>
        <w:tc>
          <w:tcPr>
            <w:tcW w:w="108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12.144</w:t>
            </w:r>
          </w:p>
        </w:tc>
        <w:tc>
          <w:tcPr>
            <w:tcW w:w="108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40</w:t>
            </w:r>
          </w:p>
        </w:tc>
        <w:tc>
          <w:tcPr>
            <w:tcW w:w="1080" w:type="dxa"/>
            <w:vAlign w:val="center"/>
          </w:tcPr>
          <w:p>
            <w:pPr>
              <w:jc w:val="center"/>
              <w:rPr>
                <w:sz w:val="21"/>
                <w:szCs w:val="21"/>
              </w:rPr>
            </w:pPr>
            <w:r>
              <w:rPr>
                <w:sz w:val="21"/>
                <w:szCs w:val="21"/>
              </w:rPr>
              <w:t>6875</w:t>
            </w:r>
          </w:p>
        </w:tc>
        <w:tc>
          <w:tcPr>
            <w:tcW w:w="710" w:type="dxa"/>
            <w:vAlign w:val="center"/>
          </w:tcPr>
          <w:p>
            <w:pPr>
              <w:pStyle w:val="26"/>
              <w:spacing w:line="240" w:lineRule="exact"/>
              <w:jc w:val="center"/>
              <w:rPr>
                <w:sz w:val="21"/>
                <w:szCs w:val="21"/>
              </w:rPr>
            </w:pPr>
            <w:r>
              <w:rPr>
                <w:sz w:val="21"/>
                <w:szCs w:val="21"/>
              </w:rPr>
              <w:t>粉尘</w:t>
            </w:r>
          </w:p>
        </w:tc>
        <w:tc>
          <w:tcPr>
            <w:tcW w:w="1630" w:type="dxa"/>
            <w:gridSpan w:val="2"/>
            <w:vAlign w:val="center"/>
          </w:tcPr>
          <w:p>
            <w:pPr>
              <w:pStyle w:val="9"/>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0.432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5" w:hRule="atLeast"/>
          <w:jc w:val="center"/>
        </w:trPr>
        <w:tc>
          <w:tcPr>
            <w:tcW w:w="814" w:type="dxa"/>
            <w:vAlign w:val="center"/>
          </w:tcPr>
          <w:p>
            <w:pPr>
              <w:jc w:val="center"/>
              <w:rPr>
                <w:sz w:val="21"/>
                <w:szCs w:val="21"/>
              </w:rPr>
            </w:pPr>
            <w:r>
              <w:rPr>
                <w:sz w:val="21"/>
                <w:szCs w:val="21"/>
              </w:rPr>
              <w:t>18</w:t>
            </w:r>
          </w:p>
        </w:tc>
        <w:tc>
          <w:tcPr>
            <w:tcW w:w="2076" w:type="dxa"/>
            <w:vAlign w:val="center"/>
          </w:tcPr>
          <w:p>
            <w:pPr>
              <w:jc w:val="center"/>
              <w:rPr>
                <w:sz w:val="21"/>
                <w:szCs w:val="21"/>
              </w:rPr>
            </w:pPr>
            <w:r>
              <w:rPr>
                <w:sz w:val="21"/>
                <w:szCs w:val="21"/>
              </w:rPr>
              <w:t>水泥库底</w:t>
            </w:r>
          </w:p>
        </w:tc>
        <w:tc>
          <w:tcPr>
            <w:tcW w:w="900" w:type="dxa"/>
            <w:vAlign w:val="center"/>
          </w:tcPr>
          <w:p>
            <w:pPr>
              <w:jc w:val="center"/>
              <w:rPr>
                <w:sz w:val="21"/>
                <w:szCs w:val="21"/>
              </w:rPr>
            </w:pPr>
            <w:r>
              <w:rPr>
                <w:rFonts w:hint="eastAsia"/>
                <w:sz w:val="21"/>
                <w:szCs w:val="21"/>
              </w:rPr>
              <w:t>624095</w:t>
            </w:r>
          </w:p>
        </w:tc>
        <w:tc>
          <w:tcPr>
            <w:tcW w:w="1080" w:type="dxa"/>
            <w:vAlign w:val="center"/>
          </w:tcPr>
          <w:p>
            <w:pPr>
              <w:jc w:val="center"/>
              <w:rPr>
                <w:sz w:val="21"/>
                <w:szCs w:val="21"/>
              </w:rPr>
            </w:pPr>
            <w:r>
              <w:rPr>
                <w:rFonts w:hint="eastAsia"/>
                <w:sz w:val="21"/>
                <w:szCs w:val="21"/>
              </w:rPr>
              <w:t>3283294</w:t>
            </w:r>
          </w:p>
        </w:tc>
        <w:tc>
          <w:tcPr>
            <w:tcW w:w="1440" w:type="dxa"/>
            <w:vAlign w:val="center"/>
          </w:tcPr>
          <w:p>
            <w:pPr>
              <w:jc w:val="center"/>
              <w:rPr>
                <w:sz w:val="21"/>
                <w:szCs w:val="21"/>
              </w:rPr>
            </w:pPr>
            <w:r>
              <w:rPr>
                <w:sz w:val="21"/>
                <w:szCs w:val="21"/>
              </w:rPr>
              <w:t>339</w:t>
            </w:r>
          </w:p>
        </w:tc>
        <w:tc>
          <w:tcPr>
            <w:tcW w:w="90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15</w:t>
            </w:r>
          </w:p>
        </w:tc>
        <w:tc>
          <w:tcPr>
            <w:tcW w:w="900" w:type="dxa"/>
            <w:vAlign w:val="center"/>
          </w:tcPr>
          <w:p>
            <w:pPr>
              <w:pStyle w:val="9"/>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1.22</w:t>
            </w:r>
          </w:p>
        </w:tc>
        <w:tc>
          <w:tcPr>
            <w:tcW w:w="108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12.144</w:t>
            </w:r>
          </w:p>
        </w:tc>
        <w:tc>
          <w:tcPr>
            <w:tcW w:w="108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40</w:t>
            </w:r>
          </w:p>
        </w:tc>
        <w:tc>
          <w:tcPr>
            <w:tcW w:w="1080" w:type="dxa"/>
            <w:vAlign w:val="center"/>
          </w:tcPr>
          <w:p>
            <w:pPr>
              <w:jc w:val="center"/>
              <w:rPr>
                <w:sz w:val="21"/>
                <w:szCs w:val="21"/>
              </w:rPr>
            </w:pPr>
            <w:r>
              <w:rPr>
                <w:sz w:val="21"/>
                <w:szCs w:val="21"/>
              </w:rPr>
              <w:t>6875</w:t>
            </w:r>
          </w:p>
        </w:tc>
        <w:tc>
          <w:tcPr>
            <w:tcW w:w="710" w:type="dxa"/>
            <w:vAlign w:val="center"/>
          </w:tcPr>
          <w:p>
            <w:pPr>
              <w:pStyle w:val="26"/>
              <w:spacing w:line="240" w:lineRule="exact"/>
              <w:jc w:val="center"/>
              <w:rPr>
                <w:sz w:val="21"/>
                <w:szCs w:val="21"/>
              </w:rPr>
            </w:pPr>
            <w:r>
              <w:rPr>
                <w:sz w:val="21"/>
                <w:szCs w:val="21"/>
              </w:rPr>
              <w:t>粉尘</w:t>
            </w:r>
          </w:p>
        </w:tc>
        <w:tc>
          <w:tcPr>
            <w:tcW w:w="1630" w:type="dxa"/>
            <w:gridSpan w:val="2"/>
            <w:vAlign w:val="center"/>
          </w:tcPr>
          <w:p>
            <w:pPr>
              <w:pStyle w:val="9"/>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0.432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5" w:hRule="atLeast"/>
          <w:jc w:val="center"/>
        </w:trPr>
        <w:tc>
          <w:tcPr>
            <w:tcW w:w="814" w:type="dxa"/>
            <w:vAlign w:val="center"/>
          </w:tcPr>
          <w:p>
            <w:pPr>
              <w:jc w:val="center"/>
              <w:rPr>
                <w:sz w:val="21"/>
                <w:szCs w:val="21"/>
              </w:rPr>
            </w:pPr>
            <w:r>
              <w:rPr>
                <w:sz w:val="21"/>
                <w:szCs w:val="21"/>
              </w:rPr>
              <w:t>19</w:t>
            </w:r>
          </w:p>
        </w:tc>
        <w:tc>
          <w:tcPr>
            <w:tcW w:w="2076" w:type="dxa"/>
            <w:vAlign w:val="center"/>
          </w:tcPr>
          <w:p>
            <w:pPr>
              <w:jc w:val="center"/>
              <w:rPr>
                <w:sz w:val="21"/>
                <w:szCs w:val="21"/>
              </w:rPr>
            </w:pPr>
            <w:r>
              <w:rPr>
                <w:sz w:val="21"/>
                <w:szCs w:val="21"/>
              </w:rPr>
              <w:t>水泥散装</w:t>
            </w:r>
          </w:p>
        </w:tc>
        <w:tc>
          <w:tcPr>
            <w:tcW w:w="900" w:type="dxa"/>
            <w:vAlign w:val="center"/>
          </w:tcPr>
          <w:p>
            <w:pPr>
              <w:jc w:val="center"/>
              <w:rPr>
                <w:rFonts w:hint="eastAsia"/>
                <w:sz w:val="21"/>
                <w:szCs w:val="21"/>
              </w:rPr>
            </w:pPr>
            <w:r>
              <w:rPr>
                <w:rFonts w:hint="eastAsia"/>
                <w:sz w:val="21"/>
                <w:szCs w:val="21"/>
              </w:rPr>
              <w:t>624091</w:t>
            </w:r>
          </w:p>
        </w:tc>
        <w:tc>
          <w:tcPr>
            <w:tcW w:w="1080" w:type="dxa"/>
            <w:vAlign w:val="center"/>
          </w:tcPr>
          <w:p>
            <w:pPr>
              <w:jc w:val="center"/>
              <w:rPr>
                <w:rFonts w:hint="eastAsia"/>
                <w:sz w:val="21"/>
                <w:szCs w:val="21"/>
              </w:rPr>
            </w:pPr>
            <w:r>
              <w:rPr>
                <w:rFonts w:hint="eastAsia"/>
                <w:sz w:val="21"/>
                <w:szCs w:val="21"/>
              </w:rPr>
              <w:t>3283215</w:t>
            </w:r>
          </w:p>
        </w:tc>
        <w:tc>
          <w:tcPr>
            <w:tcW w:w="144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339</w:t>
            </w:r>
          </w:p>
        </w:tc>
        <w:tc>
          <w:tcPr>
            <w:tcW w:w="90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15</w:t>
            </w:r>
          </w:p>
        </w:tc>
        <w:tc>
          <w:tcPr>
            <w:tcW w:w="900" w:type="dxa"/>
            <w:vAlign w:val="center"/>
          </w:tcPr>
          <w:p>
            <w:pPr>
              <w:pStyle w:val="9"/>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0.56</w:t>
            </w:r>
          </w:p>
        </w:tc>
        <w:tc>
          <w:tcPr>
            <w:tcW w:w="108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3.539</w:t>
            </w:r>
          </w:p>
        </w:tc>
        <w:tc>
          <w:tcPr>
            <w:tcW w:w="108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20</w:t>
            </w:r>
          </w:p>
        </w:tc>
        <w:tc>
          <w:tcPr>
            <w:tcW w:w="1080" w:type="dxa"/>
            <w:vAlign w:val="center"/>
          </w:tcPr>
          <w:p>
            <w:pPr>
              <w:jc w:val="center"/>
              <w:rPr>
                <w:sz w:val="21"/>
                <w:szCs w:val="21"/>
              </w:rPr>
            </w:pPr>
            <w:r>
              <w:rPr>
                <w:sz w:val="21"/>
                <w:szCs w:val="21"/>
              </w:rPr>
              <w:t>3300</w:t>
            </w:r>
          </w:p>
        </w:tc>
        <w:tc>
          <w:tcPr>
            <w:tcW w:w="710" w:type="dxa"/>
            <w:vAlign w:val="center"/>
          </w:tcPr>
          <w:p>
            <w:pPr>
              <w:pStyle w:val="26"/>
              <w:spacing w:line="240" w:lineRule="exact"/>
              <w:jc w:val="center"/>
              <w:rPr>
                <w:sz w:val="21"/>
                <w:szCs w:val="21"/>
              </w:rPr>
            </w:pPr>
            <w:r>
              <w:rPr>
                <w:sz w:val="21"/>
                <w:szCs w:val="21"/>
              </w:rPr>
              <w:t>粉尘</w:t>
            </w:r>
          </w:p>
        </w:tc>
        <w:tc>
          <w:tcPr>
            <w:tcW w:w="1630" w:type="dxa"/>
            <w:gridSpan w:val="2"/>
            <w:vAlign w:val="center"/>
          </w:tcPr>
          <w:p>
            <w:pPr>
              <w:pStyle w:val="9"/>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5" w:hRule="atLeast"/>
          <w:jc w:val="center"/>
        </w:trPr>
        <w:tc>
          <w:tcPr>
            <w:tcW w:w="814" w:type="dxa"/>
            <w:vAlign w:val="center"/>
          </w:tcPr>
          <w:p>
            <w:pPr>
              <w:jc w:val="center"/>
              <w:rPr>
                <w:sz w:val="21"/>
                <w:szCs w:val="21"/>
              </w:rPr>
            </w:pPr>
            <w:r>
              <w:rPr>
                <w:sz w:val="21"/>
                <w:szCs w:val="21"/>
              </w:rPr>
              <w:t>20</w:t>
            </w:r>
          </w:p>
        </w:tc>
        <w:tc>
          <w:tcPr>
            <w:tcW w:w="2076" w:type="dxa"/>
            <w:vAlign w:val="center"/>
          </w:tcPr>
          <w:p>
            <w:pPr>
              <w:jc w:val="center"/>
              <w:rPr>
                <w:sz w:val="21"/>
                <w:szCs w:val="21"/>
              </w:rPr>
            </w:pPr>
            <w:r>
              <w:rPr>
                <w:sz w:val="21"/>
                <w:szCs w:val="21"/>
              </w:rPr>
              <w:t>水泥包装</w:t>
            </w:r>
          </w:p>
        </w:tc>
        <w:tc>
          <w:tcPr>
            <w:tcW w:w="900" w:type="dxa"/>
            <w:vAlign w:val="center"/>
          </w:tcPr>
          <w:p>
            <w:pPr>
              <w:jc w:val="center"/>
              <w:rPr>
                <w:rFonts w:hint="eastAsia"/>
                <w:sz w:val="21"/>
                <w:szCs w:val="21"/>
              </w:rPr>
            </w:pPr>
            <w:r>
              <w:rPr>
                <w:rFonts w:hint="eastAsia"/>
                <w:sz w:val="21"/>
                <w:szCs w:val="21"/>
              </w:rPr>
              <w:t>624118</w:t>
            </w:r>
          </w:p>
        </w:tc>
        <w:tc>
          <w:tcPr>
            <w:tcW w:w="1080" w:type="dxa"/>
            <w:vAlign w:val="center"/>
          </w:tcPr>
          <w:p>
            <w:pPr>
              <w:jc w:val="center"/>
              <w:rPr>
                <w:rFonts w:hint="eastAsia"/>
                <w:sz w:val="21"/>
                <w:szCs w:val="21"/>
              </w:rPr>
            </w:pPr>
            <w:r>
              <w:rPr>
                <w:rFonts w:hint="eastAsia"/>
                <w:sz w:val="21"/>
                <w:szCs w:val="21"/>
              </w:rPr>
              <w:t>3283283</w:t>
            </w:r>
          </w:p>
        </w:tc>
        <w:tc>
          <w:tcPr>
            <w:tcW w:w="144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339</w:t>
            </w:r>
          </w:p>
        </w:tc>
        <w:tc>
          <w:tcPr>
            <w:tcW w:w="90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15</w:t>
            </w:r>
          </w:p>
        </w:tc>
        <w:tc>
          <w:tcPr>
            <w:tcW w:w="900" w:type="dxa"/>
            <w:vAlign w:val="center"/>
          </w:tcPr>
          <w:p>
            <w:pPr>
              <w:pStyle w:val="9"/>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0.9</w:t>
            </w:r>
          </w:p>
        </w:tc>
        <w:tc>
          <w:tcPr>
            <w:tcW w:w="108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11.708</w:t>
            </w:r>
          </w:p>
        </w:tc>
        <w:tc>
          <w:tcPr>
            <w:tcW w:w="1080" w:type="dxa"/>
            <w:vAlign w:val="center"/>
          </w:tcPr>
          <w:p>
            <w:pPr>
              <w:pStyle w:val="9"/>
              <w:adjustRightInd w:val="0"/>
              <w:snapToGrid w:val="0"/>
              <w:spacing w:line="240" w:lineRule="exact"/>
              <w:jc w:val="center"/>
              <w:rPr>
                <w:rFonts w:ascii="Times New Roman" w:hAnsi="Times New Roman"/>
                <w:sz w:val="21"/>
                <w:szCs w:val="21"/>
              </w:rPr>
            </w:pPr>
            <w:r>
              <w:rPr>
                <w:rFonts w:ascii="Times New Roman" w:hAnsi="Times New Roman"/>
                <w:sz w:val="21"/>
                <w:szCs w:val="21"/>
              </w:rPr>
              <w:t>20</w:t>
            </w:r>
          </w:p>
        </w:tc>
        <w:tc>
          <w:tcPr>
            <w:tcW w:w="1080" w:type="dxa"/>
            <w:vAlign w:val="center"/>
          </w:tcPr>
          <w:p>
            <w:pPr>
              <w:jc w:val="center"/>
              <w:rPr>
                <w:sz w:val="21"/>
                <w:szCs w:val="21"/>
              </w:rPr>
            </w:pPr>
            <w:r>
              <w:rPr>
                <w:sz w:val="21"/>
                <w:szCs w:val="21"/>
              </w:rPr>
              <w:t>4263</w:t>
            </w:r>
          </w:p>
        </w:tc>
        <w:tc>
          <w:tcPr>
            <w:tcW w:w="710" w:type="dxa"/>
            <w:vAlign w:val="center"/>
          </w:tcPr>
          <w:p>
            <w:pPr>
              <w:pStyle w:val="26"/>
              <w:spacing w:line="240" w:lineRule="exact"/>
              <w:jc w:val="center"/>
              <w:rPr>
                <w:sz w:val="21"/>
                <w:szCs w:val="21"/>
              </w:rPr>
            </w:pPr>
            <w:r>
              <w:rPr>
                <w:sz w:val="21"/>
                <w:szCs w:val="21"/>
              </w:rPr>
              <w:t>粉尘</w:t>
            </w:r>
          </w:p>
        </w:tc>
        <w:tc>
          <w:tcPr>
            <w:tcW w:w="1630" w:type="dxa"/>
            <w:gridSpan w:val="2"/>
            <w:vAlign w:val="center"/>
          </w:tcPr>
          <w:p>
            <w:pPr>
              <w:pStyle w:val="9"/>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0.224</w:t>
            </w:r>
          </w:p>
        </w:tc>
      </w:tr>
    </w:tbl>
    <w:p>
      <w:pPr>
        <w:adjustRightInd w:val="0"/>
        <w:snapToGrid w:val="0"/>
        <w:spacing w:line="360" w:lineRule="auto"/>
        <w:ind w:firstLine="360" w:firstLineChars="200"/>
        <w:rPr>
          <w:rFonts w:hint="eastAsia"/>
        </w:rPr>
      </w:pPr>
      <w:r>
        <w:rPr>
          <w:rFonts w:hint="eastAsia"/>
          <w:sz w:val="18"/>
          <w:szCs w:val="18"/>
        </w:rPr>
        <w:t>注：考虑到水泥项目烟囱较多，预测时将除1、7、10、13和16号烟囱以外的所有烟囱进行了等效处理。</w:t>
      </w:r>
    </w:p>
    <w:p>
      <w:pPr>
        <w:adjustRightInd w:val="0"/>
        <w:snapToGrid w:val="0"/>
        <w:spacing w:line="360" w:lineRule="auto"/>
        <w:ind w:firstLine="420" w:firstLineChars="200"/>
        <w:rPr>
          <w:rFonts w:hint="eastAsia"/>
        </w:rPr>
        <w:sectPr>
          <w:pgSz w:w="16838" w:h="11906" w:orient="landscape"/>
          <w:pgMar w:top="1418" w:right="1418" w:bottom="1418" w:left="1418" w:header="851" w:footer="992" w:gutter="0"/>
          <w:paperSrc w:first="20070" w:other="20070"/>
          <w:cols w:space="425" w:num="1"/>
          <w:docGrid w:linePitch="312" w:charSpace="0"/>
        </w:sectPr>
      </w:pPr>
    </w:p>
    <w:p>
      <w:pPr>
        <w:adjustRightInd w:val="0"/>
        <w:snapToGrid w:val="0"/>
        <w:spacing w:line="360" w:lineRule="auto"/>
        <w:jc w:val="center"/>
        <w:rPr>
          <w:b/>
        </w:rPr>
      </w:pPr>
      <w:r>
        <w:rPr>
          <w:b/>
        </w:rPr>
        <w:t>表</w:t>
      </w:r>
      <w:r>
        <w:rPr>
          <w:rFonts w:hint="eastAsia"/>
          <w:b/>
        </w:rPr>
        <w:t>8</w:t>
      </w:r>
      <w:r>
        <w:rPr>
          <w:b/>
        </w:rPr>
        <w:t>-</w:t>
      </w:r>
      <w:r>
        <w:rPr>
          <w:rFonts w:hint="eastAsia"/>
          <w:b/>
        </w:rPr>
        <w:t>5</w:t>
      </w:r>
      <w:r>
        <w:rPr>
          <w:b/>
        </w:rPr>
        <w:t xml:space="preserve"> 技改项目环境影响预测点坐标</w:t>
      </w:r>
    </w:p>
    <w:tbl>
      <w:tblPr>
        <w:tblStyle w:val="22"/>
        <w:tblW w:w="8153" w:type="dxa"/>
        <w:jc w:val="center"/>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2157"/>
        <w:gridCol w:w="1891"/>
        <w:gridCol w:w="1787"/>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834" w:type="dxa"/>
            <w:vAlign w:val="center"/>
          </w:tcPr>
          <w:p>
            <w:pPr>
              <w:adjustRightInd w:val="0"/>
              <w:snapToGrid w:val="0"/>
              <w:spacing w:line="360" w:lineRule="auto"/>
              <w:jc w:val="center"/>
              <w:rPr>
                <w:sz w:val="21"/>
                <w:szCs w:val="21"/>
              </w:rPr>
            </w:pPr>
            <w:r>
              <w:rPr>
                <w:sz w:val="21"/>
                <w:szCs w:val="21"/>
              </w:rPr>
              <w:t>序号</w:t>
            </w:r>
          </w:p>
        </w:tc>
        <w:tc>
          <w:tcPr>
            <w:tcW w:w="2157" w:type="dxa"/>
            <w:vAlign w:val="center"/>
          </w:tcPr>
          <w:p>
            <w:pPr>
              <w:adjustRightInd w:val="0"/>
              <w:snapToGrid w:val="0"/>
              <w:spacing w:line="360" w:lineRule="auto"/>
              <w:jc w:val="center"/>
              <w:rPr>
                <w:sz w:val="21"/>
                <w:szCs w:val="21"/>
              </w:rPr>
            </w:pPr>
            <w:r>
              <w:rPr>
                <w:sz w:val="21"/>
                <w:szCs w:val="21"/>
              </w:rPr>
              <w:t>预测点名称</w:t>
            </w:r>
          </w:p>
        </w:tc>
        <w:tc>
          <w:tcPr>
            <w:tcW w:w="1891" w:type="dxa"/>
            <w:vAlign w:val="center"/>
          </w:tcPr>
          <w:p>
            <w:pPr>
              <w:adjustRightInd w:val="0"/>
              <w:snapToGrid w:val="0"/>
              <w:spacing w:line="360" w:lineRule="auto"/>
              <w:jc w:val="center"/>
              <w:rPr>
                <w:sz w:val="21"/>
                <w:szCs w:val="21"/>
              </w:rPr>
            </w:pPr>
            <w:r>
              <w:rPr>
                <w:sz w:val="21"/>
                <w:szCs w:val="21"/>
              </w:rPr>
              <w:t>X坐标</w:t>
            </w:r>
          </w:p>
        </w:tc>
        <w:tc>
          <w:tcPr>
            <w:tcW w:w="1787" w:type="dxa"/>
            <w:vAlign w:val="center"/>
          </w:tcPr>
          <w:p>
            <w:pPr>
              <w:adjustRightInd w:val="0"/>
              <w:snapToGrid w:val="0"/>
              <w:spacing w:line="360" w:lineRule="auto"/>
              <w:jc w:val="center"/>
              <w:rPr>
                <w:sz w:val="21"/>
                <w:szCs w:val="21"/>
              </w:rPr>
            </w:pPr>
            <w:r>
              <w:rPr>
                <w:sz w:val="21"/>
                <w:szCs w:val="21"/>
              </w:rPr>
              <w:t>Y坐标</w:t>
            </w:r>
          </w:p>
        </w:tc>
        <w:tc>
          <w:tcPr>
            <w:tcW w:w="1484" w:type="dxa"/>
            <w:vAlign w:val="center"/>
          </w:tcPr>
          <w:p>
            <w:pPr>
              <w:adjustRightInd w:val="0"/>
              <w:snapToGrid w:val="0"/>
              <w:spacing w:line="360" w:lineRule="auto"/>
              <w:jc w:val="center"/>
              <w:rPr>
                <w:sz w:val="21"/>
                <w:szCs w:val="21"/>
              </w:rPr>
            </w:pPr>
            <w:r>
              <w:rPr>
                <w:sz w:val="21"/>
                <w:szCs w:val="21"/>
              </w:rPr>
              <w:t>Z坐标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4" w:type="dxa"/>
            <w:vAlign w:val="center"/>
          </w:tcPr>
          <w:p>
            <w:pPr>
              <w:adjustRightInd w:val="0"/>
              <w:snapToGrid w:val="0"/>
              <w:spacing w:line="360" w:lineRule="auto"/>
              <w:jc w:val="center"/>
              <w:rPr>
                <w:sz w:val="21"/>
                <w:szCs w:val="21"/>
              </w:rPr>
            </w:pPr>
            <w:r>
              <w:rPr>
                <w:sz w:val="21"/>
                <w:szCs w:val="21"/>
              </w:rPr>
              <w:t>1</w:t>
            </w:r>
          </w:p>
        </w:tc>
        <w:tc>
          <w:tcPr>
            <w:tcW w:w="2157" w:type="dxa"/>
            <w:vAlign w:val="center"/>
          </w:tcPr>
          <w:p>
            <w:pPr>
              <w:jc w:val="center"/>
              <w:rPr>
                <w:sz w:val="21"/>
                <w:szCs w:val="21"/>
              </w:rPr>
            </w:pPr>
            <w:r>
              <w:rPr>
                <w:sz w:val="21"/>
                <w:szCs w:val="21"/>
              </w:rPr>
              <w:t>大路镇</w:t>
            </w:r>
          </w:p>
        </w:tc>
        <w:tc>
          <w:tcPr>
            <w:tcW w:w="1891" w:type="dxa"/>
            <w:vAlign w:val="center"/>
          </w:tcPr>
          <w:p>
            <w:pPr>
              <w:jc w:val="center"/>
              <w:rPr>
                <w:sz w:val="21"/>
                <w:szCs w:val="21"/>
              </w:rPr>
            </w:pPr>
            <w:r>
              <w:rPr>
                <w:sz w:val="21"/>
                <w:szCs w:val="21"/>
              </w:rPr>
              <w:t>617848</w:t>
            </w:r>
          </w:p>
        </w:tc>
        <w:tc>
          <w:tcPr>
            <w:tcW w:w="1787" w:type="dxa"/>
            <w:vAlign w:val="center"/>
          </w:tcPr>
          <w:p>
            <w:pPr>
              <w:jc w:val="center"/>
              <w:rPr>
                <w:sz w:val="21"/>
                <w:szCs w:val="21"/>
              </w:rPr>
            </w:pPr>
            <w:r>
              <w:rPr>
                <w:sz w:val="21"/>
                <w:szCs w:val="21"/>
              </w:rPr>
              <w:t>3289605</w:t>
            </w:r>
          </w:p>
        </w:tc>
        <w:tc>
          <w:tcPr>
            <w:tcW w:w="1484" w:type="dxa"/>
            <w:vAlign w:val="center"/>
          </w:tcPr>
          <w:p>
            <w:pPr>
              <w:jc w:val="center"/>
              <w:rPr>
                <w:rFonts w:hint="eastAsia"/>
                <w:sz w:val="21"/>
                <w:szCs w:val="21"/>
              </w:rPr>
            </w:pPr>
            <w:r>
              <w:rPr>
                <w:rFonts w:hint="eastAsia"/>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4" w:type="dxa"/>
            <w:vAlign w:val="center"/>
          </w:tcPr>
          <w:p>
            <w:pPr>
              <w:adjustRightInd w:val="0"/>
              <w:snapToGrid w:val="0"/>
              <w:spacing w:line="360" w:lineRule="auto"/>
              <w:jc w:val="center"/>
              <w:rPr>
                <w:sz w:val="21"/>
                <w:szCs w:val="21"/>
              </w:rPr>
            </w:pPr>
            <w:r>
              <w:rPr>
                <w:sz w:val="21"/>
                <w:szCs w:val="21"/>
              </w:rPr>
              <w:t>2</w:t>
            </w:r>
          </w:p>
        </w:tc>
        <w:tc>
          <w:tcPr>
            <w:tcW w:w="2157" w:type="dxa"/>
            <w:vAlign w:val="center"/>
          </w:tcPr>
          <w:p>
            <w:pPr>
              <w:jc w:val="center"/>
              <w:rPr>
                <w:sz w:val="21"/>
                <w:szCs w:val="21"/>
              </w:rPr>
            </w:pPr>
            <w:r>
              <w:rPr>
                <w:rFonts w:hAnsi="宋体"/>
                <w:sz w:val="21"/>
                <w:szCs w:val="21"/>
              </w:rPr>
              <w:t>六塘镇</w:t>
            </w:r>
          </w:p>
        </w:tc>
        <w:tc>
          <w:tcPr>
            <w:tcW w:w="1891" w:type="dxa"/>
            <w:vAlign w:val="center"/>
          </w:tcPr>
          <w:p>
            <w:pPr>
              <w:jc w:val="center"/>
              <w:rPr>
                <w:sz w:val="21"/>
                <w:szCs w:val="21"/>
              </w:rPr>
            </w:pPr>
            <w:r>
              <w:rPr>
                <w:sz w:val="21"/>
                <w:szCs w:val="21"/>
              </w:rPr>
              <w:t>623138</w:t>
            </w:r>
          </w:p>
        </w:tc>
        <w:tc>
          <w:tcPr>
            <w:tcW w:w="1787" w:type="dxa"/>
            <w:vAlign w:val="center"/>
          </w:tcPr>
          <w:p>
            <w:pPr>
              <w:jc w:val="center"/>
              <w:rPr>
                <w:sz w:val="21"/>
                <w:szCs w:val="21"/>
              </w:rPr>
            </w:pPr>
            <w:r>
              <w:rPr>
                <w:sz w:val="21"/>
                <w:szCs w:val="21"/>
              </w:rPr>
              <w:t>3289485</w:t>
            </w:r>
          </w:p>
        </w:tc>
        <w:tc>
          <w:tcPr>
            <w:tcW w:w="1484" w:type="dxa"/>
            <w:vAlign w:val="center"/>
          </w:tcPr>
          <w:p>
            <w:pPr>
              <w:jc w:val="center"/>
              <w:rPr>
                <w:rFonts w:hint="eastAsia"/>
                <w:sz w:val="21"/>
                <w:szCs w:val="21"/>
              </w:rPr>
            </w:pPr>
            <w:r>
              <w:rPr>
                <w:rFonts w:hint="eastAsia"/>
                <w:sz w:val="21"/>
                <w:szCs w:val="21"/>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4" w:type="dxa"/>
            <w:vAlign w:val="center"/>
          </w:tcPr>
          <w:p>
            <w:pPr>
              <w:adjustRightInd w:val="0"/>
              <w:snapToGrid w:val="0"/>
              <w:spacing w:line="360" w:lineRule="auto"/>
              <w:jc w:val="center"/>
              <w:rPr>
                <w:sz w:val="21"/>
                <w:szCs w:val="21"/>
              </w:rPr>
            </w:pPr>
            <w:r>
              <w:rPr>
                <w:sz w:val="21"/>
                <w:szCs w:val="21"/>
              </w:rPr>
              <w:t>3</w:t>
            </w:r>
          </w:p>
        </w:tc>
        <w:tc>
          <w:tcPr>
            <w:tcW w:w="2157" w:type="dxa"/>
            <w:vAlign w:val="center"/>
          </w:tcPr>
          <w:p>
            <w:pPr>
              <w:jc w:val="center"/>
              <w:rPr>
                <w:sz w:val="21"/>
                <w:szCs w:val="21"/>
              </w:rPr>
            </w:pPr>
            <w:r>
              <w:rPr>
                <w:rFonts w:hAnsi="宋体"/>
                <w:sz w:val="21"/>
                <w:szCs w:val="21"/>
              </w:rPr>
              <w:t>接龙镇</w:t>
            </w:r>
          </w:p>
        </w:tc>
        <w:tc>
          <w:tcPr>
            <w:tcW w:w="1891" w:type="dxa"/>
            <w:vAlign w:val="center"/>
          </w:tcPr>
          <w:p>
            <w:pPr>
              <w:jc w:val="center"/>
              <w:rPr>
                <w:rFonts w:hint="eastAsia"/>
                <w:sz w:val="21"/>
                <w:szCs w:val="21"/>
              </w:rPr>
            </w:pPr>
            <w:r>
              <w:rPr>
                <w:rFonts w:hint="eastAsia"/>
                <w:sz w:val="21"/>
                <w:szCs w:val="21"/>
              </w:rPr>
              <w:t>621928</w:t>
            </w:r>
          </w:p>
        </w:tc>
        <w:tc>
          <w:tcPr>
            <w:tcW w:w="1787" w:type="dxa"/>
            <w:vAlign w:val="center"/>
          </w:tcPr>
          <w:p>
            <w:pPr>
              <w:jc w:val="center"/>
              <w:rPr>
                <w:rFonts w:hint="eastAsia"/>
                <w:sz w:val="21"/>
                <w:szCs w:val="21"/>
              </w:rPr>
            </w:pPr>
            <w:r>
              <w:rPr>
                <w:rFonts w:hint="eastAsia"/>
                <w:sz w:val="21"/>
                <w:szCs w:val="21"/>
              </w:rPr>
              <w:t>3286225</w:t>
            </w:r>
          </w:p>
        </w:tc>
        <w:tc>
          <w:tcPr>
            <w:tcW w:w="1484" w:type="dxa"/>
            <w:vAlign w:val="center"/>
          </w:tcPr>
          <w:p>
            <w:pPr>
              <w:jc w:val="center"/>
              <w:rPr>
                <w:rFonts w:hint="eastAsia"/>
                <w:sz w:val="21"/>
                <w:szCs w:val="21"/>
              </w:rPr>
            </w:pPr>
            <w:r>
              <w:rPr>
                <w:rFonts w:hint="eastAsia"/>
                <w:sz w:val="21"/>
                <w:szCs w:val="21"/>
              </w:rPr>
              <w:t>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4" w:type="dxa"/>
            <w:vAlign w:val="center"/>
          </w:tcPr>
          <w:p>
            <w:pPr>
              <w:adjustRightInd w:val="0"/>
              <w:snapToGrid w:val="0"/>
              <w:spacing w:line="360" w:lineRule="auto"/>
              <w:jc w:val="center"/>
              <w:rPr>
                <w:sz w:val="21"/>
                <w:szCs w:val="21"/>
              </w:rPr>
            </w:pPr>
            <w:r>
              <w:rPr>
                <w:sz w:val="21"/>
                <w:szCs w:val="21"/>
              </w:rPr>
              <w:t>4</w:t>
            </w:r>
          </w:p>
        </w:tc>
        <w:tc>
          <w:tcPr>
            <w:tcW w:w="2157" w:type="dxa"/>
            <w:vAlign w:val="center"/>
          </w:tcPr>
          <w:p>
            <w:pPr>
              <w:jc w:val="center"/>
              <w:rPr>
                <w:sz w:val="21"/>
                <w:szCs w:val="21"/>
              </w:rPr>
            </w:pPr>
            <w:r>
              <w:rPr>
                <w:rFonts w:hAnsi="宋体"/>
                <w:sz w:val="21"/>
                <w:szCs w:val="21"/>
              </w:rPr>
              <w:t>福里树村</w:t>
            </w:r>
          </w:p>
        </w:tc>
        <w:tc>
          <w:tcPr>
            <w:tcW w:w="1891" w:type="dxa"/>
            <w:vAlign w:val="center"/>
          </w:tcPr>
          <w:p>
            <w:pPr>
              <w:jc w:val="center"/>
              <w:rPr>
                <w:rFonts w:hint="eastAsia"/>
                <w:sz w:val="21"/>
                <w:szCs w:val="21"/>
              </w:rPr>
            </w:pPr>
            <w:r>
              <w:rPr>
                <w:rFonts w:hint="eastAsia"/>
                <w:sz w:val="21"/>
                <w:szCs w:val="21"/>
              </w:rPr>
              <w:t>623698</w:t>
            </w:r>
          </w:p>
        </w:tc>
        <w:tc>
          <w:tcPr>
            <w:tcW w:w="1787" w:type="dxa"/>
            <w:vAlign w:val="center"/>
          </w:tcPr>
          <w:p>
            <w:pPr>
              <w:jc w:val="center"/>
              <w:rPr>
                <w:rFonts w:hint="eastAsia"/>
                <w:sz w:val="21"/>
                <w:szCs w:val="21"/>
              </w:rPr>
            </w:pPr>
            <w:r>
              <w:rPr>
                <w:rFonts w:hint="eastAsia"/>
                <w:sz w:val="21"/>
                <w:szCs w:val="21"/>
              </w:rPr>
              <w:t>3284395</w:t>
            </w:r>
          </w:p>
        </w:tc>
        <w:tc>
          <w:tcPr>
            <w:tcW w:w="1484" w:type="dxa"/>
            <w:vAlign w:val="center"/>
          </w:tcPr>
          <w:p>
            <w:pPr>
              <w:jc w:val="center"/>
              <w:rPr>
                <w:rFonts w:hint="eastAsia"/>
                <w:sz w:val="21"/>
                <w:szCs w:val="21"/>
              </w:rPr>
            </w:pPr>
            <w:r>
              <w:rPr>
                <w:rFonts w:hint="eastAsia"/>
                <w:sz w:val="21"/>
                <w:szCs w:val="21"/>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4" w:type="dxa"/>
            <w:vAlign w:val="center"/>
          </w:tcPr>
          <w:p>
            <w:pPr>
              <w:adjustRightInd w:val="0"/>
              <w:snapToGrid w:val="0"/>
              <w:spacing w:line="360" w:lineRule="auto"/>
              <w:jc w:val="center"/>
              <w:rPr>
                <w:sz w:val="21"/>
                <w:szCs w:val="21"/>
              </w:rPr>
            </w:pPr>
            <w:r>
              <w:rPr>
                <w:sz w:val="21"/>
                <w:szCs w:val="21"/>
              </w:rPr>
              <w:t>5</w:t>
            </w:r>
          </w:p>
        </w:tc>
        <w:tc>
          <w:tcPr>
            <w:tcW w:w="2157" w:type="dxa"/>
            <w:vAlign w:val="center"/>
          </w:tcPr>
          <w:p>
            <w:pPr>
              <w:jc w:val="center"/>
              <w:rPr>
                <w:sz w:val="21"/>
                <w:szCs w:val="21"/>
              </w:rPr>
            </w:pPr>
            <w:r>
              <w:rPr>
                <w:rFonts w:hAnsi="宋体"/>
                <w:sz w:val="21"/>
                <w:szCs w:val="21"/>
              </w:rPr>
              <w:t>殷家老院子</w:t>
            </w:r>
          </w:p>
        </w:tc>
        <w:tc>
          <w:tcPr>
            <w:tcW w:w="1891" w:type="dxa"/>
            <w:vAlign w:val="center"/>
          </w:tcPr>
          <w:p>
            <w:pPr>
              <w:jc w:val="center"/>
              <w:rPr>
                <w:rFonts w:hint="eastAsia"/>
                <w:sz w:val="21"/>
                <w:szCs w:val="21"/>
              </w:rPr>
            </w:pPr>
            <w:r>
              <w:rPr>
                <w:rFonts w:hint="eastAsia"/>
                <w:sz w:val="21"/>
                <w:szCs w:val="21"/>
              </w:rPr>
              <w:t>622508</w:t>
            </w:r>
          </w:p>
        </w:tc>
        <w:tc>
          <w:tcPr>
            <w:tcW w:w="1787" w:type="dxa"/>
            <w:vAlign w:val="center"/>
          </w:tcPr>
          <w:p>
            <w:pPr>
              <w:jc w:val="center"/>
              <w:rPr>
                <w:rFonts w:hint="eastAsia"/>
                <w:sz w:val="21"/>
                <w:szCs w:val="21"/>
              </w:rPr>
            </w:pPr>
            <w:r>
              <w:rPr>
                <w:rFonts w:hint="eastAsia"/>
                <w:sz w:val="21"/>
                <w:szCs w:val="21"/>
              </w:rPr>
              <w:t>3281025</w:t>
            </w:r>
          </w:p>
        </w:tc>
        <w:tc>
          <w:tcPr>
            <w:tcW w:w="1484" w:type="dxa"/>
            <w:vAlign w:val="center"/>
          </w:tcPr>
          <w:p>
            <w:pPr>
              <w:jc w:val="center"/>
              <w:rPr>
                <w:rFonts w:hint="eastAsia"/>
                <w:sz w:val="21"/>
                <w:szCs w:val="21"/>
              </w:rPr>
            </w:pPr>
            <w:r>
              <w:rPr>
                <w:rFonts w:hint="eastAsia"/>
                <w:sz w:val="21"/>
                <w:szCs w:val="21"/>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4" w:type="dxa"/>
            <w:vAlign w:val="center"/>
          </w:tcPr>
          <w:p>
            <w:pPr>
              <w:adjustRightInd w:val="0"/>
              <w:snapToGrid w:val="0"/>
              <w:spacing w:line="360" w:lineRule="auto"/>
              <w:jc w:val="center"/>
              <w:rPr>
                <w:sz w:val="21"/>
                <w:szCs w:val="21"/>
              </w:rPr>
            </w:pPr>
            <w:r>
              <w:rPr>
                <w:sz w:val="21"/>
                <w:szCs w:val="21"/>
              </w:rPr>
              <w:t>6</w:t>
            </w:r>
          </w:p>
        </w:tc>
        <w:tc>
          <w:tcPr>
            <w:tcW w:w="2157" w:type="dxa"/>
            <w:vAlign w:val="center"/>
          </w:tcPr>
          <w:p>
            <w:pPr>
              <w:jc w:val="center"/>
              <w:rPr>
                <w:sz w:val="21"/>
                <w:szCs w:val="21"/>
              </w:rPr>
            </w:pPr>
            <w:r>
              <w:rPr>
                <w:rFonts w:hAnsi="宋体"/>
                <w:sz w:val="21"/>
                <w:szCs w:val="21"/>
              </w:rPr>
              <w:t>璧山县</w:t>
            </w:r>
          </w:p>
        </w:tc>
        <w:tc>
          <w:tcPr>
            <w:tcW w:w="1891" w:type="dxa"/>
            <w:vAlign w:val="center"/>
          </w:tcPr>
          <w:p>
            <w:pPr>
              <w:jc w:val="center"/>
              <w:rPr>
                <w:sz w:val="21"/>
                <w:szCs w:val="21"/>
              </w:rPr>
            </w:pPr>
            <w:r>
              <w:rPr>
                <w:sz w:val="21"/>
                <w:szCs w:val="21"/>
              </w:rPr>
              <w:t>618528</w:t>
            </w:r>
          </w:p>
        </w:tc>
        <w:tc>
          <w:tcPr>
            <w:tcW w:w="1787" w:type="dxa"/>
            <w:vAlign w:val="center"/>
          </w:tcPr>
          <w:p>
            <w:pPr>
              <w:jc w:val="center"/>
              <w:rPr>
                <w:sz w:val="21"/>
                <w:szCs w:val="21"/>
              </w:rPr>
            </w:pPr>
            <w:r>
              <w:rPr>
                <w:sz w:val="21"/>
                <w:szCs w:val="21"/>
              </w:rPr>
              <w:t>3274545</w:t>
            </w:r>
          </w:p>
        </w:tc>
        <w:tc>
          <w:tcPr>
            <w:tcW w:w="1484" w:type="dxa"/>
            <w:vAlign w:val="center"/>
          </w:tcPr>
          <w:p>
            <w:pPr>
              <w:jc w:val="center"/>
              <w:rPr>
                <w:rFonts w:hint="eastAsia"/>
                <w:sz w:val="21"/>
                <w:szCs w:val="21"/>
              </w:rPr>
            </w:pPr>
            <w:r>
              <w:rPr>
                <w:rFonts w:hint="eastAsia"/>
                <w:sz w:val="21"/>
                <w:szCs w:val="21"/>
              </w:rPr>
              <w:t>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4" w:type="dxa"/>
            <w:vAlign w:val="center"/>
          </w:tcPr>
          <w:p>
            <w:pPr>
              <w:adjustRightInd w:val="0"/>
              <w:snapToGrid w:val="0"/>
              <w:spacing w:line="360" w:lineRule="auto"/>
              <w:jc w:val="center"/>
              <w:rPr>
                <w:sz w:val="21"/>
                <w:szCs w:val="21"/>
              </w:rPr>
            </w:pPr>
            <w:r>
              <w:rPr>
                <w:sz w:val="21"/>
                <w:szCs w:val="21"/>
              </w:rPr>
              <w:t>7</w:t>
            </w:r>
          </w:p>
        </w:tc>
        <w:tc>
          <w:tcPr>
            <w:tcW w:w="2157" w:type="dxa"/>
            <w:vAlign w:val="center"/>
          </w:tcPr>
          <w:p>
            <w:pPr>
              <w:jc w:val="center"/>
              <w:rPr>
                <w:rFonts w:hint="eastAsia"/>
                <w:sz w:val="21"/>
                <w:szCs w:val="21"/>
              </w:rPr>
            </w:pPr>
            <w:r>
              <w:rPr>
                <w:rFonts w:hAnsi="宋体"/>
                <w:sz w:val="21"/>
                <w:szCs w:val="21"/>
              </w:rPr>
              <w:t>青鹏煤业公司</w:t>
            </w:r>
            <w:r>
              <w:rPr>
                <w:rFonts w:hint="eastAsia" w:hAnsi="宋体"/>
                <w:sz w:val="21"/>
                <w:szCs w:val="21"/>
              </w:rPr>
              <w:t>家属院</w:t>
            </w:r>
          </w:p>
        </w:tc>
        <w:tc>
          <w:tcPr>
            <w:tcW w:w="1891" w:type="dxa"/>
            <w:vAlign w:val="center"/>
          </w:tcPr>
          <w:p>
            <w:pPr>
              <w:jc w:val="center"/>
              <w:rPr>
                <w:rFonts w:hint="eastAsia"/>
                <w:sz w:val="21"/>
                <w:szCs w:val="21"/>
              </w:rPr>
            </w:pPr>
            <w:r>
              <w:rPr>
                <w:rFonts w:hint="eastAsia"/>
                <w:sz w:val="21"/>
                <w:szCs w:val="21"/>
              </w:rPr>
              <w:t>624308</w:t>
            </w:r>
          </w:p>
        </w:tc>
        <w:tc>
          <w:tcPr>
            <w:tcW w:w="1787" w:type="dxa"/>
            <w:vAlign w:val="center"/>
          </w:tcPr>
          <w:p>
            <w:pPr>
              <w:jc w:val="center"/>
              <w:rPr>
                <w:rFonts w:hint="eastAsia"/>
                <w:sz w:val="21"/>
                <w:szCs w:val="21"/>
              </w:rPr>
            </w:pPr>
            <w:r>
              <w:rPr>
                <w:rFonts w:hint="eastAsia"/>
                <w:sz w:val="21"/>
                <w:szCs w:val="21"/>
              </w:rPr>
              <w:t>3284085</w:t>
            </w:r>
          </w:p>
        </w:tc>
        <w:tc>
          <w:tcPr>
            <w:tcW w:w="1484" w:type="dxa"/>
            <w:vAlign w:val="center"/>
          </w:tcPr>
          <w:p>
            <w:pPr>
              <w:jc w:val="center"/>
              <w:rPr>
                <w:rFonts w:hint="eastAsia"/>
                <w:sz w:val="21"/>
                <w:szCs w:val="21"/>
              </w:rPr>
            </w:pPr>
            <w:r>
              <w:rPr>
                <w:rFonts w:hint="eastAsia"/>
                <w:sz w:val="21"/>
                <w:szCs w:val="21"/>
              </w:rPr>
              <w:t>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4" w:type="dxa"/>
            <w:vAlign w:val="center"/>
          </w:tcPr>
          <w:p>
            <w:pPr>
              <w:adjustRightInd w:val="0"/>
              <w:snapToGrid w:val="0"/>
              <w:spacing w:line="360" w:lineRule="auto"/>
              <w:jc w:val="center"/>
              <w:rPr>
                <w:sz w:val="21"/>
                <w:szCs w:val="21"/>
              </w:rPr>
            </w:pPr>
            <w:r>
              <w:rPr>
                <w:sz w:val="21"/>
                <w:szCs w:val="21"/>
              </w:rPr>
              <w:t>8</w:t>
            </w:r>
          </w:p>
        </w:tc>
        <w:tc>
          <w:tcPr>
            <w:tcW w:w="2157" w:type="dxa"/>
            <w:vAlign w:val="center"/>
          </w:tcPr>
          <w:p>
            <w:pPr>
              <w:jc w:val="center"/>
              <w:rPr>
                <w:sz w:val="21"/>
                <w:szCs w:val="21"/>
              </w:rPr>
            </w:pPr>
            <w:r>
              <w:rPr>
                <w:rFonts w:hAnsi="宋体"/>
                <w:sz w:val="21"/>
                <w:szCs w:val="21"/>
              </w:rPr>
              <w:t>青木关镇</w:t>
            </w:r>
          </w:p>
        </w:tc>
        <w:tc>
          <w:tcPr>
            <w:tcW w:w="1891" w:type="dxa"/>
            <w:vAlign w:val="center"/>
          </w:tcPr>
          <w:p>
            <w:pPr>
              <w:jc w:val="center"/>
              <w:rPr>
                <w:sz w:val="21"/>
                <w:szCs w:val="21"/>
              </w:rPr>
            </w:pPr>
            <w:r>
              <w:rPr>
                <w:sz w:val="21"/>
                <w:szCs w:val="21"/>
              </w:rPr>
              <w:t>625328</w:t>
            </w:r>
          </w:p>
        </w:tc>
        <w:tc>
          <w:tcPr>
            <w:tcW w:w="1787" w:type="dxa"/>
            <w:vAlign w:val="center"/>
          </w:tcPr>
          <w:p>
            <w:pPr>
              <w:jc w:val="center"/>
              <w:rPr>
                <w:sz w:val="21"/>
                <w:szCs w:val="21"/>
              </w:rPr>
            </w:pPr>
            <w:r>
              <w:rPr>
                <w:sz w:val="21"/>
                <w:szCs w:val="21"/>
              </w:rPr>
              <w:t>3283485</w:t>
            </w:r>
          </w:p>
        </w:tc>
        <w:tc>
          <w:tcPr>
            <w:tcW w:w="1484" w:type="dxa"/>
            <w:vAlign w:val="center"/>
          </w:tcPr>
          <w:p>
            <w:pPr>
              <w:jc w:val="center"/>
              <w:rPr>
                <w:rFonts w:hint="eastAsia"/>
                <w:sz w:val="21"/>
                <w:szCs w:val="21"/>
              </w:rPr>
            </w:pPr>
            <w:r>
              <w:rPr>
                <w:rFonts w:hint="eastAsia"/>
                <w:sz w:val="21"/>
                <w:szCs w:val="21"/>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4" w:type="dxa"/>
            <w:vAlign w:val="center"/>
          </w:tcPr>
          <w:p>
            <w:pPr>
              <w:adjustRightInd w:val="0"/>
              <w:snapToGrid w:val="0"/>
              <w:spacing w:line="360" w:lineRule="auto"/>
              <w:jc w:val="center"/>
              <w:rPr>
                <w:sz w:val="21"/>
                <w:szCs w:val="21"/>
              </w:rPr>
            </w:pPr>
            <w:r>
              <w:rPr>
                <w:sz w:val="21"/>
                <w:szCs w:val="21"/>
              </w:rPr>
              <w:t>9</w:t>
            </w:r>
          </w:p>
        </w:tc>
        <w:tc>
          <w:tcPr>
            <w:tcW w:w="2157" w:type="dxa"/>
            <w:vAlign w:val="center"/>
          </w:tcPr>
          <w:p>
            <w:pPr>
              <w:jc w:val="center"/>
              <w:rPr>
                <w:sz w:val="21"/>
                <w:szCs w:val="21"/>
              </w:rPr>
            </w:pPr>
            <w:r>
              <w:rPr>
                <w:rFonts w:hAnsi="宋体"/>
                <w:sz w:val="21"/>
                <w:szCs w:val="21"/>
              </w:rPr>
              <w:t>凤凰镇</w:t>
            </w:r>
          </w:p>
        </w:tc>
        <w:tc>
          <w:tcPr>
            <w:tcW w:w="1891" w:type="dxa"/>
            <w:vAlign w:val="center"/>
          </w:tcPr>
          <w:p>
            <w:pPr>
              <w:jc w:val="center"/>
              <w:rPr>
                <w:sz w:val="21"/>
                <w:szCs w:val="21"/>
              </w:rPr>
            </w:pPr>
            <w:r>
              <w:rPr>
                <w:sz w:val="21"/>
                <w:szCs w:val="21"/>
              </w:rPr>
              <w:t>628528</w:t>
            </w:r>
          </w:p>
        </w:tc>
        <w:tc>
          <w:tcPr>
            <w:tcW w:w="1787" w:type="dxa"/>
            <w:vAlign w:val="center"/>
          </w:tcPr>
          <w:p>
            <w:pPr>
              <w:jc w:val="center"/>
              <w:rPr>
                <w:sz w:val="21"/>
                <w:szCs w:val="21"/>
              </w:rPr>
            </w:pPr>
            <w:r>
              <w:rPr>
                <w:sz w:val="21"/>
                <w:szCs w:val="21"/>
              </w:rPr>
              <w:t>3286145</w:t>
            </w:r>
          </w:p>
        </w:tc>
        <w:tc>
          <w:tcPr>
            <w:tcW w:w="1484" w:type="dxa"/>
            <w:vAlign w:val="center"/>
          </w:tcPr>
          <w:p>
            <w:pPr>
              <w:jc w:val="center"/>
              <w:rPr>
                <w:rFonts w:hint="eastAsia"/>
                <w:sz w:val="21"/>
                <w:szCs w:val="21"/>
              </w:rPr>
            </w:pPr>
            <w:r>
              <w:rPr>
                <w:rFonts w:hint="eastAsia"/>
                <w:sz w:val="21"/>
                <w:szCs w:val="21"/>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4" w:type="dxa"/>
            <w:vAlign w:val="center"/>
          </w:tcPr>
          <w:p>
            <w:pPr>
              <w:adjustRightInd w:val="0"/>
              <w:snapToGrid w:val="0"/>
              <w:spacing w:line="360" w:lineRule="auto"/>
              <w:jc w:val="center"/>
              <w:rPr>
                <w:sz w:val="21"/>
                <w:szCs w:val="21"/>
              </w:rPr>
            </w:pPr>
            <w:r>
              <w:rPr>
                <w:sz w:val="21"/>
                <w:szCs w:val="21"/>
              </w:rPr>
              <w:t>10</w:t>
            </w:r>
          </w:p>
        </w:tc>
        <w:tc>
          <w:tcPr>
            <w:tcW w:w="2157" w:type="dxa"/>
            <w:vAlign w:val="center"/>
          </w:tcPr>
          <w:p>
            <w:pPr>
              <w:jc w:val="center"/>
              <w:rPr>
                <w:sz w:val="21"/>
                <w:szCs w:val="21"/>
              </w:rPr>
            </w:pPr>
            <w:r>
              <w:rPr>
                <w:rFonts w:hAnsi="宋体"/>
                <w:sz w:val="21"/>
                <w:szCs w:val="21"/>
              </w:rPr>
              <w:t>管家桥村</w:t>
            </w:r>
          </w:p>
        </w:tc>
        <w:tc>
          <w:tcPr>
            <w:tcW w:w="1891" w:type="dxa"/>
            <w:vAlign w:val="center"/>
          </w:tcPr>
          <w:p>
            <w:pPr>
              <w:jc w:val="center"/>
              <w:rPr>
                <w:rFonts w:hint="eastAsia"/>
                <w:sz w:val="21"/>
                <w:szCs w:val="21"/>
              </w:rPr>
            </w:pPr>
            <w:r>
              <w:rPr>
                <w:rFonts w:hint="eastAsia"/>
                <w:sz w:val="21"/>
                <w:szCs w:val="21"/>
              </w:rPr>
              <w:t>626898</w:t>
            </w:r>
          </w:p>
        </w:tc>
        <w:tc>
          <w:tcPr>
            <w:tcW w:w="1787" w:type="dxa"/>
            <w:vAlign w:val="center"/>
          </w:tcPr>
          <w:p>
            <w:pPr>
              <w:jc w:val="center"/>
              <w:rPr>
                <w:rFonts w:hint="eastAsia"/>
                <w:sz w:val="21"/>
                <w:szCs w:val="21"/>
              </w:rPr>
            </w:pPr>
            <w:r>
              <w:rPr>
                <w:rFonts w:hint="eastAsia"/>
                <w:sz w:val="21"/>
                <w:szCs w:val="21"/>
              </w:rPr>
              <w:t>3280765</w:t>
            </w:r>
          </w:p>
        </w:tc>
        <w:tc>
          <w:tcPr>
            <w:tcW w:w="1484" w:type="dxa"/>
            <w:vAlign w:val="center"/>
          </w:tcPr>
          <w:p>
            <w:pPr>
              <w:jc w:val="center"/>
              <w:rPr>
                <w:rFonts w:hint="eastAsia"/>
                <w:sz w:val="21"/>
                <w:szCs w:val="21"/>
              </w:rPr>
            </w:pPr>
            <w:r>
              <w:rPr>
                <w:rFonts w:hint="eastAsia"/>
                <w:sz w:val="21"/>
                <w:szCs w:val="21"/>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4" w:type="dxa"/>
            <w:vAlign w:val="center"/>
          </w:tcPr>
          <w:p>
            <w:pPr>
              <w:adjustRightInd w:val="0"/>
              <w:snapToGrid w:val="0"/>
              <w:spacing w:line="360" w:lineRule="auto"/>
              <w:jc w:val="center"/>
              <w:rPr>
                <w:sz w:val="21"/>
                <w:szCs w:val="21"/>
              </w:rPr>
            </w:pPr>
            <w:r>
              <w:rPr>
                <w:sz w:val="21"/>
                <w:szCs w:val="21"/>
              </w:rPr>
              <w:t>11</w:t>
            </w:r>
          </w:p>
        </w:tc>
        <w:tc>
          <w:tcPr>
            <w:tcW w:w="2157" w:type="dxa"/>
            <w:vAlign w:val="center"/>
          </w:tcPr>
          <w:p>
            <w:pPr>
              <w:jc w:val="center"/>
              <w:rPr>
                <w:sz w:val="21"/>
                <w:szCs w:val="21"/>
              </w:rPr>
            </w:pPr>
            <w:r>
              <w:rPr>
                <w:rFonts w:hAnsi="宋体"/>
                <w:sz w:val="21"/>
                <w:szCs w:val="21"/>
              </w:rPr>
              <w:t>陈家桥镇</w:t>
            </w:r>
          </w:p>
        </w:tc>
        <w:tc>
          <w:tcPr>
            <w:tcW w:w="1891" w:type="dxa"/>
            <w:vAlign w:val="center"/>
          </w:tcPr>
          <w:p>
            <w:pPr>
              <w:jc w:val="center"/>
              <w:rPr>
                <w:sz w:val="21"/>
                <w:szCs w:val="21"/>
              </w:rPr>
            </w:pPr>
            <w:r>
              <w:rPr>
                <w:sz w:val="21"/>
                <w:szCs w:val="21"/>
              </w:rPr>
              <w:t>629538</w:t>
            </w:r>
          </w:p>
        </w:tc>
        <w:tc>
          <w:tcPr>
            <w:tcW w:w="1787" w:type="dxa"/>
            <w:vAlign w:val="center"/>
          </w:tcPr>
          <w:p>
            <w:pPr>
              <w:jc w:val="center"/>
              <w:rPr>
                <w:sz w:val="21"/>
                <w:szCs w:val="21"/>
              </w:rPr>
            </w:pPr>
            <w:r>
              <w:rPr>
                <w:sz w:val="21"/>
                <w:szCs w:val="21"/>
              </w:rPr>
              <w:t>3277125</w:t>
            </w:r>
          </w:p>
        </w:tc>
        <w:tc>
          <w:tcPr>
            <w:tcW w:w="1484" w:type="dxa"/>
            <w:vAlign w:val="center"/>
          </w:tcPr>
          <w:p>
            <w:pPr>
              <w:jc w:val="center"/>
              <w:rPr>
                <w:rFonts w:hint="eastAsia"/>
                <w:sz w:val="21"/>
                <w:szCs w:val="21"/>
              </w:rPr>
            </w:pPr>
            <w:r>
              <w:rPr>
                <w:rFonts w:hint="eastAsia"/>
                <w:sz w:val="21"/>
                <w:szCs w:val="21"/>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4" w:type="dxa"/>
            <w:vAlign w:val="center"/>
          </w:tcPr>
          <w:p>
            <w:pPr>
              <w:adjustRightInd w:val="0"/>
              <w:snapToGrid w:val="0"/>
              <w:spacing w:line="360" w:lineRule="auto"/>
              <w:jc w:val="center"/>
              <w:rPr>
                <w:sz w:val="21"/>
                <w:szCs w:val="21"/>
              </w:rPr>
            </w:pPr>
            <w:r>
              <w:rPr>
                <w:sz w:val="21"/>
                <w:szCs w:val="21"/>
              </w:rPr>
              <w:t>12</w:t>
            </w:r>
          </w:p>
        </w:tc>
        <w:tc>
          <w:tcPr>
            <w:tcW w:w="2157" w:type="dxa"/>
            <w:vAlign w:val="center"/>
          </w:tcPr>
          <w:p>
            <w:pPr>
              <w:jc w:val="center"/>
              <w:rPr>
                <w:sz w:val="21"/>
                <w:szCs w:val="21"/>
              </w:rPr>
            </w:pPr>
            <w:r>
              <w:rPr>
                <w:rFonts w:hAnsi="宋体"/>
                <w:sz w:val="21"/>
                <w:szCs w:val="21"/>
              </w:rPr>
              <w:t>大学城</w:t>
            </w:r>
          </w:p>
        </w:tc>
        <w:tc>
          <w:tcPr>
            <w:tcW w:w="1891" w:type="dxa"/>
            <w:vAlign w:val="center"/>
          </w:tcPr>
          <w:p>
            <w:pPr>
              <w:jc w:val="center"/>
              <w:rPr>
                <w:sz w:val="21"/>
                <w:szCs w:val="21"/>
              </w:rPr>
            </w:pPr>
            <w:r>
              <w:rPr>
                <w:sz w:val="21"/>
                <w:szCs w:val="21"/>
              </w:rPr>
              <w:t>626478</w:t>
            </w:r>
          </w:p>
        </w:tc>
        <w:tc>
          <w:tcPr>
            <w:tcW w:w="1787" w:type="dxa"/>
            <w:vAlign w:val="center"/>
          </w:tcPr>
          <w:p>
            <w:pPr>
              <w:jc w:val="center"/>
              <w:rPr>
                <w:sz w:val="21"/>
                <w:szCs w:val="21"/>
              </w:rPr>
            </w:pPr>
            <w:r>
              <w:rPr>
                <w:sz w:val="21"/>
                <w:szCs w:val="21"/>
              </w:rPr>
              <w:t>3275145</w:t>
            </w:r>
          </w:p>
        </w:tc>
        <w:tc>
          <w:tcPr>
            <w:tcW w:w="1484" w:type="dxa"/>
            <w:vAlign w:val="center"/>
          </w:tcPr>
          <w:p>
            <w:pPr>
              <w:jc w:val="center"/>
              <w:rPr>
                <w:rFonts w:hint="eastAsia"/>
                <w:sz w:val="21"/>
                <w:szCs w:val="21"/>
              </w:rPr>
            </w:pPr>
            <w:r>
              <w:rPr>
                <w:rFonts w:hint="eastAsia"/>
                <w:sz w:val="21"/>
                <w:szCs w:val="21"/>
              </w:rPr>
              <w:t>283</w:t>
            </w:r>
          </w:p>
        </w:tc>
      </w:tr>
    </w:tbl>
    <w:p>
      <w:pPr>
        <w:adjustRightInd w:val="0"/>
        <w:snapToGrid w:val="0"/>
        <w:spacing w:line="360" w:lineRule="auto"/>
        <w:rPr>
          <w:rFonts w:hint="eastAsia"/>
        </w:rPr>
      </w:pPr>
      <w:r>
        <w:drawing>
          <wp:anchor distT="0" distB="0" distL="114300" distR="114300" simplePos="0" relativeHeight="251876352" behindDoc="0" locked="0" layoutInCell="1" allowOverlap="1">
            <wp:simplePos x="0" y="0"/>
            <wp:positionH relativeFrom="column">
              <wp:posOffset>0</wp:posOffset>
            </wp:positionH>
            <wp:positionV relativeFrom="paragraph">
              <wp:posOffset>161290</wp:posOffset>
            </wp:positionV>
            <wp:extent cx="2724150" cy="3362325"/>
            <wp:effectExtent l="9525" t="9525" r="9525" b="19050"/>
            <wp:wrapSquare wrapText="bothSides"/>
            <wp:docPr id="380"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62"/>
                    <pic:cNvPicPr>
                      <a:picLocks noChangeAspect="1"/>
                    </pic:cNvPicPr>
                  </pic:nvPicPr>
                  <pic:blipFill>
                    <a:blip r:embed="rId46"/>
                    <a:stretch>
                      <a:fillRect/>
                    </a:stretch>
                  </pic:blipFill>
                  <pic:spPr>
                    <a:xfrm>
                      <a:off x="0" y="0"/>
                      <a:ext cx="2724150" cy="3362325"/>
                    </a:xfrm>
                    <a:prstGeom prst="rect">
                      <a:avLst/>
                    </a:prstGeom>
                    <a:solidFill>
                      <a:srgbClr val="FFFFFF"/>
                    </a:solidFill>
                    <a:ln w="6350" cap="flat" cmpd="sng">
                      <a:solidFill>
                        <a:srgbClr val="000000"/>
                      </a:solidFill>
                      <a:prstDash val="solid"/>
                      <a:miter/>
                      <a:headEnd type="none" w="med" len="med"/>
                      <a:tailEnd type="none" w="med" len="med"/>
                    </a:ln>
                  </pic:spPr>
                </pic:pic>
              </a:graphicData>
            </a:graphic>
          </wp:anchor>
        </w:drawing>
      </w:r>
    </w:p>
    <w:p>
      <w:pPr>
        <w:adjustRightInd w:val="0"/>
        <w:snapToGrid w:val="0"/>
        <w:spacing w:line="360" w:lineRule="auto"/>
      </w:pPr>
      <w:r>
        <w:drawing>
          <wp:anchor distT="0" distB="0" distL="114300" distR="114300" simplePos="0" relativeHeight="251860992" behindDoc="0" locked="0" layoutInCell="1" allowOverlap="1">
            <wp:simplePos x="0" y="0"/>
            <wp:positionH relativeFrom="column">
              <wp:posOffset>241300</wp:posOffset>
            </wp:positionH>
            <wp:positionV relativeFrom="paragraph">
              <wp:posOffset>-2540</wp:posOffset>
            </wp:positionV>
            <wp:extent cx="2733675" cy="2733675"/>
            <wp:effectExtent l="0" t="0" r="9525" b="9525"/>
            <wp:wrapSquare wrapText="bothSides"/>
            <wp:docPr id="379"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63"/>
                    <pic:cNvPicPr>
                      <a:picLocks noChangeAspect="1"/>
                    </pic:cNvPicPr>
                  </pic:nvPicPr>
                  <pic:blipFill>
                    <a:blip r:embed="rId47"/>
                    <a:stretch>
                      <a:fillRect/>
                    </a:stretch>
                  </pic:blipFill>
                  <pic:spPr>
                    <a:xfrm>
                      <a:off x="0" y="0"/>
                      <a:ext cx="2733675" cy="2733675"/>
                    </a:xfrm>
                    <a:prstGeom prst="rect">
                      <a:avLst/>
                    </a:prstGeom>
                    <a:noFill/>
                    <a:ln>
                      <a:noFill/>
                    </a:ln>
                  </pic:spPr>
                </pic:pic>
              </a:graphicData>
            </a:graphic>
          </wp:anchor>
        </w:drawing>
      </w:r>
      <w:r>
        <w:rPr>
          <w:rFonts w:hint="eastAsia"/>
        </w:rPr>
        <w:t xml:space="preserve">    </w:t>
      </w:r>
    </w:p>
    <w:p/>
    <w:p>
      <w:pPr>
        <w:adjustRightInd w:val="0"/>
        <w:snapToGrid w:val="0"/>
        <w:spacing w:line="360" w:lineRule="auto"/>
        <w:jc w:val="center"/>
        <w:rPr>
          <w:b/>
        </w:rPr>
      </w:pPr>
      <w:r>
        <w:rPr>
          <w:b/>
        </w:rPr>
        <w:t xml:space="preserve">    图</w:t>
      </w:r>
      <w:r>
        <w:rPr>
          <w:rFonts w:hint="eastAsia"/>
          <w:b/>
        </w:rPr>
        <w:t>8</w:t>
      </w:r>
      <w:r>
        <w:rPr>
          <w:b/>
        </w:rPr>
        <w:t>.</w:t>
      </w:r>
      <w:r>
        <w:rPr>
          <w:rFonts w:hint="eastAsia"/>
          <w:b/>
        </w:rPr>
        <w:t>4</w:t>
      </w:r>
      <w:r>
        <w:rPr>
          <w:b/>
        </w:rPr>
        <w:t xml:space="preserve">  计算网格点示意图             图</w:t>
      </w:r>
      <w:r>
        <w:rPr>
          <w:rFonts w:hint="eastAsia"/>
          <w:b/>
        </w:rPr>
        <w:t>8</w:t>
      </w:r>
      <w:r>
        <w:rPr>
          <w:b/>
        </w:rPr>
        <w:t>.</w:t>
      </w:r>
      <w:r>
        <w:rPr>
          <w:rFonts w:hint="eastAsia"/>
          <w:b/>
        </w:rPr>
        <w:t>5</w:t>
      </w:r>
      <w:r>
        <w:rPr>
          <w:b/>
        </w:rPr>
        <w:t xml:space="preserve">  沙坪坝区0</w:t>
      </w:r>
      <w:r>
        <w:rPr>
          <w:rFonts w:hint="eastAsia"/>
          <w:b/>
        </w:rPr>
        <w:t>7</w:t>
      </w:r>
      <w:r>
        <w:rPr>
          <w:b/>
        </w:rPr>
        <w:t>年度风频玫瑰图</w:t>
      </w:r>
    </w:p>
    <w:p>
      <w:pPr>
        <w:adjustRightInd w:val="0"/>
        <w:snapToGrid w:val="0"/>
        <w:spacing w:line="360" w:lineRule="auto"/>
        <w:ind w:firstLine="210" w:firstLineChars="100"/>
        <w:rPr>
          <w:rFonts w:hint="eastAsia"/>
        </w:rPr>
      </w:pPr>
    </w:p>
    <w:p>
      <w:pPr>
        <w:adjustRightInd w:val="0"/>
        <w:snapToGrid w:val="0"/>
        <w:spacing w:line="360" w:lineRule="auto"/>
        <w:ind w:firstLine="210" w:firstLineChars="100"/>
        <w:rPr>
          <w:rFonts w:hint="eastAsia"/>
        </w:rPr>
      </w:pPr>
      <w:r>
        <w:t>（4）评价范围与地形数据</w:t>
      </w:r>
    </w:p>
    <w:p>
      <w:pPr>
        <w:adjustRightInd w:val="0"/>
        <w:snapToGrid w:val="0"/>
        <w:spacing w:line="360" w:lineRule="auto"/>
        <w:ind w:firstLine="420" w:firstLineChars="200"/>
      </w:pPr>
      <w:r>
        <w:t>地形数据采用srtm(Shuttle Radar Topography Mission)V4.1版本数据，该数据为2000年采集，数据分辨率精度约90m。根据此数据对技改项目评价范围内的地形进行模拟，其表面图见图</w:t>
      </w:r>
      <w:r>
        <w:rPr>
          <w:rFonts w:hint="eastAsia"/>
        </w:rPr>
        <w:t>8</w:t>
      </w:r>
      <w:r>
        <w:t>.</w:t>
      </w:r>
      <w:r>
        <w:rPr>
          <w:rFonts w:hint="eastAsia"/>
        </w:rPr>
        <w:t>6</w:t>
      </w:r>
      <w:r>
        <w:t>。</w:t>
      </w:r>
    </w:p>
    <w:p>
      <w:pPr>
        <w:adjustRightInd w:val="0"/>
        <w:snapToGrid w:val="0"/>
        <w:spacing w:line="360" w:lineRule="auto"/>
        <w:ind w:firstLine="420" w:firstLineChars="200"/>
        <w:jc w:val="center"/>
      </w:pPr>
      <w:r>
        <mc:AlternateContent>
          <mc:Choice Requires="wps">
            <w:drawing>
              <wp:anchor distT="0" distB="0" distL="114300" distR="114300" simplePos="0" relativeHeight="251858944" behindDoc="0" locked="0" layoutInCell="1" allowOverlap="1">
                <wp:simplePos x="0" y="0"/>
                <wp:positionH relativeFrom="column">
                  <wp:posOffset>4000500</wp:posOffset>
                </wp:positionH>
                <wp:positionV relativeFrom="paragraph">
                  <wp:posOffset>544195</wp:posOffset>
                </wp:positionV>
                <wp:extent cx="1028700" cy="297180"/>
                <wp:effectExtent l="1258570" t="4445" r="17780" b="879475"/>
                <wp:wrapNone/>
                <wp:docPr id="377" name="圆角矩形标注 377"/>
                <wp:cNvGraphicFramePr/>
                <a:graphic xmlns:a="http://schemas.openxmlformats.org/drawingml/2006/main">
                  <a:graphicData uri="http://schemas.microsoft.com/office/word/2010/wordprocessingShape">
                    <wps:wsp>
                      <wps:cNvSpPr/>
                      <wps:spPr>
                        <a:xfrm>
                          <a:off x="0" y="0"/>
                          <a:ext cx="1028700" cy="297180"/>
                        </a:xfrm>
                        <a:prstGeom prst="wedgeRoundRectCallout">
                          <a:avLst>
                            <a:gd name="adj1" fmla="val -168949"/>
                            <a:gd name="adj2" fmla="val 337181"/>
                            <a:gd name="adj3" fmla="val 16667"/>
                          </a:avLst>
                        </a:prstGeom>
                        <a:solidFill>
                          <a:srgbClr val="FFFFFF"/>
                        </a:solidFill>
                        <a:ln w="9525" cap="flat" cmpd="sng">
                          <a:solidFill>
                            <a:srgbClr val="339966"/>
                          </a:solidFill>
                          <a:prstDash val="solid"/>
                          <a:miter/>
                          <a:headEnd type="none" w="med" len="med"/>
                          <a:tailEnd type="none" w="med" len="med"/>
                        </a:ln>
                      </wps:spPr>
                      <wps:txbx>
                        <w:txbxContent>
                          <w:p>
                            <w:pPr>
                              <w:jc w:val="center"/>
                              <w:rPr>
                                <w:rFonts w:hint="eastAsia"/>
                              </w:rPr>
                            </w:pPr>
                            <w:r>
                              <w:rPr>
                                <w:rFonts w:hint="eastAsia"/>
                              </w:rPr>
                              <w:t>技改项目</w:t>
                            </w:r>
                          </w:p>
                        </w:txbxContent>
                      </wps:txbx>
                      <wps:bodyPr upright="1"/>
                    </wps:wsp>
                  </a:graphicData>
                </a:graphic>
              </wp:anchor>
            </w:drawing>
          </mc:Choice>
          <mc:Fallback>
            <w:pict>
              <v:shape id="_x0000_s1026" o:spid="_x0000_s1026" o:spt="62" type="#_x0000_t62" style="position:absolute;left:0pt;margin-left:315pt;margin-top:42.85pt;height:23.4pt;width:81pt;z-index:251858944;mso-width-relative:page;mso-height-relative:page;" fillcolor="#FFFFFF" filled="t" stroked="t" coordsize="21600,21600" o:gfxdata="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&#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Gy3Mu2gAAAAoBAAAPAAAAAAAAAAEAIAAAACIAAABk&#10;cnMvZG93bnJldi54bWxQSwECFAAUAAAACACHTuJAJCTMGj0CAAB0BAAADgAAAAAAAAABACAAAAAp&#10;AQAAZHJzL2Uyb0RvYy54bWxQSwUGAAAAAAYABgBZAQAA2AUAAAAA&#10;" adj="-25693,83631,14400">
                <v:fill on="t" focussize="0,0"/>
                <v:stroke color="#339966" joinstyle="miter"/>
                <v:imagedata o:title=""/>
                <o:lock v:ext="edit" aspectratio="f"/>
                <v:textbox>
                  <w:txbxContent>
                    <w:p>
                      <w:pPr>
                        <w:jc w:val="center"/>
                        <w:rPr>
                          <w:rFonts w:hint="eastAsia"/>
                        </w:rPr>
                      </w:pPr>
                      <w:r>
                        <w:rPr>
                          <w:rFonts w:hint="eastAsia"/>
                        </w:rPr>
                        <w:t>技改项目</w:t>
                      </w:r>
                    </w:p>
                  </w:txbxContent>
                </v:textbox>
              </v:shape>
            </w:pict>
          </mc:Fallback>
        </mc:AlternateContent>
      </w:r>
      <w:r>
        <w:drawing>
          <wp:inline distT="0" distB="0" distL="114300" distR="114300">
            <wp:extent cx="4043680" cy="3944620"/>
            <wp:effectExtent l="0" t="0" r="0" b="0"/>
            <wp:docPr id="3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7"/>
                    <pic:cNvPicPr>
                      <a:picLocks noChangeAspect="1"/>
                    </pic:cNvPicPr>
                  </pic:nvPicPr>
                  <pic:blipFill>
                    <a:blip r:embed="rId48"/>
                    <a:stretch>
                      <a:fillRect/>
                    </a:stretch>
                  </pic:blipFill>
                  <pic:spPr>
                    <a:xfrm>
                      <a:off x="0" y="0"/>
                      <a:ext cx="4043680" cy="3944620"/>
                    </a:xfrm>
                    <a:prstGeom prst="rect">
                      <a:avLst/>
                    </a:prstGeom>
                    <a:noFill/>
                    <a:ln>
                      <a:noFill/>
                    </a:ln>
                  </pic:spPr>
                </pic:pic>
              </a:graphicData>
            </a:graphic>
          </wp:inline>
        </w:drawing>
      </w:r>
    </w:p>
    <w:p>
      <w:pPr>
        <w:adjustRightInd w:val="0"/>
        <w:snapToGrid w:val="0"/>
        <w:spacing w:line="360" w:lineRule="auto"/>
        <w:ind w:firstLine="422" w:firstLineChars="200"/>
        <w:jc w:val="center"/>
        <w:rPr>
          <w:b/>
        </w:rPr>
      </w:pPr>
      <w:r>
        <w:rPr>
          <w:b/>
        </w:rPr>
        <w:t>图</w:t>
      </w:r>
      <w:r>
        <w:rPr>
          <w:rFonts w:hint="eastAsia"/>
          <w:b/>
        </w:rPr>
        <w:t>8</w:t>
      </w:r>
      <w:r>
        <w:rPr>
          <w:b/>
        </w:rPr>
        <w:t>.</w:t>
      </w:r>
      <w:r>
        <w:rPr>
          <w:rFonts w:hint="eastAsia"/>
          <w:b/>
        </w:rPr>
        <w:t>6</w:t>
      </w:r>
      <w:r>
        <w:rPr>
          <w:b/>
        </w:rPr>
        <w:t xml:space="preserve"> 技改项目地形模拟图</w:t>
      </w:r>
    </w:p>
    <w:p>
      <w:pPr>
        <w:adjustRightInd w:val="0"/>
        <w:snapToGrid w:val="0"/>
        <w:spacing w:line="360" w:lineRule="auto"/>
        <w:ind w:firstLine="420" w:firstLineChars="200"/>
      </w:pPr>
      <w:r>
        <w:t>（5）预测模式及参数的选择</w:t>
      </w:r>
    </w:p>
    <w:p>
      <w:pPr>
        <w:adjustRightInd w:val="0"/>
        <w:snapToGrid w:val="0"/>
        <w:spacing w:line="360" w:lineRule="auto"/>
        <w:ind w:firstLine="420" w:firstLineChars="200"/>
      </w:pPr>
      <w:r>
        <w:t>采用HJ/T2.2-2008中推荐的ADMS模式进行预测，根据估算模式计算，技改项目最大影响浓度离源距离均远小于50km，因此可利用ADMS模式进行预测计算。本次预测采用ADMS-EIA2.3版本进行计算。</w:t>
      </w:r>
    </w:p>
    <w:p>
      <w:pPr>
        <w:adjustRightInd w:val="0"/>
        <w:snapToGrid w:val="0"/>
        <w:spacing w:line="360" w:lineRule="auto"/>
        <w:ind w:firstLine="420" w:firstLineChars="200"/>
        <w:rPr>
          <w:rFonts w:hint="eastAsia"/>
        </w:rPr>
      </w:pPr>
      <w:r>
        <w:t>此次预测参数选择见表</w:t>
      </w:r>
      <w:r>
        <w:rPr>
          <w:rFonts w:hint="eastAsia"/>
        </w:rPr>
        <w:t>8</w:t>
      </w:r>
      <w:r>
        <w:t>-</w:t>
      </w:r>
      <w:r>
        <w:rPr>
          <w:rFonts w:hint="eastAsia"/>
        </w:rPr>
        <w:t>6。</w:t>
      </w:r>
    </w:p>
    <w:p>
      <w:pPr>
        <w:adjustRightInd w:val="0"/>
        <w:snapToGrid w:val="0"/>
        <w:spacing w:line="360" w:lineRule="auto"/>
        <w:jc w:val="center"/>
        <w:rPr>
          <w:b/>
        </w:rPr>
      </w:pPr>
      <w:r>
        <w:rPr>
          <w:b/>
        </w:rPr>
        <w:t>表</w:t>
      </w:r>
      <w:r>
        <w:rPr>
          <w:rFonts w:hint="eastAsia"/>
          <w:b/>
        </w:rPr>
        <w:t>8</w:t>
      </w:r>
      <w:r>
        <w:rPr>
          <w:b/>
        </w:rPr>
        <w:t>-</w:t>
      </w:r>
      <w:r>
        <w:rPr>
          <w:rFonts w:hint="eastAsia"/>
          <w:b/>
        </w:rPr>
        <w:t>6</w:t>
      </w:r>
      <w:r>
        <w:rPr>
          <w:b/>
        </w:rPr>
        <w:t xml:space="preserve">  技改项目预测模式参数选择</w:t>
      </w:r>
    </w:p>
    <w:tbl>
      <w:tblPr>
        <w:tblStyle w:val="21"/>
        <w:tblW w:w="5316"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242"/>
        <w:gridCol w:w="512"/>
        <w:gridCol w:w="156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5" w:hRule="atLeast"/>
          <w:jc w:val="center"/>
        </w:trPr>
        <w:tc>
          <w:tcPr>
            <w:tcW w:w="3242" w:type="dxa"/>
            <w:vAlign w:val="center"/>
          </w:tcPr>
          <w:p>
            <w:pPr>
              <w:pStyle w:val="31"/>
              <w:snapToGrid w:val="0"/>
              <w:spacing w:line="280" w:lineRule="exact"/>
              <w:ind w:right="-122"/>
              <w:rPr>
                <w:color w:val="auto"/>
              </w:rPr>
            </w:pPr>
            <w:r>
              <w:rPr>
                <w:color w:val="auto"/>
              </w:rPr>
              <w:t>名称</w:t>
            </w:r>
          </w:p>
        </w:tc>
        <w:tc>
          <w:tcPr>
            <w:tcW w:w="512" w:type="dxa"/>
            <w:vAlign w:val="center"/>
          </w:tcPr>
          <w:p>
            <w:pPr>
              <w:pStyle w:val="31"/>
              <w:snapToGrid w:val="0"/>
              <w:spacing w:line="280" w:lineRule="exact"/>
              <w:ind w:right="-122"/>
              <w:rPr>
                <w:color w:val="auto"/>
              </w:rPr>
            </w:pPr>
            <w:r>
              <w:rPr>
                <w:color w:val="auto"/>
              </w:rPr>
              <w:t>单位</w:t>
            </w:r>
          </w:p>
        </w:tc>
        <w:tc>
          <w:tcPr>
            <w:tcW w:w="1562" w:type="dxa"/>
            <w:vAlign w:val="center"/>
          </w:tcPr>
          <w:p>
            <w:pPr>
              <w:pStyle w:val="31"/>
              <w:snapToGrid w:val="0"/>
              <w:spacing w:line="280" w:lineRule="exact"/>
              <w:ind w:right="-122"/>
              <w:rPr>
                <w:color w:val="auto"/>
              </w:rPr>
            </w:pPr>
            <w:r>
              <w:rPr>
                <w:color w:val="auto"/>
              </w:rPr>
              <w:t>数值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4" w:hRule="atLeast"/>
          <w:jc w:val="center"/>
        </w:trPr>
        <w:tc>
          <w:tcPr>
            <w:tcW w:w="3242" w:type="dxa"/>
            <w:vAlign w:val="center"/>
          </w:tcPr>
          <w:p>
            <w:pPr>
              <w:pStyle w:val="31"/>
              <w:snapToGrid w:val="0"/>
              <w:spacing w:line="280" w:lineRule="exact"/>
              <w:ind w:right="-122"/>
              <w:rPr>
                <w:color w:val="auto"/>
              </w:rPr>
            </w:pPr>
            <w:r>
              <w:rPr>
                <w:color w:val="auto"/>
              </w:rPr>
              <w:t>地面粗糙度</w:t>
            </w:r>
          </w:p>
        </w:tc>
        <w:tc>
          <w:tcPr>
            <w:tcW w:w="512" w:type="dxa"/>
            <w:vAlign w:val="center"/>
          </w:tcPr>
          <w:p>
            <w:pPr>
              <w:pStyle w:val="31"/>
              <w:snapToGrid w:val="0"/>
              <w:spacing w:line="280" w:lineRule="exact"/>
              <w:ind w:right="-122"/>
              <w:rPr>
                <w:color w:val="auto"/>
              </w:rPr>
            </w:pPr>
            <w:r>
              <w:rPr>
                <w:color w:val="auto"/>
              </w:rPr>
              <w:t>m</w:t>
            </w:r>
          </w:p>
        </w:tc>
        <w:tc>
          <w:tcPr>
            <w:tcW w:w="1562" w:type="dxa"/>
            <w:vAlign w:val="center"/>
          </w:tcPr>
          <w:p>
            <w:pPr>
              <w:pStyle w:val="31"/>
              <w:snapToGrid w:val="0"/>
              <w:spacing w:line="280" w:lineRule="exact"/>
              <w:ind w:right="-122"/>
              <w:rPr>
                <w:color w:val="auto"/>
              </w:rPr>
            </w:pPr>
            <w:r>
              <w:rPr>
                <w:color w:val="auto"/>
              </w:rPr>
              <w:t>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0" w:hRule="atLeast"/>
          <w:jc w:val="center"/>
        </w:trPr>
        <w:tc>
          <w:tcPr>
            <w:tcW w:w="3242" w:type="dxa"/>
            <w:vAlign w:val="center"/>
          </w:tcPr>
          <w:p>
            <w:pPr>
              <w:pStyle w:val="31"/>
              <w:snapToGrid w:val="0"/>
              <w:spacing w:line="280" w:lineRule="exact"/>
              <w:ind w:right="-122"/>
              <w:rPr>
                <w:color w:val="auto"/>
              </w:rPr>
            </w:pPr>
            <w:r>
              <w:rPr>
                <w:color w:val="auto"/>
              </w:rPr>
              <w:t>纬度</w:t>
            </w:r>
          </w:p>
        </w:tc>
        <w:tc>
          <w:tcPr>
            <w:tcW w:w="512" w:type="dxa"/>
            <w:vAlign w:val="center"/>
          </w:tcPr>
          <w:p>
            <w:pPr>
              <w:pStyle w:val="31"/>
              <w:snapToGrid w:val="0"/>
              <w:spacing w:line="280" w:lineRule="exact"/>
              <w:ind w:right="-122"/>
              <w:rPr>
                <w:color w:val="auto"/>
              </w:rPr>
            </w:pPr>
            <w:r>
              <w:rPr>
                <w:color w:val="auto"/>
              </w:rPr>
              <w:t>度</w:t>
            </w:r>
          </w:p>
        </w:tc>
        <w:tc>
          <w:tcPr>
            <w:tcW w:w="1562" w:type="dxa"/>
            <w:vAlign w:val="center"/>
          </w:tcPr>
          <w:p>
            <w:pPr>
              <w:pStyle w:val="31"/>
              <w:snapToGrid w:val="0"/>
              <w:spacing w:line="280" w:lineRule="exact"/>
              <w:ind w:right="-122"/>
              <w:rPr>
                <w:color w:val="auto"/>
              </w:rPr>
            </w:pPr>
            <w:r>
              <w:rPr>
                <w:color w:val="auto"/>
              </w:rPr>
              <w:t>28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3242" w:type="dxa"/>
            <w:vAlign w:val="center"/>
          </w:tcPr>
          <w:p>
            <w:pPr>
              <w:pStyle w:val="31"/>
              <w:snapToGrid w:val="0"/>
              <w:spacing w:line="280" w:lineRule="exact"/>
              <w:ind w:right="-122"/>
              <w:rPr>
                <w:color w:val="auto"/>
              </w:rPr>
            </w:pPr>
            <w:r>
              <w:rPr>
                <w:color w:val="auto"/>
              </w:rPr>
              <w:t>规定Monin-Obukhov长度的最小值</w:t>
            </w:r>
          </w:p>
        </w:tc>
        <w:tc>
          <w:tcPr>
            <w:tcW w:w="512" w:type="dxa"/>
            <w:vAlign w:val="center"/>
          </w:tcPr>
          <w:p>
            <w:pPr>
              <w:pStyle w:val="31"/>
              <w:snapToGrid w:val="0"/>
              <w:spacing w:line="280" w:lineRule="exact"/>
              <w:ind w:right="-122"/>
              <w:rPr>
                <w:color w:val="auto"/>
              </w:rPr>
            </w:pPr>
            <w:r>
              <w:rPr>
                <w:color w:val="auto"/>
              </w:rPr>
              <w:t>/</w:t>
            </w:r>
          </w:p>
        </w:tc>
        <w:tc>
          <w:tcPr>
            <w:tcW w:w="1562" w:type="dxa"/>
            <w:vAlign w:val="center"/>
          </w:tcPr>
          <w:p>
            <w:pPr>
              <w:pStyle w:val="31"/>
              <w:snapToGrid w:val="0"/>
              <w:spacing w:line="280" w:lineRule="exact"/>
              <w:ind w:right="-122"/>
              <w:rPr>
                <w:rFonts w:hint="eastAsia"/>
                <w:color w:val="auto"/>
              </w:rPr>
            </w:pPr>
            <w:r>
              <w:rPr>
                <w:rFonts w:hint="eastAsia"/>
                <w:color w:val="auto"/>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4" w:hRule="atLeast"/>
          <w:jc w:val="center"/>
        </w:trPr>
        <w:tc>
          <w:tcPr>
            <w:tcW w:w="3242" w:type="dxa"/>
            <w:vAlign w:val="center"/>
          </w:tcPr>
          <w:p>
            <w:pPr>
              <w:pStyle w:val="31"/>
              <w:snapToGrid w:val="0"/>
              <w:spacing w:line="280" w:lineRule="exact"/>
              <w:ind w:right="-122"/>
              <w:rPr>
                <w:color w:val="auto"/>
              </w:rPr>
            </w:pPr>
            <w:r>
              <w:rPr>
                <w:color w:val="auto"/>
              </w:rPr>
              <w:t>测风高度</w:t>
            </w:r>
          </w:p>
        </w:tc>
        <w:tc>
          <w:tcPr>
            <w:tcW w:w="512" w:type="dxa"/>
            <w:vAlign w:val="center"/>
          </w:tcPr>
          <w:p>
            <w:pPr>
              <w:pStyle w:val="31"/>
              <w:snapToGrid w:val="0"/>
              <w:spacing w:line="280" w:lineRule="exact"/>
              <w:ind w:right="-122"/>
              <w:rPr>
                <w:color w:val="auto"/>
              </w:rPr>
            </w:pPr>
            <w:r>
              <w:rPr>
                <w:color w:val="auto"/>
              </w:rPr>
              <w:t>m</w:t>
            </w:r>
          </w:p>
        </w:tc>
        <w:tc>
          <w:tcPr>
            <w:tcW w:w="1562" w:type="dxa"/>
            <w:vAlign w:val="center"/>
          </w:tcPr>
          <w:p>
            <w:pPr>
              <w:pStyle w:val="31"/>
              <w:snapToGrid w:val="0"/>
              <w:spacing w:line="280" w:lineRule="exact"/>
              <w:ind w:right="-122"/>
              <w:rPr>
                <w:color w:val="auto"/>
              </w:rPr>
            </w:pPr>
            <w:r>
              <w:rPr>
                <w:color w:val="auto"/>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6" w:hRule="atLeast"/>
          <w:jc w:val="center"/>
        </w:trPr>
        <w:tc>
          <w:tcPr>
            <w:tcW w:w="3242" w:type="dxa"/>
            <w:vAlign w:val="center"/>
          </w:tcPr>
          <w:p>
            <w:pPr>
              <w:pStyle w:val="31"/>
              <w:snapToGrid w:val="0"/>
              <w:spacing w:line="280" w:lineRule="exact"/>
              <w:ind w:right="-122"/>
              <w:rPr>
                <w:color w:val="auto"/>
              </w:rPr>
            </w:pPr>
            <w:r>
              <w:rPr>
                <w:color w:val="auto"/>
              </w:rPr>
              <w:t>风因子尺寸（只用于长期）</w:t>
            </w:r>
          </w:p>
        </w:tc>
        <w:tc>
          <w:tcPr>
            <w:tcW w:w="512" w:type="dxa"/>
            <w:vAlign w:val="center"/>
          </w:tcPr>
          <w:p>
            <w:pPr>
              <w:pStyle w:val="31"/>
              <w:snapToGrid w:val="0"/>
              <w:spacing w:line="280" w:lineRule="exact"/>
              <w:ind w:right="-122"/>
              <w:rPr>
                <w:color w:val="auto"/>
              </w:rPr>
            </w:pPr>
            <w:r>
              <w:rPr>
                <w:color w:val="auto"/>
              </w:rPr>
              <w:t>度</w:t>
            </w:r>
          </w:p>
        </w:tc>
        <w:tc>
          <w:tcPr>
            <w:tcW w:w="1562" w:type="dxa"/>
            <w:vAlign w:val="center"/>
          </w:tcPr>
          <w:p>
            <w:pPr>
              <w:pStyle w:val="31"/>
              <w:snapToGrid w:val="0"/>
              <w:spacing w:line="280" w:lineRule="exact"/>
              <w:ind w:right="-122"/>
              <w:rPr>
                <w:color w:val="auto"/>
              </w:rPr>
            </w:pPr>
            <w:r>
              <w:rPr>
                <w:color w:val="auto"/>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6" w:hRule="atLeast"/>
          <w:jc w:val="center"/>
        </w:trPr>
        <w:tc>
          <w:tcPr>
            <w:tcW w:w="3242" w:type="dxa"/>
            <w:vAlign w:val="center"/>
          </w:tcPr>
          <w:p>
            <w:pPr>
              <w:pStyle w:val="31"/>
              <w:snapToGrid w:val="0"/>
              <w:spacing w:line="280" w:lineRule="exact"/>
              <w:ind w:right="-122"/>
              <w:rPr>
                <w:color w:val="auto"/>
              </w:rPr>
            </w:pPr>
            <w:r>
              <w:rPr>
                <w:color w:val="auto"/>
              </w:rPr>
              <w:t>气象站是否代表污染源址</w:t>
            </w:r>
          </w:p>
        </w:tc>
        <w:tc>
          <w:tcPr>
            <w:tcW w:w="512" w:type="dxa"/>
            <w:vAlign w:val="center"/>
          </w:tcPr>
          <w:p>
            <w:pPr>
              <w:pStyle w:val="31"/>
              <w:snapToGrid w:val="0"/>
              <w:spacing w:line="280" w:lineRule="exact"/>
              <w:ind w:right="-122"/>
              <w:rPr>
                <w:color w:val="auto"/>
              </w:rPr>
            </w:pPr>
            <w:r>
              <w:rPr>
                <w:color w:val="auto"/>
              </w:rPr>
              <w:t>/</w:t>
            </w:r>
          </w:p>
        </w:tc>
        <w:tc>
          <w:tcPr>
            <w:tcW w:w="1562" w:type="dxa"/>
            <w:vAlign w:val="center"/>
          </w:tcPr>
          <w:p>
            <w:pPr>
              <w:pStyle w:val="31"/>
              <w:snapToGrid w:val="0"/>
              <w:spacing w:line="280" w:lineRule="exact"/>
              <w:ind w:right="-122"/>
              <w:rPr>
                <w:color w:val="auto"/>
              </w:rPr>
            </w:pPr>
            <w:r>
              <w:rPr>
                <w:color w:val="auto"/>
              </w:rPr>
              <w:t>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6" w:hRule="atLeast"/>
          <w:jc w:val="center"/>
        </w:trPr>
        <w:tc>
          <w:tcPr>
            <w:tcW w:w="3242" w:type="dxa"/>
            <w:vAlign w:val="center"/>
          </w:tcPr>
          <w:p>
            <w:pPr>
              <w:pStyle w:val="31"/>
              <w:snapToGrid w:val="0"/>
              <w:spacing w:line="280" w:lineRule="exact"/>
              <w:ind w:right="-122"/>
              <w:rPr>
                <w:color w:val="auto"/>
              </w:rPr>
            </w:pPr>
            <w:r>
              <w:rPr>
                <w:color w:val="auto"/>
              </w:rPr>
              <w:t>沉降率因子</w:t>
            </w:r>
          </w:p>
        </w:tc>
        <w:tc>
          <w:tcPr>
            <w:tcW w:w="512" w:type="dxa"/>
            <w:vAlign w:val="center"/>
          </w:tcPr>
          <w:p>
            <w:pPr>
              <w:pStyle w:val="31"/>
              <w:snapToGrid w:val="0"/>
              <w:spacing w:line="280" w:lineRule="exact"/>
              <w:ind w:right="-122"/>
              <w:rPr>
                <w:color w:val="auto"/>
              </w:rPr>
            </w:pPr>
            <w:r>
              <w:rPr>
                <w:color w:val="auto"/>
              </w:rPr>
              <w:t>/</w:t>
            </w:r>
          </w:p>
        </w:tc>
        <w:tc>
          <w:tcPr>
            <w:tcW w:w="1562" w:type="dxa"/>
            <w:vAlign w:val="center"/>
          </w:tcPr>
          <w:p>
            <w:pPr>
              <w:pStyle w:val="31"/>
              <w:snapToGrid w:val="0"/>
              <w:spacing w:line="280" w:lineRule="exact"/>
              <w:ind w:right="-122"/>
              <w:rPr>
                <w:color w:val="auto"/>
              </w:rPr>
            </w:pPr>
            <w:r>
              <w:rPr>
                <w:color w:val="auto"/>
              </w:rPr>
              <w:t>与污染源处相同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4" w:hRule="atLeast"/>
          <w:jc w:val="center"/>
        </w:trPr>
        <w:tc>
          <w:tcPr>
            <w:tcW w:w="3242" w:type="dxa"/>
            <w:vAlign w:val="center"/>
          </w:tcPr>
          <w:p>
            <w:pPr>
              <w:pStyle w:val="31"/>
              <w:snapToGrid w:val="0"/>
              <w:spacing w:line="280" w:lineRule="exact"/>
              <w:ind w:right="-122"/>
              <w:rPr>
                <w:color w:val="auto"/>
              </w:rPr>
            </w:pPr>
            <w:r>
              <w:rPr>
                <w:color w:val="auto"/>
              </w:rPr>
              <w:t>气象站的地表粗糙度</w:t>
            </w:r>
          </w:p>
        </w:tc>
        <w:tc>
          <w:tcPr>
            <w:tcW w:w="512" w:type="dxa"/>
            <w:vAlign w:val="center"/>
          </w:tcPr>
          <w:p>
            <w:pPr>
              <w:pStyle w:val="31"/>
              <w:snapToGrid w:val="0"/>
              <w:spacing w:line="280" w:lineRule="exact"/>
              <w:ind w:right="-122"/>
              <w:rPr>
                <w:color w:val="auto"/>
              </w:rPr>
            </w:pPr>
            <w:r>
              <w:rPr>
                <w:color w:val="auto"/>
              </w:rPr>
              <w:t>/</w:t>
            </w:r>
          </w:p>
        </w:tc>
        <w:tc>
          <w:tcPr>
            <w:tcW w:w="1562" w:type="dxa"/>
            <w:vAlign w:val="center"/>
          </w:tcPr>
          <w:p>
            <w:pPr>
              <w:pStyle w:val="31"/>
              <w:snapToGrid w:val="0"/>
              <w:spacing w:line="280" w:lineRule="exact"/>
              <w:ind w:right="-122"/>
              <w:rPr>
                <w:color w:val="auto"/>
              </w:rPr>
            </w:pPr>
            <w:r>
              <w:rPr>
                <w:color w:val="auto"/>
              </w:rPr>
              <w:t>与污染源处相同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7" w:hRule="atLeast"/>
          <w:jc w:val="center"/>
        </w:trPr>
        <w:tc>
          <w:tcPr>
            <w:tcW w:w="3242" w:type="dxa"/>
            <w:vAlign w:val="center"/>
          </w:tcPr>
          <w:p>
            <w:pPr>
              <w:pStyle w:val="31"/>
              <w:snapToGrid w:val="0"/>
              <w:spacing w:line="280" w:lineRule="exact"/>
              <w:ind w:right="-122"/>
              <w:rPr>
                <w:color w:val="auto"/>
              </w:rPr>
            </w:pPr>
            <w:r>
              <w:rPr>
                <w:color w:val="auto"/>
              </w:rPr>
              <w:t>网格平均间距</w:t>
            </w:r>
          </w:p>
        </w:tc>
        <w:tc>
          <w:tcPr>
            <w:tcW w:w="512" w:type="dxa"/>
            <w:vAlign w:val="center"/>
          </w:tcPr>
          <w:p>
            <w:pPr>
              <w:pStyle w:val="31"/>
              <w:snapToGrid w:val="0"/>
              <w:spacing w:line="280" w:lineRule="exact"/>
              <w:ind w:right="-122"/>
              <w:rPr>
                <w:color w:val="auto"/>
              </w:rPr>
            </w:pPr>
            <w:r>
              <w:rPr>
                <w:color w:val="auto"/>
              </w:rPr>
              <w:t>m</w:t>
            </w:r>
          </w:p>
        </w:tc>
        <w:tc>
          <w:tcPr>
            <w:tcW w:w="1562" w:type="dxa"/>
            <w:vAlign w:val="center"/>
          </w:tcPr>
          <w:p>
            <w:pPr>
              <w:pStyle w:val="31"/>
              <w:snapToGrid w:val="0"/>
              <w:spacing w:line="280" w:lineRule="exact"/>
              <w:ind w:right="-122"/>
              <w:rPr>
                <w:rFonts w:hint="eastAsia"/>
                <w:color w:val="auto"/>
              </w:rPr>
            </w:pPr>
            <w:r>
              <w:rPr>
                <w:rFonts w:hint="eastAsia"/>
                <w:color w:val="auto"/>
              </w:rPr>
              <w:t>140</w:t>
            </w:r>
            <w:r>
              <w:rPr>
                <w:color w:val="auto"/>
              </w:rPr>
              <w:t>/</w:t>
            </w:r>
            <w:r>
              <w:rPr>
                <w:rFonts w:hint="eastAsia"/>
                <w:color w:val="auto"/>
              </w:rPr>
              <w:t>170</w:t>
            </w:r>
          </w:p>
        </w:tc>
      </w:tr>
    </w:tbl>
    <w:p>
      <w:pPr>
        <w:adjustRightInd w:val="0"/>
        <w:snapToGrid w:val="0"/>
        <w:spacing w:line="360" w:lineRule="auto"/>
        <w:ind w:firstLine="420" w:firstLineChars="200"/>
        <w:rPr>
          <w:rFonts w:hint="eastAsia"/>
        </w:rPr>
      </w:pPr>
    </w:p>
    <w:p>
      <w:pPr>
        <w:adjustRightInd w:val="0"/>
        <w:snapToGrid w:val="0"/>
        <w:spacing w:line="360" w:lineRule="auto"/>
        <w:ind w:firstLine="420" w:firstLineChars="200"/>
        <w:rPr>
          <w:rFonts w:hint="eastAsia"/>
        </w:rPr>
      </w:pPr>
    </w:p>
    <w:p>
      <w:pPr>
        <w:adjustRightInd w:val="0"/>
        <w:snapToGrid w:val="0"/>
        <w:spacing w:line="360" w:lineRule="auto"/>
        <w:ind w:firstLine="420" w:firstLineChars="200"/>
        <w:rPr>
          <w:rFonts w:hint="eastAsia"/>
        </w:rPr>
      </w:pPr>
    </w:p>
    <w:p>
      <w:pPr>
        <w:adjustRightInd w:val="0"/>
        <w:snapToGrid w:val="0"/>
        <w:spacing w:line="360" w:lineRule="auto"/>
        <w:ind w:firstLine="420" w:firstLineChars="200"/>
      </w:pPr>
      <w:r>
        <w:t>（6）预测内容</w:t>
      </w:r>
    </w:p>
    <w:p>
      <w:pPr>
        <w:adjustRightInd w:val="0"/>
        <w:snapToGrid w:val="0"/>
        <w:spacing w:line="360" w:lineRule="auto"/>
        <w:ind w:firstLine="420" w:firstLineChars="200"/>
        <w:rPr>
          <w:rFonts w:hint="eastAsia"/>
        </w:rPr>
      </w:pPr>
      <w:r>
        <w:t>A、全年逐次小时气象条件下，环境空气敏感点、网格点处的地面浓度和评价范围内的最大地面小时浓度；</w:t>
      </w:r>
    </w:p>
    <w:p>
      <w:pPr>
        <w:adjustRightInd w:val="0"/>
        <w:snapToGrid w:val="0"/>
        <w:spacing w:line="360" w:lineRule="auto"/>
        <w:ind w:firstLine="420" w:firstLineChars="200"/>
        <w:rPr>
          <w:rFonts w:hint="eastAsia"/>
        </w:rPr>
      </w:pPr>
      <w:r>
        <w:t>B、全年逐日气象条件下，环境空气敏感点、网格点处的地面浓度和评价范围内的最大地面日平均浓度</w:t>
      </w:r>
      <w:r>
        <w:rPr>
          <w:rFonts w:hint="eastAsia"/>
        </w:rPr>
        <w:t>。</w:t>
      </w:r>
    </w:p>
    <w:p>
      <w:pPr>
        <w:adjustRightInd w:val="0"/>
        <w:snapToGrid w:val="0"/>
        <w:spacing w:line="360" w:lineRule="auto"/>
        <w:ind w:firstLine="420" w:firstLineChars="200"/>
        <w:rPr>
          <w:rFonts w:hint="eastAsia"/>
        </w:rPr>
      </w:pPr>
      <w:r>
        <w:t>C、长期气象条件下，环境空气敏感点、网格点处的地面浓度和评价范围内的最大地面年平均浓度</w:t>
      </w:r>
      <w:r>
        <w:rPr>
          <w:rFonts w:hint="eastAsia"/>
        </w:rPr>
        <w:t>。</w:t>
      </w:r>
    </w:p>
    <w:p>
      <w:pPr>
        <w:adjustRightInd w:val="0"/>
        <w:snapToGrid w:val="0"/>
        <w:spacing w:line="360" w:lineRule="auto"/>
        <w:ind w:firstLine="420" w:firstLineChars="200"/>
        <w:rPr>
          <w:rFonts w:hint="eastAsia"/>
        </w:rPr>
      </w:pPr>
      <w:r>
        <w:rPr>
          <w:rFonts w:hint="eastAsia"/>
        </w:rPr>
        <w:t>D</w:t>
      </w:r>
      <w:r>
        <w:t>、</w:t>
      </w:r>
      <w:r>
        <w:rPr>
          <w:rFonts w:hint="eastAsia"/>
        </w:rPr>
        <w:t>给定</w:t>
      </w:r>
      <w:r>
        <w:t>气象条件下，</w:t>
      </w:r>
      <w:r>
        <w:rPr>
          <w:rFonts w:hint="eastAsia"/>
        </w:rPr>
        <w:t>技改项目无组织排放对厂界的影响以及大气防护距离的确定。</w:t>
      </w:r>
    </w:p>
    <w:p>
      <w:pPr>
        <w:adjustRightInd w:val="0"/>
        <w:snapToGrid w:val="0"/>
        <w:spacing w:line="360" w:lineRule="auto"/>
        <w:ind w:firstLine="420" w:firstLineChars="200"/>
        <w:rPr>
          <w:rFonts w:hint="eastAsia"/>
        </w:rPr>
      </w:pPr>
      <w:r>
        <w:rPr>
          <w:rFonts w:hint="eastAsia"/>
        </w:rPr>
        <w:t>E、</w:t>
      </w:r>
      <w:r>
        <w:t>非正常排放情况，全年逐次小时气象条件下，环境空气敏感点的最大地面小时浓度和评价范围内的最大地面小时浓度。</w:t>
      </w:r>
    </w:p>
    <w:p>
      <w:pPr>
        <w:adjustRightInd w:val="0"/>
        <w:snapToGrid w:val="0"/>
        <w:spacing w:line="360" w:lineRule="auto"/>
        <w:ind w:firstLine="420" w:firstLineChars="200"/>
      </w:pPr>
      <w:r>
        <w:t>（7）结果分析</w:t>
      </w:r>
    </w:p>
    <w:p>
      <w:pPr>
        <w:adjustRightInd w:val="0"/>
        <w:snapToGrid w:val="0"/>
        <w:spacing w:line="360" w:lineRule="auto"/>
        <w:ind w:firstLine="420" w:firstLineChars="200"/>
      </w:pPr>
      <w:r>
        <w:t>A、评价范围影响预测结果分析（网格点）</w:t>
      </w:r>
    </w:p>
    <w:p>
      <w:pPr>
        <w:adjustRightInd w:val="0"/>
        <w:snapToGrid w:val="0"/>
        <w:spacing w:line="360" w:lineRule="auto"/>
        <w:ind w:firstLine="420" w:firstLineChars="200"/>
      </w:pPr>
      <w:r>
        <w:rPr>
          <w:rFonts w:hint="eastAsia" w:ascii="宋体" w:hAnsi="宋体" w:cs="宋体"/>
        </w:rPr>
        <w:t>①</w:t>
      </w:r>
      <w:r>
        <w:t>小时浓度</w:t>
      </w:r>
    </w:p>
    <w:p>
      <w:pPr>
        <w:adjustRightInd w:val="0"/>
        <w:snapToGrid w:val="0"/>
        <w:spacing w:line="360" w:lineRule="auto"/>
        <w:ind w:firstLine="420" w:firstLineChars="200"/>
      </w:pPr>
      <w:r>
        <w:rPr>
          <w:rFonts w:hint="eastAsia" w:ascii="宋体" w:hAnsi="宋体" w:cs="宋体"/>
        </w:rPr>
        <w:t>◆</w:t>
      </w:r>
      <w:r>
        <w:t xml:space="preserve"> 区域小时最大值与出现时间</w:t>
      </w:r>
    </w:p>
    <w:p>
      <w:pPr>
        <w:adjustRightInd w:val="0"/>
        <w:snapToGrid w:val="0"/>
        <w:spacing w:line="360" w:lineRule="auto"/>
        <w:ind w:firstLine="480"/>
        <w:rPr>
          <w:rFonts w:hint="eastAsia"/>
        </w:rPr>
      </w:pPr>
      <w:r>
        <w:t>各污染物在评价区域的最大小时浓度、位置与出现时间见表</w:t>
      </w:r>
      <w:r>
        <w:rPr>
          <w:rFonts w:hint="eastAsia"/>
        </w:rPr>
        <w:t>8</w:t>
      </w:r>
      <w:r>
        <w:t>-</w:t>
      </w:r>
      <w:r>
        <w:rPr>
          <w:rFonts w:hint="eastAsia"/>
        </w:rPr>
        <w:t>7。</w:t>
      </w:r>
    </w:p>
    <w:p>
      <w:pPr>
        <w:adjustRightInd w:val="0"/>
        <w:snapToGrid w:val="0"/>
        <w:spacing w:line="360" w:lineRule="auto"/>
        <w:jc w:val="center"/>
        <w:rPr>
          <w:b/>
        </w:rPr>
      </w:pPr>
      <w:r>
        <w:rPr>
          <w:b/>
        </w:rPr>
        <w:t>表</w:t>
      </w:r>
      <w:r>
        <w:rPr>
          <w:rFonts w:hint="eastAsia"/>
          <w:b/>
        </w:rPr>
        <w:t>8</w:t>
      </w:r>
      <w:r>
        <w:rPr>
          <w:b/>
        </w:rPr>
        <w:t>-</w:t>
      </w:r>
      <w:r>
        <w:rPr>
          <w:rFonts w:hint="eastAsia"/>
          <w:b/>
        </w:rPr>
        <w:t>7</w:t>
      </w:r>
      <w:r>
        <w:rPr>
          <w:b/>
        </w:rPr>
        <w:t xml:space="preserve">  价范围内网格小时最大值、位置与出现时间</w:t>
      </w:r>
    </w:p>
    <w:tbl>
      <w:tblPr>
        <w:tblStyle w:val="22"/>
        <w:tblW w:w="91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1554"/>
        <w:gridCol w:w="1150"/>
        <w:gridCol w:w="1620"/>
        <w:gridCol w:w="1489"/>
        <w:gridCol w:w="2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4" w:type="dxa"/>
            <w:vAlign w:val="center"/>
          </w:tcPr>
          <w:p>
            <w:pPr>
              <w:adjustRightInd w:val="0"/>
              <w:snapToGrid w:val="0"/>
              <w:spacing w:line="360" w:lineRule="auto"/>
              <w:jc w:val="center"/>
              <w:rPr>
                <w:sz w:val="21"/>
                <w:szCs w:val="21"/>
              </w:rPr>
            </w:pPr>
            <w:r>
              <w:rPr>
                <w:sz w:val="21"/>
                <w:szCs w:val="21"/>
              </w:rPr>
              <w:t>污染物名称</w:t>
            </w:r>
          </w:p>
        </w:tc>
        <w:tc>
          <w:tcPr>
            <w:tcW w:w="1554" w:type="dxa"/>
            <w:vAlign w:val="center"/>
          </w:tcPr>
          <w:p>
            <w:pPr>
              <w:adjustRightInd w:val="0"/>
              <w:snapToGrid w:val="0"/>
              <w:spacing w:line="360" w:lineRule="auto"/>
              <w:jc w:val="center"/>
              <w:rPr>
                <w:sz w:val="21"/>
                <w:szCs w:val="21"/>
              </w:rPr>
            </w:pPr>
            <w:r>
              <w:rPr>
                <w:sz w:val="21"/>
                <w:szCs w:val="21"/>
              </w:rPr>
              <w:t>区域最大值（mg/m</w:t>
            </w:r>
            <w:r>
              <w:rPr>
                <w:sz w:val="21"/>
                <w:szCs w:val="21"/>
                <w:vertAlign w:val="superscript"/>
              </w:rPr>
              <w:t>3</w:t>
            </w:r>
            <w:r>
              <w:rPr>
                <w:sz w:val="21"/>
                <w:szCs w:val="21"/>
              </w:rPr>
              <w:t>）</w:t>
            </w:r>
          </w:p>
        </w:tc>
        <w:tc>
          <w:tcPr>
            <w:tcW w:w="1150" w:type="dxa"/>
            <w:vAlign w:val="center"/>
          </w:tcPr>
          <w:p>
            <w:pPr>
              <w:adjustRightInd w:val="0"/>
              <w:snapToGrid w:val="0"/>
              <w:spacing w:line="360" w:lineRule="auto"/>
              <w:jc w:val="center"/>
              <w:rPr>
                <w:sz w:val="21"/>
                <w:szCs w:val="21"/>
              </w:rPr>
            </w:pPr>
            <w:r>
              <w:rPr>
                <w:sz w:val="21"/>
                <w:szCs w:val="21"/>
              </w:rPr>
              <w:t>占标率（%）</w:t>
            </w:r>
          </w:p>
        </w:tc>
        <w:tc>
          <w:tcPr>
            <w:tcW w:w="1620" w:type="dxa"/>
            <w:vAlign w:val="center"/>
          </w:tcPr>
          <w:p>
            <w:pPr>
              <w:adjustRightInd w:val="0"/>
              <w:snapToGrid w:val="0"/>
              <w:spacing w:line="360" w:lineRule="auto"/>
              <w:jc w:val="center"/>
              <w:rPr>
                <w:sz w:val="21"/>
                <w:szCs w:val="21"/>
              </w:rPr>
            </w:pPr>
            <w:r>
              <w:rPr>
                <w:sz w:val="21"/>
                <w:szCs w:val="21"/>
              </w:rPr>
              <w:t>X坐标(m)</w:t>
            </w:r>
          </w:p>
        </w:tc>
        <w:tc>
          <w:tcPr>
            <w:tcW w:w="1489" w:type="dxa"/>
            <w:vAlign w:val="center"/>
          </w:tcPr>
          <w:p>
            <w:pPr>
              <w:adjustRightInd w:val="0"/>
              <w:snapToGrid w:val="0"/>
              <w:spacing w:line="360" w:lineRule="auto"/>
              <w:jc w:val="center"/>
              <w:rPr>
                <w:sz w:val="21"/>
                <w:szCs w:val="21"/>
              </w:rPr>
            </w:pPr>
            <w:r>
              <w:rPr>
                <w:sz w:val="21"/>
                <w:szCs w:val="21"/>
              </w:rPr>
              <w:t>Y坐标(m)</w:t>
            </w:r>
          </w:p>
        </w:tc>
        <w:tc>
          <w:tcPr>
            <w:tcW w:w="2382" w:type="dxa"/>
            <w:vAlign w:val="center"/>
          </w:tcPr>
          <w:p>
            <w:pPr>
              <w:adjustRightInd w:val="0"/>
              <w:snapToGrid w:val="0"/>
              <w:spacing w:line="360" w:lineRule="auto"/>
              <w:jc w:val="center"/>
              <w:rPr>
                <w:sz w:val="21"/>
                <w:szCs w:val="21"/>
              </w:rPr>
            </w:pPr>
            <w:r>
              <w:rPr>
                <w:sz w:val="21"/>
                <w:szCs w:val="21"/>
              </w:rPr>
              <w:t>出现时间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4" w:type="dxa"/>
            <w:vAlign w:val="center"/>
          </w:tcPr>
          <w:p>
            <w:pPr>
              <w:adjustRightInd w:val="0"/>
              <w:snapToGrid w:val="0"/>
              <w:spacing w:line="360" w:lineRule="auto"/>
              <w:jc w:val="center"/>
              <w:rPr>
                <w:sz w:val="21"/>
                <w:szCs w:val="21"/>
              </w:rPr>
            </w:pPr>
            <w:r>
              <w:rPr>
                <w:sz w:val="21"/>
                <w:szCs w:val="21"/>
              </w:rPr>
              <w:t>PM</w:t>
            </w:r>
            <w:r>
              <w:rPr>
                <w:sz w:val="21"/>
                <w:szCs w:val="21"/>
                <w:vertAlign w:val="subscript"/>
              </w:rPr>
              <w:t>10</w:t>
            </w:r>
          </w:p>
        </w:tc>
        <w:tc>
          <w:tcPr>
            <w:tcW w:w="1554" w:type="dxa"/>
            <w:vAlign w:val="center"/>
          </w:tcPr>
          <w:p>
            <w:pPr>
              <w:adjustRightInd w:val="0"/>
              <w:snapToGrid w:val="0"/>
              <w:spacing w:line="360" w:lineRule="auto"/>
              <w:jc w:val="center"/>
              <w:rPr>
                <w:rFonts w:hint="eastAsia"/>
                <w:sz w:val="21"/>
                <w:szCs w:val="21"/>
              </w:rPr>
            </w:pPr>
            <w:r>
              <w:rPr>
                <w:rFonts w:hint="eastAsia"/>
                <w:sz w:val="21"/>
                <w:szCs w:val="21"/>
              </w:rPr>
              <w:t>0.1598</w:t>
            </w:r>
          </w:p>
        </w:tc>
        <w:tc>
          <w:tcPr>
            <w:tcW w:w="1150" w:type="dxa"/>
            <w:vAlign w:val="center"/>
          </w:tcPr>
          <w:p>
            <w:pPr>
              <w:adjustRightInd w:val="0"/>
              <w:snapToGrid w:val="0"/>
              <w:spacing w:line="360" w:lineRule="auto"/>
              <w:jc w:val="center"/>
              <w:rPr>
                <w:rFonts w:hint="eastAsia"/>
                <w:sz w:val="21"/>
                <w:szCs w:val="21"/>
              </w:rPr>
            </w:pPr>
            <w:r>
              <w:rPr>
                <w:rFonts w:hint="eastAsia"/>
                <w:sz w:val="21"/>
                <w:szCs w:val="21"/>
              </w:rPr>
              <w:t>35.51</w:t>
            </w:r>
          </w:p>
        </w:tc>
        <w:tc>
          <w:tcPr>
            <w:tcW w:w="1620" w:type="dxa"/>
            <w:vAlign w:val="center"/>
          </w:tcPr>
          <w:p>
            <w:pPr>
              <w:spacing w:line="360" w:lineRule="auto"/>
              <w:jc w:val="center"/>
              <w:rPr>
                <w:rFonts w:hint="eastAsia" w:ascii="宋体" w:hAnsi="宋体" w:cs="宋体"/>
                <w:sz w:val="21"/>
                <w:szCs w:val="21"/>
              </w:rPr>
            </w:pPr>
            <w:r>
              <w:rPr>
                <w:rFonts w:ascii="宋体" w:hAnsi="宋体" w:cs="宋体"/>
                <w:sz w:val="21"/>
                <w:szCs w:val="21"/>
              </w:rPr>
              <w:t>62</w:t>
            </w:r>
            <w:r>
              <w:rPr>
                <w:rFonts w:hint="eastAsia" w:ascii="宋体" w:hAnsi="宋体" w:cs="宋体"/>
                <w:sz w:val="21"/>
                <w:szCs w:val="21"/>
              </w:rPr>
              <w:t>5123</w:t>
            </w:r>
          </w:p>
        </w:tc>
        <w:tc>
          <w:tcPr>
            <w:tcW w:w="1489" w:type="dxa"/>
            <w:vAlign w:val="center"/>
          </w:tcPr>
          <w:p>
            <w:pPr>
              <w:spacing w:line="360" w:lineRule="auto"/>
              <w:jc w:val="center"/>
              <w:rPr>
                <w:rFonts w:hint="eastAsia" w:ascii="宋体" w:hAnsi="宋体" w:cs="宋体"/>
                <w:sz w:val="21"/>
                <w:szCs w:val="21"/>
              </w:rPr>
            </w:pPr>
            <w:r>
              <w:rPr>
                <w:rFonts w:ascii="宋体" w:hAnsi="宋体" w:cs="宋体"/>
                <w:sz w:val="21"/>
                <w:szCs w:val="21"/>
              </w:rPr>
              <w:t>328</w:t>
            </w:r>
            <w:r>
              <w:rPr>
                <w:rFonts w:hint="eastAsia" w:ascii="宋体" w:hAnsi="宋体" w:cs="宋体"/>
                <w:sz w:val="21"/>
                <w:szCs w:val="21"/>
              </w:rPr>
              <w:t>4115</w:t>
            </w:r>
          </w:p>
        </w:tc>
        <w:tc>
          <w:tcPr>
            <w:tcW w:w="2382" w:type="dxa"/>
            <w:vAlign w:val="center"/>
          </w:tcPr>
          <w:p>
            <w:pPr>
              <w:adjustRightInd w:val="0"/>
              <w:snapToGrid w:val="0"/>
              <w:spacing w:line="360" w:lineRule="auto"/>
              <w:jc w:val="center"/>
              <w:rPr>
                <w:rFonts w:hint="eastAsia"/>
                <w:sz w:val="21"/>
                <w:szCs w:val="21"/>
              </w:rPr>
            </w:pPr>
            <w:r>
              <w:rPr>
                <w:rFonts w:hint="eastAsia"/>
                <w:sz w:val="21"/>
                <w:szCs w:val="21"/>
              </w:rPr>
              <w:t>2007年3月14日6时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4" w:type="dxa"/>
            <w:vAlign w:val="center"/>
          </w:tcPr>
          <w:p>
            <w:pPr>
              <w:adjustRightInd w:val="0"/>
              <w:snapToGrid w:val="0"/>
              <w:spacing w:line="360" w:lineRule="auto"/>
              <w:jc w:val="center"/>
              <w:rPr>
                <w:sz w:val="21"/>
                <w:szCs w:val="21"/>
              </w:rPr>
            </w:pPr>
            <w:r>
              <w:rPr>
                <w:sz w:val="21"/>
                <w:szCs w:val="21"/>
              </w:rPr>
              <w:t>SO</w:t>
            </w:r>
            <w:r>
              <w:rPr>
                <w:sz w:val="21"/>
                <w:szCs w:val="21"/>
                <w:vertAlign w:val="subscript"/>
              </w:rPr>
              <w:t>2</w:t>
            </w:r>
          </w:p>
        </w:tc>
        <w:tc>
          <w:tcPr>
            <w:tcW w:w="1554" w:type="dxa"/>
            <w:vAlign w:val="center"/>
          </w:tcPr>
          <w:p>
            <w:pPr>
              <w:adjustRightInd w:val="0"/>
              <w:snapToGrid w:val="0"/>
              <w:spacing w:line="360" w:lineRule="auto"/>
              <w:jc w:val="center"/>
              <w:rPr>
                <w:rFonts w:hint="eastAsia"/>
                <w:sz w:val="21"/>
                <w:szCs w:val="21"/>
              </w:rPr>
            </w:pPr>
            <w:r>
              <w:rPr>
                <w:rFonts w:hint="eastAsia"/>
                <w:sz w:val="21"/>
                <w:szCs w:val="21"/>
              </w:rPr>
              <w:t>0.0606</w:t>
            </w:r>
          </w:p>
        </w:tc>
        <w:tc>
          <w:tcPr>
            <w:tcW w:w="1150" w:type="dxa"/>
            <w:vAlign w:val="center"/>
          </w:tcPr>
          <w:p>
            <w:pPr>
              <w:adjustRightInd w:val="0"/>
              <w:snapToGrid w:val="0"/>
              <w:spacing w:line="360" w:lineRule="auto"/>
              <w:jc w:val="center"/>
              <w:rPr>
                <w:rFonts w:hint="eastAsia"/>
                <w:sz w:val="21"/>
                <w:szCs w:val="21"/>
              </w:rPr>
            </w:pPr>
            <w:r>
              <w:rPr>
                <w:rFonts w:hint="eastAsia"/>
                <w:sz w:val="21"/>
                <w:szCs w:val="21"/>
              </w:rPr>
              <w:t>12.12</w:t>
            </w:r>
          </w:p>
        </w:tc>
        <w:tc>
          <w:tcPr>
            <w:tcW w:w="1620" w:type="dxa"/>
            <w:vAlign w:val="center"/>
          </w:tcPr>
          <w:p>
            <w:pPr>
              <w:spacing w:line="360" w:lineRule="auto"/>
              <w:jc w:val="center"/>
              <w:rPr>
                <w:rFonts w:hint="eastAsia" w:ascii="宋体" w:hAnsi="宋体" w:cs="宋体"/>
                <w:sz w:val="21"/>
                <w:szCs w:val="21"/>
              </w:rPr>
            </w:pPr>
            <w:r>
              <w:rPr>
                <w:rFonts w:ascii="宋体" w:hAnsi="宋体" w:cs="宋体"/>
                <w:sz w:val="21"/>
                <w:szCs w:val="21"/>
              </w:rPr>
              <w:t>624</w:t>
            </w:r>
            <w:r>
              <w:rPr>
                <w:rFonts w:hint="eastAsia" w:ascii="宋体" w:hAnsi="宋体" w:cs="宋体"/>
                <w:sz w:val="21"/>
                <w:szCs w:val="21"/>
              </w:rPr>
              <w:t>301</w:t>
            </w:r>
          </w:p>
        </w:tc>
        <w:tc>
          <w:tcPr>
            <w:tcW w:w="1489" w:type="dxa"/>
            <w:vAlign w:val="center"/>
          </w:tcPr>
          <w:p>
            <w:pPr>
              <w:spacing w:line="360" w:lineRule="auto"/>
              <w:jc w:val="center"/>
              <w:rPr>
                <w:rFonts w:hint="eastAsia" w:ascii="宋体" w:hAnsi="宋体" w:cs="宋体"/>
                <w:sz w:val="21"/>
                <w:szCs w:val="21"/>
              </w:rPr>
            </w:pPr>
            <w:r>
              <w:rPr>
                <w:rFonts w:ascii="宋体" w:hAnsi="宋体" w:cs="宋体"/>
                <w:sz w:val="21"/>
                <w:szCs w:val="21"/>
              </w:rPr>
              <w:t>328</w:t>
            </w:r>
            <w:r>
              <w:rPr>
                <w:rFonts w:hint="eastAsia" w:ascii="宋体" w:hAnsi="宋体" w:cs="宋体"/>
                <w:sz w:val="21"/>
                <w:szCs w:val="21"/>
              </w:rPr>
              <w:t>3556</w:t>
            </w:r>
          </w:p>
        </w:tc>
        <w:tc>
          <w:tcPr>
            <w:tcW w:w="2382" w:type="dxa"/>
            <w:vAlign w:val="center"/>
          </w:tcPr>
          <w:p>
            <w:pPr>
              <w:adjustRightInd w:val="0"/>
              <w:snapToGrid w:val="0"/>
              <w:spacing w:line="360" w:lineRule="auto"/>
              <w:jc w:val="center"/>
              <w:rPr>
                <w:rFonts w:hint="eastAsia"/>
                <w:sz w:val="21"/>
                <w:szCs w:val="21"/>
              </w:rPr>
            </w:pPr>
            <w:r>
              <w:rPr>
                <w:rFonts w:hint="eastAsia"/>
                <w:sz w:val="21"/>
                <w:szCs w:val="21"/>
              </w:rPr>
              <w:t>2007年8月13日12时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4" w:type="dxa"/>
            <w:vAlign w:val="center"/>
          </w:tcPr>
          <w:p>
            <w:pPr>
              <w:adjustRightInd w:val="0"/>
              <w:snapToGrid w:val="0"/>
              <w:spacing w:line="360" w:lineRule="auto"/>
              <w:jc w:val="center"/>
              <w:rPr>
                <w:sz w:val="21"/>
                <w:szCs w:val="21"/>
              </w:rPr>
            </w:pPr>
            <w:r>
              <w:rPr>
                <w:rFonts w:hint="eastAsia"/>
                <w:sz w:val="21"/>
                <w:szCs w:val="21"/>
              </w:rPr>
              <w:t>N</w:t>
            </w:r>
            <w:r>
              <w:rPr>
                <w:sz w:val="21"/>
                <w:szCs w:val="21"/>
              </w:rPr>
              <w:t>O</w:t>
            </w:r>
            <w:r>
              <w:rPr>
                <w:sz w:val="21"/>
                <w:szCs w:val="21"/>
                <w:vertAlign w:val="subscript"/>
              </w:rPr>
              <w:t>2</w:t>
            </w:r>
          </w:p>
        </w:tc>
        <w:tc>
          <w:tcPr>
            <w:tcW w:w="1554" w:type="dxa"/>
            <w:vAlign w:val="center"/>
          </w:tcPr>
          <w:p>
            <w:pPr>
              <w:adjustRightInd w:val="0"/>
              <w:snapToGrid w:val="0"/>
              <w:spacing w:line="360" w:lineRule="auto"/>
              <w:jc w:val="center"/>
              <w:rPr>
                <w:rFonts w:hint="eastAsia"/>
                <w:sz w:val="21"/>
                <w:szCs w:val="21"/>
              </w:rPr>
            </w:pPr>
            <w:r>
              <w:rPr>
                <w:rFonts w:hint="eastAsia"/>
                <w:sz w:val="21"/>
                <w:szCs w:val="21"/>
              </w:rPr>
              <w:t>0.4527</w:t>
            </w:r>
          </w:p>
        </w:tc>
        <w:tc>
          <w:tcPr>
            <w:tcW w:w="1150" w:type="dxa"/>
            <w:vAlign w:val="center"/>
          </w:tcPr>
          <w:p>
            <w:pPr>
              <w:adjustRightInd w:val="0"/>
              <w:snapToGrid w:val="0"/>
              <w:spacing w:line="360" w:lineRule="auto"/>
              <w:jc w:val="center"/>
              <w:rPr>
                <w:rFonts w:hint="eastAsia"/>
                <w:sz w:val="21"/>
                <w:szCs w:val="21"/>
              </w:rPr>
            </w:pPr>
            <w:r>
              <w:rPr>
                <w:rFonts w:hint="eastAsia"/>
                <w:sz w:val="21"/>
                <w:szCs w:val="21"/>
              </w:rPr>
              <w:t>188.62</w:t>
            </w:r>
          </w:p>
        </w:tc>
        <w:tc>
          <w:tcPr>
            <w:tcW w:w="1620" w:type="dxa"/>
            <w:vAlign w:val="center"/>
          </w:tcPr>
          <w:p>
            <w:pPr>
              <w:spacing w:line="360" w:lineRule="auto"/>
              <w:jc w:val="center"/>
              <w:rPr>
                <w:rFonts w:hint="eastAsia" w:ascii="宋体" w:hAnsi="宋体" w:cs="宋体"/>
                <w:sz w:val="21"/>
                <w:szCs w:val="21"/>
              </w:rPr>
            </w:pPr>
            <w:r>
              <w:rPr>
                <w:rFonts w:ascii="宋体" w:hAnsi="宋体" w:cs="宋体"/>
                <w:sz w:val="21"/>
                <w:szCs w:val="21"/>
              </w:rPr>
              <w:t>624</w:t>
            </w:r>
            <w:r>
              <w:rPr>
                <w:rFonts w:hint="eastAsia" w:ascii="宋体" w:hAnsi="宋体" w:cs="宋体"/>
                <w:sz w:val="21"/>
                <w:szCs w:val="21"/>
              </w:rPr>
              <w:t>301</w:t>
            </w:r>
          </w:p>
        </w:tc>
        <w:tc>
          <w:tcPr>
            <w:tcW w:w="1489" w:type="dxa"/>
            <w:vAlign w:val="center"/>
          </w:tcPr>
          <w:p>
            <w:pPr>
              <w:spacing w:line="360" w:lineRule="auto"/>
              <w:jc w:val="center"/>
              <w:rPr>
                <w:rFonts w:hint="eastAsia" w:ascii="宋体" w:hAnsi="宋体" w:cs="宋体"/>
                <w:sz w:val="21"/>
                <w:szCs w:val="21"/>
              </w:rPr>
            </w:pPr>
            <w:r>
              <w:rPr>
                <w:rFonts w:ascii="宋体" w:hAnsi="宋体" w:cs="宋体"/>
                <w:sz w:val="21"/>
                <w:szCs w:val="21"/>
              </w:rPr>
              <w:t>328</w:t>
            </w:r>
            <w:r>
              <w:rPr>
                <w:rFonts w:hint="eastAsia" w:ascii="宋体" w:hAnsi="宋体" w:cs="宋体"/>
                <w:sz w:val="21"/>
                <w:szCs w:val="21"/>
              </w:rPr>
              <w:t>3556</w:t>
            </w:r>
          </w:p>
        </w:tc>
        <w:tc>
          <w:tcPr>
            <w:tcW w:w="2382" w:type="dxa"/>
            <w:vAlign w:val="center"/>
          </w:tcPr>
          <w:p>
            <w:pPr>
              <w:adjustRightInd w:val="0"/>
              <w:snapToGrid w:val="0"/>
              <w:spacing w:line="360" w:lineRule="auto"/>
              <w:rPr>
                <w:rFonts w:hint="eastAsia"/>
                <w:sz w:val="21"/>
                <w:szCs w:val="21"/>
              </w:rPr>
            </w:pPr>
            <w:r>
              <w:rPr>
                <w:rFonts w:hint="eastAsia"/>
                <w:sz w:val="21"/>
                <w:szCs w:val="21"/>
              </w:rPr>
              <w:t>2007年8月13日12时</w:t>
            </w:r>
          </w:p>
        </w:tc>
      </w:tr>
    </w:tbl>
    <w:p>
      <w:pPr>
        <w:adjustRightInd w:val="0"/>
        <w:snapToGrid w:val="0"/>
        <w:spacing w:line="480" w:lineRule="exact"/>
        <w:ind w:firstLine="420" w:firstLineChars="200"/>
      </w:pPr>
      <w:r>
        <w:t>从表</w:t>
      </w:r>
      <w:r>
        <w:rPr>
          <w:rFonts w:hint="eastAsia"/>
        </w:rPr>
        <w:t>8-7</w:t>
      </w:r>
      <w:r>
        <w:t>可以看出，PM</w:t>
      </w:r>
      <w:r>
        <w:rPr>
          <w:vertAlign w:val="subscript"/>
        </w:rPr>
        <w:t>10</w:t>
      </w:r>
      <w:r>
        <w:rPr>
          <w:rFonts w:hint="eastAsia"/>
        </w:rPr>
        <w:t>、</w:t>
      </w:r>
      <w:r>
        <w:t>SO</w:t>
      </w:r>
      <w:r>
        <w:rPr>
          <w:vertAlign w:val="subscript"/>
        </w:rPr>
        <w:t>2</w:t>
      </w:r>
      <w:r>
        <w:rPr>
          <w:rFonts w:hint="eastAsia"/>
        </w:rPr>
        <w:t>和NO</w:t>
      </w:r>
      <w:r>
        <w:rPr>
          <w:rFonts w:hint="eastAsia"/>
          <w:vertAlign w:val="subscript"/>
        </w:rPr>
        <w:t>2</w:t>
      </w:r>
      <w:r>
        <w:t>小时最大落地浓度影响值分别为</w:t>
      </w:r>
      <w:r>
        <w:rPr>
          <w:rFonts w:hint="eastAsia"/>
        </w:rPr>
        <w:t>0.1598</w:t>
      </w:r>
      <w:r>
        <w:t>mg/m</w:t>
      </w:r>
      <w:r>
        <w:rPr>
          <w:vertAlign w:val="superscript"/>
        </w:rPr>
        <w:t>3</w:t>
      </w:r>
      <w:r>
        <w:t>、</w:t>
      </w:r>
      <w:r>
        <w:rPr>
          <w:rFonts w:hint="eastAsia"/>
        </w:rPr>
        <w:t>0.0606</w:t>
      </w:r>
      <w:r>
        <w:t>mg/m</w:t>
      </w:r>
      <w:r>
        <w:rPr>
          <w:vertAlign w:val="superscript"/>
        </w:rPr>
        <w:t>3</w:t>
      </w:r>
      <w:r>
        <w:t>、</w:t>
      </w:r>
      <w:r>
        <w:rPr>
          <w:rFonts w:hint="eastAsia"/>
        </w:rPr>
        <w:t>0.4527</w:t>
      </w:r>
      <w:r>
        <w:t>mg/m</w:t>
      </w:r>
      <w:r>
        <w:rPr>
          <w:vertAlign w:val="superscript"/>
        </w:rPr>
        <w:t>3</w:t>
      </w:r>
      <w:r>
        <w:t>，</w:t>
      </w:r>
      <w:r>
        <w:rPr>
          <w:rFonts w:hint="eastAsia"/>
        </w:rPr>
        <w:t>其占标率分别为35.51%、12.12%和188.62%，</w:t>
      </w:r>
      <w:r>
        <w:t>小时浓度</w:t>
      </w:r>
      <w:r>
        <w:rPr>
          <w:rFonts w:hint="eastAsia"/>
        </w:rPr>
        <w:t>均能满足</w:t>
      </w:r>
      <w:r>
        <w:t>《环境空气质量标准》</w:t>
      </w:r>
      <w:r>
        <w:rPr>
          <w:rFonts w:hint="eastAsia"/>
        </w:rPr>
        <w:t>二级标准，NO</w:t>
      </w:r>
      <w:r>
        <w:rPr>
          <w:rFonts w:hint="eastAsia"/>
          <w:vertAlign w:val="subscript"/>
        </w:rPr>
        <w:t>2</w:t>
      </w:r>
      <w:r>
        <w:rPr>
          <w:rFonts w:hint="eastAsia"/>
        </w:rPr>
        <w:t>小时浓度超标，最大网格落地浓度在青木关镇北侧山谷处。</w:t>
      </w:r>
    </w:p>
    <w:p>
      <w:pPr>
        <w:adjustRightInd w:val="0"/>
        <w:snapToGrid w:val="0"/>
        <w:spacing w:line="480" w:lineRule="exact"/>
        <w:ind w:firstLine="420" w:firstLineChars="200"/>
      </w:pPr>
      <w:r>
        <w:rPr>
          <w:rFonts w:hint="eastAsia" w:ascii="宋体" w:hAnsi="宋体" w:cs="宋体"/>
        </w:rPr>
        <w:t>◆</w:t>
      </w:r>
      <w:r>
        <w:t>所有网格点小时最大浓度分布</w:t>
      </w:r>
    </w:p>
    <w:p>
      <w:pPr>
        <w:adjustRightInd w:val="0"/>
        <w:snapToGrid w:val="0"/>
        <w:spacing w:line="480" w:lineRule="exact"/>
        <w:ind w:firstLine="420" w:firstLineChars="200"/>
      </w:pPr>
      <w:r>
        <w:t>对所有网格点不同时刻的最大小时浓度影响预测值进行作图（图</w:t>
      </w:r>
      <w:r>
        <w:rPr>
          <w:rFonts w:hint="eastAsia"/>
        </w:rPr>
        <w:t>8</w:t>
      </w:r>
      <w:r>
        <w:t>.</w:t>
      </w:r>
      <w:r>
        <w:rPr>
          <w:rFonts w:hint="eastAsia"/>
        </w:rPr>
        <w:t>7</w:t>
      </w:r>
      <w:r>
        <w:t>～图</w:t>
      </w:r>
      <w:r>
        <w:rPr>
          <w:rFonts w:hint="eastAsia"/>
        </w:rPr>
        <w:t>8</w:t>
      </w:r>
      <w:r>
        <w:t>.</w:t>
      </w:r>
      <w:r>
        <w:rPr>
          <w:rFonts w:hint="eastAsia"/>
        </w:rPr>
        <w:t>8</w:t>
      </w:r>
      <w:r>
        <w:t>），可得到所有网格点小时最大浓度分布。</w:t>
      </w:r>
    </w:p>
    <w:p>
      <w:pPr>
        <w:adjustRightInd w:val="0"/>
        <w:snapToGrid w:val="0"/>
        <w:spacing w:line="480" w:lineRule="exact"/>
        <w:ind w:firstLine="420" w:firstLineChars="200"/>
      </w:pPr>
      <w:r>
        <w:rPr>
          <w:rFonts w:hint="eastAsia" w:ascii="宋体" w:hAnsi="宋体" w:cs="宋体"/>
        </w:rPr>
        <w:t>◆</w:t>
      </w:r>
      <w:r>
        <w:t>最大地面小时浓度点的环境影响叠加分析</w:t>
      </w:r>
    </w:p>
    <w:p>
      <w:pPr>
        <w:adjustRightInd w:val="0"/>
        <w:snapToGrid w:val="0"/>
        <w:spacing w:line="480" w:lineRule="exact"/>
        <w:ind w:firstLine="420" w:firstLineChars="200"/>
      </w:pPr>
      <w:r>
        <w:t>将最大地面浓度点的影响预测结果与环境现状背景值进行叠加，叠加结果见表</w:t>
      </w:r>
      <w:r>
        <w:rPr>
          <w:rFonts w:hint="eastAsia"/>
        </w:rPr>
        <w:t>8</w:t>
      </w:r>
      <w:r>
        <w:t>-</w:t>
      </w:r>
      <w:r>
        <w:rPr>
          <w:rFonts w:hint="eastAsia"/>
        </w:rPr>
        <w:t>8</w:t>
      </w:r>
      <w:r>
        <w:t>。</w:t>
      </w:r>
    </w:p>
    <w:p>
      <w:pPr>
        <w:adjustRightInd w:val="0"/>
        <w:snapToGrid w:val="0"/>
        <w:spacing w:line="480" w:lineRule="exact"/>
        <w:jc w:val="center"/>
      </w:pPr>
      <w:r>
        <w:rPr>
          <w:b/>
        </w:rPr>
        <w:t>表</w:t>
      </w:r>
      <w:r>
        <w:rPr>
          <w:rFonts w:hint="eastAsia"/>
          <w:b/>
        </w:rPr>
        <w:t>8</w:t>
      </w:r>
      <w:r>
        <w:rPr>
          <w:b/>
        </w:rPr>
        <w:t>-</w:t>
      </w:r>
      <w:r>
        <w:rPr>
          <w:rFonts w:hint="eastAsia"/>
          <w:b/>
        </w:rPr>
        <w:t>8</w:t>
      </w:r>
      <w:r>
        <w:rPr>
          <w:b/>
        </w:rPr>
        <w:t xml:space="preserve"> 地面小时影响浓度点影响值与现状背景值叠加结果</w:t>
      </w:r>
    </w:p>
    <w:tbl>
      <w:tblPr>
        <w:tblStyle w:val="21"/>
        <w:tblpPr w:leftFromText="180" w:rightFromText="180" w:vertAnchor="text" w:tblpXSpec="center" w:tblpY="1"/>
        <w:tblOverlap w:val="never"/>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1"/>
        <w:gridCol w:w="1837"/>
        <w:gridCol w:w="1638"/>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3971" w:type="dxa"/>
            <w:shd w:val="clear" w:color="auto" w:fill="auto"/>
            <w:vAlign w:val="center"/>
          </w:tcPr>
          <w:p>
            <w:pPr>
              <w:widowControl/>
              <w:adjustRightInd w:val="0"/>
              <w:snapToGrid w:val="0"/>
              <w:spacing w:line="360" w:lineRule="auto"/>
              <w:jc w:val="center"/>
              <w:rPr>
                <w:kern w:val="0"/>
                <w:sz w:val="21"/>
                <w:szCs w:val="21"/>
              </w:rPr>
            </w:pPr>
            <w:r>
              <w:rPr>
                <w:kern w:val="0"/>
                <w:sz w:val="21"/>
                <w:szCs w:val="21"/>
              </w:rPr>
              <w:t>污染物</w:t>
            </w:r>
          </w:p>
        </w:tc>
        <w:tc>
          <w:tcPr>
            <w:tcW w:w="1837" w:type="dxa"/>
            <w:shd w:val="clear" w:color="auto" w:fill="auto"/>
            <w:vAlign w:val="center"/>
          </w:tcPr>
          <w:p>
            <w:pPr>
              <w:widowControl/>
              <w:adjustRightInd w:val="0"/>
              <w:snapToGrid w:val="0"/>
              <w:spacing w:line="360" w:lineRule="auto"/>
              <w:jc w:val="center"/>
              <w:rPr>
                <w:kern w:val="0"/>
                <w:sz w:val="21"/>
                <w:szCs w:val="21"/>
              </w:rPr>
            </w:pPr>
            <w:r>
              <w:rPr>
                <w:sz w:val="21"/>
                <w:szCs w:val="21"/>
              </w:rPr>
              <w:t>PM</w:t>
            </w:r>
            <w:r>
              <w:rPr>
                <w:sz w:val="21"/>
                <w:szCs w:val="21"/>
                <w:vertAlign w:val="subscript"/>
              </w:rPr>
              <w:t>10</w:t>
            </w:r>
          </w:p>
        </w:tc>
        <w:tc>
          <w:tcPr>
            <w:tcW w:w="1638" w:type="dxa"/>
            <w:shd w:val="clear" w:color="auto" w:fill="auto"/>
            <w:vAlign w:val="center"/>
          </w:tcPr>
          <w:p>
            <w:pPr>
              <w:widowControl/>
              <w:adjustRightInd w:val="0"/>
              <w:snapToGrid w:val="0"/>
              <w:spacing w:line="360" w:lineRule="auto"/>
              <w:jc w:val="center"/>
              <w:rPr>
                <w:kern w:val="0"/>
                <w:sz w:val="21"/>
                <w:szCs w:val="21"/>
              </w:rPr>
            </w:pPr>
            <w:r>
              <w:rPr>
                <w:sz w:val="21"/>
                <w:szCs w:val="21"/>
              </w:rPr>
              <w:t>SO</w:t>
            </w:r>
            <w:r>
              <w:rPr>
                <w:sz w:val="21"/>
                <w:szCs w:val="21"/>
                <w:vertAlign w:val="subscript"/>
              </w:rPr>
              <w:t>2</w:t>
            </w:r>
          </w:p>
        </w:tc>
        <w:tc>
          <w:tcPr>
            <w:tcW w:w="1840"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NO</w:t>
            </w:r>
            <w:r>
              <w:rPr>
                <w:rFonts w:hint="eastAsia"/>
                <w:kern w:val="0"/>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3971" w:type="dxa"/>
            <w:shd w:val="clear" w:color="auto" w:fill="auto"/>
            <w:vAlign w:val="center"/>
          </w:tcPr>
          <w:p>
            <w:pPr>
              <w:widowControl/>
              <w:adjustRightInd w:val="0"/>
              <w:snapToGrid w:val="0"/>
              <w:spacing w:line="360" w:lineRule="auto"/>
              <w:jc w:val="center"/>
              <w:rPr>
                <w:kern w:val="0"/>
                <w:sz w:val="21"/>
                <w:szCs w:val="21"/>
              </w:rPr>
            </w:pPr>
            <w:r>
              <w:rPr>
                <w:kern w:val="0"/>
                <w:sz w:val="21"/>
                <w:szCs w:val="21"/>
              </w:rPr>
              <w:t>最大值（mg/m</w:t>
            </w:r>
            <w:r>
              <w:rPr>
                <w:kern w:val="0"/>
                <w:sz w:val="21"/>
                <w:szCs w:val="21"/>
                <w:vertAlign w:val="superscript"/>
              </w:rPr>
              <w:t>3</w:t>
            </w:r>
            <w:r>
              <w:rPr>
                <w:kern w:val="0"/>
                <w:sz w:val="21"/>
                <w:szCs w:val="21"/>
              </w:rPr>
              <w:t>）</w:t>
            </w:r>
          </w:p>
        </w:tc>
        <w:tc>
          <w:tcPr>
            <w:tcW w:w="1837"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0.1598</w:t>
            </w:r>
          </w:p>
        </w:tc>
        <w:tc>
          <w:tcPr>
            <w:tcW w:w="1638"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0.0606</w:t>
            </w:r>
          </w:p>
        </w:tc>
        <w:tc>
          <w:tcPr>
            <w:tcW w:w="1840"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0.4527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3971" w:type="dxa"/>
            <w:shd w:val="clear" w:color="auto" w:fill="auto"/>
            <w:vAlign w:val="center"/>
          </w:tcPr>
          <w:p>
            <w:pPr>
              <w:widowControl/>
              <w:adjustRightInd w:val="0"/>
              <w:snapToGrid w:val="0"/>
              <w:spacing w:line="360" w:lineRule="auto"/>
              <w:jc w:val="center"/>
              <w:rPr>
                <w:kern w:val="0"/>
                <w:sz w:val="21"/>
                <w:szCs w:val="21"/>
              </w:rPr>
            </w:pPr>
            <w:r>
              <w:rPr>
                <w:kern w:val="0"/>
                <w:sz w:val="21"/>
                <w:szCs w:val="21"/>
              </w:rPr>
              <w:t>背景值（mg/m</w:t>
            </w:r>
            <w:r>
              <w:rPr>
                <w:kern w:val="0"/>
                <w:sz w:val="21"/>
                <w:szCs w:val="21"/>
                <w:vertAlign w:val="superscript"/>
              </w:rPr>
              <w:t>3</w:t>
            </w:r>
            <w:r>
              <w:rPr>
                <w:kern w:val="0"/>
                <w:sz w:val="21"/>
                <w:szCs w:val="21"/>
              </w:rPr>
              <w:t>）</w:t>
            </w:r>
          </w:p>
        </w:tc>
        <w:tc>
          <w:tcPr>
            <w:tcW w:w="1837"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w:t>
            </w:r>
          </w:p>
        </w:tc>
        <w:tc>
          <w:tcPr>
            <w:tcW w:w="1638"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0.0671</w:t>
            </w:r>
          </w:p>
        </w:tc>
        <w:tc>
          <w:tcPr>
            <w:tcW w:w="1840"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0.0369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3971" w:type="dxa"/>
            <w:shd w:val="clear" w:color="auto" w:fill="auto"/>
            <w:vAlign w:val="center"/>
          </w:tcPr>
          <w:p>
            <w:pPr>
              <w:widowControl/>
              <w:adjustRightInd w:val="0"/>
              <w:snapToGrid w:val="0"/>
              <w:spacing w:line="360" w:lineRule="auto"/>
              <w:jc w:val="center"/>
              <w:rPr>
                <w:kern w:val="0"/>
                <w:sz w:val="21"/>
                <w:szCs w:val="21"/>
              </w:rPr>
            </w:pPr>
            <w:r>
              <w:rPr>
                <w:kern w:val="0"/>
                <w:sz w:val="21"/>
                <w:szCs w:val="21"/>
              </w:rPr>
              <w:t>叠加值（mg/m</w:t>
            </w:r>
            <w:r>
              <w:rPr>
                <w:kern w:val="0"/>
                <w:sz w:val="21"/>
                <w:szCs w:val="21"/>
                <w:vertAlign w:val="superscript"/>
              </w:rPr>
              <w:t>3</w:t>
            </w:r>
            <w:r>
              <w:rPr>
                <w:kern w:val="0"/>
                <w:sz w:val="21"/>
                <w:szCs w:val="21"/>
              </w:rPr>
              <w:t>）</w:t>
            </w:r>
          </w:p>
        </w:tc>
        <w:tc>
          <w:tcPr>
            <w:tcW w:w="1837"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w:t>
            </w:r>
          </w:p>
        </w:tc>
        <w:tc>
          <w:tcPr>
            <w:tcW w:w="1638"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0.1277</w:t>
            </w:r>
          </w:p>
        </w:tc>
        <w:tc>
          <w:tcPr>
            <w:tcW w:w="1840"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0.4896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trPr>
        <w:tc>
          <w:tcPr>
            <w:tcW w:w="3971" w:type="dxa"/>
            <w:shd w:val="clear" w:color="auto" w:fill="auto"/>
            <w:vAlign w:val="center"/>
          </w:tcPr>
          <w:p>
            <w:pPr>
              <w:widowControl/>
              <w:adjustRightInd w:val="0"/>
              <w:snapToGrid w:val="0"/>
              <w:spacing w:line="360" w:lineRule="auto"/>
              <w:jc w:val="center"/>
              <w:rPr>
                <w:kern w:val="0"/>
                <w:sz w:val="21"/>
                <w:szCs w:val="21"/>
              </w:rPr>
            </w:pPr>
            <w:r>
              <w:rPr>
                <w:kern w:val="0"/>
                <w:sz w:val="21"/>
                <w:szCs w:val="21"/>
              </w:rPr>
              <w:t>占标率（%）</w:t>
            </w:r>
          </w:p>
        </w:tc>
        <w:tc>
          <w:tcPr>
            <w:tcW w:w="1837"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w:t>
            </w:r>
          </w:p>
        </w:tc>
        <w:tc>
          <w:tcPr>
            <w:tcW w:w="1638"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25.54</w:t>
            </w:r>
          </w:p>
        </w:tc>
        <w:tc>
          <w:tcPr>
            <w:tcW w:w="1840"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204.00</w:t>
            </w:r>
          </w:p>
        </w:tc>
      </w:tr>
    </w:tbl>
    <w:p>
      <w:pPr>
        <w:adjustRightInd w:val="0"/>
        <w:snapToGrid w:val="0"/>
        <w:spacing w:line="360" w:lineRule="auto"/>
        <w:ind w:firstLine="420" w:firstLineChars="200"/>
      </w:pPr>
    </w:p>
    <w:p>
      <w:pPr>
        <w:adjustRightInd w:val="0"/>
        <w:snapToGrid w:val="0"/>
        <w:spacing w:line="360" w:lineRule="auto"/>
        <w:ind w:firstLine="420" w:firstLineChars="200"/>
        <w:rPr>
          <w:rFonts w:hint="eastAsia"/>
        </w:rPr>
      </w:pPr>
      <w:r>
        <w:t>从表</w:t>
      </w:r>
      <w:r>
        <w:rPr>
          <w:rFonts w:hint="eastAsia"/>
        </w:rPr>
        <w:t>8</w:t>
      </w:r>
      <w:r>
        <w:t>-</w:t>
      </w:r>
      <w:r>
        <w:rPr>
          <w:rFonts w:hint="eastAsia"/>
        </w:rPr>
        <w:t>8</w:t>
      </w:r>
      <w:r>
        <w:t>可知，叠加现状监测值后，</w:t>
      </w:r>
      <w:r>
        <w:rPr>
          <w:rFonts w:hint="eastAsia"/>
        </w:rPr>
        <w:t>SO</w:t>
      </w:r>
      <w:r>
        <w:rPr>
          <w:rFonts w:hint="eastAsia"/>
          <w:vertAlign w:val="subscript"/>
        </w:rPr>
        <w:t>2</w:t>
      </w:r>
      <w:r>
        <w:t>小时浓度</w:t>
      </w:r>
      <w:r>
        <w:rPr>
          <w:rFonts w:hint="eastAsia"/>
        </w:rPr>
        <w:t>满足</w:t>
      </w:r>
      <w:r>
        <w:t>《环境空气质量标准》(GB3095-1996)中的二级标准要求</w:t>
      </w:r>
      <w:r>
        <w:rPr>
          <w:rFonts w:hint="eastAsia"/>
        </w:rPr>
        <w:t>，NO</w:t>
      </w:r>
      <w:r>
        <w:rPr>
          <w:rFonts w:hint="eastAsia"/>
          <w:vertAlign w:val="subscript"/>
        </w:rPr>
        <w:t>2</w:t>
      </w:r>
      <w:r>
        <w:rPr>
          <w:rFonts w:hint="eastAsia"/>
        </w:rPr>
        <w:t>超标1.04倍。</w:t>
      </w:r>
    </w:p>
    <w:p>
      <w:pPr>
        <w:adjustRightInd w:val="0"/>
        <w:snapToGrid w:val="0"/>
        <w:spacing w:line="360" w:lineRule="auto"/>
        <w:ind w:firstLine="420" w:firstLineChars="200"/>
      </w:pPr>
      <w:r>
        <w:rPr>
          <w:rFonts w:hint="eastAsia" w:ascii="宋体" w:hAnsi="宋体" w:cs="宋体"/>
        </w:rPr>
        <w:t>②</w:t>
      </w:r>
      <w:r>
        <w:t>日均浓度</w:t>
      </w:r>
    </w:p>
    <w:p>
      <w:pPr>
        <w:adjustRightInd w:val="0"/>
        <w:snapToGrid w:val="0"/>
        <w:spacing w:line="360" w:lineRule="auto"/>
        <w:ind w:firstLine="420" w:firstLineChars="200"/>
      </w:pPr>
      <w:r>
        <w:rPr>
          <w:rFonts w:hint="eastAsia" w:ascii="宋体" w:hAnsi="宋体" w:cs="宋体"/>
        </w:rPr>
        <w:t>◆</w:t>
      </w:r>
      <w:r>
        <w:t xml:space="preserve"> 区域日最大值、位置与出现时间</w:t>
      </w:r>
    </w:p>
    <w:p>
      <w:pPr>
        <w:adjustRightInd w:val="0"/>
        <w:snapToGrid w:val="0"/>
        <w:spacing w:line="360" w:lineRule="auto"/>
        <w:ind w:firstLine="480"/>
      </w:pPr>
      <w:r>
        <w:t>经预测可知，各污染物在评价区域的最大日均值、位置与出现时间见表</w:t>
      </w:r>
      <w:r>
        <w:rPr>
          <w:rFonts w:hint="eastAsia"/>
        </w:rPr>
        <w:t>8</w:t>
      </w:r>
      <w:r>
        <w:t>-</w:t>
      </w:r>
      <w:r>
        <w:rPr>
          <w:rFonts w:hint="eastAsia"/>
        </w:rPr>
        <w:t>9</w:t>
      </w:r>
      <w:r>
        <w:t>。</w:t>
      </w:r>
    </w:p>
    <w:p>
      <w:pPr>
        <w:adjustRightInd w:val="0"/>
        <w:snapToGrid w:val="0"/>
        <w:spacing w:line="360" w:lineRule="auto"/>
        <w:jc w:val="center"/>
        <w:rPr>
          <w:b/>
        </w:rPr>
      </w:pPr>
      <w:r>
        <w:rPr>
          <w:b/>
        </w:rPr>
        <w:t>表</w:t>
      </w:r>
      <w:r>
        <w:rPr>
          <w:rFonts w:hint="eastAsia"/>
          <w:b/>
        </w:rPr>
        <w:t>8</w:t>
      </w:r>
      <w:r>
        <w:rPr>
          <w:b/>
        </w:rPr>
        <w:t>-</w:t>
      </w:r>
      <w:r>
        <w:rPr>
          <w:rFonts w:hint="eastAsia"/>
          <w:b/>
        </w:rPr>
        <w:t>9</w:t>
      </w:r>
      <w:r>
        <w:rPr>
          <w:b/>
        </w:rPr>
        <w:t xml:space="preserve"> 评价范围内日均最大值、位置与出现时间</w:t>
      </w:r>
    </w:p>
    <w:tbl>
      <w:tblPr>
        <w:tblStyle w:val="22"/>
        <w:tblW w:w="87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9"/>
        <w:gridCol w:w="1440"/>
        <w:gridCol w:w="1260"/>
        <w:gridCol w:w="1260"/>
        <w:gridCol w:w="1266"/>
        <w:gridCol w:w="1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639" w:type="dxa"/>
            <w:vAlign w:val="bottom"/>
          </w:tcPr>
          <w:p>
            <w:pPr>
              <w:adjustRightInd w:val="0"/>
              <w:snapToGrid w:val="0"/>
              <w:spacing w:line="360" w:lineRule="auto"/>
              <w:jc w:val="center"/>
              <w:rPr>
                <w:sz w:val="21"/>
                <w:szCs w:val="21"/>
              </w:rPr>
            </w:pPr>
            <w:r>
              <w:rPr>
                <w:sz w:val="21"/>
                <w:szCs w:val="21"/>
              </w:rPr>
              <w:t>污染物名称</w:t>
            </w:r>
          </w:p>
        </w:tc>
        <w:tc>
          <w:tcPr>
            <w:tcW w:w="1440" w:type="dxa"/>
            <w:vAlign w:val="bottom"/>
          </w:tcPr>
          <w:p>
            <w:pPr>
              <w:adjustRightInd w:val="0"/>
              <w:snapToGrid w:val="0"/>
              <w:spacing w:line="360" w:lineRule="auto"/>
              <w:jc w:val="center"/>
              <w:rPr>
                <w:sz w:val="21"/>
                <w:szCs w:val="21"/>
              </w:rPr>
            </w:pPr>
            <w:r>
              <w:rPr>
                <w:sz w:val="21"/>
                <w:szCs w:val="21"/>
              </w:rPr>
              <w:t>区域最大值</w:t>
            </w:r>
          </w:p>
        </w:tc>
        <w:tc>
          <w:tcPr>
            <w:tcW w:w="1260" w:type="dxa"/>
            <w:vAlign w:val="bottom"/>
          </w:tcPr>
          <w:p>
            <w:pPr>
              <w:adjustRightInd w:val="0"/>
              <w:snapToGrid w:val="0"/>
              <w:spacing w:line="360" w:lineRule="auto"/>
              <w:jc w:val="center"/>
              <w:rPr>
                <w:sz w:val="21"/>
                <w:szCs w:val="21"/>
              </w:rPr>
            </w:pPr>
            <w:r>
              <w:rPr>
                <w:sz w:val="21"/>
                <w:szCs w:val="21"/>
              </w:rPr>
              <w:t>占标率（%）</w:t>
            </w:r>
          </w:p>
        </w:tc>
        <w:tc>
          <w:tcPr>
            <w:tcW w:w="1260" w:type="dxa"/>
            <w:vAlign w:val="bottom"/>
          </w:tcPr>
          <w:p>
            <w:pPr>
              <w:adjustRightInd w:val="0"/>
              <w:snapToGrid w:val="0"/>
              <w:spacing w:line="360" w:lineRule="auto"/>
              <w:jc w:val="center"/>
              <w:rPr>
                <w:sz w:val="21"/>
                <w:szCs w:val="21"/>
              </w:rPr>
            </w:pPr>
            <w:r>
              <w:rPr>
                <w:sz w:val="21"/>
                <w:szCs w:val="21"/>
              </w:rPr>
              <w:t>X坐标(m)</w:t>
            </w:r>
          </w:p>
        </w:tc>
        <w:tc>
          <w:tcPr>
            <w:tcW w:w="1266" w:type="dxa"/>
            <w:vAlign w:val="bottom"/>
          </w:tcPr>
          <w:p>
            <w:pPr>
              <w:adjustRightInd w:val="0"/>
              <w:snapToGrid w:val="0"/>
              <w:spacing w:line="360" w:lineRule="auto"/>
              <w:jc w:val="center"/>
              <w:rPr>
                <w:sz w:val="21"/>
                <w:szCs w:val="21"/>
              </w:rPr>
            </w:pPr>
            <w:r>
              <w:rPr>
                <w:sz w:val="21"/>
                <w:szCs w:val="21"/>
              </w:rPr>
              <w:t>Y坐标(m)</w:t>
            </w:r>
          </w:p>
        </w:tc>
        <w:tc>
          <w:tcPr>
            <w:tcW w:w="1931" w:type="dxa"/>
            <w:vAlign w:val="bottom"/>
          </w:tcPr>
          <w:p>
            <w:pPr>
              <w:adjustRightInd w:val="0"/>
              <w:snapToGrid w:val="0"/>
              <w:spacing w:line="360" w:lineRule="auto"/>
              <w:jc w:val="center"/>
              <w:rPr>
                <w:sz w:val="21"/>
                <w:szCs w:val="21"/>
              </w:rPr>
            </w:pPr>
            <w:r>
              <w:rPr>
                <w:sz w:val="21"/>
                <w:szCs w:val="21"/>
              </w:rPr>
              <w:t>出现时间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1639" w:type="dxa"/>
            <w:vAlign w:val="center"/>
          </w:tcPr>
          <w:p>
            <w:pPr>
              <w:adjustRightInd w:val="0"/>
              <w:snapToGrid w:val="0"/>
              <w:spacing w:line="360" w:lineRule="auto"/>
              <w:jc w:val="center"/>
              <w:rPr>
                <w:sz w:val="21"/>
                <w:szCs w:val="21"/>
              </w:rPr>
            </w:pPr>
            <w:r>
              <w:rPr>
                <w:sz w:val="21"/>
                <w:szCs w:val="21"/>
              </w:rPr>
              <w:t>PM</w:t>
            </w:r>
            <w:r>
              <w:rPr>
                <w:sz w:val="21"/>
                <w:szCs w:val="21"/>
                <w:vertAlign w:val="subscript"/>
              </w:rPr>
              <w:t>10</w:t>
            </w:r>
          </w:p>
        </w:tc>
        <w:tc>
          <w:tcPr>
            <w:tcW w:w="1440" w:type="dxa"/>
            <w:vAlign w:val="center"/>
          </w:tcPr>
          <w:p>
            <w:pPr>
              <w:spacing w:line="360" w:lineRule="auto"/>
              <w:jc w:val="center"/>
              <w:rPr>
                <w:rFonts w:hint="eastAsia" w:ascii="宋体" w:hAnsi="宋体" w:cs="宋体"/>
                <w:sz w:val="21"/>
                <w:szCs w:val="21"/>
              </w:rPr>
            </w:pPr>
            <w:r>
              <w:rPr>
                <w:rFonts w:hint="eastAsia" w:ascii="宋体" w:hAnsi="宋体" w:cs="宋体"/>
                <w:sz w:val="21"/>
                <w:szCs w:val="21"/>
              </w:rPr>
              <w:t>0.0669</w:t>
            </w:r>
          </w:p>
        </w:tc>
        <w:tc>
          <w:tcPr>
            <w:tcW w:w="1260" w:type="dxa"/>
            <w:vAlign w:val="center"/>
          </w:tcPr>
          <w:p>
            <w:pPr>
              <w:adjustRightInd w:val="0"/>
              <w:snapToGrid w:val="0"/>
              <w:spacing w:line="360" w:lineRule="auto"/>
              <w:jc w:val="center"/>
              <w:rPr>
                <w:rFonts w:hint="eastAsia"/>
                <w:sz w:val="21"/>
                <w:szCs w:val="21"/>
              </w:rPr>
            </w:pPr>
            <w:r>
              <w:rPr>
                <w:rFonts w:hint="eastAsia"/>
                <w:sz w:val="21"/>
                <w:szCs w:val="21"/>
              </w:rPr>
              <w:t>44.6</w:t>
            </w:r>
          </w:p>
        </w:tc>
        <w:tc>
          <w:tcPr>
            <w:tcW w:w="1260" w:type="dxa"/>
            <w:vAlign w:val="center"/>
          </w:tcPr>
          <w:p>
            <w:pPr>
              <w:spacing w:line="360" w:lineRule="auto"/>
              <w:jc w:val="center"/>
              <w:rPr>
                <w:rFonts w:hint="eastAsia" w:ascii="宋体" w:hAnsi="宋体" w:cs="宋体"/>
                <w:sz w:val="21"/>
                <w:szCs w:val="21"/>
              </w:rPr>
            </w:pPr>
            <w:r>
              <w:rPr>
                <w:rFonts w:ascii="宋体" w:hAnsi="宋体" w:cs="宋体"/>
                <w:sz w:val="21"/>
                <w:szCs w:val="21"/>
              </w:rPr>
              <w:t>624</w:t>
            </w:r>
            <w:r>
              <w:rPr>
                <w:rFonts w:hint="eastAsia" w:ascii="宋体" w:hAnsi="宋体" w:cs="宋体"/>
                <w:sz w:val="21"/>
                <w:szCs w:val="21"/>
              </w:rPr>
              <w:t>312</w:t>
            </w:r>
          </w:p>
        </w:tc>
        <w:tc>
          <w:tcPr>
            <w:tcW w:w="1266" w:type="dxa"/>
            <w:vAlign w:val="center"/>
          </w:tcPr>
          <w:p>
            <w:pPr>
              <w:spacing w:line="360" w:lineRule="auto"/>
              <w:jc w:val="center"/>
              <w:rPr>
                <w:rFonts w:hint="eastAsia" w:ascii="宋体" w:hAnsi="宋体" w:cs="宋体"/>
                <w:sz w:val="21"/>
                <w:szCs w:val="21"/>
              </w:rPr>
            </w:pPr>
            <w:r>
              <w:rPr>
                <w:rFonts w:ascii="宋体" w:hAnsi="宋体" w:cs="宋体"/>
                <w:sz w:val="21"/>
                <w:szCs w:val="21"/>
              </w:rPr>
              <w:t>328</w:t>
            </w:r>
            <w:r>
              <w:rPr>
                <w:rFonts w:hint="eastAsia" w:ascii="宋体" w:hAnsi="宋体" w:cs="宋体"/>
                <w:sz w:val="21"/>
                <w:szCs w:val="21"/>
              </w:rPr>
              <w:t>3508</w:t>
            </w:r>
          </w:p>
        </w:tc>
        <w:tc>
          <w:tcPr>
            <w:tcW w:w="1931" w:type="dxa"/>
            <w:vAlign w:val="center"/>
          </w:tcPr>
          <w:p>
            <w:pPr>
              <w:adjustRightInd w:val="0"/>
              <w:snapToGrid w:val="0"/>
              <w:spacing w:line="360" w:lineRule="auto"/>
              <w:jc w:val="center"/>
              <w:rPr>
                <w:rFonts w:hint="eastAsia"/>
                <w:sz w:val="21"/>
                <w:szCs w:val="21"/>
              </w:rPr>
            </w:pPr>
            <w:r>
              <w:rPr>
                <w:rFonts w:hint="eastAsia"/>
                <w:sz w:val="21"/>
                <w:szCs w:val="21"/>
              </w:rPr>
              <w:t>2007年8月13日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9" w:type="dxa"/>
            <w:vAlign w:val="center"/>
          </w:tcPr>
          <w:p>
            <w:pPr>
              <w:adjustRightInd w:val="0"/>
              <w:snapToGrid w:val="0"/>
              <w:spacing w:line="360" w:lineRule="auto"/>
              <w:jc w:val="center"/>
              <w:rPr>
                <w:sz w:val="21"/>
                <w:szCs w:val="21"/>
              </w:rPr>
            </w:pPr>
            <w:r>
              <w:rPr>
                <w:sz w:val="21"/>
                <w:szCs w:val="21"/>
              </w:rPr>
              <w:t>SO</w:t>
            </w:r>
            <w:r>
              <w:rPr>
                <w:sz w:val="21"/>
                <w:szCs w:val="21"/>
                <w:vertAlign w:val="subscript"/>
              </w:rPr>
              <w:t>2</w:t>
            </w:r>
          </w:p>
        </w:tc>
        <w:tc>
          <w:tcPr>
            <w:tcW w:w="1440" w:type="dxa"/>
            <w:vAlign w:val="center"/>
          </w:tcPr>
          <w:p>
            <w:pPr>
              <w:spacing w:line="360" w:lineRule="auto"/>
              <w:jc w:val="center"/>
              <w:rPr>
                <w:rFonts w:hint="eastAsia" w:ascii="宋体" w:hAnsi="宋体" w:cs="宋体"/>
                <w:sz w:val="21"/>
                <w:szCs w:val="21"/>
              </w:rPr>
            </w:pPr>
            <w:r>
              <w:rPr>
                <w:rFonts w:hint="eastAsia" w:ascii="宋体" w:hAnsi="宋体" w:cs="宋体"/>
                <w:sz w:val="21"/>
                <w:szCs w:val="21"/>
              </w:rPr>
              <w:t>0.0046</w:t>
            </w:r>
          </w:p>
        </w:tc>
        <w:tc>
          <w:tcPr>
            <w:tcW w:w="1260" w:type="dxa"/>
            <w:vAlign w:val="center"/>
          </w:tcPr>
          <w:p>
            <w:pPr>
              <w:adjustRightInd w:val="0"/>
              <w:snapToGrid w:val="0"/>
              <w:spacing w:line="360" w:lineRule="auto"/>
              <w:jc w:val="center"/>
              <w:rPr>
                <w:rFonts w:hint="eastAsia"/>
                <w:sz w:val="21"/>
                <w:szCs w:val="21"/>
              </w:rPr>
            </w:pPr>
            <w:r>
              <w:rPr>
                <w:rFonts w:hint="eastAsia"/>
                <w:sz w:val="21"/>
                <w:szCs w:val="21"/>
              </w:rPr>
              <w:t>3.07</w:t>
            </w:r>
          </w:p>
        </w:tc>
        <w:tc>
          <w:tcPr>
            <w:tcW w:w="1260" w:type="dxa"/>
            <w:vAlign w:val="center"/>
          </w:tcPr>
          <w:p>
            <w:pPr>
              <w:spacing w:line="360" w:lineRule="auto"/>
              <w:jc w:val="center"/>
              <w:rPr>
                <w:rFonts w:hint="eastAsia" w:ascii="宋体" w:hAnsi="宋体" w:cs="宋体"/>
                <w:sz w:val="21"/>
                <w:szCs w:val="21"/>
              </w:rPr>
            </w:pPr>
            <w:r>
              <w:rPr>
                <w:rFonts w:ascii="宋体" w:hAnsi="宋体" w:cs="宋体"/>
                <w:sz w:val="21"/>
                <w:szCs w:val="21"/>
              </w:rPr>
              <w:t>624</w:t>
            </w:r>
            <w:r>
              <w:rPr>
                <w:rFonts w:hint="eastAsia" w:ascii="宋体" w:hAnsi="宋体" w:cs="宋体"/>
                <w:sz w:val="21"/>
                <w:szCs w:val="21"/>
              </w:rPr>
              <w:t>301</w:t>
            </w:r>
          </w:p>
        </w:tc>
        <w:tc>
          <w:tcPr>
            <w:tcW w:w="1266" w:type="dxa"/>
            <w:vAlign w:val="center"/>
          </w:tcPr>
          <w:p>
            <w:pPr>
              <w:spacing w:line="360" w:lineRule="auto"/>
              <w:jc w:val="center"/>
              <w:rPr>
                <w:rFonts w:hint="eastAsia" w:ascii="宋体" w:hAnsi="宋体" w:cs="宋体"/>
                <w:sz w:val="21"/>
                <w:szCs w:val="21"/>
              </w:rPr>
            </w:pPr>
            <w:r>
              <w:rPr>
                <w:rFonts w:ascii="宋体" w:hAnsi="宋体" w:cs="宋体"/>
                <w:sz w:val="21"/>
                <w:szCs w:val="21"/>
              </w:rPr>
              <w:t>328</w:t>
            </w:r>
            <w:r>
              <w:rPr>
                <w:rFonts w:hint="eastAsia" w:ascii="宋体" w:hAnsi="宋体" w:cs="宋体"/>
                <w:sz w:val="21"/>
                <w:szCs w:val="21"/>
              </w:rPr>
              <w:t>3556</w:t>
            </w:r>
          </w:p>
        </w:tc>
        <w:tc>
          <w:tcPr>
            <w:tcW w:w="1931" w:type="dxa"/>
            <w:vAlign w:val="center"/>
          </w:tcPr>
          <w:p>
            <w:pPr>
              <w:adjustRightInd w:val="0"/>
              <w:snapToGrid w:val="0"/>
              <w:spacing w:line="360" w:lineRule="auto"/>
              <w:jc w:val="center"/>
              <w:rPr>
                <w:rFonts w:hint="eastAsia"/>
                <w:sz w:val="21"/>
                <w:szCs w:val="21"/>
              </w:rPr>
            </w:pPr>
            <w:r>
              <w:rPr>
                <w:rFonts w:hint="eastAsia"/>
                <w:sz w:val="21"/>
                <w:szCs w:val="21"/>
              </w:rPr>
              <w:t>2007年8月8日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39" w:type="dxa"/>
            <w:vAlign w:val="center"/>
          </w:tcPr>
          <w:p>
            <w:pPr>
              <w:adjustRightInd w:val="0"/>
              <w:snapToGrid w:val="0"/>
              <w:spacing w:line="360" w:lineRule="auto"/>
              <w:jc w:val="center"/>
              <w:rPr>
                <w:sz w:val="21"/>
                <w:szCs w:val="21"/>
              </w:rPr>
            </w:pPr>
            <w:r>
              <w:rPr>
                <w:rFonts w:hint="eastAsia"/>
                <w:sz w:val="21"/>
                <w:szCs w:val="21"/>
              </w:rPr>
              <w:t>N</w:t>
            </w:r>
            <w:r>
              <w:rPr>
                <w:sz w:val="21"/>
                <w:szCs w:val="21"/>
              </w:rPr>
              <w:t>O</w:t>
            </w:r>
            <w:r>
              <w:rPr>
                <w:sz w:val="21"/>
                <w:szCs w:val="21"/>
                <w:vertAlign w:val="subscript"/>
              </w:rPr>
              <w:t>2</w:t>
            </w:r>
          </w:p>
        </w:tc>
        <w:tc>
          <w:tcPr>
            <w:tcW w:w="1440" w:type="dxa"/>
            <w:vAlign w:val="center"/>
          </w:tcPr>
          <w:p>
            <w:pPr>
              <w:spacing w:line="360" w:lineRule="auto"/>
              <w:jc w:val="center"/>
              <w:rPr>
                <w:rFonts w:hint="eastAsia" w:ascii="宋体" w:hAnsi="宋体" w:cs="宋体"/>
                <w:sz w:val="21"/>
                <w:szCs w:val="21"/>
              </w:rPr>
            </w:pPr>
            <w:r>
              <w:rPr>
                <w:rFonts w:hint="eastAsia" w:ascii="宋体" w:hAnsi="宋体" w:cs="宋体"/>
                <w:sz w:val="21"/>
                <w:szCs w:val="21"/>
              </w:rPr>
              <w:t>0.0310</w:t>
            </w:r>
          </w:p>
        </w:tc>
        <w:tc>
          <w:tcPr>
            <w:tcW w:w="1260" w:type="dxa"/>
            <w:vAlign w:val="center"/>
          </w:tcPr>
          <w:p>
            <w:pPr>
              <w:adjustRightInd w:val="0"/>
              <w:snapToGrid w:val="0"/>
              <w:spacing w:line="360" w:lineRule="auto"/>
              <w:jc w:val="center"/>
              <w:rPr>
                <w:rFonts w:hint="eastAsia"/>
                <w:sz w:val="21"/>
                <w:szCs w:val="21"/>
              </w:rPr>
            </w:pPr>
            <w:r>
              <w:rPr>
                <w:rFonts w:hint="eastAsia"/>
                <w:sz w:val="21"/>
                <w:szCs w:val="21"/>
              </w:rPr>
              <w:t>25.83</w:t>
            </w:r>
          </w:p>
        </w:tc>
        <w:tc>
          <w:tcPr>
            <w:tcW w:w="1260" w:type="dxa"/>
            <w:vAlign w:val="center"/>
          </w:tcPr>
          <w:p>
            <w:pPr>
              <w:spacing w:line="360" w:lineRule="auto"/>
              <w:jc w:val="center"/>
              <w:rPr>
                <w:rFonts w:hint="eastAsia" w:ascii="宋体" w:hAnsi="宋体" w:cs="宋体"/>
                <w:sz w:val="21"/>
                <w:szCs w:val="21"/>
              </w:rPr>
            </w:pPr>
            <w:r>
              <w:rPr>
                <w:rFonts w:ascii="宋体" w:hAnsi="宋体" w:cs="宋体"/>
                <w:sz w:val="21"/>
                <w:szCs w:val="21"/>
              </w:rPr>
              <w:t>624</w:t>
            </w:r>
            <w:r>
              <w:rPr>
                <w:rFonts w:hint="eastAsia" w:ascii="宋体" w:hAnsi="宋体" w:cs="宋体"/>
                <w:sz w:val="21"/>
                <w:szCs w:val="21"/>
              </w:rPr>
              <w:t>301</w:t>
            </w:r>
          </w:p>
        </w:tc>
        <w:tc>
          <w:tcPr>
            <w:tcW w:w="1266" w:type="dxa"/>
            <w:vAlign w:val="center"/>
          </w:tcPr>
          <w:p>
            <w:pPr>
              <w:spacing w:line="360" w:lineRule="auto"/>
              <w:jc w:val="center"/>
              <w:rPr>
                <w:rFonts w:hint="eastAsia" w:ascii="宋体" w:hAnsi="宋体" w:cs="宋体"/>
                <w:sz w:val="21"/>
                <w:szCs w:val="21"/>
              </w:rPr>
            </w:pPr>
            <w:r>
              <w:rPr>
                <w:rFonts w:ascii="宋体" w:hAnsi="宋体" w:cs="宋体"/>
                <w:sz w:val="21"/>
                <w:szCs w:val="21"/>
              </w:rPr>
              <w:t>328</w:t>
            </w:r>
            <w:r>
              <w:rPr>
                <w:rFonts w:hint="eastAsia" w:ascii="宋体" w:hAnsi="宋体" w:cs="宋体"/>
                <w:sz w:val="21"/>
                <w:szCs w:val="21"/>
              </w:rPr>
              <w:t>3556</w:t>
            </w:r>
          </w:p>
        </w:tc>
        <w:tc>
          <w:tcPr>
            <w:tcW w:w="1931" w:type="dxa"/>
            <w:vAlign w:val="center"/>
          </w:tcPr>
          <w:p>
            <w:pPr>
              <w:adjustRightInd w:val="0"/>
              <w:snapToGrid w:val="0"/>
              <w:spacing w:line="360" w:lineRule="auto"/>
              <w:jc w:val="center"/>
              <w:rPr>
                <w:sz w:val="21"/>
                <w:szCs w:val="21"/>
              </w:rPr>
            </w:pPr>
            <w:r>
              <w:rPr>
                <w:rFonts w:hint="eastAsia"/>
                <w:sz w:val="21"/>
                <w:szCs w:val="21"/>
              </w:rPr>
              <w:t>2007年8月8日</w:t>
            </w:r>
          </w:p>
        </w:tc>
      </w:tr>
    </w:tbl>
    <w:p>
      <w:pPr>
        <w:adjustRightInd w:val="0"/>
        <w:snapToGrid w:val="0"/>
        <w:spacing w:line="480" w:lineRule="exact"/>
        <w:ind w:firstLine="420" w:firstLineChars="200"/>
      </w:pPr>
      <w:r>
        <w:t>从表</w:t>
      </w:r>
      <w:r>
        <w:rPr>
          <w:rFonts w:hint="eastAsia"/>
        </w:rPr>
        <w:t>8</w:t>
      </w:r>
      <w:r>
        <w:t>-</w:t>
      </w:r>
      <w:r>
        <w:rPr>
          <w:rFonts w:hint="eastAsia"/>
        </w:rPr>
        <w:t>9</w:t>
      </w:r>
      <w:r>
        <w:t>看出，PM</w:t>
      </w:r>
      <w:r>
        <w:rPr>
          <w:vertAlign w:val="subscript"/>
        </w:rPr>
        <w:t>10</w:t>
      </w:r>
      <w:r>
        <w:rPr>
          <w:rFonts w:hint="eastAsia"/>
        </w:rPr>
        <w:t>、</w:t>
      </w:r>
      <w:r>
        <w:t>SO</w:t>
      </w:r>
      <w:r>
        <w:rPr>
          <w:vertAlign w:val="subscript"/>
        </w:rPr>
        <w:t>2</w:t>
      </w:r>
      <w:r>
        <w:rPr>
          <w:rFonts w:hint="eastAsia"/>
        </w:rPr>
        <w:t>和NO</w:t>
      </w:r>
      <w:r>
        <w:rPr>
          <w:rFonts w:hint="eastAsia"/>
          <w:vertAlign w:val="subscript"/>
        </w:rPr>
        <w:t>2</w:t>
      </w:r>
      <w:r>
        <w:t>日均最大浓度影响值分别为</w:t>
      </w:r>
      <w:r>
        <w:rPr>
          <w:rFonts w:hint="eastAsia"/>
        </w:rPr>
        <w:t>0.0669</w:t>
      </w:r>
      <w:r>
        <w:t>mg/m</w:t>
      </w:r>
      <w:r>
        <w:rPr>
          <w:vertAlign w:val="superscript"/>
        </w:rPr>
        <w:t>3</w:t>
      </w:r>
      <w:r>
        <w:t>、0.</w:t>
      </w:r>
      <w:r>
        <w:rPr>
          <w:rFonts w:hint="eastAsia"/>
        </w:rPr>
        <w:t>0046</w:t>
      </w:r>
      <w:r>
        <w:t>mg/m</w:t>
      </w:r>
      <w:r>
        <w:rPr>
          <w:vertAlign w:val="superscript"/>
        </w:rPr>
        <w:t>3</w:t>
      </w:r>
      <w:r>
        <w:t>、0.0</w:t>
      </w:r>
      <w:r>
        <w:rPr>
          <w:rFonts w:hint="eastAsia"/>
        </w:rPr>
        <w:t>310</w:t>
      </w:r>
      <w:r>
        <w:t>mg/m</w:t>
      </w:r>
      <w:r>
        <w:rPr>
          <w:vertAlign w:val="superscript"/>
        </w:rPr>
        <w:t>3</w:t>
      </w:r>
      <w:r>
        <w:t>，</w:t>
      </w:r>
      <w:r>
        <w:rPr>
          <w:rFonts w:hint="eastAsia"/>
        </w:rPr>
        <w:t>其占标率分别</w:t>
      </w:r>
      <w:r>
        <w:t>占相应标准限值的</w:t>
      </w:r>
      <w:r>
        <w:rPr>
          <w:rFonts w:hint="eastAsia"/>
        </w:rPr>
        <w:t>44.6%、3.07</w:t>
      </w:r>
      <w:r>
        <w:t>%和</w:t>
      </w:r>
      <w:r>
        <w:rPr>
          <w:rFonts w:hint="eastAsia"/>
        </w:rPr>
        <w:t>25.83</w:t>
      </w:r>
      <w:r>
        <w:t>%，符合《环境空气质量标准》(GB3095-1996)中的二级标准要求。PM</w:t>
      </w:r>
      <w:r>
        <w:rPr>
          <w:vertAlign w:val="subscript"/>
        </w:rPr>
        <w:t>10</w:t>
      </w:r>
      <w:r>
        <w:rPr>
          <w:rFonts w:hint="eastAsia"/>
        </w:rPr>
        <w:t>、</w:t>
      </w:r>
      <w:r>
        <w:t>SO</w:t>
      </w:r>
      <w:r>
        <w:rPr>
          <w:vertAlign w:val="subscript"/>
        </w:rPr>
        <w:t>2</w:t>
      </w:r>
      <w:r>
        <w:rPr>
          <w:rFonts w:hint="eastAsia"/>
        </w:rPr>
        <w:t>和NO</w:t>
      </w:r>
      <w:r>
        <w:rPr>
          <w:rFonts w:hint="eastAsia"/>
          <w:vertAlign w:val="subscript"/>
        </w:rPr>
        <w:t>2</w:t>
      </w:r>
      <w:r>
        <w:t>日均浓度分布见图</w:t>
      </w:r>
      <w:r>
        <w:rPr>
          <w:rFonts w:hint="eastAsia"/>
        </w:rPr>
        <w:t>8</w:t>
      </w:r>
      <w:r>
        <w:t>.</w:t>
      </w:r>
      <w:r>
        <w:rPr>
          <w:rFonts w:hint="eastAsia"/>
        </w:rPr>
        <w:t>10</w:t>
      </w:r>
      <w:r>
        <w:t>～图</w:t>
      </w:r>
      <w:r>
        <w:rPr>
          <w:rFonts w:hint="eastAsia"/>
        </w:rPr>
        <w:t>8</w:t>
      </w:r>
      <w:r>
        <w:t>.</w:t>
      </w:r>
      <w:r>
        <w:rPr>
          <w:rFonts w:hint="eastAsia"/>
        </w:rPr>
        <w:t>12</w:t>
      </w:r>
      <w:r>
        <w:t>。</w:t>
      </w:r>
    </w:p>
    <w:p>
      <w:pPr>
        <w:adjustRightInd w:val="0"/>
        <w:snapToGrid w:val="0"/>
        <w:spacing w:line="480" w:lineRule="exact"/>
        <w:ind w:firstLine="420" w:firstLineChars="200"/>
      </w:pPr>
      <w:r>
        <w:rPr>
          <w:rFonts w:hint="eastAsia" w:ascii="宋体" w:hAnsi="宋体" w:cs="宋体"/>
        </w:rPr>
        <w:t>◆</w:t>
      </w:r>
      <w:r>
        <w:t xml:space="preserve"> 区域最大日均值出现时浓度分布</w:t>
      </w:r>
    </w:p>
    <w:p>
      <w:pPr>
        <w:adjustRightInd w:val="0"/>
        <w:snapToGrid w:val="0"/>
        <w:spacing w:line="480" w:lineRule="exact"/>
        <w:ind w:firstLine="420" w:firstLineChars="200"/>
      </w:pPr>
      <w:r>
        <w:t>PM</w:t>
      </w:r>
      <w:r>
        <w:rPr>
          <w:vertAlign w:val="subscript"/>
        </w:rPr>
        <w:t>10</w:t>
      </w:r>
      <w:r>
        <w:rPr>
          <w:rFonts w:hint="eastAsia"/>
        </w:rPr>
        <w:t>、</w:t>
      </w:r>
      <w:r>
        <w:t>SO</w:t>
      </w:r>
      <w:r>
        <w:rPr>
          <w:vertAlign w:val="subscript"/>
        </w:rPr>
        <w:t>2</w:t>
      </w:r>
      <w:r>
        <w:rPr>
          <w:rFonts w:hint="eastAsia"/>
        </w:rPr>
        <w:t>和NO</w:t>
      </w:r>
      <w:r>
        <w:rPr>
          <w:rFonts w:hint="eastAsia"/>
          <w:vertAlign w:val="subscript"/>
        </w:rPr>
        <w:t>2</w:t>
      </w:r>
      <w:r>
        <w:t>出现最大日均值的时间分别为200</w:t>
      </w:r>
      <w:r>
        <w:rPr>
          <w:rFonts w:hint="eastAsia"/>
        </w:rPr>
        <w:t>7</w:t>
      </w:r>
      <w:r>
        <w:t>年</w:t>
      </w:r>
      <w:r>
        <w:rPr>
          <w:rFonts w:hint="eastAsia"/>
        </w:rPr>
        <w:t>8</w:t>
      </w:r>
      <w:r>
        <w:t>月</w:t>
      </w:r>
      <w:r>
        <w:rPr>
          <w:rFonts w:hint="eastAsia"/>
        </w:rPr>
        <w:t>13</w:t>
      </w:r>
      <w:r>
        <w:t>日和200</w:t>
      </w:r>
      <w:r>
        <w:rPr>
          <w:rFonts w:hint="eastAsia"/>
        </w:rPr>
        <w:t>7</w:t>
      </w:r>
      <w:r>
        <w:t>年</w:t>
      </w:r>
      <w:r>
        <w:rPr>
          <w:rFonts w:hint="eastAsia"/>
        </w:rPr>
        <w:t>8</w:t>
      </w:r>
      <w:r>
        <w:t>月</w:t>
      </w:r>
      <w:r>
        <w:rPr>
          <w:rFonts w:hint="eastAsia"/>
        </w:rPr>
        <w:t>8</w:t>
      </w:r>
      <w:r>
        <w:t>日，以各污染物最大落地浓度出现的日期为典型日，对典时日气象条件下PM</w:t>
      </w:r>
      <w:r>
        <w:rPr>
          <w:vertAlign w:val="subscript"/>
        </w:rPr>
        <w:t>10</w:t>
      </w:r>
      <w:r>
        <w:rPr>
          <w:rFonts w:hint="eastAsia"/>
        </w:rPr>
        <w:t>、</w:t>
      </w:r>
      <w:r>
        <w:t>SO</w:t>
      </w:r>
      <w:r>
        <w:rPr>
          <w:vertAlign w:val="subscript"/>
        </w:rPr>
        <w:t>2</w:t>
      </w:r>
      <w:r>
        <w:rPr>
          <w:rFonts w:hint="eastAsia"/>
        </w:rPr>
        <w:t>和NO</w:t>
      </w:r>
      <w:r>
        <w:rPr>
          <w:rFonts w:hint="eastAsia"/>
          <w:vertAlign w:val="subscript"/>
        </w:rPr>
        <w:t>2</w:t>
      </w:r>
      <w:r>
        <w:t>日均浓度分布进行预测，结果见图</w:t>
      </w:r>
      <w:r>
        <w:rPr>
          <w:rFonts w:hint="eastAsia"/>
        </w:rPr>
        <w:t>8</w:t>
      </w:r>
      <w:r>
        <w:t>.1</w:t>
      </w:r>
      <w:r>
        <w:rPr>
          <w:rFonts w:hint="eastAsia"/>
        </w:rPr>
        <w:t>3</w:t>
      </w:r>
      <w:r>
        <w:t>～图</w:t>
      </w:r>
      <w:r>
        <w:rPr>
          <w:rFonts w:hint="eastAsia"/>
        </w:rPr>
        <w:t>8</w:t>
      </w:r>
      <w:r>
        <w:t>.1</w:t>
      </w:r>
      <w:r>
        <w:rPr>
          <w:rFonts w:hint="eastAsia"/>
        </w:rPr>
        <w:t>5</w:t>
      </w:r>
      <w:r>
        <w:t>。</w:t>
      </w:r>
    </w:p>
    <w:p>
      <w:pPr>
        <w:adjustRightInd w:val="0"/>
        <w:snapToGrid w:val="0"/>
        <w:spacing w:line="480" w:lineRule="exact"/>
        <w:ind w:firstLine="420" w:firstLineChars="200"/>
      </w:pPr>
      <w:r>
        <w:rPr>
          <w:rFonts w:hint="eastAsia" w:ascii="宋体" w:hAnsi="宋体" w:cs="宋体"/>
        </w:rPr>
        <w:t>◆</w:t>
      </w:r>
      <w:r>
        <w:t>最大日均浓度的环境影响叠加分析</w:t>
      </w:r>
    </w:p>
    <w:p>
      <w:pPr>
        <w:adjustRightInd w:val="0"/>
        <w:snapToGrid w:val="0"/>
        <w:spacing w:line="480" w:lineRule="exact"/>
        <w:ind w:firstLine="420" w:firstLineChars="200"/>
        <w:rPr>
          <w:rFonts w:hint="eastAsia"/>
        </w:rPr>
      </w:pPr>
      <w:r>
        <w:t>将最大日均浓度点的影响预测结果与环境现状背景值进行叠加，叠加结果见表</w:t>
      </w:r>
      <w:r>
        <w:rPr>
          <w:rFonts w:hint="eastAsia"/>
        </w:rPr>
        <w:t>8</w:t>
      </w:r>
      <w:r>
        <w:t>-</w:t>
      </w:r>
      <w:r>
        <w:rPr>
          <w:rFonts w:hint="eastAsia"/>
        </w:rPr>
        <w:t>10。</w:t>
      </w:r>
    </w:p>
    <w:p>
      <w:pPr>
        <w:adjustRightInd w:val="0"/>
        <w:snapToGrid w:val="0"/>
        <w:spacing w:line="360" w:lineRule="exact"/>
        <w:jc w:val="center"/>
        <w:rPr>
          <w:rFonts w:hint="eastAsia"/>
          <w:b/>
        </w:rPr>
      </w:pPr>
    </w:p>
    <w:p>
      <w:pPr>
        <w:adjustRightInd w:val="0"/>
        <w:snapToGrid w:val="0"/>
        <w:spacing w:line="360" w:lineRule="exact"/>
        <w:jc w:val="center"/>
        <w:rPr>
          <w:rFonts w:hint="eastAsia"/>
          <w:b/>
        </w:rPr>
      </w:pPr>
    </w:p>
    <w:p>
      <w:pPr>
        <w:adjustRightInd w:val="0"/>
        <w:snapToGrid w:val="0"/>
        <w:spacing w:line="360" w:lineRule="exact"/>
        <w:jc w:val="center"/>
        <w:rPr>
          <w:rFonts w:hint="eastAsia"/>
          <w:b/>
        </w:rPr>
      </w:pPr>
    </w:p>
    <w:p>
      <w:pPr>
        <w:adjustRightInd w:val="0"/>
        <w:snapToGrid w:val="0"/>
        <w:spacing w:line="360" w:lineRule="auto"/>
        <w:jc w:val="center"/>
        <w:rPr>
          <w:b/>
        </w:rPr>
      </w:pPr>
      <w:r>
        <w:rPr>
          <w:b/>
        </w:rPr>
        <w:t>表</w:t>
      </w:r>
      <w:r>
        <w:rPr>
          <w:rFonts w:hint="eastAsia"/>
          <w:b/>
        </w:rPr>
        <w:t>8</w:t>
      </w:r>
      <w:r>
        <w:rPr>
          <w:b/>
        </w:rPr>
        <w:t>-</w:t>
      </w:r>
      <w:r>
        <w:rPr>
          <w:rFonts w:hint="eastAsia"/>
          <w:b/>
        </w:rPr>
        <w:t xml:space="preserve">10  </w:t>
      </w:r>
      <w:r>
        <w:rPr>
          <w:b/>
        </w:rPr>
        <w:t>最大地面日均影响浓度点影响值与现状背景值叠加结果</w:t>
      </w:r>
    </w:p>
    <w:tbl>
      <w:tblPr>
        <w:tblStyle w:val="21"/>
        <w:tblpPr w:leftFromText="180" w:rightFromText="180" w:vertAnchor="text" w:tblpXSpec="center" w:tblpY="1"/>
        <w:tblOverlap w:val="never"/>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3"/>
        <w:gridCol w:w="1883"/>
        <w:gridCol w:w="1679"/>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trPr>
        <w:tc>
          <w:tcPr>
            <w:tcW w:w="3833" w:type="dxa"/>
            <w:shd w:val="clear" w:color="auto" w:fill="auto"/>
            <w:vAlign w:val="center"/>
          </w:tcPr>
          <w:p>
            <w:pPr>
              <w:widowControl/>
              <w:adjustRightInd w:val="0"/>
              <w:snapToGrid w:val="0"/>
              <w:spacing w:line="360" w:lineRule="auto"/>
              <w:jc w:val="center"/>
              <w:rPr>
                <w:kern w:val="0"/>
                <w:sz w:val="21"/>
                <w:szCs w:val="21"/>
              </w:rPr>
            </w:pPr>
            <w:r>
              <w:rPr>
                <w:kern w:val="0"/>
                <w:sz w:val="21"/>
                <w:szCs w:val="21"/>
              </w:rPr>
              <w:t>污染物</w:t>
            </w:r>
          </w:p>
        </w:tc>
        <w:tc>
          <w:tcPr>
            <w:tcW w:w="1883" w:type="dxa"/>
            <w:shd w:val="clear" w:color="auto" w:fill="auto"/>
            <w:vAlign w:val="center"/>
          </w:tcPr>
          <w:p>
            <w:pPr>
              <w:widowControl/>
              <w:adjustRightInd w:val="0"/>
              <w:snapToGrid w:val="0"/>
              <w:spacing w:line="360" w:lineRule="auto"/>
              <w:jc w:val="center"/>
              <w:rPr>
                <w:kern w:val="0"/>
                <w:sz w:val="21"/>
                <w:szCs w:val="21"/>
              </w:rPr>
            </w:pPr>
            <w:r>
              <w:rPr>
                <w:sz w:val="21"/>
                <w:szCs w:val="21"/>
              </w:rPr>
              <w:t>PM</w:t>
            </w:r>
            <w:r>
              <w:rPr>
                <w:sz w:val="21"/>
                <w:szCs w:val="21"/>
                <w:vertAlign w:val="subscript"/>
              </w:rPr>
              <w:t>10</w:t>
            </w:r>
          </w:p>
        </w:tc>
        <w:tc>
          <w:tcPr>
            <w:tcW w:w="1679" w:type="dxa"/>
            <w:shd w:val="clear" w:color="auto" w:fill="auto"/>
            <w:vAlign w:val="center"/>
          </w:tcPr>
          <w:p>
            <w:pPr>
              <w:widowControl/>
              <w:adjustRightInd w:val="0"/>
              <w:snapToGrid w:val="0"/>
              <w:spacing w:line="360" w:lineRule="auto"/>
              <w:jc w:val="center"/>
              <w:rPr>
                <w:kern w:val="0"/>
                <w:sz w:val="21"/>
                <w:szCs w:val="21"/>
              </w:rPr>
            </w:pPr>
            <w:r>
              <w:rPr>
                <w:sz w:val="21"/>
                <w:szCs w:val="21"/>
              </w:rPr>
              <w:t>SO</w:t>
            </w:r>
            <w:r>
              <w:rPr>
                <w:sz w:val="21"/>
                <w:szCs w:val="21"/>
                <w:vertAlign w:val="subscript"/>
              </w:rPr>
              <w:t>2</w:t>
            </w:r>
          </w:p>
        </w:tc>
        <w:tc>
          <w:tcPr>
            <w:tcW w:w="1891"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NO</w:t>
            </w:r>
            <w:r>
              <w:rPr>
                <w:rFonts w:hint="eastAsia"/>
                <w:kern w:val="0"/>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3833" w:type="dxa"/>
            <w:shd w:val="clear" w:color="auto" w:fill="auto"/>
            <w:vAlign w:val="center"/>
          </w:tcPr>
          <w:p>
            <w:pPr>
              <w:widowControl/>
              <w:adjustRightInd w:val="0"/>
              <w:snapToGrid w:val="0"/>
              <w:spacing w:line="360" w:lineRule="auto"/>
              <w:jc w:val="center"/>
              <w:rPr>
                <w:kern w:val="0"/>
                <w:sz w:val="21"/>
                <w:szCs w:val="21"/>
              </w:rPr>
            </w:pPr>
            <w:r>
              <w:rPr>
                <w:kern w:val="0"/>
                <w:sz w:val="21"/>
                <w:szCs w:val="21"/>
              </w:rPr>
              <w:t>最大值（mg/m</w:t>
            </w:r>
            <w:r>
              <w:rPr>
                <w:kern w:val="0"/>
                <w:sz w:val="21"/>
                <w:szCs w:val="21"/>
                <w:vertAlign w:val="superscript"/>
              </w:rPr>
              <w:t>3</w:t>
            </w:r>
            <w:r>
              <w:rPr>
                <w:kern w:val="0"/>
                <w:sz w:val="21"/>
                <w:szCs w:val="21"/>
              </w:rPr>
              <w:t>）</w:t>
            </w:r>
          </w:p>
        </w:tc>
        <w:tc>
          <w:tcPr>
            <w:tcW w:w="1883"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0.0669</w:t>
            </w:r>
          </w:p>
        </w:tc>
        <w:tc>
          <w:tcPr>
            <w:tcW w:w="1679"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0.0046</w:t>
            </w:r>
          </w:p>
        </w:tc>
        <w:tc>
          <w:tcPr>
            <w:tcW w:w="1891"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0.0310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3833" w:type="dxa"/>
            <w:shd w:val="clear" w:color="auto" w:fill="auto"/>
            <w:vAlign w:val="center"/>
          </w:tcPr>
          <w:p>
            <w:pPr>
              <w:widowControl/>
              <w:adjustRightInd w:val="0"/>
              <w:snapToGrid w:val="0"/>
              <w:spacing w:line="360" w:lineRule="auto"/>
              <w:jc w:val="center"/>
              <w:rPr>
                <w:kern w:val="0"/>
                <w:sz w:val="21"/>
                <w:szCs w:val="21"/>
              </w:rPr>
            </w:pPr>
            <w:r>
              <w:rPr>
                <w:kern w:val="0"/>
                <w:sz w:val="21"/>
                <w:szCs w:val="21"/>
              </w:rPr>
              <w:t>背景值（mg/m</w:t>
            </w:r>
            <w:r>
              <w:rPr>
                <w:kern w:val="0"/>
                <w:sz w:val="21"/>
                <w:szCs w:val="21"/>
                <w:vertAlign w:val="superscript"/>
              </w:rPr>
              <w:t>3</w:t>
            </w:r>
            <w:r>
              <w:rPr>
                <w:kern w:val="0"/>
                <w:sz w:val="21"/>
                <w:szCs w:val="21"/>
              </w:rPr>
              <w:t>）</w:t>
            </w:r>
          </w:p>
        </w:tc>
        <w:tc>
          <w:tcPr>
            <w:tcW w:w="1883"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0.0888</w:t>
            </w:r>
          </w:p>
        </w:tc>
        <w:tc>
          <w:tcPr>
            <w:tcW w:w="1679"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0.0607</w:t>
            </w:r>
          </w:p>
        </w:tc>
        <w:tc>
          <w:tcPr>
            <w:tcW w:w="1891"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3833" w:type="dxa"/>
            <w:shd w:val="clear" w:color="auto" w:fill="auto"/>
            <w:vAlign w:val="center"/>
          </w:tcPr>
          <w:p>
            <w:pPr>
              <w:widowControl/>
              <w:adjustRightInd w:val="0"/>
              <w:snapToGrid w:val="0"/>
              <w:spacing w:line="360" w:lineRule="auto"/>
              <w:jc w:val="center"/>
              <w:rPr>
                <w:kern w:val="0"/>
                <w:sz w:val="21"/>
                <w:szCs w:val="21"/>
              </w:rPr>
            </w:pPr>
            <w:r>
              <w:rPr>
                <w:kern w:val="0"/>
                <w:sz w:val="21"/>
                <w:szCs w:val="21"/>
              </w:rPr>
              <w:t>叠加值（mg/m</w:t>
            </w:r>
            <w:r>
              <w:rPr>
                <w:kern w:val="0"/>
                <w:sz w:val="21"/>
                <w:szCs w:val="21"/>
                <w:vertAlign w:val="superscript"/>
              </w:rPr>
              <w:t>3</w:t>
            </w:r>
            <w:r>
              <w:rPr>
                <w:kern w:val="0"/>
                <w:sz w:val="21"/>
                <w:szCs w:val="21"/>
              </w:rPr>
              <w:t>）</w:t>
            </w:r>
          </w:p>
        </w:tc>
        <w:tc>
          <w:tcPr>
            <w:tcW w:w="1883"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0.1557</w:t>
            </w:r>
          </w:p>
        </w:tc>
        <w:tc>
          <w:tcPr>
            <w:tcW w:w="1679"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0.0653</w:t>
            </w:r>
          </w:p>
        </w:tc>
        <w:tc>
          <w:tcPr>
            <w:tcW w:w="1891"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0.0664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3833" w:type="dxa"/>
            <w:shd w:val="clear" w:color="auto" w:fill="auto"/>
            <w:vAlign w:val="center"/>
          </w:tcPr>
          <w:p>
            <w:pPr>
              <w:widowControl/>
              <w:adjustRightInd w:val="0"/>
              <w:snapToGrid w:val="0"/>
              <w:spacing w:line="360" w:lineRule="auto"/>
              <w:jc w:val="center"/>
              <w:rPr>
                <w:kern w:val="0"/>
                <w:sz w:val="21"/>
                <w:szCs w:val="21"/>
              </w:rPr>
            </w:pPr>
            <w:r>
              <w:rPr>
                <w:kern w:val="0"/>
                <w:sz w:val="21"/>
                <w:szCs w:val="21"/>
              </w:rPr>
              <w:t>占标率（%）</w:t>
            </w:r>
          </w:p>
        </w:tc>
        <w:tc>
          <w:tcPr>
            <w:tcW w:w="1883"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103.8</w:t>
            </w:r>
          </w:p>
        </w:tc>
        <w:tc>
          <w:tcPr>
            <w:tcW w:w="1679"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43.53</w:t>
            </w:r>
          </w:p>
        </w:tc>
        <w:tc>
          <w:tcPr>
            <w:tcW w:w="1891" w:type="dxa"/>
            <w:shd w:val="clear" w:color="auto" w:fill="auto"/>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55.33</w:t>
            </w:r>
          </w:p>
        </w:tc>
      </w:tr>
    </w:tbl>
    <w:p>
      <w:pPr>
        <w:pStyle w:val="32"/>
      </w:pPr>
    </w:p>
    <w:p>
      <w:pPr>
        <w:adjustRightInd w:val="0"/>
        <w:snapToGrid w:val="0"/>
        <w:spacing w:line="480" w:lineRule="exact"/>
        <w:ind w:firstLine="420" w:firstLineChars="200"/>
        <w:rPr>
          <w:rFonts w:hint="eastAsia"/>
        </w:rPr>
      </w:pPr>
      <w:r>
        <w:t>从表</w:t>
      </w:r>
      <w:r>
        <w:rPr>
          <w:rFonts w:hint="eastAsia"/>
        </w:rPr>
        <w:t>8</w:t>
      </w:r>
      <w:r>
        <w:t>-</w:t>
      </w:r>
      <w:r>
        <w:rPr>
          <w:rFonts w:hint="eastAsia"/>
        </w:rPr>
        <w:t>10</w:t>
      </w:r>
      <w:r>
        <w:t>可知，PM</w:t>
      </w:r>
      <w:r>
        <w:rPr>
          <w:vertAlign w:val="subscript"/>
        </w:rPr>
        <w:t>10</w:t>
      </w:r>
      <w:r>
        <w:rPr>
          <w:rFonts w:hint="eastAsia"/>
        </w:rPr>
        <w:t>、</w:t>
      </w:r>
      <w:r>
        <w:t>SO</w:t>
      </w:r>
      <w:r>
        <w:rPr>
          <w:vertAlign w:val="subscript"/>
        </w:rPr>
        <w:t>2</w:t>
      </w:r>
      <w:r>
        <w:rPr>
          <w:rFonts w:hint="eastAsia"/>
        </w:rPr>
        <w:t>和NO</w:t>
      </w:r>
      <w:r>
        <w:rPr>
          <w:rFonts w:hint="eastAsia"/>
          <w:vertAlign w:val="subscript"/>
        </w:rPr>
        <w:t>2</w:t>
      </w:r>
      <w:r>
        <w:t>最大日均浓度叠加背景平均值后，SO</w:t>
      </w:r>
      <w:r>
        <w:rPr>
          <w:vertAlign w:val="subscript"/>
        </w:rPr>
        <w:t>2</w:t>
      </w:r>
      <w:r>
        <w:rPr>
          <w:rFonts w:hint="eastAsia"/>
        </w:rPr>
        <w:t>和NO</w:t>
      </w:r>
      <w:r>
        <w:rPr>
          <w:rFonts w:hint="eastAsia"/>
          <w:vertAlign w:val="subscript"/>
        </w:rPr>
        <w:t>2</w:t>
      </w:r>
      <w:r>
        <w:rPr>
          <w:rFonts w:hint="eastAsia"/>
        </w:rPr>
        <w:t>的</w:t>
      </w:r>
      <w:r>
        <w:t>占标率分别为</w:t>
      </w:r>
      <w:r>
        <w:rPr>
          <w:rFonts w:hint="eastAsia"/>
        </w:rPr>
        <w:t>43.53</w:t>
      </w:r>
      <w:r>
        <w:t>%、</w:t>
      </w:r>
      <w:r>
        <w:rPr>
          <w:rFonts w:hint="eastAsia"/>
        </w:rPr>
        <w:t>55.33</w:t>
      </w:r>
      <w:r>
        <w:t>%</w:t>
      </w:r>
      <w:r>
        <w:rPr>
          <w:rFonts w:hint="eastAsia"/>
        </w:rPr>
        <w:t>，</w:t>
      </w:r>
      <w:r>
        <w:t>符合《环境空气质量标准》(GB3095-1996)中的二级标准要求</w:t>
      </w:r>
      <w:r>
        <w:rPr>
          <w:rFonts w:hint="eastAsia"/>
        </w:rPr>
        <w:t>，</w:t>
      </w:r>
      <w:r>
        <w:t>PM</w:t>
      </w:r>
      <w:r>
        <w:rPr>
          <w:vertAlign w:val="subscript"/>
        </w:rPr>
        <w:t>10</w:t>
      </w:r>
      <w:r>
        <w:rPr>
          <w:rFonts w:hint="eastAsia"/>
        </w:rPr>
        <w:t>叠加背景值后超标0.038倍</w:t>
      </w:r>
      <w:r>
        <w:t>。</w:t>
      </w:r>
    </w:p>
    <w:p>
      <w:pPr>
        <w:adjustRightInd w:val="0"/>
        <w:snapToGrid w:val="0"/>
        <w:spacing w:line="480" w:lineRule="exact"/>
        <w:ind w:firstLine="420" w:firstLineChars="200"/>
      </w:pPr>
      <w:r>
        <w:rPr>
          <w:rFonts w:hint="eastAsia" w:ascii="宋体" w:hAnsi="宋体" w:cs="宋体"/>
        </w:rPr>
        <w:t>③</w:t>
      </w:r>
      <w:r>
        <w:t>年均浓度预测</w:t>
      </w:r>
    </w:p>
    <w:p>
      <w:pPr>
        <w:adjustRightInd w:val="0"/>
        <w:snapToGrid w:val="0"/>
        <w:spacing w:line="480" w:lineRule="exact"/>
        <w:ind w:firstLine="420" w:firstLineChars="200"/>
      </w:pPr>
      <w:r>
        <w:t>对评价范围内的年均浓度进行预测，预测结果见表</w:t>
      </w:r>
      <w:r>
        <w:rPr>
          <w:rFonts w:hint="eastAsia"/>
        </w:rPr>
        <w:t>8</w:t>
      </w:r>
      <w:r>
        <w:t>-</w:t>
      </w:r>
      <w:r>
        <w:rPr>
          <w:rFonts w:hint="eastAsia"/>
        </w:rPr>
        <w:t>11</w:t>
      </w:r>
      <w:r>
        <w:t>。</w:t>
      </w:r>
    </w:p>
    <w:p>
      <w:pPr>
        <w:adjustRightInd w:val="0"/>
        <w:snapToGrid w:val="0"/>
        <w:spacing w:line="480" w:lineRule="exact"/>
        <w:jc w:val="center"/>
        <w:rPr>
          <w:b/>
        </w:rPr>
      </w:pPr>
      <w:r>
        <w:rPr>
          <w:b/>
        </w:rPr>
        <w:t>表</w:t>
      </w:r>
      <w:r>
        <w:rPr>
          <w:rFonts w:hint="eastAsia"/>
          <w:b/>
        </w:rPr>
        <w:t>8</w:t>
      </w:r>
      <w:r>
        <w:rPr>
          <w:b/>
        </w:rPr>
        <w:t>-</w:t>
      </w:r>
      <w:r>
        <w:rPr>
          <w:rFonts w:hint="eastAsia"/>
          <w:b/>
        </w:rPr>
        <w:t>11</w:t>
      </w:r>
      <w:r>
        <w:rPr>
          <w:b/>
        </w:rPr>
        <w:t xml:space="preserve"> 评价范围内年均影响浓度和出现位置</w:t>
      </w:r>
    </w:p>
    <w:tbl>
      <w:tblPr>
        <w:tblStyle w:val="22"/>
        <w:tblW w:w="83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1529"/>
        <w:gridCol w:w="1440"/>
        <w:gridCol w:w="162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jc w:val="center"/>
        </w:trPr>
        <w:tc>
          <w:tcPr>
            <w:tcW w:w="1819" w:type="dxa"/>
            <w:vAlign w:val="center"/>
          </w:tcPr>
          <w:p>
            <w:pPr>
              <w:adjustRightInd w:val="0"/>
              <w:snapToGrid w:val="0"/>
              <w:spacing w:line="400" w:lineRule="exact"/>
              <w:jc w:val="center"/>
              <w:rPr>
                <w:sz w:val="21"/>
                <w:szCs w:val="21"/>
              </w:rPr>
            </w:pPr>
            <w:r>
              <w:rPr>
                <w:sz w:val="21"/>
                <w:szCs w:val="21"/>
              </w:rPr>
              <w:t>污染物名称</w:t>
            </w:r>
          </w:p>
        </w:tc>
        <w:tc>
          <w:tcPr>
            <w:tcW w:w="1529" w:type="dxa"/>
            <w:vAlign w:val="center"/>
          </w:tcPr>
          <w:p>
            <w:pPr>
              <w:adjustRightInd w:val="0"/>
              <w:snapToGrid w:val="0"/>
              <w:spacing w:line="400" w:lineRule="exact"/>
              <w:jc w:val="center"/>
              <w:rPr>
                <w:sz w:val="21"/>
                <w:szCs w:val="21"/>
              </w:rPr>
            </w:pPr>
            <w:r>
              <w:rPr>
                <w:sz w:val="21"/>
                <w:szCs w:val="21"/>
              </w:rPr>
              <w:t>区域最大值</w:t>
            </w:r>
          </w:p>
        </w:tc>
        <w:tc>
          <w:tcPr>
            <w:tcW w:w="1440" w:type="dxa"/>
            <w:vAlign w:val="center"/>
          </w:tcPr>
          <w:p>
            <w:pPr>
              <w:adjustRightInd w:val="0"/>
              <w:snapToGrid w:val="0"/>
              <w:spacing w:line="400" w:lineRule="exact"/>
              <w:jc w:val="center"/>
              <w:rPr>
                <w:sz w:val="21"/>
                <w:szCs w:val="21"/>
              </w:rPr>
            </w:pPr>
            <w:r>
              <w:rPr>
                <w:sz w:val="21"/>
                <w:szCs w:val="21"/>
              </w:rPr>
              <w:t>占标率（%）</w:t>
            </w:r>
          </w:p>
        </w:tc>
        <w:tc>
          <w:tcPr>
            <w:tcW w:w="1620" w:type="dxa"/>
            <w:vAlign w:val="center"/>
          </w:tcPr>
          <w:p>
            <w:pPr>
              <w:adjustRightInd w:val="0"/>
              <w:snapToGrid w:val="0"/>
              <w:spacing w:line="400" w:lineRule="exact"/>
              <w:jc w:val="center"/>
              <w:rPr>
                <w:sz w:val="21"/>
                <w:szCs w:val="21"/>
              </w:rPr>
            </w:pPr>
            <w:r>
              <w:rPr>
                <w:sz w:val="21"/>
                <w:szCs w:val="21"/>
              </w:rPr>
              <w:t>X坐标(m)</w:t>
            </w:r>
          </w:p>
        </w:tc>
        <w:tc>
          <w:tcPr>
            <w:tcW w:w="1980" w:type="dxa"/>
            <w:vAlign w:val="center"/>
          </w:tcPr>
          <w:p>
            <w:pPr>
              <w:adjustRightInd w:val="0"/>
              <w:snapToGrid w:val="0"/>
              <w:spacing w:line="400" w:lineRule="exact"/>
              <w:jc w:val="center"/>
              <w:rPr>
                <w:sz w:val="21"/>
                <w:szCs w:val="21"/>
              </w:rPr>
            </w:pPr>
            <w:r>
              <w:rPr>
                <w:sz w:val="21"/>
                <w:szCs w:val="21"/>
              </w:rPr>
              <w:t>Y坐标(m)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9" w:type="dxa"/>
            <w:vAlign w:val="center"/>
          </w:tcPr>
          <w:p>
            <w:pPr>
              <w:adjustRightInd w:val="0"/>
              <w:snapToGrid w:val="0"/>
              <w:spacing w:line="400" w:lineRule="exact"/>
              <w:jc w:val="center"/>
              <w:rPr>
                <w:sz w:val="21"/>
                <w:szCs w:val="21"/>
              </w:rPr>
            </w:pPr>
            <w:r>
              <w:rPr>
                <w:sz w:val="21"/>
                <w:szCs w:val="21"/>
              </w:rPr>
              <w:t>PM</w:t>
            </w:r>
            <w:r>
              <w:rPr>
                <w:sz w:val="21"/>
                <w:szCs w:val="21"/>
                <w:vertAlign w:val="subscript"/>
              </w:rPr>
              <w:t>10</w:t>
            </w:r>
          </w:p>
        </w:tc>
        <w:tc>
          <w:tcPr>
            <w:tcW w:w="1529" w:type="dxa"/>
            <w:vAlign w:val="center"/>
          </w:tcPr>
          <w:p>
            <w:pPr>
              <w:adjustRightInd w:val="0"/>
              <w:snapToGrid w:val="0"/>
              <w:spacing w:line="400" w:lineRule="exact"/>
              <w:jc w:val="center"/>
              <w:rPr>
                <w:rFonts w:hint="eastAsia"/>
                <w:sz w:val="21"/>
                <w:szCs w:val="21"/>
              </w:rPr>
            </w:pPr>
            <w:r>
              <w:rPr>
                <w:rFonts w:hint="eastAsia"/>
                <w:sz w:val="21"/>
                <w:szCs w:val="21"/>
              </w:rPr>
              <w:t>0.0162</w:t>
            </w:r>
          </w:p>
        </w:tc>
        <w:tc>
          <w:tcPr>
            <w:tcW w:w="1440" w:type="dxa"/>
            <w:vAlign w:val="center"/>
          </w:tcPr>
          <w:p>
            <w:pPr>
              <w:adjustRightInd w:val="0"/>
              <w:snapToGrid w:val="0"/>
              <w:spacing w:line="400" w:lineRule="exact"/>
              <w:jc w:val="center"/>
              <w:rPr>
                <w:rFonts w:hint="eastAsia"/>
                <w:sz w:val="21"/>
                <w:szCs w:val="21"/>
              </w:rPr>
            </w:pPr>
            <w:r>
              <w:rPr>
                <w:rFonts w:hint="eastAsia"/>
                <w:sz w:val="21"/>
                <w:szCs w:val="21"/>
              </w:rPr>
              <w:t>16.2</w:t>
            </w:r>
          </w:p>
        </w:tc>
        <w:tc>
          <w:tcPr>
            <w:tcW w:w="1620" w:type="dxa"/>
            <w:vAlign w:val="center"/>
          </w:tcPr>
          <w:p>
            <w:pPr>
              <w:spacing w:line="400" w:lineRule="exact"/>
              <w:jc w:val="center"/>
              <w:rPr>
                <w:rFonts w:hint="eastAsia" w:ascii="宋体" w:hAnsi="宋体" w:cs="宋体"/>
                <w:sz w:val="21"/>
                <w:szCs w:val="21"/>
              </w:rPr>
            </w:pPr>
            <w:r>
              <w:rPr>
                <w:rFonts w:ascii="宋体" w:hAnsi="宋体" w:cs="宋体"/>
                <w:sz w:val="21"/>
                <w:szCs w:val="21"/>
              </w:rPr>
              <w:t>624</w:t>
            </w:r>
            <w:r>
              <w:rPr>
                <w:rFonts w:hint="eastAsia" w:ascii="宋体" w:hAnsi="宋体" w:cs="宋体"/>
                <w:sz w:val="21"/>
                <w:szCs w:val="21"/>
              </w:rPr>
              <w:t>312</w:t>
            </w:r>
          </w:p>
        </w:tc>
        <w:tc>
          <w:tcPr>
            <w:tcW w:w="1980" w:type="dxa"/>
            <w:vAlign w:val="center"/>
          </w:tcPr>
          <w:p>
            <w:pPr>
              <w:spacing w:line="400" w:lineRule="exact"/>
              <w:jc w:val="center"/>
              <w:rPr>
                <w:rFonts w:hint="eastAsia" w:ascii="宋体" w:hAnsi="宋体" w:cs="宋体"/>
                <w:sz w:val="21"/>
                <w:szCs w:val="21"/>
              </w:rPr>
            </w:pPr>
            <w:r>
              <w:rPr>
                <w:rFonts w:ascii="宋体" w:hAnsi="宋体" w:cs="宋体"/>
                <w:sz w:val="21"/>
                <w:szCs w:val="21"/>
              </w:rPr>
              <w:t>32829</w:t>
            </w:r>
            <w:r>
              <w:rPr>
                <w:rFonts w:hint="eastAsia" w:ascii="宋体" w:hAnsi="宋体" w:cs="宋体"/>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9" w:type="dxa"/>
            <w:vAlign w:val="center"/>
          </w:tcPr>
          <w:p>
            <w:pPr>
              <w:adjustRightInd w:val="0"/>
              <w:snapToGrid w:val="0"/>
              <w:spacing w:line="400" w:lineRule="exact"/>
              <w:jc w:val="center"/>
              <w:rPr>
                <w:sz w:val="21"/>
                <w:szCs w:val="21"/>
              </w:rPr>
            </w:pPr>
            <w:r>
              <w:rPr>
                <w:sz w:val="21"/>
                <w:szCs w:val="21"/>
              </w:rPr>
              <w:t>SO</w:t>
            </w:r>
            <w:r>
              <w:rPr>
                <w:sz w:val="21"/>
                <w:szCs w:val="21"/>
                <w:vertAlign w:val="subscript"/>
              </w:rPr>
              <w:t>2</w:t>
            </w:r>
          </w:p>
        </w:tc>
        <w:tc>
          <w:tcPr>
            <w:tcW w:w="1529" w:type="dxa"/>
            <w:vAlign w:val="center"/>
          </w:tcPr>
          <w:p>
            <w:pPr>
              <w:adjustRightInd w:val="0"/>
              <w:snapToGrid w:val="0"/>
              <w:spacing w:line="400" w:lineRule="exact"/>
              <w:jc w:val="center"/>
              <w:rPr>
                <w:rFonts w:hint="eastAsia"/>
                <w:sz w:val="21"/>
                <w:szCs w:val="21"/>
              </w:rPr>
            </w:pPr>
            <w:r>
              <w:rPr>
                <w:sz w:val="21"/>
                <w:szCs w:val="21"/>
              </w:rPr>
              <w:t>0.000</w:t>
            </w:r>
            <w:r>
              <w:rPr>
                <w:rFonts w:hint="eastAsia"/>
                <w:sz w:val="21"/>
                <w:szCs w:val="21"/>
              </w:rPr>
              <w:t>1</w:t>
            </w:r>
          </w:p>
        </w:tc>
        <w:tc>
          <w:tcPr>
            <w:tcW w:w="1440" w:type="dxa"/>
            <w:vAlign w:val="center"/>
          </w:tcPr>
          <w:p>
            <w:pPr>
              <w:adjustRightInd w:val="0"/>
              <w:snapToGrid w:val="0"/>
              <w:spacing w:line="400" w:lineRule="exact"/>
              <w:jc w:val="center"/>
              <w:rPr>
                <w:rFonts w:hint="eastAsia"/>
                <w:sz w:val="21"/>
                <w:szCs w:val="21"/>
              </w:rPr>
            </w:pPr>
            <w:r>
              <w:rPr>
                <w:rFonts w:hint="eastAsia"/>
                <w:sz w:val="21"/>
                <w:szCs w:val="21"/>
              </w:rPr>
              <w:t>0.17</w:t>
            </w:r>
          </w:p>
        </w:tc>
        <w:tc>
          <w:tcPr>
            <w:tcW w:w="1620" w:type="dxa"/>
            <w:vAlign w:val="center"/>
          </w:tcPr>
          <w:p>
            <w:pPr>
              <w:spacing w:line="400" w:lineRule="exact"/>
              <w:jc w:val="center"/>
              <w:rPr>
                <w:rFonts w:hint="eastAsia" w:ascii="宋体" w:hAnsi="宋体" w:cs="宋体"/>
                <w:sz w:val="21"/>
                <w:szCs w:val="21"/>
              </w:rPr>
            </w:pPr>
            <w:r>
              <w:rPr>
                <w:rFonts w:ascii="宋体" w:hAnsi="宋体" w:cs="宋体"/>
                <w:sz w:val="21"/>
                <w:szCs w:val="21"/>
              </w:rPr>
              <w:t>62</w:t>
            </w:r>
            <w:r>
              <w:rPr>
                <w:rFonts w:hint="eastAsia" w:ascii="宋体" w:hAnsi="宋体" w:cs="宋体"/>
                <w:sz w:val="21"/>
                <w:szCs w:val="21"/>
              </w:rPr>
              <w:t>6909</w:t>
            </w:r>
          </w:p>
        </w:tc>
        <w:tc>
          <w:tcPr>
            <w:tcW w:w="1980" w:type="dxa"/>
            <w:vAlign w:val="center"/>
          </w:tcPr>
          <w:p>
            <w:pPr>
              <w:spacing w:line="400" w:lineRule="exact"/>
              <w:jc w:val="center"/>
              <w:rPr>
                <w:rFonts w:hint="eastAsia" w:ascii="宋体" w:hAnsi="宋体" w:cs="宋体"/>
                <w:sz w:val="21"/>
                <w:szCs w:val="21"/>
              </w:rPr>
            </w:pPr>
            <w:r>
              <w:rPr>
                <w:rFonts w:ascii="宋体" w:hAnsi="宋体" w:cs="宋体"/>
                <w:sz w:val="21"/>
                <w:szCs w:val="21"/>
              </w:rPr>
              <w:t>328</w:t>
            </w:r>
            <w:r>
              <w:rPr>
                <w:rFonts w:hint="eastAsia" w:ascii="宋体" w:hAnsi="宋体" w:cs="宋体"/>
                <w:sz w:val="21"/>
                <w:szCs w:val="21"/>
              </w:rPr>
              <w:t>0508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9" w:type="dxa"/>
            <w:vAlign w:val="center"/>
          </w:tcPr>
          <w:p>
            <w:pPr>
              <w:adjustRightInd w:val="0"/>
              <w:snapToGrid w:val="0"/>
              <w:spacing w:line="400" w:lineRule="exact"/>
              <w:jc w:val="center"/>
              <w:rPr>
                <w:sz w:val="21"/>
                <w:szCs w:val="21"/>
              </w:rPr>
            </w:pPr>
            <w:r>
              <w:rPr>
                <w:rFonts w:hint="eastAsia"/>
                <w:sz w:val="21"/>
                <w:szCs w:val="21"/>
              </w:rPr>
              <w:t>N</w:t>
            </w:r>
            <w:r>
              <w:rPr>
                <w:sz w:val="21"/>
                <w:szCs w:val="21"/>
              </w:rPr>
              <w:t>O</w:t>
            </w:r>
            <w:r>
              <w:rPr>
                <w:sz w:val="21"/>
                <w:szCs w:val="21"/>
                <w:vertAlign w:val="subscript"/>
              </w:rPr>
              <w:t>2</w:t>
            </w:r>
          </w:p>
        </w:tc>
        <w:tc>
          <w:tcPr>
            <w:tcW w:w="1529" w:type="dxa"/>
            <w:vAlign w:val="center"/>
          </w:tcPr>
          <w:p>
            <w:pPr>
              <w:adjustRightInd w:val="0"/>
              <w:snapToGrid w:val="0"/>
              <w:spacing w:line="400" w:lineRule="exact"/>
              <w:jc w:val="center"/>
              <w:rPr>
                <w:rFonts w:hint="eastAsia"/>
                <w:sz w:val="21"/>
                <w:szCs w:val="21"/>
              </w:rPr>
            </w:pPr>
            <w:r>
              <w:rPr>
                <w:rFonts w:hint="eastAsia"/>
                <w:sz w:val="21"/>
                <w:szCs w:val="21"/>
              </w:rPr>
              <w:t>0.0259</w:t>
            </w:r>
          </w:p>
        </w:tc>
        <w:tc>
          <w:tcPr>
            <w:tcW w:w="1440" w:type="dxa"/>
            <w:vAlign w:val="center"/>
          </w:tcPr>
          <w:p>
            <w:pPr>
              <w:adjustRightInd w:val="0"/>
              <w:snapToGrid w:val="0"/>
              <w:spacing w:line="400" w:lineRule="exact"/>
              <w:jc w:val="center"/>
              <w:rPr>
                <w:rFonts w:hint="eastAsia"/>
                <w:sz w:val="21"/>
                <w:szCs w:val="21"/>
              </w:rPr>
            </w:pPr>
            <w:r>
              <w:rPr>
                <w:rFonts w:hint="eastAsia"/>
                <w:sz w:val="21"/>
                <w:szCs w:val="21"/>
              </w:rPr>
              <w:t>32.38</w:t>
            </w:r>
          </w:p>
        </w:tc>
        <w:tc>
          <w:tcPr>
            <w:tcW w:w="1620" w:type="dxa"/>
            <w:vAlign w:val="center"/>
          </w:tcPr>
          <w:p>
            <w:pPr>
              <w:spacing w:line="400" w:lineRule="exact"/>
              <w:jc w:val="center"/>
              <w:rPr>
                <w:rFonts w:hint="eastAsia" w:ascii="宋体" w:hAnsi="宋体" w:cs="宋体"/>
                <w:sz w:val="21"/>
                <w:szCs w:val="21"/>
              </w:rPr>
            </w:pPr>
            <w:r>
              <w:rPr>
                <w:rFonts w:ascii="宋体" w:hAnsi="宋体" w:cs="宋体"/>
                <w:sz w:val="21"/>
                <w:szCs w:val="21"/>
              </w:rPr>
              <w:t>62</w:t>
            </w:r>
            <w:r>
              <w:rPr>
                <w:rFonts w:hint="eastAsia" w:ascii="宋体" w:hAnsi="宋体" w:cs="宋体"/>
                <w:sz w:val="21"/>
                <w:szCs w:val="21"/>
              </w:rPr>
              <w:t>4301</w:t>
            </w:r>
          </w:p>
        </w:tc>
        <w:tc>
          <w:tcPr>
            <w:tcW w:w="1980" w:type="dxa"/>
            <w:vAlign w:val="center"/>
          </w:tcPr>
          <w:p>
            <w:pPr>
              <w:spacing w:line="400" w:lineRule="exact"/>
              <w:jc w:val="center"/>
              <w:rPr>
                <w:rFonts w:hint="eastAsia" w:ascii="宋体" w:hAnsi="宋体" w:cs="宋体"/>
                <w:sz w:val="21"/>
                <w:szCs w:val="21"/>
              </w:rPr>
            </w:pPr>
            <w:r>
              <w:rPr>
                <w:rFonts w:ascii="宋体" w:hAnsi="宋体" w:cs="宋体"/>
                <w:sz w:val="21"/>
                <w:szCs w:val="21"/>
              </w:rPr>
              <w:t>328</w:t>
            </w:r>
            <w:r>
              <w:rPr>
                <w:rFonts w:hint="eastAsia" w:ascii="宋体" w:hAnsi="宋体" w:cs="宋体"/>
                <w:sz w:val="21"/>
                <w:szCs w:val="21"/>
              </w:rPr>
              <w:t>3556</w:t>
            </w:r>
          </w:p>
        </w:tc>
      </w:tr>
    </w:tbl>
    <w:p>
      <w:pPr>
        <w:adjustRightInd w:val="0"/>
        <w:snapToGrid w:val="0"/>
        <w:spacing w:line="480" w:lineRule="exact"/>
        <w:ind w:firstLine="420" w:firstLineChars="200"/>
      </w:pPr>
      <w:r>
        <w:t>经预测，PM</w:t>
      </w:r>
      <w:r>
        <w:rPr>
          <w:vertAlign w:val="subscript"/>
        </w:rPr>
        <w:t>10</w:t>
      </w:r>
      <w:r>
        <w:rPr>
          <w:rFonts w:hint="eastAsia"/>
        </w:rPr>
        <w:t>、</w:t>
      </w:r>
      <w:r>
        <w:t>SO</w:t>
      </w:r>
      <w:r>
        <w:rPr>
          <w:vertAlign w:val="subscript"/>
        </w:rPr>
        <w:t>2</w:t>
      </w:r>
      <w:r>
        <w:rPr>
          <w:rFonts w:hint="eastAsia"/>
        </w:rPr>
        <w:t>和NO</w:t>
      </w:r>
      <w:r>
        <w:rPr>
          <w:rFonts w:hint="eastAsia"/>
          <w:vertAlign w:val="subscript"/>
        </w:rPr>
        <w:t>2</w:t>
      </w:r>
      <w:r>
        <w:t>年平均浓度最大贡献值分别为</w:t>
      </w:r>
      <w:r>
        <w:rPr>
          <w:rFonts w:hint="eastAsia"/>
        </w:rPr>
        <w:t>0.0162</w:t>
      </w:r>
      <w:r>
        <w:t>mg/m</w:t>
      </w:r>
      <w:r>
        <w:rPr>
          <w:vertAlign w:val="superscript"/>
        </w:rPr>
        <w:t>3</w:t>
      </w:r>
      <w:r>
        <w:t>、</w:t>
      </w:r>
      <w:r>
        <w:rPr>
          <w:rFonts w:hint="eastAsia"/>
        </w:rPr>
        <w:t>0.0002</w:t>
      </w:r>
      <w:r>
        <w:t>mg/m</w:t>
      </w:r>
      <w:r>
        <w:rPr>
          <w:vertAlign w:val="superscript"/>
        </w:rPr>
        <w:t>3</w:t>
      </w:r>
      <w:r>
        <w:t>、和</w:t>
      </w:r>
      <w:r>
        <w:rPr>
          <w:rFonts w:hint="eastAsia"/>
        </w:rPr>
        <w:t>0.0259</w:t>
      </w:r>
      <w:r>
        <w:t>mg/m</w:t>
      </w:r>
      <w:r>
        <w:rPr>
          <w:vertAlign w:val="superscript"/>
        </w:rPr>
        <w:t>3</w:t>
      </w:r>
      <w:r>
        <w:t>，PM</w:t>
      </w:r>
      <w:r>
        <w:rPr>
          <w:vertAlign w:val="subscript"/>
        </w:rPr>
        <w:t>10</w:t>
      </w:r>
      <w:r>
        <w:rPr>
          <w:rFonts w:hint="eastAsia"/>
        </w:rPr>
        <w:t>、</w:t>
      </w:r>
      <w:r>
        <w:t>SO</w:t>
      </w:r>
      <w:r>
        <w:rPr>
          <w:vertAlign w:val="subscript"/>
        </w:rPr>
        <w:t>2</w:t>
      </w:r>
      <w:r>
        <w:t>和</w:t>
      </w:r>
      <w:r>
        <w:rPr>
          <w:rFonts w:hint="eastAsia"/>
        </w:rPr>
        <w:t>NO</w:t>
      </w:r>
      <w:r>
        <w:rPr>
          <w:rFonts w:hint="eastAsia"/>
          <w:vertAlign w:val="subscript"/>
        </w:rPr>
        <w:t>2</w:t>
      </w:r>
      <w:r>
        <w:t>分别占《环境空气质量标准》（GB3095-1996）二级标准限值的</w:t>
      </w:r>
      <w:r>
        <w:rPr>
          <w:rFonts w:hint="eastAsia"/>
        </w:rPr>
        <w:t>16.2%、0.33</w:t>
      </w:r>
      <w:r>
        <w:t>%和</w:t>
      </w:r>
      <w:r>
        <w:rPr>
          <w:rFonts w:hint="eastAsia"/>
        </w:rPr>
        <w:t>32.38</w:t>
      </w:r>
      <w:r>
        <w:t>%。年均浓度分布见图</w:t>
      </w:r>
      <w:r>
        <w:rPr>
          <w:rFonts w:hint="eastAsia"/>
        </w:rPr>
        <w:t>8</w:t>
      </w:r>
      <w:r>
        <w:t>.1</w:t>
      </w:r>
      <w:r>
        <w:rPr>
          <w:rFonts w:hint="eastAsia"/>
        </w:rPr>
        <w:t>6</w:t>
      </w:r>
      <w:r>
        <w:t>～图</w:t>
      </w:r>
      <w:r>
        <w:rPr>
          <w:rFonts w:hint="eastAsia"/>
        </w:rPr>
        <w:t>8</w:t>
      </w:r>
      <w:r>
        <w:t>.1</w:t>
      </w:r>
      <w:r>
        <w:rPr>
          <w:rFonts w:hint="eastAsia"/>
        </w:rPr>
        <w:t>8</w:t>
      </w:r>
      <w:r>
        <w:t>。</w:t>
      </w:r>
    </w:p>
    <w:p>
      <w:pPr>
        <w:adjustRightInd w:val="0"/>
        <w:snapToGrid w:val="0"/>
        <w:spacing w:line="480" w:lineRule="exact"/>
        <w:ind w:firstLine="420" w:firstLineChars="200"/>
      </w:pPr>
      <w:r>
        <w:t>B、环境空气敏感点预测结果分析</w:t>
      </w:r>
    </w:p>
    <w:p>
      <w:pPr>
        <w:adjustRightInd w:val="0"/>
        <w:snapToGrid w:val="0"/>
        <w:spacing w:line="480" w:lineRule="exact"/>
        <w:ind w:firstLine="420" w:firstLineChars="200"/>
      </w:pPr>
      <w:r>
        <w:rPr>
          <w:rFonts w:hint="eastAsia" w:ascii="宋体" w:hAnsi="宋体" w:cs="宋体"/>
        </w:rPr>
        <w:t>①</w:t>
      </w:r>
      <w:r>
        <w:t>小时最大浓度</w:t>
      </w:r>
    </w:p>
    <w:p>
      <w:pPr>
        <w:adjustRightInd w:val="0"/>
        <w:snapToGrid w:val="0"/>
        <w:spacing w:line="480" w:lineRule="exact"/>
        <w:ind w:firstLine="382" w:firstLineChars="182"/>
        <w:rPr>
          <w:rFonts w:hint="eastAsia"/>
        </w:rPr>
      </w:pPr>
      <w:r>
        <w:t>结合技改项目环境现状监测内容，技改项目排放的PM</w:t>
      </w:r>
      <w:r>
        <w:rPr>
          <w:vertAlign w:val="subscript"/>
        </w:rPr>
        <w:t>10</w:t>
      </w:r>
      <w:r>
        <w:rPr>
          <w:rFonts w:hint="eastAsia"/>
        </w:rPr>
        <w:t>、</w:t>
      </w:r>
      <w:r>
        <w:t>SO</w:t>
      </w:r>
      <w:r>
        <w:rPr>
          <w:vertAlign w:val="subscript"/>
        </w:rPr>
        <w:t>2</w:t>
      </w:r>
      <w:r>
        <w:rPr>
          <w:rFonts w:hint="eastAsia"/>
        </w:rPr>
        <w:t>和NO</w:t>
      </w:r>
      <w:r>
        <w:rPr>
          <w:rFonts w:hint="eastAsia"/>
          <w:vertAlign w:val="subscript"/>
        </w:rPr>
        <w:t>2</w:t>
      </w:r>
      <w:r>
        <w:t>对环境空气敏感点的小时最大落地浓度影响预测结果与现状值进行叠加，结果见表</w:t>
      </w:r>
      <w:r>
        <w:rPr>
          <w:rFonts w:hint="eastAsia"/>
        </w:rPr>
        <w:t>8</w:t>
      </w:r>
      <w:r>
        <w:t>-1</w:t>
      </w:r>
      <w:r>
        <w:rPr>
          <w:rFonts w:hint="eastAsia"/>
        </w:rPr>
        <w:t>2</w:t>
      </w:r>
      <w:r>
        <w:t>。</w:t>
      </w:r>
    </w:p>
    <w:p>
      <w:pPr>
        <w:adjustRightInd w:val="0"/>
        <w:snapToGrid w:val="0"/>
        <w:spacing w:line="480" w:lineRule="exact"/>
        <w:ind w:firstLine="480"/>
        <w:rPr>
          <w:rFonts w:hint="eastAsia"/>
        </w:rPr>
      </w:pPr>
      <w:r>
        <w:t>从表</w:t>
      </w:r>
      <w:r>
        <w:rPr>
          <w:rFonts w:hint="eastAsia"/>
        </w:rPr>
        <w:t>8</w:t>
      </w:r>
      <w:r>
        <w:t>-1</w:t>
      </w:r>
      <w:r>
        <w:rPr>
          <w:rFonts w:hint="eastAsia"/>
        </w:rPr>
        <w:t>2</w:t>
      </w:r>
      <w:r>
        <w:t>可</w:t>
      </w:r>
      <w:r>
        <w:rPr>
          <w:rFonts w:hint="eastAsia"/>
        </w:rPr>
        <w:t>见</w:t>
      </w:r>
      <w:r>
        <w:t>，</w:t>
      </w:r>
      <w:r>
        <w:rPr>
          <w:rFonts w:hint="eastAsia"/>
        </w:rPr>
        <w:t>由2007年逐时浓度计算结果表明，本技改项目排放的污染物对各关心点的浓度贡献值除了NO</w:t>
      </w:r>
      <w:r>
        <w:rPr>
          <w:rFonts w:hint="eastAsia"/>
          <w:vertAlign w:val="subscript"/>
        </w:rPr>
        <w:t>2</w:t>
      </w:r>
      <w:r>
        <w:rPr>
          <w:rFonts w:hint="eastAsia"/>
        </w:rPr>
        <w:t>以外均未出现超标，在叠加了环境现状监测最大值后，福里树村、青鹏煤业公司家属院和青木关镇的小时浓度叠加值出现超标，其占标率分别为136.88%、203.38%和106.08%。</w:t>
      </w:r>
    </w:p>
    <w:p>
      <w:pPr>
        <w:spacing w:line="360" w:lineRule="auto"/>
        <w:sectPr>
          <w:pgSz w:w="11906" w:h="16838"/>
          <w:pgMar w:top="1440" w:right="1418" w:bottom="1440" w:left="1418" w:header="851" w:footer="992" w:gutter="0"/>
          <w:paperSrc w:first="20070" w:other="20070"/>
          <w:cols w:space="425" w:num="1"/>
          <w:docGrid w:linePitch="312" w:charSpace="0"/>
        </w:sectPr>
      </w:pPr>
    </w:p>
    <w:p>
      <w:pPr>
        <w:pStyle w:val="27"/>
        <w:rPr>
          <w:rFonts w:hint="eastAsia"/>
          <w:sz w:val="24"/>
          <w:szCs w:val="24"/>
        </w:rPr>
      </w:pPr>
    </w:p>
    <w:p>
      <w:pPr>
        <w:pStyle w:val="27"/>
        <w:rPr>
          <w:rFonts w:hint="eastAsia" w:ascii="宋体" w:hAnsi="宋体" w:eastAsia="宋体"/>
          <w:b/>
          <w:sz w:val="24"/>
          <w:szCs w:val="24"/>
          <w:vertAlign w:val="superscript"/>
        </w:rPr>
      </w:pPr>
      <w:r>
        <w:rPr>
          <w:rFonts w:ascii="宋体" w:hAnsi="宋体" w:eastAsia="宋体"/>
          <w:b/>
          <w:sz w:val="24"/>
          <w:szCs w:val="24"/>
        </w:rPr>
        <w:t>表</w:t>
      </w:r>
      <w:r>
        <w:rPr>
          <w:rFonts w:hint="eastAsia" w:ascii="宋体" w:hAnsi="宋体" w:eastAsia="宋体"/>
          <w:b/>
          <w:sz w:val="24"/>
          <w:szCs w:val="24"/>
        </w:rPr>
        <w:t>8</w:t>
      </w:r>
      <w:r>
        <w:rPr>
          <w:rFonts w:ascii="宋体" w:hAnsi="宋体" w:eastAsia="宋体"/>
          <w:b/>
          <w:sz w:val="24"/>
          <w:szCs w:val="24"/>
        </w:rPr>
        <w:t>-1</w:t>
      </w:r>
      <w:r>
        <w:rPr>
          <w:rFonts w:hint="eastAsia" w:ascii="宋体" w:hAnsi="宋体" w:eastAsia="宋体"/>
          <w:b/>
          <w:sz w:val="24"/>
          <w:szCs w:val="24"/>
        </w:rPr>
        <w:t>2</w:t>
      </w:r>
      <w:r>
        <w:rPr>
          <w:rFonts w:ascii="宋体" w:hAnsi="宋体" w:eastAsia="宋体"/>
          <w:b/>
          <w:sz w:val="24"/>
          <w:szCs w:val="24"/>
        </w:rPr>
        <w:t xml:space="preserve"> 关心点处</w:t>
      </w:r>
      <w:r>
        <w:rPr>
          <w:rFonts w:ascii="宋体" w:hAnsi="宋体" w:eastAsia="宋体"/>
          <w:b/>
          <w:sz w:val="24"/>
        </w:rPr>
        <w:t>小时浓度叠加结果</w:t>
      </w:r>
      <w:r>
        <w:rPr>
          <w:rFonts w:ascii="宋体" w:hAnsi="宋体" w:eastAsia="宋体"/>
          <w:b/>
          <w:sz w:val="24"/>
          <w:szCs w:val="24"/>
        </w:rPr>
        <w:t xml:space="preserve">     单位：</w:t>
      </w:r>
      <w:r>
        <w:rPr>
          <w:rFonts w:hint="eastAsia" w:ascii="宋体" w:hAnsi="宋体" w:eastAsia="宋体"/>
          <w:b/>
          <w:sz w:val="24"/>
          <w:szCs w:val="24"/>
        </w:rPr>
        <w:t>m</w:t>
      </w:r>
      <w:r>
        <w:rPr>
          <w:rFonts w:ascii="宋体" w:hAnsi="宋体" w:eastAsia="宋体"/>
          <w:b/>
          <w:sz w:val="24"/>
          <w:szCs w:val="24"/>
        </w:rPr>
        <w:t>g/m</w:t>
      </w:r>
      <w:r>
        <w:rPr>
          <w:rFonts w:ascii="宋体" w:hAnsi="宋体" w:eastAsia="宋体"/>
          <w:b/>
          <w:sz w:val="24"/>
          <w:szCs w:val="24"/>
          <w:vertAlign w:val="superscript"/>
        </w:rPr>
        <w:t>3</w:t>
      </w:r>
    </w:p>
    <w:p>
      <w:pPr>
        <w:rPr>
          <w:rFonts w:hint="eastAsia" w:ascii="宋体" w:hAnsi="宋体"/>
          <w:b/>
        </w:rPr>
      </w:pPr>
    </w:p>
    <w:tbl>
      <w:tblPr>
        <w:tblStyle w:val="21"/>
        <w:tblW w:w="13887" w:type="dxa"/>
        <w:jc w:val="center"/>
        <w:tblInd w:w="-10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116"/>
        <w:gridCol w:w="913"/>
        <w:gridCol w:w="913"/>
        <w:gridCol w:w="913"/>
        <w:gridCol w:w="936"/>
        <w:gridCol w:w="1116"/>
        <w:gridCol w:w="913"/>
        <w:gridCol w:w="1836"/>
        <w:gridCol w:w="936"/>
        <w:gridCol w:w="913"/>
        <w:gridCol w:w="936"/>
        <w:gridCol w:w="936"/>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1713" w:type="dxa"/>
            <w:gridSpan w:val="2"/>
            <w:shd w:val="clear" w:color="auto" w:fill="auto"/>
            <w:vAlign w:val="center"/>
          </w:tcPr>
          <w:p>
            <w:pPr>
              <w:widowControl/>
              <w:adjustRightInd w:val="0"/>
              <w:snapToGrid w:val="0"/>
              <w:spacing w:line="480" w:lineRule="exact"/>
              <w:jc w:val="center"/>
              <w:rPr>
                <w:kern w:val="0"/>
                <w:sz w:val="18"/>
                <w:szCs w:val="18"/>
              </w:rPr>
            </w:pPr>
            <w:r>
              <w:rPr>
                <w:kern w:val="0"/>
                <w:sz w:val="18"/>
                <w:szCs w:val="18"/>
              </w:rPr>
              <w:t>点位</w:t>
            </w:r>
          </w:p>
        </w:tc>
        <w:tc>
          <w:tcPr>
            <w:tcW w:w="913" w:type="dxa"/>
            <w:shd w:val="clear" w:color="auto" w:fill="auto"/>
            <w:vAlign w:val="center"/>
          </w:tcPr>
          <w:p>
            <w:pPr>
              <w:spacing w:line="480" w:lineRule="exact"/>
              <w:jc w:val="center"/>
              <w:rPr>
                <w:sz w:val="18"/>
                <w:szCs w:val="18"/>
              </w:rPr>
            </w:pPr>
            <w:r>
              <w:rPr>
                <w:sz w:val="18"/>
                <w:szCs w:val="18"/>
              </w:rPr>
              <w:t>大路镇</w:t>
            </w:r>
          </w:p>
        </w:tc>
        <w:tc>
          <w:tcPr>
            <w:tcW w:w="913" w:type="dxa"/>
            <w:shd w:val="clear" w:color="auto" w:fill="auto"/>
            <w:vAlign w:val="center"/>
          </w:tcPr>
          <w:p>
            <w:pPr>
              <w:spacing w:line="480" w:lineRule="exact"/>
              <w:jc w:val="center"/>
              <w:rPr>
                <w:sz w:val="18"/>
                <w:szCs w:val="18"/>
              </w:rPr>
            </w:pPr>
            <w:r>
              <w:rPr>
                <w:sz w:val="18"/>
                <w:szCs w:val="18"/>
              </w:rPr>
              <w:t>六塘镇</w:t>
            </w:r>
          </w:p>
        </w:tc>
        <w:tc>
          <w:tcPr>
            <w:tcW w:w="913" w:type="dxa"/>
            <w:shd w:val="clear" w:color="auto" w:fill="auto"/>
            <w:vAlign w:val="center"/>
          </w:tcPr>
          <w:p>
            <w:pPr>
              <w:spacing w:line="480" w:lineRule="exact"/>
              <w:jc w:val="center"/>
              <w:rPr>
                <w:sz w:val="18"/>
                <w:szCs w:val="18"/>
              </w:rPr>
            </w:pPr>
            <w:r>
              <w:rPr>
                <w:sz w:val="18"/>
                <w:szCs w:val="18"/>
              </w:rPr>
              <w:t>接龙镇</w:t>
            </w:r>
          </w:p>
        </w:tc>
        <w:tc>
          <w:tcPr>
            <w:tcW w:w="936" w:type="dxa"/>
            <w:shd w:val="clear" w:color="auto" w:fill="auto"/>
            <w:vAlign w:val="center"/>
          </w:tcPr>
          <w:p>
            <w:pPr>
              <w:spacing w:line="480" w:lineRule="exact"/>
              <w:jc w:val="center"/>
              <w:rPr>
                <w:sz w:val="18"/>
                <w:szCs w:val="18"/>
              </w:rPr>
            </w:pPr>
            <w:r>
              <w:rPr>
                <w:sz w:val="18"/>
                <w:szCs w:val="18"/>
              </w:rPr>
              <w:t>福里树村</w:t>
            </w:r>
          </w:p>
        </w:tc>
        <w:tc>
          <w:tcPr>
            <w:tcW w:w="1116" w:type="dxa"/>
            <w:shd w:val="clear" w:color="auto" w:fill="auto"/>
            <w:vAlign w:val="center"/>
          </w:tcPr>
          <w:p>
            <w:pPr>
              <w:spacing w:line="480" w:lineRule="exact"/>
              <w:jc w:val="center"/>
              <w:rPr>
                <w:sz w:val="18"/>
                <w:szCs w:val="18"/>
              </w:rPr>
            </w:pPr>
            <w:r>
              <w:rPr>
                <w:sz w:val="18"/>
                <w:szCs w:val="18"/>
              </w:rPr>
              <w:t>殷家老院子</w:t>
            </w:r>
          </w:p>
        </w:tc>
        <w:tc>
          <w:tcPr>
            <w:tcW w:w="913" w:type="dxa"/>
            <w:shd w:val="clear" w:color="auto" w:fill="auto"/>
            <w:vAlign w:val="center"/>
          </w:tcPr>
          <w:p>
            <w:pPr>
              <w:spacing w:line="480" w:lineRule="exact"/>
              <w:jc w:val="center"/>
              <w:rPr>
                <w:sz w:val="18"/>
                <w:szCs w:val="18"/>
              </w:rPr>
            </w:pPr>
            <w:r>
              <w:rPr>
                <w:sz w:val="18"/>
                <w:szCs w:val="18"/>
              </w:rPr>
              <w:t>璧山县</w:t>
            </w:r>
          </w:p>
        </w:tc>
        <w:tc>
          <w:tcPr>
            <w:tcW w:w="1836" w:type="dxa"/>
            <w:vAlign w:val="center"/>
          </w:tcPr>
          <w:p>
            <w:pPr>
              <w:spacing w:line="480" w:lineRule="exact"/>
              <w:jc w:val="center"/>
              <w:rPr>
                <w:rFonts w:hint="eastAsia"/>
                <w:sz w:val="18"/>
                <w:szCs w:val="18"/>
              </w:rPr>
            </w:pPr>
            <w:r>
              <w:rPr>
                <w:sz w:val="18"/>
                <w:szCs w:val="18"/>
              </w:rPr>
              <w:t>青鹏煤业公司</w:t>
            </w:r>
            <w:r>
              <w:rPr>
                <w:rFonts w:hint="eastAsia"/>
                <w:sz w:val="18"/>
                <w:szCs w:val="18"/>
              </w:rPr>
              <w:t>家属院</w:t>
            </w:r>
          </w:p>
        </w:tc>
        <w:tc>
          <w:tcPr>
            <w:tcW w:w="936" w:type="dxa"/>
            <w:vAlign w:val="center"/>
          </w:tcPr>
          <w:p>
            <w:pPr>
              <w:spacing w:line="480" w:lineRule="exact"/>
              <w:jc w:val="center"/>
              <w:rPr>
                <w:sz w:val="18"/>
                <w:szCs w:val="18"/>
              </w:rPr>
            </w:pPr>
            <w:r>
              <w:rPr>
                <w:sz w:val="18"/>
                <w:szCs w:val="18"/>
              </w:rPr>
              <w:t>青木关镇</w:t>
            </w:r>
          </w:p>
        </w:tc>
        <w:tc>
          <w:tcPr>
            <w:tcW w:w="913" w:type="dxa"/>
            <w:vAlign w:val="center"/>
          </w:tcPr>
          <w:p>
            <w:pPr>
              <w:spacing w:line="480" w:lineRule="exact"/>
              <w:jc w:val="center"/>
              <w:rPr>
                <w:sz w:val="18"/>
                <w:szCs w:val="18"/>
              </w:rPr>
            </w:pPr>
            <w:r>
              <w:rPr>
                <w:sz w:val="18"/>
                <w:szCs w:val="18"/>
              </w:rPr>
              <w:t>凤凰镇</w:t>
            </w:r>
          </w:p>
        </w:tc>
        <w:tc>
          <w:tcPr>
            <w:tcW w:w="936" w:type="dxa"/>
            <w:vAlign w:val="center"/>
          </w:tcPr>
          <w:p>
            <w:pPr>
              <w:spacing w:line="480" w:lineRule="exact"/>
              <w:jc w:val="center"/>
              <w:rPr>
                <w:sz w:val="18"/>
                <w:szCs w:val="18"/>
              </w:rPr>
            </w:pPr>
            <w:r>
              <w:rPr>
                <w:sz w:val="18"/>
                <w:szCs w:val="18"/>
              </w:rPr>
              <w:t>管家桥村</w:t>
            </w:r>
          </w:p>
        </w:tc>
        <w:tc>
          <w:tcPr>
            <w:tcW w:w="936" w:type="dxa"/>
            <w:vAlign w:val="center"/>
          </w:tcPr>
          <w:p>
            <w:pPr>
              <w:spacing w:line="480" w:lineRule="exact"/>
              <w:jc w:val="center"/>
              <w:rPr>
                <w:sz w:val="18"/>
                <w:szCs w:val="18"/>
              </w:rPr>
            </w:pPr>
            <w:r>
              <w:rPr>
                <w:sz w:val="18"/>
                <w:szCs w:val="18"/>
              </w:rPr>
              <w:t>陈家桥镇</w:t>
            </w:r>
          </w:p>
        </w:tc>
        <w:tc>
          <w:tcPr>
            <w:tcW w:w="913" w:type="dxa"/>
            <w:vAlign w:val="center"/>
          </w:tcPr>
          <w:p>
            <w:pPr>
              <w:spacing w:line="480" w:lineRule="exact"/>
              <w:jc w:val="center"/>
              <w:rPr>
                <w:sz w:val="18"/>
                <w:szCs w:val="18"/>
              </w:rPr>
            </w:pPr>
            <w:r>
              <w:rPr>
                <w:sz w:val="18"/>
                <w:szCs w:val="18"/>
              </w:rPr>
              <w:t>大学城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597" w:type="dxa"/>
            <w:vMerge w:val="restart"/>
            <w:shd w:val="clear" w:color="auto" w:fill="auto"/>
            <w:vAlign w:val="center"/>
          </w:tcPr>
          <w:p>
            <w:pPr>
              <w:widowControl/>
              <w:adjustRightInd w:val="0"/>
              <w:snapToGrid w:val="0"/>
              <w:spacing w:line="480" w:lineRule="exact"/>
              <w:jc w:val="center"/>
              <w:rPr>
                <w:kern w:val="0"/>
                <w:sz w:val="18"/>
                <w:szCs w:val="18"/>
              </w:rPr>
            </w:pPr>
            <w:r>
              <w:rPr>
                <w:sz w:val="18"/>
                <w:szCs w:val="18"/>
              </w:rPr>
              <w:t>PM</w:t>
            </w:r>
            <w:r>
              <w:rPr>
                <w:sz w:val="18"/>
                <w:szCs w:val="18"/>
                <w:vertAlign w:val="subscript"/>
              </w:rPr>
              <w:t>10</w:t>
            </w:r>
          </w:p>
        </w:tc>
        <w:tc>
          <w:tcPr>
            <w:tcW w:w="1116" w:type="dxa"/>
            <w:shd w:val="clear" w:color="auto" w:fill="auto"/>
            <w:vAlign w:val="center"/>
          </w:tcPr>
          <w:p>
            <w:pPr>
              <w:widowControl/>
              <w:adjustRightInd w:val="0"/>
              <w:snapToGrid w:val="0"/>
              <w:spacing w:line="480" w:lineRule="exact"/>
              <w:jc w:val="center"/>
              <w:rPr>
                <w:kern w:val="0"/>
                <w:sz w:val="18"/>
                <w:szCs w:val="18"/>
              </w:rPr>
            </w:pPr>
            <w:r>
              <w:rPr>
                <w:kern w:val="0"/>
                <w:sz w:val="18"/>
                <w:szCs w:val="18"/>
              </w:rPr>
              <w:t>预测最大值</w:t>
            </w:r>
          </w:p>
        </w:tc>
        <w:tc>
          <w:tcPr>
            <w:tcW w:w="913" w:type="dxa"/>
            <w:shd w:val="clear" w:color="auto" w:fill="auto"/>
            <w:vAlign w:val="center"/>
          </w:tcPr>
          <w:p>
            <w:pPr>
              <w:spacing w:line="480" w:lineRule="exact"/>
              <w:jc w:val="center"/>
              <w:rPr>
                <w:sz w:val="18"/>
                <w:szCs w:val="18"/>
              </w:rPr>
            </w:pPr>
            <w:r>
              <w:rPr>
                <w:sz w:val="18"/>
                <w:szCs w:val="18"/>
              </w:rPr>
              <w:t>2.75×10</w:t>
            </w:r>
            <w:r>
              <w:rPr>
                <w:sz w:val="18"/>
                <w:szCs w:val="18"/>
                <w:vertAlign w:val="superscript"/>
              </w:rPr>
              <w:t>-3</w:t>
            </w:r>
          </w:p>
        </w:tc>
        <w:tc>
          <w:tcPr>
            <w:tcW w:w="913" w:type="dxa"/>
            <w:shd w:val="clear" w:color="auto" w:fill="auto"/>
            <w:vAlign w:val="center"/>
          </w:tcPr>
          <w:p>
            <w:pPr>
              <w:spacing w:line="480" w:lineRule="exact"/>
              <w:jc w:val="center"/>
              <w:rPr>
                <w:sz w:val="18"/>
                <w:szCs w:val="18"/>
              </w:rPr>
            </w:pPr>
            <w:r>
              <w:rPr>
                <w:sz w:val="18"/>
                <w:szCs w:val="18"/>
              </w:rPr>
              <w:t>3.81×10</w:t>
            </w:r>
            <w:r>
              <w:rPr>
                <w:sz w:val="18"/>
                <w:szCs w:val="18"/>
                <w:vertAlign w:val="superscript"/>
              </w:rPr>
              <w:t>-3</w:t>
            </w:r>
          </w:p>
        </w:tc>
        <w:tc>
          <w:tcPr>
            <w:tcW w:w="913" w:type="dxa"/>
            <w:shd w:val="clear" w:color="auto" w:fill="F3F3F3"/>
            <w:vAlign w:val="center"/>
          </w:tcPr>
          <w:p>
            <w:pPr>
              <w:spacing w:line="480" w:lineRule="exact"/>
              <w:jc w:val="center"/>
              <w:rPr>
                <w:sz w:val="18"/>
                <w:szCs w:val="18"/>
              </w:rPr>
            </w:pPr>
            <w:r>
              <w:rPr>
                <w:sz w:val="18"/>
                <w:szCs w:val="18"/>
              </w:rPr>
              <w:t>6.85×10</w:t>
            </w:r>
            <w:r>
              <w:rPr>
                <w:sz w:val="18"/>
                <w:szCs w:val="18"/>
                <w:vertAlign w:val="superscript"/>
              </w:rPr>
              <w:t>-3</w:t>
            </w:r>
          </w:p>
        </w:tc>
        <w:tc>
          <w:tcPr>
            <w:tcW w:w="936" w:type="dxa"/>
            <w:shd w:val="clear" w:color="auto" w:fill="auto"/>
            <w:vAlign w:val="center"/>
          </w:tcPr>
          <w:p>
            <w:pPr>
              <w:spacing w:line="480" w:lineRule="exact"/>
              <w:jc w:val="center"/>
              <w:rPr>
                <w:sz w:val="18"/>
                <w:szCs w:val="18"/>
              </w:rPr>
            </w:pPr>
            <w:r>
              <w:rPr>
                <w:sz w:val="18"/>
                <w:szCs w:val="18"/>
              </w:rPr>
              <w:t>2.27×10</w:t>
            </w:r>
            <w:r>
              <w:rPr>
                <w:sz w:val="18"/>
                <w:szCs w:val="18"/>
                <w:vertAlign w:val="superscript"/>
              </w:rPr>
              <w:t>-2</w:t>
            </w:r>
          </w:p>
        </w:tc>
        <w:tc>
          <w:tcPr>
            <w:tcW w:w="1116" w:type="dxa"/>
            <w:shd w:val="clear" w:color="auto" w:fill="auto"/>
            <w:vAlign w:val="center"/>
          </w:tcPr>
          <w:p>
            <w:pPr>
              <w:spacing w:line="480" w:lineRule="exact"/>
              <w:jc w:val="center"/>
              <w:rPr>
                <w:sz w:val="18"/>
                <w:szCs w:val="18"/>
              </w:rPr>
            </w:pPr>
            <w:r>
              <w:rPr>
                <w:sz w:val="18"/>
                <w:szCs w:val="18"/>
              </w:rPr>
              <w:t>1.26×10</w:t>
            </w:r>
            <w:r>
              <w:rPr>
                <w:sz w:val="18"/>
                <w:szCs w:val="18"/>
                <w:vertAlign w:val="superscript"/>
              </w:rPr>
              <w:t>-2</w:t>
            </w:r>
          </w:p>
        </w:tc>
        <w:tc>
          <w:tcPr>
            <w:tcW w:w="913" w:type="dxa"/>
            <w:vAlign w:val="center"/>
          </w:tcPr>
          <w:p>
            <w:pPr>
              <w:spacing w:line="480" w:lineRule="exact"/>
              <w:jc w:val="center"/>
              <w:rPr>
                <w:sz w:val="18"/>
                <w:szCs w:val="18"/>
              </w:rPr>
            </w:pPr>
            <w:r>
              <w:rPr>
                <w:sz w:val="18"/>
                <w:szCs w:val="18"/>
              </w:rPr>
              <w:t>3.22×10</w:t>
            </w:r>
            <w:r>
              <w:rPr>
                <w:sz w:val="18"/>
                <w:szCs w:val="18"/>
                <w:vertAlign w:val="superscript"/>
              </w:rPr>
              <w:t>-3</w:t>
            </w:r>
          </w:p>
        </w:tc>
        <w:tc>
          <w:tcPr>
            <w:tcW w:w="1836" w:type="dxa"/>
            <w:vAlign w:val="center"/>
          </w:tcPr>
          <w:p>
            <w:pPr>
              <w:spacing w:line="480" w:lineRule="exact"/>
              <w:jc w:val="center"/>
              <w:rPr>
                <w:sz w:val="18"/>
                <w:szCs w:val="18"/>
              </w:rPr>
            </w:pPr>
            <w:r>
              <w:rPr>
                <w:sz w:val="18"/>
                <w:szCs w:val="18"/>
              </w:rPr>
              <w:t>5.66×10</w:t>
            </w:r>
            <w:r>
              <w:rPr>
                <w:sz w:val="18"/>
                <w:szCs w:val="18"/>
                <w:vertAlign w:val="superscript"/>
              </w:rPr>
              <w:t>-2</w:t>
            </w:r>
          </w:p>
        </w:tc>
        <w:tc>
          <w:tcPr>
            <w:tcW w:w="936" w:type="dxa"/>
            <w:vAlign w:val="center"/>
          </w:tcPr>
          <w:p>
            <w:pPr>
              <w:spacing w:line="480" w:lineRule="exact"/>
              <w:jc w:val="center"/>
              <w:rPr>
                <w:sz w:val="18"/>
                <w:szCs w:val="18"/>
              </w:rPr>
            </w:pPr>
            <w:r>
              <w:rPr>
                <w:sz w:val="18"/>
                <w:szCs w:val="18"/>
              </w:rPr>
              <w:t>1.83×10</w:t>
            </w:r>
            <w:r>
              <w:rPr>
                <w:sz w:val="18"/>
                <w:szCs w:val="18"/>
                <w:vertAlign w:val="superscript"/>
              </w:rPr>
              <w:t>-2</w:t>
            </w:r>
          </w:p>
        </w:tc>
        <w:tc>
          <w:tcPr>
            <w:tcW w:w="913" w:type="dxa"/>
            <w:vAlign w:val="center"/>
          </w:tcPr>
          <w:p>
            <w:pPr>
              <w:spacing w:line="480" w:lineRule="exact"/>
              <w:jc w:val="center"/>
              <w:rPr>
                <w:sz w:val="18"/>
                <w:szCs w:val="18"/>
              </w:rPr>
            </w:pPr>
            <w:r>
              <w:rPr>
                <w:sz w:val="18"/>
                <w:szCs w:val="18"/>
              </w:rPr>
              <w:t>4.58×10</w:t>
            </w:r>
            <w:r>
              <w:rPr>
                <w:sz w:val="18"/>
                <w:szCs w:val="18"/>
                <w:vertAlign w:val="superscript"/>
              </w:rPr>
              <w:t>-3</w:t>
            </w:r>
          </w:p>
        </w:tc>
        <w:tc>
          <w:tcPr>
            <w:tcW w:w="936" w:type="dxa"/>
            <w:vAlign w:val="center"/>
          </w:tcPr>
          <w:p>
            <w:pPr>
              <w:spacing w:line="480" w:lineRule="exact"/>
              <w:jc w:val="center"/>
              <w:rPr>
                <w:sz w:val="18"/>
                <w:szCs w:val="18"/>
              </w:rPr>
            </w:pPr>
            <w:r>
              <w:rPr>
                <w:sz w:val="18"/>
                <w:szCs w:val="18"/>
              </w:rPr>
              <w:t>7.89×10</w:t>
            </w:r>
            <w:r>
              <w:rPr>
                <w:sz w:val="18"/>
                <w:szCs w:val="18"/>
                <w:vertAlign w:val="superscript"/>
              </w:rPr>
              <w:t>-3</w:t>
            </w:r>
          </w:p>
        </w:tc>
        <w:tc>
          <w:tcPr>
            <w:tcW w:w="936" w:type="dxa"/>
            <w:vAlign w:val="center"/>
          </w:tcPr>
          <w:p>
            <w:pPr>
              <w:spacing w:line="480" w:lineRule="exact"/>
              <w:jc w:val="center"/>
              <w:rPr>
                <w:sz w:val="18"/>
                <w:szCs w:val="18"/>
              </w:rPr>
            </w:pPr>
            <w:r>
              <w:rPr>
                <w:sz w:val="18"/>
                <w:szCs w:val="18"/>
              </w:rPr>
              <w:t>3.91×10</w:t>
            </w:r>
            <w:r>
              <w:rPr>
                <w:sz w:val="18"/>
                <w:szCs w:val="18"/>
                <w:vertAlign w:val="superscript"/>
              </w:rPr>
              <w:t>-3</w:t>
            </w:r>
          </w:p>
        </w:tc>
        <w:tc>
          <w:tcPr>
            <w:tcW w:w="913" w:type="dxa"/>
            <w:vAlign w:val="center"/>
          </w:tcPr>
          <w:p>
            <w:pPr>
              <w:spacing w:line="480" w:lineRule="exact"/>
              <w:jc w:val="center"/>
              <w:rPr>
                <w:sz w:val="18"/>
                <w:szCs w:val="18"/>
              </w:rPr>
            </w:pPr>
            <w:r>
              <w:rPr>
                <w:sz w:val="18"/>
                <w:szCs w:val="18"/>
              </w:rPr>
              <w:t>3.76×10</w:t>
            </w:r>
            <w:r>
              <w:rPr>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597" w:type="dxa"/>
            <w:vMerge w:val="continue"/>
            <w:shd w:val="clear" w:color="auto" w:fill="auto"/>
            <w:vAlign w:val="center"/>
          </w:tcPr>
          <w:p>
            <w:pPr>
              <w:widowControl/>
              <w:adjustRightInd w:val="0"/>
              <w:snapToGrid w:val="0"/>
              <w:spacing w:line="480" w:lineRule="exact"/>
              <w:jc w:val="center"/>
              <w:rPr>
                <w:kern w:val="0"/>
                <w:sz w:val="18"/>
                <w:szCs w:val="18"/>
              </w:rPr>
            </w:pPr>
          </w:p>
        </w:tc>
        <w:tc>
          <w:tcPr>
            <w:tcW w:w="1116" w:type="dxa"/>
            <w:shd w:val="clear" w:color="auto" w:fill="auto"/>
            <w:vAlign w:val="center"/>
          </w:tcPr>
          <w:p>
            <w:pPr>
              <w:widowControl/>
              <w:adjustRightInd w:val="0"/>
              <w:snapToGrid w:val="0"/>
              <w:spacing w:line="480" w:lineRule="exact"/>
              <w:jc w:val="center"/>
              <w:rPr>
                <w:kern w:val="0"/>
                <w:sz w:val="18"/>
                <w:szCs w:val="18"/>
              </w:rPr>
            </w:pPr>
            <w:r>
              <w:rPr>
                <w:kern w:val="0"/>
                <w:sz w:val="18"/>
                <w:szCs w:val="18"/>
              </w:rPr>
              <w:t>背景值</w:t>
            </w:r>
          </w:p>
        </w:tc>
        <w:tc>
          <w:tcPr>
            <w:tcW w:w="913" w:type="dxa"/>
            <w:shd w:val="clear" w:color="auto" w:fill="auto"/>
            <w:vAlign w:val="center"/>
          </w:tcPr>
          <w:p>
            <w:pPr>
              <w:spacing w:line="480" w:lineRule="exact"/>
              <w:jc w:val="center"/>
              <w:rPr>
                <w:sz w:val="18"/>
                <w:szCs w:val="18"/>
              </w:rPr>
            </w:pPr>
            <w:r>
              <w:rPr>
                <w:sz w:val="18"/>
                <w:szCs w:val="18"/>
              </w:rPr>
              <w:t>/</w:t>
            </w:r>
          </w:p>
        </w:tc>
        <w:tc>
          <w:tcPr>
            <w:tcW w:w="913" w:type="dxa"/>
            <w:shd w:val="clear" w:color="auto" w:fill="auto"/>
            <w:vAlign w:val="center"/>
          </w:tcPr>
          <w:p>
            <w:pPr>
              <w:spacing w:line="480" w:lineRule="exact"/>
              <w:jc w:val="center"/>
              <w:rPr>
                <w:sz w:val="18"/>
                <w:szCs w:val="18"/>
              </w:rPr>
            </w:pPr>
            <w:r>
              <w:rPr>
                <w:sz w:val="18"/>
                <w:szCs w:val="18"/>
              </w:rPr>
              <w:t>/</w:t>
            </w:r>
          </w:p>
        </w:tc>
        <w:tc>
          <w:tcPr>
            <w:tcW w:w="913" w:type="dxa"/>
            <w:shd w:val="clear" w:color="auto" w:fill="F3F3F3"/>
            <w:vAlign w:val="center"/>
          </w:tcPr>
          <w:p>
            <w:pPr>
              <w:spacing w:line="480" w:lineRule="exact"/>
              <w:jc w:val="center"/>
              <w:rPr>
                <w:sz w:val="18"/>
                <w:szCs w:val="18"/>
              </w:rPr>
            </w:pPr>
            <w:r>
              <w:rPr>
                <w:sz w:val="18"/>
                <w:szCs w:val="18"/>
              </w:rPr>
              <w:t>/</w:t>
            </w:r>
          </w:p>
        </w:tc>
        <w:tc>
          <w:tcPr>
            <w:tcW w:w="936" w:type="dxa"/>
            <w:shd w:val="clear" w:color="auto" w:fill="auto"/>
            <w:vAlign w:val="center"/>
          </w:tcPr>
          <w:p>
            <w:pPr>
              <w:spacing w:line="480" w:lineRule="exact"/>
              <w:jc w:val="center"/>
              <w:rPr>
                <w:sz w:val="18"/>
                <w:szCs w:val="18"/>
              </w:rPr>
            </w:pPr>
            <w:r>
              <w:rPr>
                <w:sz w:val="18"/>
                <w:szCs w:val="18"/>
              </w:rPr>
              <w:t>/</w:t>
            </w:r>
          </w:p>
        </w:tc>
        <w:tc>
          <w:tcPr>
            <w:tcW w:w="1116" w:type="dxa"/>
            <w:shd w:val="clear" w:color="auto" w:fill="auto"/>
            <w:vAlign w:val="center"/>
          </w:tcPr>
          <w:p>
            <w:pPr>
              <w:spacing w:line="480" w:lineRule="exact"/>
              <w:jc w:val="center"/>
              <w:rPr>
                <w:sz w:val="18"/>
                <w:szCs w:val="18"/>
              </w:rPr>
            </w:pPr>
            <w:r>
              <w:rPr>
                <w:sz w:val="18"/>
                <w:szCs w:val="18"/>
              </w:rPr>
              <w:t>/</w:t>
            </w:r>
          </w:p>
        </w:tc>
        <w:tc>
          <w:tcPr>
            <w:tcW w:w="913" w:type="dxa"/>
            <w:vAlign w:val="center"/>
          </w:tcPr>
          <w:p>
            <w:pPr>
              <w:spacing w:line="480" w:lineRule="exact"/>
              <w:jc w:val="center"/>
              <w:rPr>
                <w:sz w:val="18"/>
                <w:szCs w:val="18"/>
              </w:rPr>
            </w:pPr>
            <w:r>
              <w:rPr>
                <w:sz w:val="18"/>
                <w:szCs w:val="18"/>
              </w:rPr>
              <w:t>/</w:t>
            </w:r>
          </w:p>
        </w:tc>
        <w:tc>
          <w:tcPr>
            <w:tcW w:w="1836" w:type="dxa"/>
            <w:vAlign w:val="center"/>
          </w:tcPr>
          <w:p>
            <w:pPr>
              <w:spacing w:line="480" w:lineRule="exact"/>
              <w:jc w:val="center"/>
              <w:rPr>
                <w:sz w:val="18"/>
                <w:szCs w:val="18"/>
              </w:rPr>
            </w:pPr>
            <w:r>
              <w:rPr>
                <w:sz w:val="18"/>
                <w:szCs w:val="18"/>
              </w:rPr>
              <w:t>/</w:t>
            </w:r>
          </w:p>
        </w:tc>
        <w:tc>
          <w:tcPr>
            <w:tcW w:w="936" w:type="dxa"/>
            <w:vAlign w:val="center"/>
          </w:tcPr>
          <w:p>
            <w:pPr>
              <w:spacing w:line="480" w:lineRule="exact"/>
              <w:jc w:val="center"/>
              <w:rPr>
                <w:sz w:val="18"/>
                <w:szCs w:val="18"/>
              </w:rPr>
            </w:pPr>
            <w:r>
              <w:rPr>
                <w:sz w:val="18"/>
                <w:szCs w:val="18"/>
              </w:rPr>
              <w:t>/</w:t>
            </w:r>
          </w:p>
        </w:tc>
        <w:tc>
          <w:tcPr>
            <w:tcW w:w="913" w:type="dxa"/>
            <w:vAlign w:val="center"/>
          </w:tcPr>
          <w:p>
            <w:pPr>
              <w:spacing w:line="480" w:lineRule="exact"/>
              <w:jc w:val="center"/>
              <w:rPr>
                <w:sz w:val="18"/>
                <w:szCs w:val="18"/>
              </w:rPr>
            </w:pPr>
            <w:r>
              <w:rPr>
                <w:sz w:val="18"/>
                <w:szCs w:val="18"/>
              </w:rPr>
              <w:t>/</w:t>
            </w:r>
          </w:p>
        </w:tc>
        <w:tc>
          <w:tcPr>
            <w:tcW w:w="936" w:type="dxa"/>
            <w:vAlign w:val="center"/>
          </w:tcPr>
          <w:p>
            <w:pPr>
              <w:spacing w:line="480" w:lineRule="exact"/>
              <w:jc w:val="center"/>
              <w:rPr>
                <w:sz w:val="18"/>
                <w:szCs w:val="18"/>
              </w:rPr>
            </w:pPr>
            <w:r>
              <w:rPr>
                <w:sz w:val="18"/>
                <w:szCs w:val="18"/>
              </w:rPr>
              <w:t>/</w:t>
            </w:r>
          </w:p>
        </w:tc>
        <w:tc>
          <w:tcPr>
            <w:tcW w:w="936" w:type="dxa"/>
            <w:vAlign w:val="center"/>
          </w:tcPr>
          <w:p>
            <w:pPr>
              <w:spacing w:line="480" w:lineRule="exact"/>
              <w:jc w:val="center"/>
              <w:rPr>
                <w:sz w:val="18"/>
                <w:szCs w:val="18"/>
              </w:rPr>
            </w:pPr>
            <w:r>
              <w:rPr>
                <w:sz w:val="18"/>
                <w:szCs w:val="18"/>
              </w:rPr>
              <w:t>/</w:t>
            </w:r>
          </w:p>
        </w:tc>
        <w:tc>
          <w:tcPr>
            <w:tcW w:w="913" w:type="dxa"/>
            <w:vAlign w:val="center"/>
          </w:tcPr>
          <w:p>
            <w:pPr>
              <w:spacing w:line="480" w:lineRule="exact"/>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jc w:val="center"/>
        </w:trPr>
        <w:tc>
          <w:tcPr>
            <w:tcW w:w="597" w:type="dxa"/>
            <w:vMerge w:val="continue"/>
            <w:shd w:val="clear" w:color="auto" w:fill="auto"/>
            <w:vAlign w:val="center"/>
          </w:tcPr>
          <w:p>
            <w:pPr>
              <w:widowControl/>
              <w:adjustRightInd w:val="0"/>
              <w:snapToGrid w:val="0"/>
              <w:spacing w:line="480" w:lineRule="exact"/>
              <w:jc w:val="center"/>
              <w:rPr>
                <w:kern w:val="0"/>
                <w:sz w:val="18"/>
                <w:szCs w:val="18"/>
              </w:rPr>
            </w:pPr>
          </w:p>
        </w:tc>
        <w:tc>
          <w:tcPr>
            <w:tcW w:w="1116" w:type="dxa"/>
            <w:shd w:val="clear" w:color="auto" w:fill="auto"/>
            <w:vAlign w:val="center"/>
          </w:tcPr>
          <w:p>
            <w:pPr>
              <w:widowControl/>
              <w:adjustRightInd w:val="0"/>
              <w:snapToGrid w:val="0"/>
              <w:spacing w:line="480" w:lineRule="exact"/>
              <w:jc w:val="center"/>
              <w:rPr>
                <w:kern w:val="0"/>
                <w:sz w:val="18"/>
                <w:szCs w:val="18"/>
              </w:rPr>
            </w:pPr>
            <w:r>
              <w:rPr>
                <w:kern w:val="0"/>
                <w:sz w:val="18"/>
                <w:szCs w:val="18"/>
              </w:rPr>
              <w:t>叠加值</w:t>
            </w:r>
          </w:p>
        </w:tc>
        <w:tc>
          <w:tcPr>
            <w:tcW w:w="913" w:type="dxa"/>
            <w:shd w:val="clear" w:color="auto" w:fill="auto"/>
            <w:vAlign w:val="center"/>
          </w:tcPr>
          <w:p>
            <w:pPr>
              <w:spacing w:line="480" w:lineRule="exact"/>
              <w:jc w:val="center"/>
              <w:rPr>
                <w:sz w:val="18"/>
                <w:szCs w:val="18"/>
              </w:rPr>
            </w:pPr>
            <w:r>
              <w:rPr>
                <w:sz w:val="18"/>
                <w:szCs w:val="18"/>
              </w:rPr>
              <w:t>/</w:t>
            </w:r>
          </w:p>
        </w:tc>
        <w:tc>
          <w:tcPr>
            <w:tcW w:w="913" w:type="dxa"/>
            <w:shd w:val="clear" w:color="auto" w:fill="auto"/>
            <w:vAlign w:val="center"/>
          </w:tcPr>
          <w:p>
            <w:pPr>
              <w:spacing w:line="480" w:lineRule="exact"/>
              <w:jc w:val="center"/>
              <w:rPr>
                <w:sz w:val="18"/>
                <w:szCs w:val="18"/>
              </w:rPr>
            </w:pPr>
            <w:r>
              <w:rPr>
                <w:sz w:val="18"/>
                <w:szCs w:val="18"/>
              </w:rPr>
              <w:t>/</w:t>
            </w:r>
          </w:p>
        </w:tc>
        <w:tc>
          <w:tcPr>
            <w:tcW w:w="913" w:type="dxa"/>
            <w:shd w:val="clear" w:color="auto" w:fill="F3F3F3"/>
            <w:vAlign w:val="center"/>
          </w:tcPr>
          <w:p>
            <w:pPr>
              <w:spacing w:line="480" w:lineRule="exact"/>
              <w:jc w:val="center"/>
              <w:rPr>
                <w:sz w:val="18"/>
                <w:szCs w:val="18"/>
              </w:rPr>
            </w:pPr>
            <w:r>
              <w:rPr>
                <w:sz w:val="18"/>
                <w:szCs w:val="18"/>
              </w:rPr>
              <w:t>/</w:t>
            </w:r>
          </w:p>
        </w:tc>
        <w:tc>
          <w:tcPr>
            <w:tcW w:w="936" w:type="dxa"/>
            <w:shd w:val="clear" w:color="auto" w:fill="auto"/>
            <w:vAlign w:val="center"/>
          </w:tcPr>
          <w:p>
            <w:pPr>
              <w:spacing w:line="480" w:lineRule="exact"/>
              <w:jc w:val="center"/>
              <w:rPr>
                <w:sz w:val="18"/>
                <w:szCs w:val="18"/>
              </w:rPr>
            </w:pPr>
            <w:r>
              <w:rPr>
                <w:sz w:val="18"/>
                <w:szCs w:val="18"/>
              </w:rPr>
              <w:t>/</w:t>
            </w:r>
          </w:p>
        </w:tc>
        <w:tc>
          <w:tcPr>
            <w:tcW w:w="1116" w:type="dxa"/>
            <w:shd w:val="clear" w:color="auto" w:fill="auto"/>
            <w:vAlign w:val="center"/>
          </w:tcPr>
          <w:p>
            <w:pPr>
              <w:spacing w:line="480" w:lineRule="exact"/>
              <w:jc w:val="center"/>
              <w:rPr>
                <w:sz w:val="18"/>
                <w:szCs w:val="18"/>
              </w:rPr>
            </w:pPr>
            <w:r>
              <w:rPr>
                <w:sz w:val="18"/>
                <w:szCs w:val="18"/>
              </w:rPr>
              <w:t>/</w:t>
            </w:r>
          </w:p>
        </w:tc>
        <w:tc>
          <w:tcPr>
            <w:tcW w:w="913" w:type="dxa"/>
            <w:vAlign w:val="center"/>
          </w:tcPr>
          <w:p>
            <w:pPr>
              <w:spacing w:line="480" w:lineRule="exact"/>
              <w:jc w:val="center"/>
              <w:rPr>
                <w:sz w:val="18"/>
                <w:szCs w:val="18"/>
              </w:rPr>
            </w:pPr>
            <w:r>
              <w:rPr>
                <w:sz w:val="18"/>
                <w:szCs w:val="18"/>
              </w:rPr>
              <w:t>/</w:t>
            </w:r>
          </w:p>
        </w:tc>
        <w:tc>
          <w:tcPr>
            <w:tcW w:w="1836" w:type="dxa"/>
            <w:vAlign w:val="center"/>
          </w:tcPr>
          <w:p>
            <w:pPr>
              <w:spacing w:line="480" w:lineRule="exact"/>
              <w:jc w:val="center"/>
              <w:rPr>
                <w:sz w:val="18"/>
                <w:szCs w:val="18"/>
              </w:rPr>
            </w:pPr>
            <w:r>
              <w:rPr>
                <w:sz w:val="18"/>
                <w:szCs w:val="18"/>
              </w:rPr>
              <w:t>/</w:t>
            </w:r>
          </w:p>
        </w:tc>
        <w:tc>
          <w:tcPr>
            <w:tcW w:w="936" w:type="dxa"/>
            <w:vAlign w:val="center"/>
          </w:tcPr>
          <w:p>
            <w:pPr>
              <w:spacing w:line="480" w:lineRule="exact"/>
              <w:jc w:val="center"/>
              <w:rPr>
                <w:sz w:val="18"/>
                <w:szCs w:val="18"/>
              </w:rPr>
            </w:pPr>
            <w:r>
              <w:rPr>
                <w:sz w:val="18"/>
                <w:szCs w:val="18"/>
              </w:rPr>
              <w:t>/</w:t>
            </w:r>
          </w:p>
        </w:tc>
        <w:tc>
          <w:tcPr>
            <w:tcW w:w="913" w:type="dxa"/>
            <w:vAlign w:val="center"/>
          </w:tcPr>
          <w:p>
            <w:pPr>
              <w:spacing w:line="480" w:lineRule="exact"/>
              <w:jc w:val="center"/>
              <w:rPr>
                <w:sz w:val="18"/>
                <w:szCs w:val="18"/>
              </w:rPr>
            </w:pPr>
            <w:r>
              <w:rPr>
                <w:sz w:val="18"/>
                <w:szCs w:val="18"/>
              </w:rPr>
              <w:t>/</w:t>
            </w:r>
          </w:p>
        </w:tc>
        <w:tc>
          <w:tcPr>
            <w:tcW w:w="936" w:type="dxa"/>
            <w:vAlign w:val="center"/>
          </w:tcPr>
          <w:p>
            <w:pPr>
              <w:spacing w:line="480" w:lineRule="exact"/>
              <w:jc w:val="center"/>
              <w:rPr>
                <w:sz w:val="18"/>
                <w:szCs w:val="18"/>
              </w:rPr>
            </w:pPr>
            <w:r>
              <w:rPr>
                <w:sz w:val="18"/>
                <w:szCs w:val="18"/>
              </w:rPr>
              <w:t>/</w:t>
            </w:r>
          </w:p>
        </w:tc>
        <w:tc>
          <w:tcPr>
            <w:tcW w:w="936" w:type="dxa"/>
            <w:vAlign w:val="center"/>
          </w:tcPr>
          <w:p>
            <w:pPr>
              <w:spacing w:line="480" w:lineRule="exact"/>
              <w:jc w:val="center"/>
              <w:rPr>
                <w:sz w:val="18"/>
                <w:szCs w:val="18"/>
              </w:rPr>
            </w:pPr>
            <w:r>
              <w:rPr>
                <w:sz w:val="18"/>
                <w:szCs w:val="18"/>
              </w:rPr>
              <w:t>/</w:t>
            </w:r>
          </w:p>
        </w:tc>
        <w:tc>
          <w:tcPr>
            <w:tcW w:w="913" w:type="dxa"/>
            <w:vAlign w:val="center"/>
          </w:tcPr>
          <w:p>
            <w:pPr>
              <w:spacing w:line="480" w:lineRule="exact"/>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597" w:type="dxa"/>
            <w:vMerge w:val="continue"/>
            <w:shd w:val="clear" w:color="auto" w:fill="auto"/>
            <w:vAlign w:val="center"/>
          </w:tcPr>
          <w:p>
            <w:pPr>
              <w:widowControl/>
              <w:adjustRightInd w:val="0"/>
              <w:snapToGrid w:val="0"/>
              <w:spacing w:line="480" w:lineRule="exact"/>
              <w:jc w:val="center"/>
              <w:rPr>
                <w:kern w:val="0"/>
                <w:sz w:val="18"/>
                <w:szCs w:val="18"/>
              </w:rPr>
            </w:pPr>
          </w:p>
        </w:tc>
        <w:tc>
          <w:tcPr>
            <w:tcW w:w="1116" w:type="dxa"/>
            <w:shd w:val="clear" w:color="auto" w:fill="auto"/>
            <w:vAlign w:val="center"/>
          </w:tcPr>
          <w:p>
            <w:pPr>
              <w:widowControl/>
              <w:adjustRightInd w:val="0"/>
              <w:snapToGrid w:val="0"/>
              <w:spacing w:line="480" w:lineRule="exact"/>
              <w:jc w:val="center"/>
              <w:rPr>
                <w:kern w:val="0"/>
                <w:sz w:val="18"/>
                <w:szCs w:val="18"/>
              </w:rPr>
            </w:pPr>
            <w:r>
              <w:rPr>
                <w:kern w:val="0"/>
                <w:sz w:val="18"/>
                <w:szCs w:val="18"/>
              </w:rPr>
              <w:t>占标率(%)</w:t>
            </w:r>
          </w:p>
        </w:tc>
        <w:tc>
          <w:tcPr>
            <w:tcW w:w="913" w:type="dxa"/>
            <w:shd w:val="clear" w:color="auto" w:fill="auto"/>
            <w:vAlign w:val="center"/>
          </w:tcPr>
          <w:p>
            <w:pPr>
              <w:spacing w:line="480" w:lineRule="exact"/>
              <w:jc w:val="center"/>
              <w:rPr>
                <w:sz w:val="18"/>
                <w:szCs w:val="18"/>
              </w:rPr>
            </w:pPr>
            <w:r>
              <w:rPr>
                <w:sz w:val="18"/>
                <w:szCs w:val="18"/>
              </w:rPr>
              <w:t>0.61</w:t>
            </w:r>
          </w:p>
        </w:tc>
        <w:tc>
          <w:tcPr>
            <w:tcW w:w="913" w:type="dxa"/>
            <w:shd w:val="clear" w:color="auto" w:fill="auto"/>
            <w:vAlign w:val="center"/>
          </w:tcPr>
          <w:p>
            <w:pPr>
              <w:spacing w:line="480" w:lineRule="exact"/>
              <w:jc w:val="center"/>
              <w:rPr>
                <w:sz w:val="18"/>
                <w:szCs w:val="18"/>
              </w:rPr>
            </w:pPr>
            <w:r>
              <w:rPr>
                <w:sz w:val="18"/>
                <w:szCs w:val="18"/>
              </w:rPr>
              <w:t>0.85</w:t>
            </w:r>
          </w:p>
        </w:tc>
        <w:tc>
          <w:tcPr>
            <w:tcW w:w="913" w:type="dxa"/>
            <w:shd w:val="clear" w:color="auto" w:fill="F3F3F3"/>
            <w:vAlign w:val="center"/>
          </w:tcPr>
          <w:p>
            <w:pPr>
              <w:spacing w:line="480" w:lineRule="exact"/>
              <w:jc w:val="center"/>
              <w:rPr>
                <w:sz w:val="18"/>
                <w:szCs w:val="18"/>
              </w:rPr>
            </w:pPr>
            <w:r>
              <w:rPr>
                <w:sz w:val="18"/>
                <w:szCs w:val="18"/>
              </w:rPr>
              <w:t>1.52</w:t>
            </w:r>
          </w:p>
        </w:tc>
        <w:tc>
          <w:tcPr>
            <w:tcW w:w="936" w:type="dxa"/>
            <w:shd w:val="clear" w:color="auto" w:fill="auto"/>
            <w:vAlign w:val="center"/>
          </w:tcPr>
          <w:p>
            <w:pPr>
              <w:spacing w:line="480" w:lineRule="exact"/>
              <w:jc w:val="center"/>
              <w:rPr>
                <w:sz w:val="18"/>
                <w:szCs w:val="18"/>
              </w:rPr>
            </w:pPr>
            <w:r>
              <w:rPr>
                <w:sz w:val="18"/>
                <w:szCs w:val="18"/>
              </w:rPr>
              <w:t>5.05</w:t>
            </w:r>
          </w:p>
        </w:tc>
        <w:tc>
          <w:tcPr>
            <w:tcW w:w="1116" w:type="dxa"/>
            <w:shd w:val="clear" w:color="auto" w:fill="auto"/>
            <w:vAlign w:val="center"/>
          </w:tcPr>
          <w:p>
            <w:pPr>
              <w:spacing w:line="480" w:lineRule="exact"/>
              <w:jc w:val="center"/>
              <w:rPr>
                <w:sz w:val="18"/>
                <w:szCs w:val="18"/>
              </w:rPr>
            </w:pPr>
            <w:r>
              <w:rPr>
                <w:sz w:val="18"/>
                <w:szCs w:val="18"/>
              </w:rPr>
              <w:t>2.80</w:t>
            </w:r>
          </w:p>
        </w:tc>
        <w:tc>
          <w:tcPr>
            <w:tcW w:w="913" w:type="dxa"/>
            <w:vAlign w:val="center"/>
          </w:tcPr>
          <w:p>
            <w:pPr>
              <w:spacing w:line="480" w:lineRule="exact"/>
              <w:jc w:val="center"/>
              <w:rPr>
                <w:sz w:val="18"/>
                <w:szCs w:val="18"/>
              </w:rPr>
            </w:pPr>
            <w:r>
              <w:rPr>
                <w:sz w:val="18"/>
                <w:szCs w:val="18"/>
              </w:rPr>
              <w:t>0.72</w:t>
            </w:r>
          </w:p>
        </w:tc>
        <w:tc>
          <w:tcPr>
            <w:tcW w:w="1836" w:type="dxa"/>
            <w:vAlign w:val="center"/>
          </w:tcPr>
          <w:p>
            <w:pPr>
              <w:spacing w:line="480" w:lineRule="exact"/>
              <w:jc w:val="center"/>
              <w:rPr>
                <w:sz w:val="18"/>
                <w:szCs w:val="18"/>
              </w:rPr>
            </w:pPr>
            <w:r>
              <w:rPr>
                <w:sz w:val="18"/>
                <w:szCs w:val="18"/>
              </w:rPr>
              <w:t>12.57</w:t>
            </w:r>
          </w:p>
        </w:tc>
        <w:tc>
          <w:tcPr>
            <w:tcW w:w="936" w:type="dxa"/>
            <w:vAlign w:val="center"/>
          </w:tcPr>
          <w:p>
            <w:pPr>
              <w:spacing w:line="480" w:lineRule="exact"/>
              <w:jc w:val="center"/>
              <w:rPr>
                <w:sz w:val="18"/>
                <w:szCs w:val="18"/>
              </w:rPr>
            </w:pPr>
            <w:r>
              <w:rPr>
                <w:sz w:val="18"/>
                <w:szCs w:val="18"/>
              </w:rPr>
              <w:t>4.07</w:t>
            </w:r>
          </w:p>
        </w:tc>
        <w:tc>
          <w:tcPr>
            <w:tcW w:w="913" w:type="dxa"/>
            <w:vAlign w:val="center"/>
          </w:tcPr>
          <w:p>
            <w:pPr>
              <w:spacing w:line="480" w:lineRule="exact"/>
              <w:jc w:val="center"/>
              <w:rPr>
                <w:sz w:val="18"/>
                <w:szCs w:val="18"/>
              </w:rPr>
            </w:pPr>
            <w:r>
              <w:rPr>
                <w:sz w:val="18"/>
                <w:szCs w:val="18"/>
              </w:rPr>
              <w:t>1.02</w:t>
            </w:r>
          </w:p>
        </w:tc>
        <w:tc>
          <w:tcPr>
            <w:tcW w:w="936" w:type="dxa"/>
            <w:vAlign w:val="center"/>
          </w:tcPr>
          <w:p>
            <w:pPr>
              <w:spacing w:line="480" w:lineRule="exact"/>
              <w:jc w:val="center"/>
              <w:rPr>
                <w:sz w:val="18"/>
                <w:szCs w:val="18"/>
              </w:rPr>
            </w:pPr>
            <w:r>
              <w:rPr>
                <w:sz w:val="18"/>
                <w:szCs w:val="18"/>
              </w:rPr>
              <w:t>1.75</w:t>
            </w:r>
          </w:p>
        </w:tc>
        <w:tc>
          <w:tcPr>
            <w:tcW w:w="936" w:type="dxa"/>
            <w:vAlign w:val="center"/>
          </w:tcPr>
          <w:p>
            <w:pPr>
              <w:spacing w:line="480" w:lineRule="exact"/>
              <w:jc w:val="center"/>
              <w:rPr>
                <w:sz w:val="18"/>
                <w:szCs w:val="18"/>
              </w:rPr>
            </w:pPr>
            <w:r>
              <w:rPr>
                <w:sz w:val="18"/>
                <w:szCs w:val="18"/>
              </w:rPr>
              <w:t>0.87</w:t>
            </w:r>
          </w:p>
        </w:tc>
        <w:tc>
          <w:tcPr>
            <w:tcW w:w="913" w:type="dxa"/>
            <w:vAlign w:val="center"/>
          </w:tcPr>
          <w:p>
            <w:pPr>
              <w:spacing w:line="480" w:lineRule="exact"/>
              <w:jc w:val="center"/>
              <w:rPr>
                <w:sz w:val="18"/>
                <w:szCs w:val="18"/>
              </w:rPr>
            </w:pPr>
            <w:r>
              <w:rPr>
                <w:sz w:val="18"/>
                <w:szCs w:val="18"/>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 w:hRule="atLeast"/>
          <w:jc w:val="center"/>
        </w:trPr>
        <w:tc>
          <w:tcPr>
            <w:tcW w:w="597" w:type="dxa"/>
            <w:vMerge w:val="restart"/>
            <w:shd w:val="clear" w:color="auto" w:fill="auto"/>
            <w:vAlign w:val="center"/>
          </w:tcPr>
          <w:p>
            <w:pPr>
              <w:widowControl/>
              <w:adjustRightInd w:val="0"/>
              <w:snapToGrid w:val="0"/>
              <w:spacing w:line="480" w:lineRule="exact"/>
              <w:jc w:val="center"/>
              <w:rPr>
                <w:kern w:val="0"/>
                <w:sz w:val="18"/>
                <w:szCs w:val="18"/>
              </w:rPr>
            </w:pPr>
            <w:r>
              <w:rPr>
                <w:sz w:val="18"/>
                <w:szCs w:val="18"/>
              </w:rPr>
              <w:t>SO</w:t>
            </w:r>
            <w:r>
              <w:rPr>
                <w:sz w:val="18"/>
                <w:szCs w:val="18"/>
                <w:vertAlign w:val="subscript"/>
              </w:rPr>
              <w:t>2</w:t>
            </w:r>
          </w:p>
        </w:tc>
        <w:tc>
          <w:tcPr>
            <w:tcW w:w="1116" w:type="dxa"/>
            <w:shd w:val="clear" w:color="auto" w:fill="auto"/>
            <w:vAlign w:val="center"/>
          </w:tcPr>
          <w:p>
            <w:pPr>
              <w:widowControl/>
              <w:adjustRightInd w:val="0"/>
              <w:snapToGrid w:val="0"/>
              <w:spacing w:line="480" w:lineRule="exact"/>
              <w:jc w:val="center"/>
              <w:rPr>
                <w:kern w:val="0"/>
                <w:sz w:val="18"/>
                <w:szCs w:val="18"/>
              </w:rPr>
            </w:pPr>
            <w:r>
              <w:rPr>
                <w:kern w:val="0"/>
                <w:sz w:val="18"/>
                <w:szCs w:val="18"/>
              </w:rPr>
              <w:t>预测最大值</w:t>
            </w:r>
          </w:p>
        </w:tc>
        <w:tc>
          <w:tcPr>
            <w:tcW w:w="913" w:type="dxa"/>
            <w:shd w:val="clear" w:color="auto" w:fill="auto"/>
            <w:vAlign w:val="center"/>
          </w:tcPr>
          <w:p>
            <w:pPr>
              <w:spacing w:line="480" w:lineRule="exact"/>
              <w:jc w:val="center"/>
              <w:rPr>
                <w:sz w:val="18"/>
                <w:szCs w:val="18"/>
              </w:rPr>
            </w:pPr>
            <w:r>
              <w:rPr>
                <w:sz w:val="18"/>
                <w:szCs w:val="18"/>
              </w:rPr>
              <w:t>3.20×10</w:t>
            </w:r>
            <w:r>
              <w:rPr>
                <w:sz w:val="18"/>
                <w:szCs w:val="18"/>
                <w:vertAlign w:val="superscript"/>
              </w:rPr>
              <w:t>-3</w:t>
            </w:r>
          </w:p>
        </w:tc>
        <w:tc>
          <w:tcPr>
            <w:tcW w:w="913" w:type="dxa"/>
            <w:shd w:val="clear" w:color="auto" w:fill="auto"/>
            <w:vAlign w:val="center"/>
          </w:tcPr>
          <w:p>
            <w:pPr>
              <w:spacing w:line="480" w:lineRule="exact"/>
              <w:jc w:val="center"/>
              <w:rPr>
                <w:sz w:val="18"/>
                <w:szCs w:val="18"/>
              </w:rPr>
            </w:pPr>
            <w:r>
              <w:rPr>
                <w:sz w:val="18"/>
                <w:szCs w:val="18"/>
              </w:rPr>
              <w:t>3.66×10</w:t>
            </w:r>
            <w:r>
              <w:rPr>
                <w:sz w:val="18"/>
                <w:szCs w:val="18"/>
                <w:vertAlign w:val="superscript"/>
              </w:rPr>
              <w:t>-3</w:t>
            </w:r>
          </w:p>
        </w:tc>
        <w:tc>
          <w:tcPr>
            <w:tcW w:w="913" w:type="dxa"/>
            <w:shd w:val="clear" w:color="auto" w:fill="F3F3F3"/>
            <w:vAlign w:val="center"/>
          </w:tcPr>
          <w:p>
            <w:pPr>
              <w:spacing w:line="480" w:lineRule="exact"/>
              <w:jc w:val="center"/>
              <w:rPr>
                <w:sz w:val="18"/>
                <w:szCs w:val="18"/>
              </w:rPr>
            </w:pPr>
            <w:r>
              <w:rPr>
                <w:sz w:val="18"/>
                <w:szCs w:val="18"/>
              </w:rPr>
              <w:t>1.53×10</w:t>
            </w:r>
            <w:r>
              <w:rPr>
                <w:sz w:val="18"/>
                <w:szCs w:val="18"/>
                <w:vertAlign w:val="superscript"/>
              </w:rPr>
              <w:t>-2</w:t>
            </w:r>
          </w:p>
        </w:tc>
        <w:tc>
          <w:tcPr>
            <w:tcW w:w="936" w:type="dxa"/>
            <w:shd w:val="clear" w:color="auto" w:fill="auto"/>
            <w:vAlign w:val="center"/>
          </w:tcPr>
          <w:p>
            <w:pPr>
              <w:spacing w:line="480" w:lineRule="exact"/>
              <w:jc w:val="center"/>
              <w:rPr>
                <w:sz w:val="18"/>
                <w:szCs w:val="18"/>
              </w:rPr>
            </w:pPr>
            <w:r>
              <w:rPr>
                <w:sz w:val="18"/>
                <w:szCs w:val="18"/>
              </w:rPr>
              <w:t>4.57×10</w:t>
            </w:r>
            <w:r>
              <w:rPr>
                <w:sz w:val="18"/>
                <w:szCs w:val="18"/>
                <w:vertAlign w:val="superscript"/>
              </w:rPr>
              <w:t>-2</w:t>
            </w:r>
          </w:p>
        </w:tc>
        <w:tc>
          <w:tcPr>
            <w:tcW w:w="1116" w:type="dxa"/>
            <w:shd w:val="clear" w:color="auto" w:fill="auto"/>
            <w:vAlign w:val="center"/>
          </w:tcPr>
          <w:p>
            <w:pPr>
              <w:spacing w:line="480" w:lineRule="exact"/>
              <w:jc w:val="center"/>
              <w:rPr>
                <w:sz w:val="18"/>
                <w:szCs w:val="18"/>
              </w:rPr>
            </w:pPr>
            <w:r>
              <w:rPr>
                <w:sz w:val="18"/>
                <w:szCs w:val="18"/>
              </w:rPr>
              <w:t>2.09×10</w:t>
            </w:r>
            <w:r>
              <w:rPr>
                <w:sz w:val="18"/>
                <w:szCs w:val="18"/>
                <w:vertAlign w:val="superscript"/>
              </w:rPr>
              <w:t>-2</w:t>
            </w:r>
          </w:p>
        </w:tc>
        <w:tc>
          <w:tcPr>
            <w:tcW w:w="913" w:type="dxa"/>
            <w:vAlign w:val="center"/>
          </w:tcPr>
          <w:p>
            <w:pPr>
              <w:spacing w:line="480" w:lineRule="exact"/>
              <w:jc w:val="center"/>
              <w:rPr>
                <w:sz w:val="18"/>
                <w:szCs w:val="18"/>
              </w:rPr>
            </w:pPr>
            <w:r>
              <w:rPr>
                <w:sz w:val="18"/>
                <w:szCs w:val="18"/>
              </w:rPr>
              <w:t>2.60×10</w:t>
            </w:r>
            <w:r>
              <w:rPr>
                <w:sz w:val="18"/>
                <w:szCs w:val="18"/>
                <w:vertAlign w:val="superscript"/>
              </w:rPr>
              <w:t>-3</w:t>
            </w:r>
          </w:p>
        </w:tc>
        <w:tc>
          <w:tcPr>
            <w:tcW w:w="1836" w:type="dxa"/>
            <w:vAlign w:val="center"/>
          </w:tcPr>
          <w:p>
            <w:pPr>
              <w:spacing w:line="480" w:lineRule="exact"/>
              <w:jc w:val="center"/>
              <w:rPr>
                <w:sz w:val="18"/>
                <w:szCs w:val="18"/>
              </w:rPr>
            </w:pPr>
            <w:r>
              <w:rPr>
                <w:sz w:val="18"/>
                <w:szCs w:val="18"/>
              </w:rPr>
              <w:t>6.69×10</w:t>
            </w:r>
            <w:r>
              <w:rPr>
                <w:sz w:val="18"/>
                <w:szCs w:val="18"/>
                <w:vertAlign w:val="superscript"/>
              </w:rPr>
              <w:t>-2</w:t>
            </w:r>
          </w:p>
        </w:tc>
        <w:tc>
          <w:tcPr>
            <w:tcW w:w="936" w:type="dxa"/>
            <w:vAlign w:val="center"/>
          </w:tcPr>
          <w:p>
            <w:pPr>
              <w:spacing w:line="480" w:lineRule="exact"/>
              <w:jc w:val="center"/>
              <w:rPr>
                <w:sz w:val="18"/>
                <w:szCs w:val="18"/>
              </w:rPr>
            </w:pPr>
            <w:r>
              <w:rPr>
                <w:sz w:val="18"/>
                <w:szCs w:val="18"/>
              </w:rPr>
              <w:t>2.83×10</w:t>
            </w:r>
            <w:r>
              <w:rPr>
                <w:sz w:val="18"/>
                <w:szCs w:val="18"/>
                <w:vertAlign w:val="superscript"/>
              </w:rPr>
              <w:t>-2</w:t>
            </w:r>
          </w:p>
        </w:tc>
        <w:tc>
          <w:tcPr>
            <w:tcW w:w="913" w:type="dxa"/>
            <w:vAlign w:val="center"/>
          </w:tcPr>
          <w:p>
            <w:pPr>
              <w:spacing w:line="480" w:lineRule="exact"/>
              <w:jc w:val="center"/>
              <w:rPr>
                <w:sz w:val="18"/>
                <w:szCs w:val="18"/>
              </w:rPr>
            </w:pPr>
            <w:r>
              <w:rPr>
                <w:sz w:val="18"/>
                <w:szCs w:val="18"/>
              </w:rPr>
              <w:t>8.39×10</w:t>
            </w:r>
            <w:r>
              <w:rPr>
                <w:sz w:val="18"/>
                <w:szCs w:val="18"/>
                <w:vertAlign w:val="superscript"/>
              </w:rPr>
              <w:t>-3</w:t>
            </w:r>
          </w:p>
        </w:tc>
        <w:tc>
          <w:tcPr>
            <w:tcW w:w="936" w:type="dxa"/>
            <w:vAlign w:val="center"/>
          </w:tcPr>
          <w:p>
            <w:pPr>
              <w:spacing w:line="480" w:lineRule="exact"/>
              <w:jc w:val="center"/>
              <w:rPr>
                <w:sz w:val="18"/>
                <w:szCs w:val="18"/>
              </w:rPr>
            </w:pPr>
            <w:r>
              <w:rPr>
                <w:sz w:val="18"/>
                <w:szCs w:val="18"/>
              </w:rPr>
              <w:t>1.51×10</w:t>
            </w:r>
            <w:r>
              <w:rPr>
                <w:sz w:val="18"/>
                <w:szCs w:val="18"/>
                <w:vertAlign w:val="superscript"/>
              </w:rPr>
              <w:t>-2</w:t>
            </w:r>
          </w:p>
        </w:tc>
        <w:tc>
          <w:tcPr>
            <w:tcW w:w="936" w:type="dxa"/>
            <w:vAlign w:val="center"/>
          </w:tcPr>
          <w:p>
            <w:pPr>
              <w:spacing w:line="480" w:lineRule="exact"/>
              <w:jc w:val="center"/>
              <w:rPr>
                <w:sz w:val="18"/>
                <w:szCs w:val="18"/>
              </w:rPr>
            </w:pPr>
            <w:r>
              <w:rPr>
                <w:sz w:val="18"/>
                <w:szCs w:val="18"/>
              </w:rPr>
              <w:t>4.89×10</w:t>
            </w:r>
            <w:r>
              <w:rPr>
                <w:sz w:val="18"/>
                <w:szCs w:val="18"/>
                <w:vertAlign w:val="superscript"/>
              </w:rPr>
              <w:t>-3</w:t>
            </w:r>
          </w:p>
        </w:tc>
        <w:tc>
          <w:tcPr>
            <w:tcW w:w="913" w:type="dxa"/>
            <w:vAlign w:val="center"/>
          </w:tcPr>
          <w:p>
            <w:pPr>
              <w:spacing w:line="480" w:lineRule="exact"/>
              <w:jc w:val="center"/>
              <w:rPr>
                <w:sz w:val="18"/>
                <w:szCs w:val="18"/>
              </w:rPr>
            </w:pPr>
            <w:r>
              <w:rPr>
                <w:sz w:val="18"/>
                <w:szCs w:val="18"/>
              </w:rPr>
              <w:t>4.15×10</w:t>
            </w:r>
            <w:r>
              <w:rPr>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597" w:type="dxa"/>
            <w:vMerge w:val="continue"/>
            <w:shd w:val="clear" w:color="auto" w:fill="auto"/>
            <w:vAlign w:val="center"/>
          </w:tcPr>
          <w:p>
            <w:pPr>
              <w:widowControl/>
              <w:adjustRightInd w:val="0"/>
              <w:snapToGrid w:val="0"/>
              <w:spacing w:line="480" w:lineRule="exact"/>
              <w:jc w:val="center"/>
              <w:rPr>
                <w:kern w:val="0"/>
                <w:sz w:val="18"/>
                <w:szCs w:val="18"/>
              </w:rPr>
            </w:pPr>
          </w:p>
        </w:tc>
        <w:tc>
          <w:tcPr>
            <w:tcW w:w="1116" w:type="dxa"/>
            <w:shd w:val="clear" w:color="auto" w:fill="auto"/>
            <w:vAlign w:val="center"/>
          </w:tcPr>
          <w:p>
            <w:pPr>
              <w:widowControl/>
              <w:adjustRightInd w:val="0"/>
              <w:snapToGrid w:val="0"/>
              <w:spacing w:line="480" w:lineRule="exact"/>
              <w:jc w:val="center"/>
              <w:rPr>
                <w:kern w:val="0"/>
                <w:sz w:val="18"/>
                <w:szCs w:val="18"/>
              </w:rPr>
            </w:pPr>
            <w:r>
              <w:rPr>
                <w:kern w:val="0"/>
                <w:sz w:val="18"/>
                <w:szCs w:val="18"/>
              </w:rPr>
              <w:t>背景值</w:t>
            </w:r>
          </w:p>
        </w:tc>
        <w:tc>
          <w:tcPr>
            <w:tcW w:w="913" w:type="dxa"/>
            <w:shd w:val="clear" w:color="auto" w:fill="auto"/>
            <w:vAlign w:val="center"/>
          </w:tcPr>
          <w:p>
            <w:pPr>
              <w:spacing w:line="480" w:lineRule="exact"/>
              <w:jc w:val="center"/>
              <w:rPr>
                <w:sz w:val="18"/>
                <w:szCs w:val="18"/>
              </w:rPr>
            </w:pPr>
            <w:r>
              <w:rPr>
                <w:sz w:val="18"/>
                <w:szCs w:val="18"/>
              </w:rPr>
              <w:t>/</w:t>
            </w:r>
          </w:p>
        </w:tc>
        <w:tc>
          <w:tcPr>
            <w:tcW w:w="913" w:type="dxa"/>
            <w:shd w:val="clear" w:color="auto" w:fill="auto"/>
            <w:vAlign w:val="center"/>
          </w:tcPr>
          <w:p>
            <w:pPr>
              <w:spacing w:line="480" w:lineRule="exact"/>
              <w:jc w:val="center"/>
              <w:rPr>
                <w:sz w:val="18"/>
                <w:szCs w:val="18"/>
              </w:rPr>
            </w:pPr>
            <w:r>
              <w:rPr>
                <w:sz w:val="18"/>
                <w:szCs w:val="18"/>
              </w:rPr>
              <w:t>/</w:t>
            </w:r>
          </w:p>
        </w:tc>
        <w:tc>
          <w:tcPr>
            <w:tcW w:w="913" w:type="dxa"/>
            <w:shd w:val="clear" w:color="auto" w:fill="F3F3F3"/>
            <w:vAlign w:val="center"/>
          </w:tcPr>
          <w:p>
            <w:pPr>
              <w:spacing w:line="480" w:lineRule="exact"/>
              <w:jc w:val="center"/>
              <w:rPr>
                <w:sz w:val="18"/>
                <w:szCs w:val="18"/>
              </w:rPr>
            </w:pPr>
            <w:r>
              <w:rPr>
                <w:sz w:val="18"/>
                <w:szCs w:val="18"/>
              </w:rPr>
              <w:t>/</w:t>
            </w:r>
          </w:p>
        </w:tc>
        <w:tc>
          <w:tcPr>
            <w:tcW w:w="936" w:type="dxa"/>
            <w:shd w:val="clear" w:color="auto" w:fill="auto"/>
            <w:vAlign w:val="center"/>
          </w:tcPr>
          <w:p>
            <w:pPr>
              <w:spacing w:line="480" w:lineRule="exact"/>
              <w:jc w:val="center"/>
              <w:rPr>
                <w:sz w:val="18"/>
                <w:szCs w:val="18"/>
              </w:rPr>
            </w:pPr>
            <w:r>
              <w:rPr>
                <w:sz w:val="18"/>
                <w:szCs w:val="18"/>
              </w:rPr>
              <w:t>0.0780</w:t>
            </w:r>
          </w:p>
        </w:tc>
        <w:tc>
          <w:tcPr>
            <w:tcW w:w="1116" w:type="dxa"/>
            <w:shd w:val="clear" w:color="auto" w:fill="auto"/>
            <w:vAlign w:val="center"/>
          </w:tcPr>
          <w:p>
            <w:pPr>
              <w:spacing w:line="480" w:lineRule="exact"/>
              <w:jc w:val="center"/>
              <w:rPr>
                <w:sz w:val="18"/>
                <w:szCs w:val="18"/>
              </w:rPr>
            </w:pPr>
            <w:r>
              <w:rPr>
                <w:sz w:val="18"/>
                <w:szCs w:val="18"/>
              </w:rPr>
              <w:t>0.0730</w:t>
            </w:r>
          </w:p>
        </w:tc>
        <w:tc>
          <w:tcPr>
            <w:tcW w:w="913" w:type="dxa"/>
            <w:vAlign w:val="center"/>
          </w:tcPr>
          <w:p>
            <w:pPr>
              <w:spacing w:line="480" w:lineRule="exact"/>
              <w:jc w:val="center"/>
              <w:rPr>
                <w:sz w:val="18"/>
                <w:szCs w:val="18"/>
              </w:rPr>
            </w:pPr>
            <w:r>
              <w:rPr>
                <w:sz w:val="18"/>
                <w:szCs w:val="18"/>
              </w:rPr>
              <w:t>/</w:t>
            </w:r>
          </w:p>
        </w:tc>
        <w:tc>
          <w:tcPr>
            <w:tcW w:w="1836" w:type="dxa"/>
            <w:vAlign w:val="center"/>
          </w:tcPr>
          <w:p>
            <w:pPr>
              <w:spacing w:line="480" w:lineRule="exact"/>
              <w:jc w:val="center"/>
              <w:rPr>
                <w:sz w:val="18"/>
                <w:szCs w:val="18"/>
              </w:rPr>
            </w:pPr>
            <w:r>
              <w:rPr>
                <w:sz w:val="18"/>
                <w:szCs w:val="18"/>
              </w:rPr>
              <w:t>0.1060</w:t>
            </w:r>
          </w:p>
        </w:tc>
        <w:tc>
          <w:tcPr>
            <w:tcW w:w="936" w:type="dxa"/>
            <w:vAlign w:val="center"/>
          </w:tcPr>
          <w:p>
            <w:pPr>
              <w:spacing w:line="480" w:lineRule="exact"/>
              <w:jc w:val="center"/>
              <w:rPr>
                <w:sz w:val="18"/>
                <w:szCs w:val="18"/>
              </w:rPr>
            </w:pPr>
            <w:r>
              <w:rPr>
                <w:sz w:val="18"/>
                <w:szCs w:val="18"/>
              </w:rPr>
              <w:t>0.1050</w:t>
            </w:r>
          </w:p>
        </w:tc>
        <w:tc>
          <w:tcPr>
            <w:tcW w:w="913" w:type="dxa"/>
            <w:vAlign w:val="center"/>
          </w:tcPr>
          <w:p>
            <w:pPr>
              <w:spacing w:line="480" w:lineRule="exact"/>
              <w:jc w:val="center"/>
              <w:rPr>
                <w:sz w:val="18"/>
                <w:szCs w:val="18"/>
              </w:rPr>
            </w:pPr>
            <w:r>
              <w:rPr>
                <w:sz w:val="18"/>
                <w:szCs w:val="18"/>
              </w:rPr>
              <w:t>/</w:t>
            </w:r>
          </w:p>
        </w:tc>
        <w:tc>
          <w:tcPr>
            <w:tcW w:w="936" w:type="dxa"/>
            <w:vAlign w:val="center"/>
          </w:tcPr>
          <w:p>
            <w:pPr>
              <w:spacing w:line="480" w:lineRule="exact"/>
              <w:jc w:val="center"/>
              <w:rPr>
                <w:sz w:val="18"/>
                <w:szCs w:val="18"/>
              </w:rPr>
            </w:pPr>
            <w:r>
              <w:rPr>
                <w:sz w:val="18"/>
                <w:szCs w:val="18"/>
              </w:rPr>
              <w:t>0.1280</w:t>
            </w:r>
          </w:p>
        </w:tc>
        <w:tc>
          <w:tcPr>
            <w:tcW w:w="936" w:type="dxa"/>
            <w:vAlign w:val="center"/>
          </w:tcPr>
          <w:p>
            <w:pPr>
              <w:spacing w:line="480" w:lineRule="exact"/>
              <w:jc w:val="center"/>
              <w:rPr>
                <w:sz w:val="18"/>
                <w:szCs w:val="18"/>
              </w:rPr>
            </w:pPr>
            <w:r>
              <w:rPr>
                <w:sz w:val="18"/>
                <w:szCs w:val="18"/>
              </w:rPr>
              <w:t>/</w:t>
            </w:r>
          </w:p>
        </w:tc>
        <w:tc>
          <w:tcPr>
            <w:tcW w:w="913" w:type="dxa"/>
            <w:vAlign w:val="center"/>
          </w:tcPr>
          <w:p>
            <w:pPr>
              <w:spacing w:line="480" w:lineRule="exact"/>
              <w:jc w:val="center"/>
              <w:rPr>
                <w:sz w:val="18"/>
                <w:szCs w:val="18"/>
              </w:rPr>
            </w:pPr>
            <w:r>
              <w:rPr>
                <w:sz w:val="18"/>
                <w:szCs w:val="18"/>
              </w:rPr>
              <w:t>0.0690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597" w:type="dxa"/>
            <w:vMerge w:val="continue"/>
            <w:shd w:val="clear" w:color="auto" w:fill="auto"/>
            <w:vAlign w:val="center"/>
          </w:tcPr>
          <w:p>
            <w:pPr>
              <w:widowControl/>
              <w:adjustRightInd w:val="0"/>
              <w:snapToGrid w:val="0"/>
              <w:spacing w:line="480" w:lineRule="exact"/>
              <w:jc w:val="center"/>
              <w:rPr>
                <w:kern w:val="0"/>
                <w:sz w:val="18"/>
                <w:szCs w:val="18"/>
              </w:rPr>
            </w:pPr>
          </w:p>
        </w:tc>
        <w:tc>
          <w:tcPr>
            <w:tcW w:w="1116" w:type="dxa"/>
            <w:shd w:val="clear" w:color="auto" w:fill="auto"/>
            <w:vAlign w:val="center"/>
          </w:tcPr>
          <w:p>
            <w:pPr>
              <w:widowControl/>
              <w:adjustRightInd w:val="0"/>
              <w:snapToGrid w:val="0"/>
              <w:spacing w:line="480" w:lineRule="exact"/>
              <w:jc w:val="center"/>
              <w:rPr>
                <w:kern w:val="0"/>
                <w:sz w:val="18"/>
                <w:szCs w:val="18"/>
              </w:rPr>
            </w:pPr>
            <w:r>
              <w:rPr>
                <w:kern w:val="0"/>
                <w:sz w:val="18"/>
                <w:szCs w:val="18"/>
              </w:rPr>
              <w:t>叠加值</w:t>
            </w:r>
          </w:p>
        </w:tc>
        <w:tc>
          <w:tcPr>
            <w:tcW w:w="913" w:type="dxa"/>
            <w:shd w:val="clear" w:color="auto" w:fill="auto"/>
            <w:vAlign w:val="center"/>
          </w:tcPr>
          <w:p>
            <w:pPr>
              <w:spacing w:line="480" w:lineRule="exact"/>
              <w:jc w:val="center"/>
              <w:rPr>
                <w:sz w:val="18"/>
                <w:szCs w:val="18"/>
              </w:rPr>
            </w:pPr>
            <w:r>
              <w:rPr>
                <w:sz w:val="18"/>
                <w:szCs w:val="18"/>
              </w:rPr>
              <w:t>3.20×10</w:t>
            </w:r>
            <w:r>
              <w:rPr>
                <w:sz w:val="18"/>
                <w:szCs w:val="18"/>
                <w:vertAlign w:val="superscript"/>
              </w:rPr>
              <w:t>-3</w:t>
            </w:r>
          </w:p>
        </w:tc>
        <w:tc>
          <w:tcPr>
            <w:tcW w:w="913" w:type="dxa"/>
            <w:shd w:val="clear" w:color="auto" w:fill="auto"/>
            <w:vAlign w:val="center"/>
          </w:tcPr>
          <w:p>
            <w:pPr>
              <w:spacing w:line="480" w:lineRule="exact"/>
              <w:jc w:val="center"/>
              <w:rPr>
                <w:sz w:val="18"/>
                <w:szCs w:val="18"/>
              </w:rPr>
            </w:pPr>
            <w:r>
              <w:rPr>
                <w:sz w:val="18"/>
                <w:szCs w:val="18"/>
              </w:rPr>
              <w:t>3.66×10</w:t>
            </w:r>
            <w:r>
              <w:rPr>
                <w:sz w:val="18"/>
                <w:szCs w:val="18"/>
                <w:vertAlign w:val="superscript"/>
              </w:rPr>
              <w:t>-3</w:t>
            </w:r>
          </w:p>
        </w:tc>
        <w:tc>
          <w:tcPr>
            <w:tcW w:w="913" w:type="dxa"/>
            <w:shd w:val="clear" w:color="auto" w:fill="F3F3F3"/>
            <w:vAlign w:val="center"/>
          </w:tcPr>
          <w:p>
            <w:pPr>
              <w:spacing w:line="480" w:lineRule="exact"/>
              <w:jc w:val="center"/>
              <w:rPr>
                <w:sz w:val="18"/>
                <w:szCs w:val="18"/>
              </w:rPr>
            </w:pPr>
            <w:r>
              <w:rPr>
                <w:sz w:val="18"/>
                <w:szCs w:val="18"/>
              </w:rPr>
              <w:t>1.53×10</w:t>
            </w:r>
            <w:r>
              <w:rPr>
                <w:sz w:val="18"/>
                <w:szCs w:val="18"/>
                <w:vertAlign w:val="superscript"/>
              </w:rPr>
              <w:t>-2</w:t>
            </w:r>
          </w:p>
        </w:tc>
        <w:tc>
          <w:tcPr>
            <w:tcW w:w="936" w:type="dxa"/>
            <w:shd w:val="clear" w:color="auto" w:fill="auto"/>
            <w:vAlign w:val="center"/>
          </w:tcPr>
          <w:p>
            <w:pPr>
              <w:spacing w:line="480" w:lineRule="exact"/>
              <w:jc w:val="center"/>
              <w:rPr>
                <w:sz w:val="18"/>
                <w:szCs w:val="18"/>
              </w:rPr>
            </w:pPr>
            <w:r>
              <w:rPr>
                <w:sz w:val="18"/>
                <w:szCs w:val="18"/>
              </w:rPr>
              <w:t>1.24×10</w:t>
            </w:r>
            <w:r>
              <w:rPr>
                <w:sz w:val="18"/>
                <w:szCs w:val="18"/>
                <w:vertAlign w:val="superscript"/>
              </w:rPr>
              <w:t>-1</w:t>
            </w:r>
          </w:p>
        </w:tc>
        <w:tc>
          <w:tcPr>
            <w:tcW w:w="1116" w:type="dxa"/>
            <w:shd w:val="clear" w:color="auto" w:fill="auto"/>
            <w:vAlign w:val="center"/>
          </w:tcPr>
          <w:p>
            <w:pPr>
              <w:spacing w:line="480" w:lineRule="exact"/>
              <w:jc w:val="center"/>
              <w:rPr>
                <w:sz w:val="18"/>
                <w:szCs w:val="18"/>
              </w:rPr>
            </w:pPr>
            <w:r>
              <w:rPr>
                <w:sz w:val="18"/>
                <w:szCs w:val="18"/>
              </w:rPr>
              <w:t>9.39×10</w:t>
            </w:r>
            <w:r>
              <w:rPr>
                <w:sz w:val="18"/>
                <w:szCs w:val="18"/>
                <w:vertAlign w:val="superscript"/>
              </w:rPr>
              <w:t>-2</w:t>
            </w:r>
          </w:p>
        </w:tc>
        <w:tc>
          <w:tcPr>
            <w:tcW w:w="913" w:type="dxa"/>
            <w:vAlign w:val="center"/>
          </w:tcPr>
          <w:p>
            <w:pPr>
              <w:spacing w:line="480" w:lineRule="exact"/>
              <w:jc w:val="center"/>
              <w:rPr>
                <w:sz w:val="18"/>
                <w:szCs w:val="18"/>
              </w:rPr>
            </w:pPr>
            <w:r>
              <w:rPr>
                <w:sz w:val="18"/>
                <w:szCs w:val="18"/>
              </w:rPr>
              <w:t>2.60×10</w:t>
            </w:r>
            <w:r>
              <w:rPr>
                <w:sz w:val="18"/>
                <w:szCs w:val="18"/>
                <w:vertAlign w:val="superscript"/>
              </w:rPr>
              <w:t>-3</w:t>
            </w:r>
          </w:p>
        </w:tc>
        <w:tc>
          <w:tcPr>
            <w:tcW w:w="1836" w:type="dxa"/>
            <w:vAlign w:val="center"/>
          </w:tcPr>
          <w:p>
            <w:pPr>
              <w:spacing w:line="480" w:lineRule="exact"/>
              <w:jc w:val="center"/>
              <w:rPr>
                <w:sz w:val="18"/>
                <w:szCs w:val="18"/>
              </w:rPr>
            </w:pPr>
            <w:r>
              <w:rPr>
                <w:sz w:val="18"/>
                <w:szCs w:val="18"/>
              </w:rPr>
              <w:t>1.73×10</w:t>
            </w:r>
            <w:r>
              <w:rPr>
                <w:sz w:val="18"/>
                <w:szCs w:val="18"/>
                <w:vertAlign w:val="superscript"/>
              </w:rPr>
              <w:t>-1</w:t>
            </w:r>
          </w:p>
        </w:tc>
        <w:tc>
          <w:tcPr>
            <w:tcW w:w="936" w:type="dxa"/>
            <w:vAlign w:val="center"/>
          </w:tcPr>
          <w:p>
            <w:pPr>
              <w:spacing w:line="480" w:lineRule="exact"/>
              <w:jc w:val="center"/>
              <w:rPr>
                <w:sz w:val="18"/>
                <w:szCs w:val="18"/>
              </w:rPr>
            </w:pPr>
            <w:r>
              <w:rPr>
                <w:sz w:val="18"/>
                <w:szCs w:val="18"/>
              </w:rPr>
              <w:t>1.33×10</w:t>
            </w:r>
            <w:r>
              <w:rPr>
                <w:sz w:val="18"/>
                <w:szCs w:val="18"/>
                <w:vertAlign w:val="superscript"/>
              </w:rPr>
              <w:t>-1</w:t>
            </w:r>
          </w:p>
        </w:tc>
        <w:tc>
          <w:tcPr>
            <w:tcW w:w="913" w:type="dxa"/>
            <w:vAlign w:val="center"/>
          </w:tcPr>
          <w:p>
            <w:pPr>
              <w:spacing w:line="480" w:lineRule="exact"/>
              <w:jc w:val="center"/>
              <w:rPr>
                <w:sz w:val="18"/>
                <w:szCs w:val="18"/>
              </w:rPr>
            </w:pPr>
            <w:r>
              <w:rPr>
                <w:sz w:val="18"/>
                <w:szCs w:val="18"/>
              </w:rPr>
              <w:t>8.39×10</w:t>
            </w:r>
            <w:r>
              <w:rPr>
                <w:sz w:val="18"/>
                <w:szCs w:val="18"/>
                <w:vertAlign w:val="superscript"/>
              </w:rPr>
              <w:t>-3</w:t>
            </w:r>
          </w:p>
        </w:tc>
        <w:tc>
          <w:tcPr>
            <w:tcW w:w="936" w:type="dxa"/>
            <w:vAlign w:val="center"/>
          </w:tcPr>
          <w:p>
            <w:pPr>
              <w:spacing w:line="480" w:lineRule="exact"/>
              <w:jc w:val="center"/>
              <w:rPr>
                <w:sz w:val="18"/>
                <w:szCs w:val="18"/>
              </w:rPr>
            </w:pPr>
            <w:r>
              <w:rPr>
                <w:sz w:val="18"/>
                <w:szCs w:val="18"/>
              </w:rPr>
              <w:t>1.43×10</w:t>
            </w:r>
            <w:r>
              <w:rPr>
                <w:sz w:val="18"/>
                <w:szCs w:val="18"/>
                <w:vertAlign w:val="superscript"/>
              </w:rPr>
              <w:t>-1</w:t>
            </w:r>
          </w:p>
        </w:tc>
        <w:tc>
          <w:tcPr>
            <w:tcW w:w="936" w:type="dxa"/>
            <w:vAlign w:val="center"/>
          </w:tcPr>
          <w:p>
            <w:pPr>
              <w:spacing w:line="480" w:lineRule="exact"/>
              <w:jc w:val="center"/>
              <w:rPr>
                <w:sz w:val="18"/>
                <w:szCs w:val="18"/>
              </w:rPr>
            </w:pPr>
            <w:r>
              <w:rPr>
                <w:sz w:val="18"/>
                <w:szCs w:val="18"/>
              </w:rPr>
              <w:t>4.89×10</w:t>
            </w:r>
            <w:r>
              <w:rPr>
                <w:sz w:val="18"/>
                <w:szCs w:val="18"/>
                <w:vertAlign w:val="superscript"/>
              </w:rPr>
              <w:t>-3</w:t>
            </w:r>
          </w:p>
        </w:tc>
        <w:tc>
          <w:tcPr>
            <w:tcW w:w="913" w:type="dxa"/>
            <w:vAlign w:val="center"/>
          </w:tcPr>
          <w:p>
            <w:pPr>
              <w:spacing w:line="480" w:lineRule="exact"/>
              <w:jc w:val="center"/>
              <w:rPr>
                <w:sz w:val="18"/>
                <w:szCs w:val="18"/>
              </w:rPr>
            </w:pPr>
            <w:r>
              <w:rPr>
                <w:sz w:val="18"/>
                <w:szCs w:val="18"/>
              </w:rPr>
              <w:t>7.31×10</w:t>
            </w:r>
            <w:r>
              <w:rPr>
                <w:sz w:val="18"/>
                <w:szCs w:val="1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jc w:val="center"/>
        </w:trPr>
        <w:tc>
          <w:tcPr>
            <w:tcW w:w="597" w:type="dxa"/>
            <w:vMerge w:val="continue"/>
            <w:shd w:val="clear" w:color="auto" w:fill="auto"/>
            <w:vAlign w:val="center"/>
          </w:tcPr>
          <w:p>
            <w:pPr>
              <w:widowControl/>
              <w:adjustRightInd w:val="0"/>
              <w:snapToGrid w:val="0"/>
              <w:spacing w:line="480" w:lineRule="exact"/>
              <w:jc w:val="center"/>
              <w:rPr>
                <w:kern w:val="0"/>
                <w:sz w:val="18"/>
                <w:szCs w:val="18"/>
              </w:rPr>
            </w:pPr>
          </w:p>
        </w:tc>
        <w:tc>
          <w:tcPr>
            <w:tcW w:w="1116" w:type="dxa"/>
            <w:shd w:val="clear" w:color="auto" w:fill="auto"/>
            <w:vAlign w:val="center"/>
          </w:tcPr>
          <w:p>
            <w:pPr>
              <w:widowControl/>
              <w:adjustRightInd w:val="0"/>
              <w:snapToGrid w:val="0"/>
              <w:spacing w:line="480" w:lineRule="exact"/>
              <w:jc w:val="center"/>
              <w:rPr>
                <w:kern w:val="0"/>
                <w:sz w:val="18"/>
                <w:szCs w:val="18"/>
              </w:rPr>
            </w:pPr>
            <w:r>
              <w:rPr>
                <w:kern w:val="0"/>
                <w:sz w:val="18"/>
                <w:szCs w:val="18"/>
              </w:rPr>
              <w:t>占标率(%)</w:t>
            </w:r>
          </w:p>
        </w:tc>
        <w:tc>
          <w:tcPr>
            <w:tcW w:w="913" w:type="dxa"/>
            <w:shd w:val="clear" w:color="auto" w:fill="auto"/>
            <w:vAlign w:val="center"/>
          </w:tcPr>
          <w:p>
            <w:pPr>
              <w:spacing w:line="480" w:lineRule="exact"/>
              <w:jc w:val="center"/>
              <w:rPr>
                <w:sz w:val="18"/>
                <w:szCs w:val="18"/>
              </w:rPr>
            </w:pPr>
            <w:r>
              <w:rPr>
                <w:sz w:val="18"/>
                <w:szCs w:val="18"/>
              </w:rPr>
              <w:t>0.64</w:t>
            </w:r>
          </w:p>
        </w:tc>
        <w:tc>
          <w:tcPr>
            <w:tcW w:w="913" w:type="dxa"/>
            <w:shd w:val="clear" w:color="auto" w:fill="auto"/>
            <w:vAlign w:val="center"/>
          </w:tcPr>
          <w:p>
            <w:pPr>
              <w:spacing w:line="480" w:lineRule="exact"/>
              <w:jc w:val="center"/>
              <w:rPr>
                <w:sz w:val="18"/>
                <w:szCs w:val="18"/>
              </w:rPr>
            </w:pPr>
            <w:r>
              <w:rPr>
                <w:sz w:val="18"/>
                <w:szCs w:val="18"/>
              </w:rPr>
              <w:t>0.73</w:t>
            </w:r>
          </w:p>
        </w:tc>
        <w:tc>
          <w:tcPr>
            <w:tcW w:w="913" w:type="dxa"/>
            <w:shd w:val="clear" w:color="auto" w:fill="F3F3F3"/>
            <w:vAlign w:val="center"/>
          </w:tcPr>
          <w:p>
            <w:pPr>
              <w:spacing w:line="480" w:lineRule="exact"/>
              <w:jc w:val="center"/>
              <w:rPr>
                <w:sz w:val="18"/>
                <w:szCs w:val="18"/>
              </w:rPr>
            </w:pPr>
            <w:r>
              <w:rPr>
                <w:sz w:val="18"/>
                <w:szCs w:val="18"/>
              </w:rPr>
              <w:t>3.06</w:t>
            </w:r>
          </w:p>
        </w:tc>
        <w:tc>
          <w:tcPr>
            <w:tcW w:w="936" w:type="dxa"/>
            <w:shd w:val="clear" w:color="auto" w:fill="auto"/>
            <w:vAlign w:val="center"/>
          </w:tcPr>
          <w:p>
            <w:pPr>
              <w:spacing w:line="480" w:lineRule="exact"/>
              <w:jc w:val="center"/>
              <w:rPr>
                <w:sz w:val="18"/>
                <w:szCs w:val="18"/>
              </w:rPr>
            </w:pPr>
            <w:r>
              <w:rPr>
                <w:sz w:val="18"/>
                <w:szCs w:val="18"/>
              </w:rPr>
              <w:t>24.74</w:t>
            </w:r>
          </w:p>
        </w:tc>
        <w:tc>
          <w:tcPr>
            <w:tcW w:w="1116" w:type="dxa"/>
            <w:shd w:val="clear" w:color="auto" w:fill="auto"/>
            <w:vAlign w:val="center"/>
          </w:tcPr>
          <w:p>
            <w:pPr>
              <w:spacing w:line="480" w:lineRule="exact"/>
              <w:jc w:val="center"/>
              <w:rPr>
                <w:sz w:val="18"/>
                <w:szCs w:val="18"/>
              </w:rPr>
            </w:pPr>
            <w:r>
              <w:rPr>
                <w:sz w:val="18"/>
                <w:szCs w:val="18"/>
              </w:rPr>
              <w:t>18.77</w:t>
            </w:r>
          </w:p>
        </w:tc>
        <w:tc>
          <w:tcPr>
            <w:tcW w:w="913" w:type="dxa"/>
            <w:vAlign w:val="center"/>
          </w:tcPr>
          <w:p>
            <w:pPr>
              <w:spacing w:line="480" w:lineRule="exact"/>
              <w:jc w:val="center"/>
              <w:rPr>
                <w:sz w:val="18"/>
                <w:szCs w:val="18"/>
              </w:rPr>
            </w:pPr>
            <w:r>
              <w:rPr>
                <w:sz w:val="18"/>
                <w:szCs w:val="18"/>
              </w:rPr>
              <w:t>0.52</w:t>
            </w:r>
          </w:p>
        </w:tc>
        <w:tc>
          <w:tcPr>
            <w:tcW w:w="1836" w:type="dxa"/>
            <w:vAlign w:val="center"/>
          </w:tcPr>
          <w:p>
            <w:pPr>
              <w:spacing w:line="480" w:lineRule="exact"/>
              <w:jc w:val="center"/>
              <w:rPr>
                <w:sz w:val="18"/>
                <w:szCs w:val="18"/>
              </w:rPr>
            </w:pPr>
            <w:r>
              <w:rPr>
                <w:sz w:val="18"/>
                <w:szCs w:val="18"/>
              </w:rPr>
              <w:t>34.59</w:t>
            </w:r>
          </w:p>
        </w:tc>
        <w:tc>
          <w:tcPr>
            <w:tcW w:w="936" w:type="dxa"/>
            <w:vAlign w:val="center"/>
          </w:tcPr>
          <w:p>
            <w:pPr>
              <w:spacing w:line="480" w:lineRule="exact"/>
              <w:jc w:val="center"/>
              <w:rPr>
                <w:sz w:val="18"/>
                <w:szCs w:val="18"/>
              </w:rPr>
            </w:pPr>
            <w:r>
              <w:rPr>
                <w:sz w:val="18"/>
                <w:szCs w:val="18"/>
              </w:rPr>
              <w:t>26.67</w:t>
            </w:r>
          </w:p>
        </w:tc>
        <w:tc>
          <w:tcPr>
            <w:tcW w:w="913" w:type="dxa"/>
            <w:vAlign w:val="center"/>
          </w:tcPr>
          <w:p>
            <w:pPr>
              <w:spacing w:line="480" w:lineRule="exact"/>
              <w:jc w:val="center"/>
              <w:rPr>
                <w:sz w:val="18"/>
                <w:szCs w:val="18"/>
              </w:rPr>
            </w:pPr>
            <w:r>
              <w:rPr>
                <w:sz w:val="18"/>
                <w:szCs w:val="18"/>
              </w:rPr>
              <w:t>1.68</w:t>
            </w:r>
          </w:p>
        </w:tc>
        <w:tc>
          <w:tcPr>
            <w:tcW w:w="936" w:type="dxa"/>
            <w:vAlign w:val="center"/>
          </w:tcPr>
          <w:p>
            <w:pPr>
              <w:spacing w:line="480" w:lineRule="exact"/>
              <w:jc w:val="center"/>
              <w:rPr>
                <w:sz w:val="18"/>
                <w:szCs w:val="18"/>
              </w:rPr>
            </w:pPr>
            <w:r>
              <w:rPr>
                <w:sz w:val="18"/>
                <w:szCs w:val="18"/>
              </w:rPr>
              <w:t>28.62</w:t>
            </w:r>
          </w:p>
        </w:tc>
        <w:tc>
          <w:tcPr>
            <w:tcW w:w="936" w:type="dxa"/>
            <w:vAlign w:val="center"/>
          </w:tcPr>
          <w:p>
            <w:pPr>
              <w:spacing w:line="480" w:lineRule="exact"/>
              <w:jc w:val="center"/>
              <w:rPr>
                <w:sz w:val="18"/>
                <w:szCs w:val="18"/>
              </w:rPr>
            </w:pPr>
            <w:r>
              <w:rPr>
                <w:sz w:val="18"/>
                <w:szCs w:val="18"/>
              </w:rPr>
              <w:t>0.98</w:t>
            </w:r>
          </w:p>
        </w:tc>
        <w:tc>
          <w:tcPr>
            <w:tcW w:w="913" w:type="dxa"/>
            <w:vAlign w:val="center"/>
          </w:tcPr>
          <w:p>
            <w:pPr>
              <w:spacing w:line="480" w:lineRule="exact"/>
              <w:jc w:val="center"/>
              <w:rPr>
                <w:sz w:val="18"/>
                <w:szCs w:val="18"/>
              </w:rPr>
            </w:pPr>
            <w:r>
              <w:rPr>
                <w:sz w:val="18"/>
                <w:szCs w:val="18"/>
              </w:rPr>
              <w:t>14.63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597" w:type="dxa"/>
            <w:vMerge w:val="restart"/>
            <w:shd w:val="clear" w:color="auto" w:fill="auto"/>
            <w:vAlign w:val="center"/>
          </w:tcPr>
          <w:p>
            <w:pPr>
              <w:widowControl/>
              <w:adjustRightInd w:val="0"/>
              <w:snapToGrid w:val="0"/>
              <w:spacing w:line="480" w:lineRule="exact"/>
              <w:jc w:val="center"/>
              <w:rPr>
                <w:kern w:val="0"/>
                <w:sz w:val="18"/>
                <w:szCs w:val="18"/>
              </w:rPr>
            </w:pPr>
            <w:r>
              <w:rPr>
                <w:kern w:val="0"/>
                <w:sz w:val="18"/>
                <w:szCs w:val="18"/>
              </w:rPr>
              <w:t>NO</w:t>
            </w:r>
            <w:r>
              <w:rPr>
                <w:kern w:val="0"/>
                <w:sz w:val="18"/>
                <w:szCs w:val="18"/>
                <w:vertAlign w:val="subscript"/>
              </w:rPr>
              <w:t>2</w:t>
            </w:r>
          </w:p>
        </w:tc>
        <w:tc>
          <w:tcPr>
            <w:tcW w:w="1116" w:type="dxa"/>
            <w:shd w:val="clear" w:color="auto" w:fill="auto"/>
            <w:vAlign w:val="center"/>
          </w:tcPr>
          <w:p>
            <w:pPr>
              <w:widowControl/>
              <w:adjustRightInd w:val="0"/>
              <w:snapToGrid w:val="0"/>
              <w:spacing w:line="480" w:lineRule="exact"/>
              <w:jc w:val="center"/>
              <w:rPr>
                <w:kern w:val="0"/>
                <w:sz w:val="18"/>
                <w:szCs w:val="18"/>
              </w:rPr>
            </w:pPr>
            <w:r>
              <w:rPr>
                <w:kern w:val="0"/>
                <w:sz w:val="18"/>
                <w:szCs w:val="18"/>
              </w:rPr>
              <w:t>预测最大值</w:t>
            </w:r>
          </w:p>
        </w:tc>
        <w:tc>
          <w:tcPr>
            <w:tcW w:w="913" w:type="dxa"/>
            <w:shd w:val="clear" w:color="auto" w:fill="auto"/>
            <w:vAlign w:val="center"/>
          </w:tcPr>
          <w:p>
            <w:pPr>
              <w:spacing w:line="480" w:lineRule="exact"/>
              <w:jc w:val="center"/>
              <w:rPr>
                <w:sz w:val="18"/>
                <w:szCs w:val="18"/>
              </w:rPr>
            </w:pPr>
            <w:r>
              <w:rPr>
                <w:sz w:val="18"/>
                <w:szCs w:val="18"/>
              </w:rPr>
              <w:t>0.0217</w:t>
            </w:r>
          </w:p>
        </w:tc>
        <w:tc>
          <w:tcPr>
            <w:tcW w:w="913" w:type="dxa"/>
            <w:shd w:val="clear" w:color="auto" w:fill="auto"/>
            <w:vAlign w:val="center"/>
          </w:tcPr>
          <w:p>
            <w:pPr>
              <w:spacing w:line="480" w:lineRule="exact"/>
              <w:jc w:val="center"/>
              <w:rPr>
                <w:sz w:val="18"/>
                <w:szCs w:val="18"/>
              </w:rPr>
            </w:pPr>
            <w:r>
              <w:rPr>
                <w:sz w:val="18"/>
                <w:szCs w:val="18"/>
              </w:rPr>
              <w:t>0.0248</w:t>
            </w:r>
          </w:p>
        </w:tc>
        <w:tc>
          <w:tcPr>
            <w:tcW w:w="913" w:type="dxa"/>
            <w:shd w:val="clear" w:color="auto" w:fill="F3F3F3"/>
            <w:vAlign w:val="center"/>
          </w:tcPr>
          <w:p>
            <w:pPr>
              <w:spacing w:line="480" w:lineRule="exact"/>
              <w:jc w:val="center"/>
              <w:rPr>
                <w:sz w:val="18"/>
                <w:szCs w:val="18"/>
              </w:rPr>
            </w:pPr>
            <w:r>
              <w:rPr>
                <w:sz w:val="18"/>
                <w:szCs w:val="18"/>
              </w:rPr>
              <w:t>0.1035</w:t>
            </w:r>
          </w:p>
        </w:tc>
        <w:tc>
          <w:tcPr>
            <w:tcW w:w="936" w:type="dxa"/>
            <w:shd w:val="clear" w:color="auto" w:fill="auto"/>
            <w:vAlign w:val="center"/>
          </w:tcPr>
          <w:p>
            <w:pPr>
              <w:spacing w:line="480" w:lineRule="exact"/>
              <w:jc w:val="center"/>
              <w:rPr>
                <w:b/>
                <w:sz w:val="18"/>
                <w:szCs w:val="18"/>
              </w:rPr>
            </w:pPr>
            <w:r>
              <w:rPr>
                <w:b/>
                <w:sz w:val="18"/>
                <w:szCs w:val="18"/>
              </w:rPr>
              <w:t>0.2745</w:t>
            </w:r>
          </w:p>
        </w:tc>
        <w:tc>
          <w:tcPr>
            <w:tcW w:w="1116" w:type="dxa"/>
            <w:shd w:val="clear" w:color="auto" w:fill="auto"/>
            <w:vAlign w:val="center"/>
          </w:tcPr>
          <w:p>
            <w:pPr>
              <w:spacing w:line="480" w:lineRule="exact"/>
              <w:jc w:val="center"/>
              <w:rPr>
                <w:sz w:val="18"/>
                <w:szCs w:val="18"/>
              </w:rPr>
            </w:pPr>
            <w:r>
              <w:rPr>
                <w:sz w:val="18"/>
                <w:szCs w:val="18"/>
              </w:rPr>
              <w:t>0.1411</w:t>
            </w:r>
          </w:p>
        </w:tc>
        <w:tc>
          <w:tcPr>
            <w:tcW w:w="913" w:type="dxa"/>
            <w:vAlign w:val="center"/>
          </w:tcPr>
          <w:p>
            <w:pPr>
              <w:spacing w:line="480" w:lineRule="exact"/>
              <w:jc w:val="center"/>
              <w:rPr>
                <w:sz w:val="18"/>
                <w:szCs w:val="18"/>
              </w:rPr>
            </w:pPr>
            <w:r>
              <w:rPr>
                <w:sz w:val="18"/>
                <w:szCs w:val="18"/>
              </w:rPr>
              <w:t>0.0176</w:t>
            </w:r>
          </w:p>
        </w:tc>
        <w:tc>
          <w:tcPr>
            <w:tcW w:w="1836" w:type="dxa"/>
            <w:vAlign w:val="center"/>
          </w:tcPr>
          <w:p>
            <w:pPr>
              <w:spacing w:line="480" w:lineRule="exact"/>
              <w:jc w:val="center"/>
              <w:rPr>
                <w:b/>
                <w:sz w:val="18"/>
                <w:szCs w:val="18"/>
              </w:rPr>
            </w:pPr>
            <w:r>
              <w:rPr>
                <w:b/>
                <w:sz w:val="18"/>
                <w:szCs w:val="18"/>
              </w:rPr>
              <w:t>0.4251</w:t>
            </w:r>
          </w:p>
        </w:tc>
        <w:tc>
          <w:tcPr>
            <w:tcW w:w="936" w:type="dxa"/>
            <w:vAlign w:val="center"/>
          </w:tcPr>
          <w:p>
            <w:pPr>
              <w:spacing w:line="480" w:lineRule="exact"/>
              <w:jc w:val="center"/>
              <w:rPr>
                <w:sz w:val="18"/>
                <w:szCs w:val="18"/>
              </w:rPr>
            </w:pPr>
            <w:r>
              <w:rPr>
                <w:sz w:val="18"/>
                <w:szCs w:val="18"/>
              </w:rPr>
              <w:t>0.1916</w:t>
            </w:r>
          </w:p>
        </w:tc>
        <w:tc>
          <w:tcPr>
            <w:tcW w:w="913" w:type="dxa"/>
            <w:vAlign w:val="center"/>
          </w:tcPr>
          <w:p>
            <w:pPr>
              <w:spacing w:line="480" w:lineRule="exact"/>
              <w:jc w:val="center"/>
              <w:rPr>
                <w:sz w:val="18"/>
                <w:szCs w:val="18"/>
              </w:rPr>
            </w:pPr>
            <w:r>
              <w:rPr>
                <w:sz w:val="18"/>
                <w:szCs w:val="18"/>
              </w:rPr>
              <w:t>0.0567</w:t>
            </w:r>
          </w:p>
        </w:tc>
        <w:tc>
          <w:tcPr>
            <w:tcW w:w="936" w:type="dxa"/>
            <w:vAlign w:val="center"/>
          </w:tcPr>
          <w:p>
            <w:pPr>
              <w:spacing w:line="480" w:lineRule="exact"/>
              <w:jc w:val="center"/>
              <w:rPr>
                <w:sz w:val="18"/>
                <w:szCs w:val="18"/>
              </w:rPr>
            </w:pPr>
            <w:r>
              <w:rPr>
                <w:sz w:val="18"/>
                <w:szCs w:val="18"/>
              </w:rPr>
              <w:t>0.1022</w:t>
            </w:r>
          </w:p>
        </w:tc>
        <w:tc>
          <w:tcPr>
            <w:tcW w:w="936" w:type="dxa"/>
            <w:vAlign w:val="center"/>
          </w:tcPr>
          <w:p>
            <w:pPr>
              <w:spacing w:line="480" w:lineRule="exact"/>
              <w:jc w:val="center"/>
              <w:rPr>
                <w:sz w:val="18"/>
                <w:szCs w:val="18"/>
              </w:rPr>
            </w:pPr>
            <w:r>
              <w:rPr>
                <w:sz w:val="18"/>
                <w:szCs w:val="18"/>
              </w:rPr>
              <w:t>0.0331</w:t>
            </w:r>
          </w:p>
        </w:tc>
        <w:tc>
          <w:tcPr>
            <w:tcW w:w="913" w:type="dxa"/>
            <w:vAlign w:val="center"/>
          </w:tcPr>
          <w:p>
            <w:pPr>
              <w:spacing w:line="480" w:lineRule="exact"/>
              <w:jc w:val="center"/>
              <w:rPr>
                <w:sz w:val="18"/>
                <w:szCs w:val="18"/>
              </w:rPr>
            </w:pPr>
            <w:r>
              <w:rPr>
                <w:sz w:val="18"/>
                <w:szCs w:val="18"/>
              </w:rPr>
              <w:t>0.0281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597" w:type="dxa"/>
            <w:vMerge w:val="continue"/>
            <w:shd w:val="clear" w:color="auto" w:fill="auto"/>
            <w:vAlign w:val="center"/>
          </w:tcPr>
          <w:p>
            <w:pPr>
              <w:widowControl/>
              <w:adjustRightInd w:val="0"/>
              <w:snapToGrid w:val="0"/>
              <w:spacing w:line="480" w:lineRule="exact"/>
              <w:jc w:val="center"/>
              <w:rPr>
                <w:kern w:val="0"/>
                <w:sz w:val="18"/>
                <w:szCs w:val="18"/>
              </w:rPr>
            </w:pPr>
          </w:p>
        </w:tc>
        <w:tc>
          <w:tcPr>
            <w:tcW w:w="1116" w:type="dxa"/>
            <w:shd w:val="clear" w:color="auto" w:fill="auto"/>
            <w:vAlign w:val="center"/>
          </w:tcPr>
          <w:p>
            <w:pPr>
              <w:widowControl/>
              <w:adjustRightInd w:val="0"/>
              <w:snapToGrid w:val="0"/>
              <w:spacing w:line="480" w:lineRule="exact"/>
              <w:jc w:val="center"/>
              <w:rPr>
                <w:kern w:val="0"/>
                <w:sz w:val="18"/>
                <w:szCs w:val="18"/>
              </w:rPr>
            </w:pPr>
            <w:r>
              <w:rPr>
                <w:kern w:val="0"/>
                <w:sz w:val="18"/>
                <w:szCs w:val="18"/>
              </w:rPr>
              <w:t>背景值</w:t>
            </w:r>
          </w:p>
        </w:tc>
        <w:tc>
          <w:tcPr>
            <w:tcW w:w="913" w:type="dxa"/>
            <w:shd w:val="clear" w:color="auto" w:fill="auto"/>
            <w:vAlign w:val="center"/>
          </w:tcPr>
          <w:p>
            <w:pPr>
              <w:spacing w:line="480" w:lineRule="exact"/>
              <w:jc w:val="center"/>
              <w:rPr>
                <w:sz w:val="18"/>
                <w:szCs w:val="18"/>
              </w:rPr>
            </w:pPr>
            <w:r>
              <w:rPr>
                <w:sz w:val="18"/>
                <w:szCs w:val="18"/>
              </w:rPr>
              <w:t>/</w:t>
            </w:r>
          </w:p>
        </w:tc>
        <w:tc>
          <w:tcPr>
            <w:tcW w:w="913" w:type="dxa"/>
            <w:shd w:val="clear" w:color="auto" w:fill="auto"/>
            <w:vAlign w:val="center"/>
          </w:tcPr>
          <w:p>
            <w:pPr>
              <w:spacing w:line="480" w:lineRule="exact"/>
              <w:jc w:val="center"/>
              <w:rPr>
                <w:sz w:val="18"/>
                <w:szCs w:val="18"/>
              </w:rPr>
            </w:pPr>
            <w:r>
              <w:rPr>
                <w:sz w:val="18"/>
                <w:szCs w:val="18"/>
              </w:rPr>
              <w:t>/</w:t>
            </w:r>
          </w:p>
        </w:tc>
        <w:tc>
          <w:tcPr>
            <w:tcW w:w="913" w:type="dxa"/>
            <w:shd w:val="clear" w:color="auto" w:fill="F3F3F3"/>
            <w:vAlign w:val="center"/>
          </w:tcPr>
          <w:p>
            <w:pPr>
              <w:spacing w:line="480" w:lineRule="exact"/>
              <w:jc w:val="center"/>
              <w:rPr>
                <w:sz w:val="18"/>
                <w:szCs w:val="18"/>
              </w:rPr>
            </w:pPr>
            <w:r>
              <w:rPr>
                <w:sz w:val="18"/>
                <w:szCs w:val="18"/>
              </w:rPr>
              <w:t>/</w:t>
            </w:r>
          </w:p>
        </w:tc>
        <w:tc>
          <w:tcPr>
            <w:tcW w:w="936" w:type="dxa"/>
            <w:shd w:val="clear" w:color="auto" w:fill="auto"/>
            <w:vAlign w:val="center"/>
          </w:tcPr>
          <w:p>
            <w:pPr>
              <w:spacing w:line="480" w:lineRule="exact"/>
              <w:jc w:val="center"/>
              <w:rPr>
                <w:sz w:val="18"/>
                <w:szCs w:val="18"/>
              </w:rPr>
            </w:pPr>
            <w:r>
              <w:rPr>
                <w:sz w:val="18"/>
                <w:szCs w:val="18"/>
              </w:rPr>
              <w:t>0.0540</w:t>
            </w:r>
          </w:p>
        </w:tc>
        <w:tc>
          <w:tcPr>
            <w:tcW w:w="1116" w:type="dxa"/>
            <w:shd w:val="clear" w:color="auto" w:fill="auto"/>
            <w:vAlign w:val="center"/>
          </w:tcPr>
          <w:p>
            <w:pPr>
              <w:spacing w:line="480" w:lineRule="exact"/>
              <w:jc w:val="center"/>
              <w:rPr>
                <w:sz w:val="18"/>
                <w:szCs w:val="18"/>
              </w:rPr>
            </w:pPr>
            <w:r>
              <w:rPr>
                <w:sz w:val="18"/>
                <w:szCs w:val="18"/>
              </w:rPr>
              <w:t>0.0360</w:t>
            </w:r>
          </w:p>
        </w:tc>
        <w:tc>
          <w:tcPr>
            <w:tcW w:w="913" w:type="dxa"/>
            <w:vAlign w:val="center"/>
          </w:tcPr>
          <w:p>
            <w:pPr>
              <w:spacing w:line="480" w:lineRule="exact"/>
              <w:jc w:val="center"/>
              <w:rPr>
                <w:sz w:val="18"/>
                <w:szCs w:val="18"/>
              </w:rPr>
            </w:pPr>
            <w:r>
              <w:rPr>
                <w:sz w:val="18"/>
                <w:szCs w:val="18"/>
              </w:rPr>
              <w:t>/</w:t>
            </w:r>
          </w:p>
        </w:tc>
        <w:tc>
          <w:tcPr>
            <w:tcW w:w="1836" w:type="dxa"/>
            <w:vAlign w:val="center"/>
          </w:tcPr>
          <w:p>
            <w:pPr>
              <w:spacing w:line="480" w:lineRule="exact"/>
              <w:jc w:val="center"/>
              <w:rPr>
                <w:sz w:val="18"/>
                <w:szCs w:val="18"/>
              </w:rPr>
            </w:pPr>
            <w:r>
              <w:rPr>
                <w:sz w:val="18"/>
                <w:szCs w:val="18"/>
              </w:rPr>
              <w:t>0.0630</w:t>
            </w:r>
          </w:p>
        </w:tc>
        <w:tc>
          <w:tcPr>
            <w:tcW w:w="936" w:type="dxa"/>
            <w:vAlign w:val="center"/>
          </w:tcPr>
          <w:p>
            <w:pPr>
              <w:spacing w:line="480" w:lineRule="exact"/>
              <w:jc w:val="center"/>
              <w:rPr>
                <w:sz w:val="18"/>
                <w:szCs w:val="18"/>
              </w:rPr>
            </w:pPr>
            <w:r>
              <w:rPr>
                <w:sz w:val="18"/>
                <w:szCs w:val="18"/>
              </w:rPr>
              <w:t>0.0630</w:t>
            </w:r>
          </w:p>
        </w:tc>
        <w:tc>
          <w:tcPr>
            <w:tcW w:w="913" w:type="dxa"/>
            <w:vAlign w:val="center"/>
          </w:tcPr>
          <w:p>
            <w:pPr>
              <w:spacing w:line="480" w:lineRule="exact"/>
              <w:jc w:val="center"/>
              <w:rPr>
                <w:sz w:val="18"/>
                <w:szCs w:val="18"/>
              </w:rPr>
            </w:pPr>
            <w:r>
              <w:rPr>
                <w:sz w:val="18"/>
                <w:szCs w:val="18"/>
              </w:rPr>
              <w:t>/</w:t>
            </w:r>
          </w:p>
        </w:tc>
        <w:tc>
          <w:tcPr>
            <w:tcW w:w="936" w:type="dxa"/>
            <w:vAlign w:val="center"/>
          </w:tcPr>
          <w:p>
            <w:pPr>
              <w:spacing w:line="480" w:lineRule="exact"/>
              <w:jc w:val="center"/>
              <w:rPr>
                <w:sz w:val="18"/>
                <w:szCs w:val="18"/>
              </w:rPr>
            </w:pPr>
            <w:r>
              <w:rPr>
                <w:sz w:val="18"/>
                <w:szCs w:val="18"/>
              </w:rPr>
              <w:t>0.0570</w:t>
            </w:r>
          </w:p>
        </w:tc>
        <w:tc>
          <w:tcPr>
            <w:tcW w:w="936" w:type="dxa"/>
            <w:vAlign w:val="center"/>
          </w:tcPr>
          <w:p>
            <w:pPr>
              <w:spacing w:line="480" w:lineRule="exact"/>
              <w:jc w:val="center"/>
              <w:rPr>
                <w:sz w:val="18"/>
                <w:szCs w:val="18"/>
              </w:rPr>
            </w:pPr>
            <w:r>
              <w:rPr>
                <w:sz w:val="18"/>
                <w:szCs w:val="18"/>
              </w:rPr>
              <w:t>/</w:t>
            </w:r>
          </w:p>
        </w:tc>
        <w:tc>
          <w:tcPr>
            <w:tcW w:w="913" w:type="dxa"/>
            <w:vAlign w:val="center"/>
          </w:tcPr>
          <w:p>
            <w:pPr>
              <w:spacing w:line="480" w:lineRule="exact"/>
              <w:jc w:val="center"/>
              <w:rPr>
                <w:sz w:val="18"/>
                <w:szCs w:val="18"/>
              </w:rPr>
            </w:pPr>
            <w:r>
              <w:rPr>
                <w:sz w:val="18"/>
                <w:szCs w:val="18"/>
              </w:rPr>
              <w:t>0.0480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597" w:type="dxa"/>
            <w:vMerge w:val="continue"/>
            <w:shd w:val="clear" w:color="auto" w:fill="auto"/>
            <w:vAlign w:val="center"/>
          </w:tcPr>
          <w:p>
            <w:pPr>
              <w:widowControl/>
              <w:adjustRightInd w:val="0"/>
              <w:snapToGrid w:val="0"/>
              <w:spacing w:line="480" w:lineRule="exact"/>
              <w:jc w:val="center"/>
              <w:rPr>
                <w:kern w:val="0"/>
                <w:sz w:val="18"/>
                <w:szCs w:val="18"/>
              </w:rPr>
            </w:pPr>
          </w:p>
        </w:tc>
        <w:tc>
          <w:tcPr>
            <w:tcW w:w="1116" w:type="dxa"/>
            <w:shd w:val="clear" w:color="auto" w:fill="auto"/>
            <w:vAlign w:val="center"/>
          </w:tcPr>
          <w:p>
            <w:pPr>
              <w:widowControl/>
              <w:adjustRightInd w:val="0"/>
              <w:snapToGrid w:val="0"/>
              <w:spacing w:line="480" w:lineRule="exact"/>
              <w:jc w:val="center"/>
              <w:rPr>
                <w:kern w:val="0"/>
                <w:sz w:val="18"/>
                <w:szCs w:val="18"/>
              </w:rPr>
            </w:pPr>
            <w:r>
              <w:rPr>
                <w:kern w:val="0"/>
                <w:sz w:val="18"/>
                <w:szCs w:val="18"/>
              </w:rPr>
              <w:t>叠加值</w:t>
            </w:r>
          </w:p>
        </w:tc>
        <w:tc>
          <w:tcPr>
            <w:tcW w:w="913" w:type="dxa"/>
            <w:shd w:val="clear" w:color="auto" w:fill="auto"/>
            <w:vAlign w:val="center"/>
          </w:tcPr>
          <w:p>
            <w:pPr>
              <w:spacing w:line="480" w:lineRule="exact"/>
              <w:jc w:val="center"/>
              <w:rPr>
                <w:sz w:val="18"/>
                <w:szCs w:val="18"/>
              </w:rPr>
            </w:pPr>
            <w:r>
              <w:rPr>
                <w:sz w:val="18"/>
                <w:szCs w:val="18"/>
              </w:rPr>
              <w:t>0.0217</w:t>
            </w:r>
          </w:p>
        </w:tc>
        <w:tc>
          <w:tcPr>
            <w:tcW w:w="913" w:type="dxa"/>
            <w:shd w:val="clear" w:color="auto" w:fill="auto"/>
            <w:vAlign w:val="center"/>
          </w:tcPr>
          <w:p>
            <w:pPr>
              <w:spacing w:line="480" w:lineRule="exact"/>
              <w:jc w:val="center"/>
              <w:rPr>
                <w:sz w:val="18"/>
                <w:szCs w:val="18"/>
              </w:rPr>
            </w:pPr>
            <w:r>
              <w:rPr>
                <w:sz w:val="18"/>
                <w:szCs w:val="18"/>
              </w:rPr>
              <w:t>0.0248</w:t>
            </w:r>
          </w:p>
        </w:tc>
        <w:tc>
          <w:tcPr>
            <w:tcW w:w="913" w:type="dxa"/>
            <w:shd w:val="clear" w:color="auto" w:fill="F3F3F3"/>
            <w:vAlign w:val="center"/>
          </w:tcPr>
          <w:p>
            <w:pPr>
              <w:spacing w:line="480" w:lineRule="exact"/>
              <w:jc w:val="center"/>
              <w:rPr>
                <w:sz w:val="18"/>
                <w:szCs w:val="18"/>
              </w:rPr>
            </w:pPr>
            <w:r>
              <w:rPr>
                <w:sz w:val="18"/>
                <w:szCs w:val="18"/>
              </w:rPr>
              <w:t>0.1035</w:t>
            </w:r>
          </w:p>
        </w:tc>
        <w:tc>
          <w:tcPr>
            <w:tcW w:w="936" w:type="dxa"/>
            <w:shd w:val="clear" w:color="auto" w:fill="auto"/>
            <w:vAlign w:val="center"/>
          </w:tcPr>
          <w:p>
            <w:pPr>
              <w:spacing w:line="480" w:lineRule="exact"/>
              <w:jc w:val="center"/>
              <w:rPr>
                <w:sz w:val="18"/>
                <w:szCs w:val="18"/>
              </w:rPr>
            </w:pPr>
            <w:r>
              <w:rPr>
                <w:sz w:val="18"/>
                <w:szCs w:val="18"/>
              </w:rPr>
              <w:t>0.3285</w:t>
            </w:r>
          </w:p>
        </w:tc>
        <w:tc>
          <w:tcPr>
            <w:tcW w:w="1116" w:type="dxa"/>
            <w:shd w:val="clear" w:color="auto" w:fill="auto"/>
            <w:vAlign w:val="center"/>
          </w:tcPr>
          <w:p>
            <w:pPr>
              <w:spacing w:line="480" w:lineRule="exact"/>
              <w:jc w:val="center"/>
              <w:rPr>
                <w:sz w:val="18"/>
                <w:szCs w:val="18"/>
              </w:rPr>
            </w:pPr>
            <w:r>
              <w:rPr>
                <w:sz w:val="18"/>
                <w:szCs w:val="18"/>
              </w:rPr>
              <w:t>0.1771</w:t>
            </w:r>
          </w:p>
        </w:tc>
        <w:tc>
          <w:tcPr>
            <w:tcW w:w="913" w:type="dxa"/>
            <w:vAlign w:val="center"/>
          </w:tcPr>
          <w:p>
            <w:pPr>
              <w:spacing w:line="480" w:lineRule="exact"/>
              <w:jc w:val="center"/>
              <w:rPr>
                <w:sz w:val="18"/>
                <w:szCs w:val="18"/>
              </w:rPr>
            </w:pPr>
            <w:r>
              <w:rPr>
                <w:sz w:val="18"/>
                <w:szCs w:val="18"/>
              </w:rPr>
              <w:t>0.0176</w:t>
            </w:r>
          </w:p>
        </w:tc>
        <w:tc>
          <w:tcPr>
            <w:tcW w:w="1836" w:type="dxa"/>
            <w:vAlign w:val="center"/>
          </w:tcPr>
          <w:p>
            <w:pPr>
              <w:spacing w:line="480" w:lineRule="exact"/>
              <w:jc w:val="center"/>
              <w:rPr>
                <w:sz w:val="18"/>
                <w:szCs w:val="18"/>
              </w:rPr>
            </w:pPr>
            <w:r>
              <w:rPr>
                <w:sz w:val="18"/>
                <w:szCs w:val="18"/>
              </w:rPr>
              <w:t>0.4881</w:t>
            </w:r>
          </w:p>
        </w:tc>
        <w:tc>
          <w:tcPr>
            <w:tcW w:w="936" w:type="dxa"/>
            <w:vAlign w:val="center"/>
          </w:tcPr>
          <w:p>
            <w:pPr>
              <w:spacing w:line="480" w:lineRule="exact"/>
              <w:jc w:val="center"/>
              <w:rPr>
                <w:b/>
                <w:sz w:val="18"/>
                <w:szCs w:val="18"/>
              </w:rPr>
            </w:pPr>
            <w:r>
              <w:rPr>
                <w:b/>
                <w:sz w:val="18"/>
                <w:szCs w:val="18"/>
              </w:rPr>
              <w:t>0.2546</w:t>
            </w:r>
          </w:p>
        </w:tc>
        <w:tc>
          <w:tcPr>
            <w:tcW w:w="913" w:type="dxa"/>
            <w:vAlign w:val="center"/>
          </w:tcPr>
          <w:p>
            <w:pPr>
              <w:spacing w:line="480" w:lineRule="exact"/>
              <w:jc w:val="center"/>
              <w:rPr>
                <w:sz w:val="18"/>
                <w:szCs w:val="18"/>
              </w:rPr>
            </w:pPr>
            <w:r>
              <w:rPr>
                <w:sz w:val="18"/>
                <w:szCs w:val="18"/>
              </w:rPr>
              <w:t>0.0567</w:t>
            </w:r>
          </w:p>
        </w:tc>
        <w:tc>
          <w:tcPr>
            <w:tcW w:w="936" w:type="dxa"/>
            <w:vAlign w:val="center"/>
          </w:tcPr>
          <w:p>
            <w:pPr>
              <w:spacing w:line="480" w:lineRule="exact"/>
              <w:jc w:val="center"/>
              <w:rPr>
                <w:sz w:val="18"/>
                <w:szCs w:val="18"/>
              </w:rPr>
            </w:pPr>
            <w:r>
              <w:rPr>
                <w:sz w:val="18"/>
                <w:szCs w:val="18"/>
              </w:rPr>
              <w:t>0.1592</w:t>
            </w:r>
          </w:p>
        </w:tc>
        <w:tc>
          <w:tcPr>
            <w:tcW w:w="936" w:type="dxa"/>
            <w:vAlign w:val="center"/>
          </w:tcPr>
          <w:p>
            <w:pPr>
              <w:spacing w:line="480" w:lineRule="exact"/>
              <w:jc w:val="center"/>
              <w:rPr>
                <w:sz w:val="18"/>
                <w:szCs w:val="18"/>
              </w:rPr>
            </w:pPr>
            <w:r>
              <w:rPr>
                <w:sz w:val="18"/>
                <w:szCs w:val="18"/>
              </w:rPr>
              <w:t>0.0331</w:t>
            </w:r>
          </w:p>
        </w:tc>
        <w:tc>
          <w:tcPr>
            <w:tcW w:w="913" w:type="dxa"/>
            <w:vAlign w:val="center"/>
          </w:tcPr>
          <w:p>
            <w:pPr>
              <w:spacing w:line="480" w:lineRule="exact"/>
              <w:jc w:val="center"/>
              <w:rPr>
                <w:sz w:val="18"/>
                <w:szCs w:val="18"/>
              </w:rPr>
            </w:pPr>
            <w:r>
              <w:rPr>
                <w:sz w:val="18"/>
                <w:szCs w:val="18"/>
              </w:rPr>
              <w:t>0.0761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597" w:type="dxa"/>
            <w:vMerge w:val="continue"/>
            <w:shd w:val="clear" w:color="auto" w:fill="auto"/>
            <w:vAlign w:val="center"/>
          </w:tcPr>
          <w:p>
            <w:pPr>
              <w:widowControl/>
              <w:adjustRightInd w:val="0"/>
              <w:snapToGrid w:val="0"/>
              <w:spacing w:line="480" w:lineRule="exact"/>
              <w:jc w:val="center"/>
              <w:rPr>
                <w:kern w:val="0"/>
                <w:sz w:val="18"/>
                <w:szCs w:val="18"/>
              </w:rPr>
            </w:pPr>
          </w:p>
        </w:tc>
        <w:tc>
          <w:tcPr>
            <w:tcW w:w="1116" w:type="dxa"/>
            <w:shd w:val="clear" w:color="auto" w:fill="auto"/>
            <w:vAlign w:val="center"/>
          </w:tcPr>
          <w:p>
            <w:pPr>
              <w:widowControl/>
              <w:adjustRightInd w:val="0"/>
              <w:snapToGrid w:val="0"/>
              <w:spacing w:line="480" w:lineRule="exact"/>
              <w:jc w:val="center"/>
              <w:rPr>
                <w:kern w:val="0"/>
                <w:sz w:val="18"/>
                <w:szCs w:val="18"/>
              </w:rPr>
            </w:pPr>
            <w:r>
              <w:rPr>
                <w:kern w:val="0"/>
                <w:sz w:val="18"/>
                <w:szCs w:val="18"/>
              </w:rPr>
              <w:t>占标率(%)</w:t>
            </w:r>
          </w:p>
        </w:tc>
        <w:tc>
          <w:tcPr>
            <w:tcW w:w="913" w:type="dxa"/>
            <w:shd w:val="clear" w:color="auto" w:fill="auto"/>
            <w:vAlign w:val="center"/>
          </w:tcPr>
          <w:p>
            <w:pPr>
              <w:spacing w:line="480" w:lineRule="exact"/>
              <w:jc w:val="center"/>
              <w:rPr>
                <w:sz w:val="18"/>
                <w:szCs w:val="18"/>
              </w:rPr>
            </w:pPr>
            <w:r>
              <w:rPr>
                <w:sz w:val="18"/>
                <w:szCs w:val="18"/>
              </w:rPr>
              <w:t>9.02</w:t>
            </w:r>
          </w:p>
        </w:tc>
        <w:tc>
          <w:tcPr>
            <w:tcW w:w="913" w:type="dxa"/>
            <w:shd w:val="clear" w:color="auto" w:fill="auto"/>
            <w:vAlign w:val="center"/>
          </w:tcPr>
          <w:p>
            <w:pPr>
              <w:spacing w:line="480" w:lineRule="exact"/>
              <w:jc w:val="center"/>
              <w:rPr>
                <w:sz w:val="18"/>
                <w:szCs w:val="18"/>
              </w:rPr>
            </w:pPr>
            <w:r>
              <w:rPr>
                <w:sz w:val="18"/>
                <w:szCs w:val="18"/>
              </w:rPr>
              <w:t>10.32</w:t>
            </w:r>
          </w:p>
        </w:tc>
        <w:tc>
          <w:tcPr>
            <w:tcW w:w="913" w:type="dxa"/>
            <w:shd w:val="clear" w:color="auto" w:fill="F3F3F3"/>
            <w:vAlign w:val="center"/>
          </w:tcPr>
          <w:p>
            <w:pPr>
              <w:spacing w:line="480" w:lineRule="exact"/>
              <w:jc w:val="center"/>
              <w:rPr>
                <w:sz w:val="18"/>
                <w:szCs w:val="18"/>
              </w:rPr>
            </w:pPr>
            <w:r>
              <w:rPr>
                <w:sz w:val="18"/>
                <w:szCs w:val="18"/>
              </w:rPr>
              <w:t>43.14</w:t>
            </w:r>
          </w:p>
        </w:tc>
        <w:tc>
          <w:tcPr>
            <w:tcW w:w="936" w:type="dxa"/>
            <w:shd w:val="clear" w:color="auto" w:fill="auto"/>
            <w:vAlign w:val="center"/>
          </w:tcPr>
          <w:p>
            <w:pPr>
              <w:spacing w:line="480" w:lineRule="exact"/>
              <w:jc w:val="center"/>
              <w:rPr>
                <w:rFonts w:hint="eastAsia"/>
                <w:sz w:val="18"/>
                <w:szCs w:val="18"/>
              </w:rPr>
            </w:pPr>
            <w:r>
              <w:rPr>
                <w:rFonts w:hint="eastAsia"/>
                <w:sz w:val="18"/>
                <w:szCs w:val="18"/>
              </w:rPr>
              <w:t>136.88</w:t>
            </w:r>
          </w:p>
        </w:tc>
        <w:tc>
          <w:tcPr>
            <w:tcW w:w="1116" w:type="dxa"/>
            <w:shd w:val="clear" w:color="auto" w:fill="auto"/>
            <w:vAlign w:val="center"/>
          </w:tcPr>
          <w:p>
            <w:pPr>
              <w:spacing w:line="480" w:lineRule="exact"/>
              <w:jc w:val="center"/>
              <w:rPr>
                <w:sz w:val="18"/>
                <w:szCs w:val="18"/>
              </w:rPr>
            </w:pPr>
            <w:r>
              <w:rPr>
                <w:sz w:val="18"/>
                <w:szCs w:val="18"/>
              </w:rPr>
              <w:t>73.79</w:t>
            </w:r>
          </w:p>
        </w:tc>
        <w:tc>
          <w:tcPr>
            <w:tcW w:w="913" w:type="dxa"/>
            <w:vAlign w:val="center"/>
          </w:tcPr>
          <w:p>
            <w:pPr>
              <w:spacing w:line="480" w:lineRule="exact"/>
              <w:jc w:val="center"/>
              <w:rPr>
                <w:sz w:val="18"/>
                <w:szCs w:val="18"/>
              </w:rPr>
            </w:pPr>
            <w:r>
              <w:rPr>
                <w:sz w:val="18"/>
                <w:szCs w:val="18"/>
              </w:rPr>
              <w:t>7.34</w:t>
            </w:r>
          </w:p>
        </w:tc>
        <w:tc>
          <w:tcPr>
            <w:tcW w:w="1836" w:type="dxa"/>
            <w:vAlign w:val="center"/>
          </w:tcPr>
          <w:p>
            <w:pPr>
              <w:spacing w:line="480" w:lineRule="exact"/>
              <w:jc w:val="center"/>
              <w:rPr>
                <w:rFonts w:hint="eastAsia"/>
                <w:sz w:val="18"/>
                <w:szCs w:val="18"/>
              </w:rPr>
            </w:pPr>
            <w:r>
              <w:rPr>
                <w:rFonts w:hint="eastAsia"/>
                <w:sz w:val="18"/>
                <w:szCs w:val="18"/>
              </w:rPr>
              <w:t>203.38</w:t>
            </w:r>
          </w:p>
        </w:tc>
        <w:tc>
          <w:tcPr>
            <w:tcW w:w="936" w:type="dxa"/>
            <w:vAlign w:val="center"/>
          </w:tcPr>
          <w:p>
            <w:pPr>
              <w:spacing w:line="480" w:lineRule="exact"/>
              <w:jc w:val="center"/>
              <w:rPr>
                <w:rFonts w:hint="eastAsia"/>
                <w:sz w:val="18"/>
                <w:szCs w:val="18"/>
              </w:rPr>
            </w:pPr>
            <w:r>
              <w:rPr>
                <w:rFonts w:hint="eastAsia"/>
                <w:sz w:val="18"/>
                <w:szCs w:val="18"/>
              </w:rPr>
              <w:t>106.08</w:t>
            </w:r>
          </w:p>
        </w:tc>
        <w:tc>
          <w:tcPr>
            <w:tcW w:w="913" w:type="dxa"/>
            <w:vAlign w:val="center"/>
          </w:tcPr>
          <w:p>
            <w:pPr>
              <w:spacing w:line="480" w:lineRule="exact"/>
              <w:jc w:val="center"/>
              <w:rPr>
                <w:sz w:val="18"/>
                <w:szCs w:val="18"/>
              </w:rPr>
            </w:pPr>
            <w:r>
              <w:rPr>
                <w:sz w:val="18"/>
                <w:szCs w:val="18"/>
              </w:rPr>
              <w:t>23.64</w:t>
            </w:r>
          </w:p>
        </w:tc>
        <w:tc>
          <w:tcPr>
            <w:tcW w:w="936" w:type="dxa"/>
            <w:vAlign w:val="center"/>
          </w:tcPr>
          <w:p>
            <w:pPr>
              <w:spacing w:line="480" w:lineRule="exact"/>
              <w:jc w:val="center"/>
              <w:rPr>
                <w:sz w:val="18"/>
                <w:szCs w:val="18"/>
              </w:rPr>
            </w:pPr>
            <w:r>
              <w:rPr>
                <w:sz w:val="18"/>
                <w:szCs w:val="18"/>
              </w:rPr>
              <w:t>66.34</w:t>
            </w:r>
          </w:p>
        </w:tc>
        <w:tc>
          <w:tcPr>
            <w:tcW w:w="936" w:type="dxa"/>
            <w:vAlign w:val="center"/>
          </w:tcPr>
          <w:p>
            <w:pPr>
              <w:spacing w:line="480" w:lineRule="exact"/>
              <w:jc w:val="center"/>
              <w:rPr>
                <w:sz w:val="18"/>
                <w:szCs w:val="18"/>
              </w:rPr>
            </w:pPr>
            <w:r>
              <w:rPr>
                <w:sz w:val="18"/>
                <w:szCs w:val="18"/>
              </w:rPr>
              <w:t>13.77</w:t>
            </w:r>
          </w:p>
        </w:tc>
        <w:tc>
          <w:tcPr>
            <w:tcW w:w="913" w:type="dxa"/>
            <w:vAlign w:val="center"/>
          </w:tcPr>
          <w:p>
            <w:pPr>
              <w:spacing w:line="480" w:lineRule="exact"/>
              <w:jc w:val="center"/>
              <w:rPr>
                <w:sz w:val="18"/>
                <w:szCs w:val="18"/>
              </w:rPr>
            </w:pPr>
            <w:r>
              <w:rPr>
                <w:sz w:val="18"/>
                <w:szCs w:val="18"/>
              </w:rPr>
              <w:t>31.69</w:t>
            </w:r>
          </w:p>
        </w:tc>
      </w:tr>
    </w:tbl>
    <w:p>
      <w:pPr>
        <w:adjustRightInd w:val="0"/>
        <w:snapToGrid w:val="0"/>
        <w:spacing w:line="360" w:lineRule="auto"/>
        <w:rPr>
          <w:rFonts w:hint="eastAsia"/>
          <w:sz w:val="18"/>
          <w:szCs w:val="18"/>
        </w:rPr>
      </w:pPr>
      <w:r>
        <w:rPr>
          <w:sz w:val="18"/>
          <w:szCs w:val="18"/>
        </w:rPr>
        <w:t>注：* PM</w:t>
      </w:r>
      <w:r>
        <w:rPr>
          <w:sz w:val="18"/>
          <w:szCs w:val="18"/>
          <w:vertAlign w:val="subscript"/>
        </w:rPr>
        <w:t>10</w:t>
      </w:r>
      <w:r>
        <w:rPr>
          <w:sz w:val="18"/>
          <w:szCs w:val="18"/>
        </w:rPr>
        <w:t>的小时浓度标准按照</w:t>
      </w:r>
      <w:r>
        <w:rPr>
          <w:rFonts w:hint="eastAsia"/>
          <w:sz w:val="18"/>
          <w:szCs w:val="18"/>
        </w:rPr>
        <w:t>大气</w:t>
      </w:r>
      <w:r>
        <w:rPr>
          <w:sz w:val="18"/>
          <w:szCs w:val="18"/>
        </w:rPr>
        <w:t>导则要求为其日均浓度标准3倍</w:t>
      </w:r>
      <w:r>
        <w:rPr>
          <w:rFonts w:hint="eastAsia"/>
          <w:sz w:val="18"/>
          <w:szCs w:val="18"/>
        </w:rPr>
        <w:t>。</w:t>
      </w:r>
      <w:r>
        <w:rPr>
          <w:sz w:val="18"/>
          <w:szCs w:val="18"/>
        </w:rPr>
        <w:t xml:space="preserve"> </w:t>
      </w:r>
    </w:p>
    <w:p>
      <w:pPr>
        <w:adjustRightInd w:val="0"/>
        <w:snapToGrid w:val="0"/>
        <w:spacing w:line="360" w:lineRule="auto"/>
        <w:rPr>
          <w:rFonts w:hint="eastAsia"/>
          <w:szCs w:val="21"/>
        </w:rPr>
      </w:pPr>
    </w:p>
    <w:p>
      <w:pPr>
        <w:spacing w:line="360" w:lineRule="auto"/>
        <w:sectPr>
          <w:pgSz w:w="16838" w:h="11906" w:orient="landscape"/>
          <w:pgMar w:top="1418" w:right="1418" w:bottom="1418" w:left="1418" w:header="851" w:footer="992" w:gutter="0"/>
          <w:paperSrc w:first="20070" w:other="20070"/>
          <w:cols w:space="425" w:num="1"/>
          <w:docGrid w:linePitch="312" w:charSpace="0"/>
        </w:sectPr>
      </w:pPr>
    </w:p>
    <w:p>
      <w:pPr>
        <w:adjustRightInd w:val="0"/>
        <w:snapToGrid w:val="0"/>
        <w:spacing w:line="480" w:lineRule="exact"/>
        <w:ind w:firstLine="480"/>
        <w:rPr>
          <w:rFonts w:hint="eastAsia"/>
        </w:rPr>
      </w:pPr>
      <w:r>
        <w:rPr>
          <w:rFonts w:hint="eastAsia"/>
        </w:rPr>
        <w:t>为进一步分析技改项目NO</w:t>
      </w:r>
      <w:r>
        <w:rPr>
          <w:rFonts w:hint="eastAsia"/>
          <w:vertAlign w:val="subscript"/>
        </w:rPr>
        <w:t>2</w:t>
      </w:r>
      <w:r>
        <w:rPr>
          <w:rFonts w:hint="eastAsia"/>
        </w:rPr>
        <w:t>对各超标敏感点的影响，本评价对其超标的小时值（叠加现状背景值后）进行了统计，结果见表8-13。</w:t>
      </w:r>
    </w:p>
    <w:p>
      <w:pPr>
        <w:pStyle w:val="27"/>
        <w:spacing w:line="480" w:lineRule="exact"/>
        <w:rPr>
          <w:rFonts w:hint="eastAsia" w:ascii="宋体" w:hAnsi="宋体" w:eastAsia="宋体"/>
          <w:b/>
          <w:sz w:val="24"/>
          <w:szCs w:val="24"/>
        </w:rPr>
      </w:pPr>
      <w:r>
        <w:rPr>
          <w:rFonts w:ascii="宋体" w:hAnsi="宋体" w:eastAsia="宋体"/>
          <w:b/>
          <w:sz w:val="24"/>
          <w:szCs w:val="24"/>
        </w:rPr>
        <w:t>表</w:t>
      </w:r>
      <w:r>
        <w:rPr>
          <w:rFonts w:hint="eastAsia" w:ascii="宋体" w:hAnsi="宋体" w:eastAsia="宋体"/>
          <w:b/>
          <w:sz w:val="24"/>
          <w:szCs w:val="24"/>
        </w:rPr>
        <w:t>8</w:t>
      </w:r>
      <w:r>
        <w:rPr>
          <w:rFonts w:ascii="宋体" w:hAnsi="宋体" w:eastAsia="宋体"/>
          <w:b/>
          <w:sz w:val="24"/>
          <w:szCs w:val="24"/>
        </w:rPr>
        <w:t>-1</w:t>
      </w:r>
      <w:r>
        <w:rPr>
          <w:rFonts w:hint="eastAsia" w:ascii="宋体" w:hAnsi="宋体" w:eastAsia="宋体"/>
          <w:b/>
          <w:sz w:val="24"/>
          <w:szCs w:val="24"/>
        </w:rPr>
        <w:t>3</w:t>
      </w:r>
      <w:r>
        <w:rPr>
          <w:rFonts w:ascii="宋体" w:hAnsi="宋体" w:eastAsia="宋体"/>
          <w:b/>
          <w:sz w:val="24"/>
          <w:szCs w:val="24"/>
        </w:rPr>
        <w:t xml:space="preserve">  关心点处</w:t>
      </w:r>
      <w:r>
        <w:rPr>
          <w:rFonts w:hint="eastAsia"/>
          <w:b/>
        </w:rPr>
        <w:t>NO</w:t>
      </w:r>
      <w:r>
        <w:rPr>
          <w:rFonts w:hint="eastAsia"/>
          <w:b/>
          <w:vertAlign w:val="subscript"/>
        </w:rPr>
        <w:t>2</w:t>
      </w:r>
      <w:r>
        <w:rPr>
          <w:rFonts w:ascii="宋体" w:hAnsi="宋体" w:eastAsia="宋体"/>
          <w:b/>
          <w:sz w:val="24"/>
        </w:rPr>
        <w:t>小时浓度叠加</w:t>
      </w:r>
      <w:r>
        <w:rPr>
          <w:rFonts w:hint="eastAsia" w:ascii="宋体" w:hAnsi="宋体" w:eastAsia="宋体"/>
          <w:b/>
          <w:sz w:val="24"/>
        </w:rPr>
        <w:t>超标频率统计</w:t>
      </w:r>
      <w:r>
        <w:rPr>
          <w:rFonts w:ascii="宋体" w:hAnsi="宋体" w:eastAsia="宋体"/>
          <w:b/>
          <w:sz w:val="24"/>
          <w:szCs w:val="24"/>
        </w:rPr>
        <w:t xml:space="preserve">     单位：µg/m</w:t>
      </w:r>
      <w:r>
        <w:rPr>
          <w:rFonts w:ascii="宋体" w:hAnsi="宋体" w:eastAsia="宋体"/>
          <w:b/>
          <w:sz w:val="24"/>
          <w:szCs w:val="24"/>
          <w:vertAlign w:val="superscript"/>
        </w:rPr>
        <w:t>3</w:t>
      </w:r>
    </w:p>
    <w:tbl>
      <w:tblPr>
        <w:tblStyle w:val="21"/>
        <w:tblW w:w="8331" w:type="dxa"/>
        <w:jc w:val="center"/>
        <w:tblInd w:w="231"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72"/>
        <w:gridCol w:w="676"/>
        <w:gridCol w:w="517"/>
        <w:gridCol w:w="457"/>
        <w:gridCol w:w="711"/>
        <w:gridCol w:w="1188"/>
        <w:gridCol w:w="1241"/>
        <w:gridCol w:w="1439"/>
        <w:gridCol w:w="103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restart"/>
            <w:shd w:val="clear" w:color="auto" w:fill="auto"/>
            <w:vAlign w:val="center"/>
          </w:tcPr>
          <w:p>
            <w:pPr>
              <w:spacing w:line="240" w:lineRule="exact"/>
              <w:jc w:val="center"/>
              <w:rPr>
                <w:rFonts w:ascii="宋体" w:hAnsi="宋体" w:cs="宋体"/>
                <w:sz w:val="18"/>
                <w:szCs w:val="18"/>
              </w:rPr>
            </w:pPr>
            <w:r>
              <w:rPr>
                <w:rFonts w:hint="eastAsia"/>
                <w:sz w:val="18"/>
                <w:szCs w:val="18"/>
              </w:rPr>
              <w:t>环境保护目标</w:t>
            </w:r>
          </w:p>
        </w:tc>
        <w:tc>
          <w:tcPr>
            <w:tcW w:w="676" w:type="dxa"/>
            <w:shd w:val="clear" w:color="auto" w:fill="auto"/>
            <w:vAlign w:val="center"/>
          </w:tcPr>
          <w:p>
            <w:pPr>
              <w:spacing w:line="240" w:lineRule="exact"/>
              <w:jc w:val="center"/>
              <w:rPr>
                <w:rFonts w:ascii="宋体" w:hAnsi="宋体" w:cs="宋体"/>
                <w:sz w:val="18"/>
                <w:szCs w:val="18"/>
              </w:rPr>
            </w:pPr>
            <w:r>
              <w:rPr>
                <w:rFonts w:hint="eastAsia"/>
                <w:sz w:val="18"/>
                <w:szCs w:val="18"/>
              </w:rPr>
              <w:t>浓度</w:t>
            </w:r>
          </w:p>
        </w:tc>
        <w:tc>
          <w:tcPr>
            <w:tcW w:w="517" w:type="dxa"/>
            <w:vMerge w:val="restart"/>
            <w:shd w:val="clear" w:color="auto" w:fill="auto"/>
            <w:vAlign w:val="center"/>
          </w:tcPr>
          <w:p>
            <w:pPr>
              <w:spacing w:line="240" w:lineRule="exact"/>
              <w:jc w:val="center"/>
              <w:rPr>
                <w:rFonts w:ascii="宋体" w:hAnsi="宋体" w:cs="宋体"/>
                <w:sz w:val="18"/>
                <w:szCs w:val="18"/>
              </w:rPr>
            </w:pPr>
            <w:r>
              <w:rPr>
                <w:rFonts w:hint="eastAsia"/>
                <w:sz w:val="18"/>
                <w:szCs w:val="18"/>
              </w:rPr>
              <w:t>日期</w:t>
            </w:r>
          </w:p>
        </w:tc>
        <w:tc>
          <w:tcPr>
            <w:tcW w:w="457" w:type="dxa"/>
            <w:vMerge w:val="restart"/>
            <w:shd w:val="clear" w:color="auto" w:fill="auto"/>
            <w:vAlign w:val="center"/>
          </w:tcPr>
          <w:p>
            <w:pPr>
              <w:spacing w:line="240" w:lineRule="exact"/>
              <w:jc w:val="center"/>
              <w:rPr>
                <w:rFonts w:ascii="宋体" w:hAnsi="宋体" w:cs="宋体"/>
                <w:sz w:val="18"/>
                <w:szCs w:val="18"/>
              </w:rPr>
            </w:pPr>
            <w:r>
              <w:rPr>
                <w:rFonts w:hint="eastAsia"/>
                <w:sz w:val="18"/>
                <w:szCs w:val="18"/>
              </w:rPr>
              <w:t>小时</w:t>
            </w:r>
          </w:p>
        </w:tc>
        <w:tc>
          <w:tcPr>
            <w:tcW w:w="5609" w:type="dxa"/>
            <w:gridSpan w:val="5"/>
            <w:shd w:val="clear" w:color="auto" w:fill="auto"/>
            <w:vAlign w:val="center"/>
          </w:tcPr>
          <w:p>
            <w:pPr>
              <w:spacing w:line="240" w:lineRule="exact"/>
              <w:jc w:val="center"/>
              <w:rPr>
                <w:rFonts w:hint="eastAsia"/>
                <w:sz w:val="18"/>
                <w:szCs w:val="18"/>
              </w:rPr>
            </w:pPr>
            <w:r>
              <w:rPr>
                <w:rFonts w:hint="eastAsia"/>
                <w:sz w:val="18"/>
                <w:szCs w:val="18"/>
              </w:rPr>
              <w:t>NO</w:t>
            </w:r>
            <w:r>
              <w:rPr>
                <w:rFonts w:hint="eastAsia"/>
                <w:sz w:val="18"/>
                <w:szCs w:val="18"/>
                <w:vertAlign w:val="subscript"/>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rFonts w:ascii="宋体" w:hAnsi="宋体" w:cs="宋体"/>
                <w:sz w:val="18"/>
                <w:szCs w:val="18"/>
              </w:rPr>
            </w:pPr>
          </w:p>
        </w:tc>
        <w:tc>
          <w:tcPr>
            <w:tcW w:w="676" w:type="dxa"/>
            <w:shd w:val="clear" w:color="auto" w:fill="auto"/>
            <w:vAlign w:val="center"/>
          </w:tcPr>
          <w:p>
            <w:pPr>
              <w:spacing w:line="240" w:lineRule="exact"/>
              <w:jc w:val="center"/>
              <w:rPr>
                <w:rFonts w:ascii="宋体" w:hAnsi="宋体" w:cs="宋体"/>
                <w:sz w:val="18"/>
                <w:szCs w:val="18"/>
              </w:rPr>
            </w:pPr>
            <w:r>
              <w:rPr>
                <w:rFonts w:hint="eastAsia"/>
                <w:sz w:val="18"/>
                <w:szCs w:val="18"/>
              </w:rPr>
              <w:t>排序</w:t>
            </w:r>
          </w:p>
        </w:tc>
        <w:tc>
          <w:tcPr>
            <w:tcW w:w="517" w:type="dxa"/>
            <w:vMerge w:val="continue"/>
            <w:shd w:val="clear" w:color="auto" w:fill="auto"/>
            <w:vAlign w:val="center"/>
          </w:tcPr>
          <w:p>
            <w:pPr>
              <w:spacing w:line="240" w:lineRule="exact"/>
              <w:jc w:val="center"/>
              <w:rPr>
                <w:rFonts w:ascii="宋体" w:hAnsi="宋体" w:cs="宋体"/>
                <w:sz w:val="18"/>
                <w:szCs w:val="18"/>
              </w:rPr>
            </w:pPr>
          </w:p>
        </w:tc>
        <w:tc>
          <w:tcPr>
            <w:tcW w:w="457" w:type="dxa"/>
            <w:vMerge w:val="continue"/>
            <w:shd w:val="clear" w:color="auto" w:fill="auto"/>
            <w:vAlign w:val="center"/>
          </w:tcPr>
          <w:p>
            <w:pPr>
              <w:spacing w:line="240" w:lineRule="exact"/>
              <w:jc w:val="center"/>
              <w:rPr>
                <w:rFonts w:ascii="宋体" w:hAnsi="宋体" w:cs="宋体"/>
                <w:sz w:val="18"/>
                <w:szCs w:val="18"/>
              </w:rPr>
            </w:pPr>
          </w:p>
        </w:tc>
        <w:tc>
          <w:tcPr>
            <w:tcW w:w="711" w:type="dxa"/>
            <w:shd w:val="clear" w:color="auto" w:fill="auto"/>
            <w:vAlign w:val="center"/>
          </w:tcPr>
          <w:p>
            <w:pPr>
              <w:spacing w:line="240" w:lineRule="exact"/>
              <w:jc w:val="center"/>
              <w:rPr>
                <w:rFonts w:ascii="宋体" w:hAnsi="宋体" w:cs="宋体"/>
                <w:sz w:val="18"/>
                <w:szCs w:val="18"/>
              </w:rPr>
            </w:pPr>
            <w:r>
              <w:rPr>
                <w:rFonts w:hint="eastAsia"/>
                <w:sz w:val="18"/>
                <w:szCs w:val="18"/>
              </w:rPr>
              <w:t>浓度</w:t>
            </w:r>
          </w:p>
        </w:tc>
        <w:tc>
          <w:tcPr>
            <w:tcW w:w="1188" w:type="dxa"/>
            <w:shd w:val="clear" w:color="auto" w:fill="auto"/>
            <w:vAlign w:val="center"/>
          </w:tcPr>
          <w:p>
            <w:pPr>
              <w:spacing w:line="240" w:lineRule="exact"/>
              <w:jc w:val="center"/>
              <w:rPr>
                <w:rFonts w:hint="eastAsia" w:ascii="宋体" w:hAnsi="宋体" w:cs="宋体"/>
                <w:sz w:val="18"/>
                <w:szCs w:val="18"/>
              </w:rPr>
            </w:pPr>
            <w:r>
              <w:rPr>
                <w:rFonts w:hint="eastAsia" w:ascii="宋体" w:hAnsi="宋体" w:cs="宋体"/>
                <w:sz w:val="18"/>
                <w:szCs w:val="18"/>
              </w:rPr>
              <w:t>敏感点背景浓度</w:t>
            </w:r>
          </w:p>
        </w:tc>
        <w:tc>
          <w:tcPr>
            <w:tcW w:w="1241" w:type="dxa"/>
            <w:shd w:val="clear" w:color="auto" w:fill="auto"/>
            <w:vAlign w:val="center"/>
          </w:tcPr>
          <w:p>
            <w:pPr>
              <w:spacing w:line="240" w:lineRule="exact"/>
              <w:jc w:val="center"/>
              <w:rPr>
                <w:rFonts w:ascii="宋体" w:hAnsi="宋体" w:cs="宋体"/>
                <w:sz w:val="18"/>
                <w:szCs w:val="18"/>
              </w:rPr>
            </w:pPr>
            <w:r>
              <w:rPr>
                <w:rFonts w:hint="eastAsia"/>
                <w:sz w:val="18"/>
                <w:szCs w:val="18"/>
              </w:rPr>
              <w:t>叠加背景值后占标率（%）</w:t>
            </w:r>
          </w:p>
        </w:tc>
        <w:tc>
          <w:tcPr>
            <w:tcW w:w="1439" w:type="dxa"/>
            <w:shd w:val="clear" w:color="auto" w:fill="auto"/>
            <w:vAlign w:val="center"/>
          </w:tcPr>
          <w:p>
            <w:pPr>
              <w:spacing w:line="240" w:lineRule="exact"/>
              <w:jc w:val="center"/>
              <w:rPr>
                <w:rFonts w:ascii="宋体" w:hAnsi="宋体" w:cs="宋体"/>
                <w:sz w:val="18"/>
                <w:szCs w:val="18"/>
              </w:rPr>
            </w:pPr>
            <w:r>
              <w:rPr>
                <w:rFonts w:hint="eastAsia"/>
                <w:sz w:val="18"/>
                <w:szCs w:val="18"/>
              </w:rPr>
              <w:t>年超标概率（%）</w:t>
            </w:r>
          </w:p>
        </w:tc>
        <w:tc>
          <w:tcPr>
            <w:tcW w:w="1030" w:type="dxa"/>
            <w:shd w:val="clear" w:color="auto" w:fill="auto"/>
            <w:vAlign w:val="center"/>
          </w:tcPr>
          <w:p>
            <w:pPr>
              <w:spacing w:line="240" w:lineRule="exact"/>
              <w:jc w:val="center"/>
              <w:rPr>
                <w:rFonts w:ascii="宋体" w:hAnsi="宋体" w:cs="宋体"/>
                <w:sz w:val="18"/>
                <w:szCs w:val="18"/>
              </w:rPr>
            </w:pPr>
            <w:r>
              <w:rPr>
                <w:rFonts w:hint="eastAsia"/>
                <w:sz w:val="18"/>
                <w:szCs w:val="18"/>
              </w:rPr>
              <w:t>持续超标时间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restart"/>
            <w:shd w:val="clear" w:color="auto" w:fill="auto"/>
            <w:vAlign w:val="center"/>
          </w:tcPr>
          <w:p>
            <w:pPr>
              <w:spacing w:line="240" w:lineRule="exact"/>
              <w:jc w:val="center"/>
              <w:rPr>
                <w:rFonts w:hint="eastAsia"/>
                <w:sz w:val="18"/>
                <w:szCs w:val="18"/>
              </w:rPr>
            </w:pPr>
            <w:r>
              <w:rPr>
                <w:rFonts w:hint="eastAsia"/>
                <w:sz w:val="18"/>
                <w:szCs w:val="18"/>
              </w:rPr>
              <w:t>福里树村</w:t>
            </w:r>
          </w:p>
        </w:tc>
        <w:tc>
          <w:tcPr>
            <w:tcW w:w="676" w:type="dxa"/>
            <w:shd w:val="clear" w:color="auto" w:fill="auto"/>
            <w:vAlign w:val="center"/>
          </w:tcPr>
          <w:p>
            <w:pPr>
              <w:spacing w:line="240" w:lineRule="exact"/>
              <w:jc w:val="center"/>
              <w:rPr>
                <w:sz w:val="18"/>
                <w:szCs w:val="18"/>
              </w:rPr>
            </w:pPr>
            <w:r>
              <w:rPr>
                <w:sz w:val="18"/>
                <w:szCs w:val="18"/>
              </w:rPr>
              <w:t>1</w:t>
            </w:r>
          </w:p>
        </w:tc>
        <w:tc>
          <w:tcPr>
            <w:tcW w:w="517" w:type="dxa"/>
            <w:shd w:val="clear" w:color="auto" w:fill="auto"/>
            <w:vAlign w:val="center"/>
          </w:tcPr>
          <w:p>
            <w:pPr>
              <w:spacing w:line="240" w:lineRule="exact"/>
              <w:jc w:val="center"/>
              <w:rPr>
                <w:rFonts w:ascii="宋体" w:hAnsi="宋体" w:cs="宋体"/>
                <w:sz w:val="18"/>
                <w:szCs w:val="18"/>
              </w:rPr>
            </w:pPr>
            <w:r>
              <w:rPr>
                <w:rFonts w:hint="eastAsia"/>
                <w:sz w:val="18"/>
                <w:szCs w:val="18"/>
              </w:rPr>
              <w:t>59</w:t>
            </w:r>
          </w:p>
        </w:tc>
        <w:tc>
          <w:tcPr>
            <w:tcW w:w="457" w:type="dxa"/>
            <w:shd w:val="clear" w:color="auto" w:fill="auto"/>
            <w:vAlign w:val="center"/>
          </w:tcPr>
          <w:p>
            <w:pPr>
              <w:spacing w:line="240" w:lineRule="exact"/>
              <w:jc w:val="center"/>
              <w:rPr>
                <w:rFonts w:ascii="宋体" w:hAnsi="宋体" w:cs="宋体"/>
                <w:sz w:val="18"/>
                <w:szCs w:val="18"/>
              </w:rPr>
            </w:pPr>
            <w:r>
              <w:rPr>
                <w:rFonts w:hint="eastAsia"/>
                <w:sz w:val="18"/>
                <w:szCs w:val="18"/>
              </w:rPr>
              <w:t>13</w:t>
            </w:r>
          </w:p>
        </w:tc>
        <w:tc>
          <w:tcPr>
            <w:tcW w:w="711" w:type="dxa"/>
            <w:shd w:val="clear" w:color="auto" w:fill="auto"/>
            <w:vAlign w:val="center"/>
          </w:tcPr>
          <w:p>
            <w:pPr>
              <w:spacing w:line="240" w:lineRule="exact"/>
              <w:jc w:val="center"/>
              <w:rPr>
                <w:rFonts w:ascii="宋体" w:hAnsi="宋体" w:cs="宋体"/>
                <w:sz w:val="18"/>
                <w:szCs w:val="18"/>
              </w:rPr>
            </w:pPr>
            <w:r>
              <w:rPr>
                <w:rFonts w:hint="eastAsia"/>
                <w:sz w:val="18"/>
                <w:szCs w:val="18"/>
              </w:rPr>
              <w:t>274.52</w:t>
            </w:r>
          </w:p>
        </w:tc>
        <w:tc>
          <w:tcPr>
            <w:tcW w:w="1188" w:type="dxa"/>
            <w:vMerge w:val="restart"/>
            <w:shd w:val="clear" w:color="auto" w:fill="auto"/>
            <w:vAlign w:val="center"/>
          </w:tcPr>
          <w:p>
            <w:pPr>
              <w:spacing w:line="240" w:lineRule="exact"/>
              <w:jc w:val="center"/>
              <w:rPr>
                <w:rFonts w:hint="eastAsia"/>
                <w:sz w:val="18"/>
                <w:szCs w:val="18"/>
              </w:rPr>
            </w:pPr>
            <w:r>
              <w:rPr>
                <w:rFonts w:hint="eastAsia"/>
                <w:sz w:val="18"/>
                <w:szCs w:val="18"/>
              </w:rPr>
              <w:t>54</w:t>
            </w:r>
          </w:p>
        </w:tc>
        <w:tc>
          <w:tcPr>
            <w:tcW w:w="1241" w:type="dxa"/>
            <w:shd w:val="clear" w:color="auto" w:fill="auto"/>
            <w:vAlign w:val="center"/>
          </w:tcPr>
          <w:p>
            <w:pPr>
              <w:jc w:val="center"/>
              <w:rPr>
                <w:rFonts w:ascii="宋体" w:hAnsi="宋体" w:cs="宋体"/>
                <w:sz w:val="18"/>
                <w:szCs w:val="18"/>
              </w:rPr>
            </w:pPr>
            <w:r>
              <w:rPr>
                <w:rFonts w:hint="eastAsia"/>
                <w:sz w:val="18"/>
                <w:szCs w:val="18"/>
              </w:rPr>
              <w:t>188.52</w:t>
            </w:r>
          </w:p>
        </w:tc>
        <w:tc>
          <w:tcPr>
            <w:tcW w:w="1439" w:type="dxa"/>
            <w:vMerge w:val="restart"/>
            <w:shd w:val="clear" w:color="auto" w:fill="auto"/>
            <w:vAlign w:val="center"/>
          </w:tcPr>
          <w:p>
            <w:pPr>
              <w:spacing w:line="240" w:lineRule="exact"/>
              <w:jc w:val="center"/>
              <w:rPr>
                <w:rFonts w:hint="eastAsia"/>
                <w:sz w:val="18"/>
                <w:szCs w:val="18"/>
              </w:rPr>
            </w:pPr>
            <w:r>
              <w:rPr>
                <w:rFonts w:hint="eastAsia"/>
                <w:sz w:val="18"/>
                <w:szCs w:val="18"/>
              </w:rPr>
              <w:t>0.08</w:t>
            </w:r>
          </w:p>
        </w:tc>
        <w:tc>
          <w:tcPr>
            <w:tcW w:w="1030" w:type="dxa"/>
            <w:vMerge w:val="restart"/>
            <w:shd w:val="clear" w:color="auto" w:fill="auto"/>
            <w:vAlign w:val="center"/>
          </w:tcPr>
          <w:p>
            <w:pPr>
              <w:spacing w:line="240" w:lineRule="exact"/>
              <w:jc w:val="center"/>
              <w:rPr>
                <w:sz w:val="18"/>
                <w:szCs w:val="18"/>
              </w:rPr>
            </w:pPr>
            <w:r>
              <w:rPr>
                <w:rFonts w:hint="eastAsia"/>
                <w:sz w:val="18"/>
                <w:szCs w:val="18"/>
              </w:rPr>
              <w:t>1h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sz w:val="18"/>
                <w:szCs w:val="18"/>
              </w:rPr>
            </w:pPr>
            <w:r>
              <w:rPr>
                <w:sz w:val="18"/>
                <w:szCs w:val="18"/>
              </w:rPr>
              <w:t>2</w:t>
            </w:r>
          </w:p>
        </w:tc>
        <w:tc>
          <w:tcPr>
            <w:tcW w:w="517" w:type="dxa"/>
            <w:shd w:val="clear" w:color="auto" w:fill="auto"/>
            <w:vAlign w:val="center"/>
          </w:tcPr>
          <w:p>
            <w:pPr>
              <w:spacing w:line="240" w:lineRule="exact"/>
              <w:jc w:val="center"/>
              <w:rPr>
                <w:rFonts w:ascii="宋体" w:hAnsi="宋体" w:cs="宋体"/>
                <w:sz w:val="18"/>
                <w:szCs w:val="18"/>
              </w:rPr>
            </w:pPr>
            <w:r>
              <w:rPr>
                <w:rFonts w:hint="eastAsia"/>
                <w:sz w:val="18"/>
                <w:szCs w:val="18"/>
              </w:rPr>
              <w:t>82</w:t>
            </w:r>
          </w:p>
        </w:tc>
        <w:tc>
          <w:tcPr>
            <w:tcW w:w="457" w:type="dxa"/>
            <w:shd w:val="clear" w:color="auto" w:fill="auto"/>
            <w:vAlign w:val="center"/>
          </w:tcPr>
          <w:p>
            <w:pPr>
              <w:spacing w:line="240" w:lineRule="exact"/>
              <w:jc w:val="center"/>
              <w:rPr>
                <w:rFonts w:ascii="宋体" w:hAnsi="宋体" w:cs="宋体"/>
                <w:sz w:val="18"/>
                <w:szCs w:val="18"/>
              </w:rPr>
            </w:pPr>
            <w:r>
              <w:rPr>
                <w:rFonts w:hint="eastAsia"/>
                <w:sz w:val="18"/>
                <w:szCs w:val="18"/>
              </w:rPr>
              <w:t>17</w:t>
            </w:r>
          </w:p>
        </w:tc>
        <w:tc>
          <w:tcPr>
            <w:tcW w:w="711" w:type="dxa"/>
            <w:shd w:val="clear" w:color="auto" w:fill="auto"/>
            <w:vAlign w:val="center"/>
          </w:tcPr>
          <w:p>
            <w:pPr>
              <w:spacing w:line="240" w:lineRule="exact"/>
              <w:jc w:val="center"/>
              <w:rPr>
                <w:rFonts w:ascii="宋体" w:hAnsi="宋体" w:cs="宋体"/>
                <w:sz w:val="18"/>
                <w:szCs w:val="18"/>
              </w:rPr>
            </w:pPr>
            <w:r>
              <w:rPr>
                <w:rFonts w:hint="eastAsia"/>
                <w:sz w:val="18"/>
                <w:szCs w:val="18"/>
              </w:rPr>
              <w:t>244.64</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158.64</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sz w:val="18"/>
                <w:szCs w:val="18"/>
              </w:rPr>
            </w:pPr>
            <w:r>
              <w:rPr>
                <w:sz w:val="18"/>
                <w:szCs w:val="18"/>
              </w:rPr>
              <w:t>3</w:t>
            </w:r>
          </w:p>
        </w:tc>
        <w:tc>
          <w:tcPr>
            <w:tcW w:w="517" w:type="dxa"/>
            <w:shd w:val="clear" w:color="auto" w:fill="auto"/>
            <w:vAlign w:val="center"/>
          </w:tcPr>
          <w:p>
            <w:pPr>
              <w:spacing w:line="240" w:lineRule="exact"/>
              <w:jc w:val="center"/>
              <w:rPr>
                <w:rFonts w:ascii="宋体" w:hAnsi="宋体" w:cs="宋体"/>
                <w:sz w:val="18"/>
                <w:szCs w:val="18"/>
              </w:rPr>
            </w:pPr>
            <w:r>
              <w:rPr>
                <w:rFonts w:hint="eastAsia"/>
                <w:sz w:val="18"/>
                <w:szCs w:val="18"/>
              </w:rPr>
              <w:t>85</w:t>
            </w:r>
          </w:p>
        </w:tc>
        <w:tc>
          <w:tcPr>
            <w:tcW w:w="457" w:type="dxa"/>
            <w:shd w:val="clear" w:color="auto" w:fill="auto"/>
            <w:vAlign w:val="center"/>
          </w:tcPr>
          <w:p>
            <w:pPr>
              <w:spacing w:line="240" w:lineRule="exact"/>
              <w:jc w:val="center"/>
              <w:rPr>
                <w:rFonts w:ascii="宋体" w:hAnsi="宋体" w:cs="宋体"/>
                <w:sz w:val="18"/>
                <w:szCs w:val="18"/>
              </w:rPr>
            </w:pPr>
            <w:r>
              <w:rPr>
                <w:rFonts w:hint="eastAsia"/>
                <w:sz w:val="18"/>
                <w:szCs w:val="18"/>
              </w:rPr>
              <w:t>18</w:t>
            </w:r>
          </w:p>
        </w:tc>
        <w:tc>
          <w:tcPr>
            <w:tcW w:w="711" w:type="dxa"/>
            <w:shd w:val="clear" w:color="auto" w:fill="auto"/>
            <w:vAlign w:val="center"/>
          </w:tcPr>
          <w:p>
            <w:pPr>
              <w:spacing w:line="240" w:lineRule="exact"/>
              <w:jc w:val="center"/>
              <w:rPr>
                <w:rFonts w:ascii="宋体" w:hAnsi="宋体" w:cs="宋体"/>
                <w:sz w:val="18"/>
                <w:szCs w:val="18"/>
              </w:rPr>
            </w:pPr>
            <w:r>
              <w:rPr>
                <w:rFonts w:hint="eastAsia"/>
                <w:sz w:val="18"/>
                <w:szCs w:val="18"/>
              </w:rPr>
              <w:t>244.64</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158.64</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rFonts w:hint="eastAsia"/>
                <w:sz w:val="18"/>
                <w:szCs w:val="18"/>
              </w:rPr>
            </w:pPr>
            <w:r>
              <w:rPr>
                <w:rFonts w:hint="eastAsia"/>
                <w:sz w:val="18"/>
                <w:szCs w:val="18"/>
              </w:rPr>
              <w:t>4</w:t>
            </w:r>
          </w:p>
        </w:tc>
        <w:tc>
          <w:tcPr>
            <w:tcW w:w="517" w:type="dxa"/>
            <w:shd w:val="clear" w:color="auto" w:fill="auto"/>
            <w:vAlign w:val="center"/>
          </w:tcPr>
          <w:p>
            <w:pPr>
              <w:jc w:val="center"/>
              <w:rPr>
                <w:rFonts w:ascii="宋体" w:hAnsi="宋体" w:cs="宋体"/>
                <w:sz w:val="18"/>
                <w:szCs w:val="18"/>
              </w:rPr>
            </w:pPr>
            <w:r>
              <w:rPr>
                <w:rFonts w:hint="eastAsia"/>
                <w:sz w:val="18"/>
                <w:szCs w:val="18"/>
              </w:rPr>
              <w:t>320</w:t>
            </w:r>
          </w:p>
        </w:tc>
        <w:tc>
          <w:tcPr>
            <w:tcW w:w="457" w:type="dxa"/>
            <w:shd w:val="clear" w:color="auto" w:fill="auto"/>
            <w:vAlign w:val="center"/>
          </w:tcPr>
          <w:p>
            <w:pPr>
              <w:jc w:val="center"/>
              <w:rPr>
                <w:rFonts w:ascii="宋体" w:hAnsi="宋体" w:cs="宋体"/>
                <w:sz w:val="18"/>
                <w:szCs w:val="18"/>
              </w:rPr>
            </w:pPr>
            <w:r>
              <w:rPr>
                <w:rFonts w:hint="eastAsia"/>
                <w:sz w:val="18"/>
                <w:szCs w:val="18"/>
              </w:rPr>
              <w:t>16</w:t>
            </w:r>
          </w:p>
        </w:tc>
        <w:tc>
          <w:tcPr>
            <w:tcW w:w="711" w:type="dxa"/>
            <w:shd w:val="clear" w:color="auto" w:fill="auto"/>
            <w:vAlign w:val="center"/>
          </w:tcPr>
          <w:p>
            <w:pPr>
              <w:jc w:val="center"/>
              <w:rPr>
                <w:rFonts w:ascii="宋体" w:hAnsi="宋体" w:cs="宋体"/>
                <w:sz w:val="18"/>
                <w:szCs w:val="18"/>
              </w:rPr>
            </w:pPr>
            <w:r>
              <w:rPr>
                <w:rFonts w:hint="eastAsia"/>
                <w:sz w:val="18"/>
                <w:szCs w:val="18"/>
              </w:rPr>
              <w:t>223.33</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137.33</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rFonts w:hint="eastAsia"/>
                <w:sz w:val="18"/>
                <w:szCs w:val="18"/>
              </w:rPr>
            </w:pPr>
            <w:r>
              <w:rPr>
                <w:rFonts w:hint="eastAsia"/>
                <w:sz w:val="18"/>
                <w:szCs w:val="18"/>
              </w:rPr>
              <w:t>5</w:t>
            </w:r>
          </w:p>
        </w:tc>
        <w:tc>
          <w:tcPr>
            <w:tcW w:w="517" w:type="dxa"/>
            <w:shd w:val="clear" w:color="auto" w:fill="auto"/>
            <w:vAlign w:val="center"/>
          </w:tcPr>
          <w:p>
            <w:pPr>
              <w:jc w:val="center"/>
              <w:rPr>
                <w:rFonts w:ascii="宋体" w:hAnsi="宋体" w:cs="宋体"/>
                <w:sz w:val="18"/>
                <w:szCs w:val="18"/>
              </w:rPr>
            </w:pPr>
            <w:r>
              <w:rPr>
                <w:rFonts w:hint="eastAsia"/>
                <w:sz w:val="18"/>
                <w:szCs w:val="18"/>
              </w:rPr>
              <w:t>117</w:t>
            </w:r>
          </w:p>
        </w:tc>
        <w:tc>
          <w:tcPr>
            <w:tcW w:w="457" w:type="dxa"/>
            <w:shd w:val="clear" w:color="auto" w:fill="auto"/>
            <w:vAlign w:val="center"/>
          </w:tcPr>
          <w:p>
            <w:pPr>
              <w:jc w:val="center"/>
              <w:rPr>
                <w:rFonts w:ascii="宋体" w:hAnsi="宋体" w:cs="宋体"/>
                <w:sz w:val="18"/>
                <w:szCs w:val="18"/>
              </w:rPr>
            </w:pPr>
            <w:r>
              <w:rPr>
                <w:rFonts w:hint="eastAsia"/>
                <w:sz w:val="18"/>
                <w:szCs w:val="18"/>
              </w:rPr>
              <w:t>21</w:t>
            </w:r>
          </w:p>
        </w:tc>
        <w:tc>
          <w:tcPr>
            <w:tcW w:w="711" w:type="dxa"/>
            <w:shd w:val="clear" w:color="auto" w:fill="auto"/>
            <w:vAlign w:val="center"/>
          </w:tcPr>
          <w:p>
            <w:pPr>
              <w:jc w:val="center"/>
              <w:rPr>
                <w:rFonts w:ascii="宋体" w:hAnsi="宋体" w:cs="宋体"/>
                <w:sz w:val="18"/>
                <w:szCs w:val="18"/>
              </w:rPr>
            </w:pPr>
            <w:r>
              <w:rPr>
                <w:rFonts w:hint="eastAsia"/>
                <w:sz w:val="18"/>
                <w:szCs w:val="18"/>
              </w:rPr>
              <w:t>199.37</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113.37</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rFonts w:hint="eastAsia"/>
                <w:sz w:val="18"/>
                <w:szCs w:val="18"/>
              </w:rPr>
            </w:pPr>
            <w:r>
              <w:rPr>
                <w:rFonts w:hint="eastAsia"/>
                <w:sz w:val="18"/>
                <w:szCs w:val="18"/>
              </w:rPr>
              <w:t>6</w:t>
            </w:r>
          </w:p>
        </w:tc>
        <w:tc>
          <w:tcPr>
            <w:tcW w:w="517" w:type="dxa"/>
            <w:shd w:val="clear" w:color="auto" w:fill="auto"/>
            <w:vAlign w:val="center"/>
          </w:tcPr>
          <w:p>
            <w:pPr>
              <w:jc w:val="center"/>
              <w:rPr>
                <w:rFonts w:ascii="宋体" w:hAnsi="宋体" w:cs="宋体"/>
                <w:sz w:val="18"/>
                <w:szCs w:val="18"/>
              </w:rPr>
            </w:pPr>
            <w:r>
              <w:rPr>
                <w:rFonts w:hint="eastAsia"/>
                <w:sz w:val="18"/>
                <w:szCs w:val="18"/>
              </w:rPr>
              <w:t>226</w:t>
            </w:r>
          </w:p>
        </w:tc>
        <w:tc>
          <w:tcPr>
            <w:tcW w:w="457" w:type="dxa"/>
            <w:shd w:val="clear" w:color="auto" w:fill="auto"/>
            <w:vAlign w:val="center"/>
          </w:tcPr>
          <w:p>
            <w:pPr>
              <w:jc w:val="center"/>
              <w:rPr>
                <w:rFonts w:ascii="宋体" w:hAnsi="宋体" w:cs="宋体"/>
                <w:sz w:val="18"/>
                <w:szCs w:val="18"/>
              </w:rPr>
            </w:pPr>
            <w:r>
              <w:rPr>
                <w:rFonts w:hint="eastAsia"/>
                <w:sz w:val="18"/>
                <w:szCs w:val="18"/>
              </w:rPr>
              <w:t>18</w:t>
            </w:r>
          </w:p>
        </w:tc>
        <w:tc>
          <w:tcPr>
            <w:tcW w:w="711" w:type="dxa"/>
            <w:shd w:val="clear" w:color="auto" w:fill="auto"/>
            <w:vAlign w:val="center"/>
          </w:tcPr>
          <w:p>
            <w:pPr>
              <w:jc w:val="center"/>
              <w:rPr>
                <w:rFonts w:ascii="宋体" w:hAnsi="宋体" w:cs="宋体"/>
                <w:sz w:val="18"/>
                <w:szCs w:val="18"/>
              </w:rPr>
            </w:pPr>
            <w:r>
              <w:rPr>
                <w:rFonts w:hint="eastAsia"/>
                <w:sz w:val="18"/>
                <w:szCs w:val="18"/>
              </w:rPr>
              <w:t>186.94</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100.94</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rFonts w:hint="eastAsia"/>
                <w:sz w:val="18"/>
                <w:szCs w:val="18"/>
              </w:rPr>
            </w:pPr>
            <w:r>
              <w:rPr>
                <w:rFonts w:hint="eastAsia"/>
                <w:sz w:val="18"/>
                <w:szCs w:val="18"/>
              </w:rPr>
              <w:t>7</w:t>
            </w:r>
          </w:p>
        </w:tc>
        <w:tc>
          <w:tcPr>
            <w:tcW w:w="517" w:type="dxa"/>
            <w:shd w:val="clear" w:color="auto" w:fill="auto"/>
            <w:vAlign w:val="center"/>
          </w:tcPr>
          <w:p>
            <w:pPr>
              <w:jc w:val="center"/>
              <w:rPr>
                <w:rFonts w:ascii="宋体" w:hAnsi="宋体" w:cs="宋体"/>
                <w:sz w:val="18"/>
                <w:szCs w:val="18"/>
              </w:rPr>
            </w:pPr>
            <w:r>
              <w:rPr>
                <w:rFonts w:hint="eastAsia"/>
                <w:sz w:val="18"/>
                <w:szCs w:val="18"/>
              </w:rPr>
              <w:t>101</w:t>
            </w:r>
          </w:p>
        </w:tc>
        <w:tc>
          <w:tcPr>
            <w:tcW w:w="457" w:type="dxa"/>
            <w:shd w:val="clear" w:color="auto" w:fill="auto"/>
            <w:vAlign w:val="center"/>
          </w:tcPr>
          <w:p>
            <w:pPr>
              <w:jc w:val="center"/>
              <w:rPr>
                <w:rFonts w:ascii="宋体" w:hAnsi="宋体" w:cs="宋体"/>
                <w:sz w:val="18"/>
                <w:szCs w:val="18"/>
              </w:rPr>
            </w:pPr>
            <w:r>
              <w:rPr>
                <w:rFonts w:hint="eastAsia"/>
                <w:sz w:val="18"/>
                <w:szCs w:val="18"/>
              </w:rPr>
              <w:t>10</w:t>
            </w:r>
          </w:p>
        </w:tc>
        <w:tc>
          <w:tcPr>
            <w:tcW w:w="711" w:type="dxa"/>
            <w:shd w:val="clear" w:color="auto" w:fill="auto"/>
            <w:vAlign w:val="center"/>
          </w:tcPr>
          <w:p>
            <w:pPr>
              <w:jc w:val="center"/>
              <w:rPr>
                <w:rFonts w:ascii="宋体" w:hAnsi="宋体" w:cs="宋体"/>
                <w:sz w:val="18"/>
                <w:szCs w:val="18"/>
              </w:rPr>
            </w:pPr>
            <w:r>
              <w:rPr>
                <w:rFonts w:hint="eastAsia"/>
                <w:sz w:val="18"/>
                <w:szCs w:val="18"/>
              </w:rPr>
              <w:t>186.00</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100.00</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79" w:hRule="atLeast"/>
          <w:tblHeader/>
          <w:jc w:val="center"/>
        </w:trPr>
        <w:tc>
          <w:tcPr>
            <w:tcW w:w="1072" w:type="dxa"/>
            <w:vMerge w:val="restart"/>
            <w:shd w:val="clear" w:color="auto" w:fill="auto"/>
            <w:vAlign w:val="center"/>
          </w:tcPr>
          <w:p>
            <w:pPr>
              <w:spacing w:line="240" w:lineRule="exact"/>
              <w:jc w:val="center"/>
              <w:rPr>
                <w:rFonts w:hint="eastAsia"/>
                <w:sz w:val="18"/>
                <w:szCs w:val="18"/>
              </w:rPr>
            </w:pPr>
            <w:r>
              <w:rPr>
                <w:rFonts w:hint="eastAsia"/>
                <w:sz w:val="18"/>
                <w:szCs w:val="18"/>
              </w:rPr>
              <w:t>青鹏煤业公司</w:t>
            </w:r>
          </w:p>
        </w:tc>
        <w:tc>
          <w:tcPr>
            <w:tcW w:w="676" w:type="dxa"/>
            <w:shd w:val="clear" w:color="auto" w:fill="auto"/>
            <w:vAlign w:val="center"/>
          </w:tcPr>
          <w:p>
            <w:pPr>
              <w:spacing w:line="240" w:lineRule="exact"/>
              <w:jc w:val="center"/>
              <w:rPr>
                <w:sz w:val="18"/>
                <w:szCs w:val="18"/>
              </w:rPr>
            </w:pPr>
            <w:r>
              <w:rPr>
                <w:sz w:val="18"/>
                <w:szCs w:val="18"/>
              </w:rPr>
              <w:t>1</w:t>
            </w:r>
          </w:p>
        </w:tc>
        <w:tc>
          <w:tcPr>
            <w:tcW w:w="517" w:type="dxa"/>
            <w:shd w:val="clear" w:color="auto" w:fill="auto"/>
            <w:vAlign w:val="center"/>
          </w:tcPr>
          <w:p>
            <w:pPr>
              <w:jc w:val="center"/>
              <w:rPr>
                <w:rFonts w:ascii="宋体" w:hAnsi="宋体" w:cs="宋体"/>
                <w:sz w:val="18"/>
                <w:szCs w:val="18"/>
              </w:rPr>
            </w:pPr>
            <w:r>
              <w:rPr>
                <w:rFonts w:hint="eastAsia"/>
                <w:sz w:val="18"/>
                <w:szCs w:val="18"/>
              </w:rPr>
              <w:t>77</w:t>
            </w:r>
          </w:p>
        </w:tc>
        <w:tc>
          <w:tcPr>
            <w:tcW w:w="457" w:type="dxa"/>
            <w:shd w:val="clear" w:color="auto" w:fill="auto"/>
            <w:vAlign w:val="center"/>
          </w:tcPr>
          <w:p>
            <w:pPr>
              <w:jc w:val="center"/>
              <w:rPr>
                <w:rFonts w:ascii="宋体" w:hAnsi="宋体" w:cs="宋体"/>
                <w:sz w:val="18"/>
                <w:szCs w:val="18"/>
              </w:rPr>
            </w:pPr>
            <w:r>
              <w:rPr>
                <w:rFonts w:hint="eastAsia"/>
                <w:sz w:val="18"/>
                <w:szCs w:val="18"/>
              </w:rPr>
              <w:t>14</w:t>
            </w:r>
          </w:p>
        </w:tc>
        <w:tc>
          <w:tcPr>
            <w:tcW w:w="711" w:type="dxa"/>
            <w:shd w:val="clear" w:color="auto" w:fill="auto"/>
            <w:vAlign w:val="center"/>
          </w:tcPr>
          <w:p>
            <w:pPr>
              <w:jc w:val="center"/>
              <w:rPr>
                <w:rFonts w:ascii="宋体" w:hAnsi="宋体" w:cs="宋体"/>
                <w:sz w:val="18"/>
                <w:szCs w:val="18"/>
              </w:rPr>
            </w:pPr>
            <w:r>
              <w:rPr>
                <w:rFonts w:hint="eastAsia"/>
                <w:sz w:val="18"/>
                <w:szCs w:val="18"/>
              </w:rPr>
              <w:t>425.09</w:t>
            </w:r>
          </w:p>
        </w:tc>
        <w:tc>
          <w:tcPr>
            <w:tcW w:w="1188" w:type="dxa"/>
            <w:vMerge w:val="restart"/>
            <w:shd w:val="clear" w:color="auto" w:fill="auto"/>
            <w:vAlign w:val="center"/>
          </w:tcPr>
          <w:p>
            <w:pPr>
              <w:spacing w:line="240" w:lineRule="exact"/>
              <w:jc w:val="center"/>
              <w:rPr>
                <w:rFonts w:hint="eastAsia"/>
                <w:sz w:val="18"/>
                <w:szCs w:val="18"/>
              </w:rPr>
            </w:pPr>
            <w:r>
              <w:rPr>
                <w:rFonts w:hint="eastAsia"/>
                <w:sz w:val="18"/>
                <w:szCs w:val="18"/>
              </w:rPr>
              <w:t>63</w:t>
            </w:r>
          </w:p>
        </w:tc>
        <w:tc>
          <w:tcPr>
            <w:tcW w:w="1241" w:type="dxa"/>
            <w:shd w:val="clear" w:color="auto" w:fill="auto"/>
            <w:vAlign w:val="center"/>
          </w:tcPr>
          <w:p>
            <w:pPr>
              <w:jc w:val="center"/>
              <w:rPr>
                <w:rFonts w:ascii="宋体" w:hAnsi="宋体" w:cs="宋体"/>
                <w:sz w:val="18"/>
                <w:szCs w:val="18"/>
              </w:rPr>
            </w:pPr>
            <w:r>
              <w:rPr>
                <w:rFonts w:hint="eastAsia"/>
                <w:sz w:val="18"/>
                <w:szCs w:val="18"/>
              </w:rPr>
              <w:t>203.37</w:t>
            </w:r>
          </w:p>
        </w:tc>
        <w:tc>
          <w:tcPr>
            <w:tcW w:w="1439" w:type="dxa"/>
            <w:vMerge w:val="restart"/>
            <w:shd w:val="clear" w:color="auto" w:fill="auto"/>
            <w:vAlign w:val="center"/>
          </w:tcPr>
          <w:p>
            <w:pPr>
              <w:spacing w:line="240" w:lineRule="exact"/>
              <w:jc w:val="center"/>
              <w:rPr>
                <w:rFonts w:hint="eastAsia"/>
                <w:sz w:val="18"/>
                <w:szCs w:val="18"/>
              </w:rPr>
            </w:pPr>
            <w:r>
              <w:rPr>
                <w:rFonts w:hint="eastAsia"/>
                <w:sz w:val="18"/>
                <w:szCs w:val="18"/>
              </w:rPr>
              <w:t>0.14</w:t>
            </w:r>
          </w:p>
        </w:tc>
        <w:tc>
          <w:tcPr>
            <w:tcW w:w="1030" w:type="dxa"/>
            <w:vMerge w:val="restart"/>
            <w:shd w:val="clear" w:color="auto" w:fill="auto"/>
            <w:vAlign w:val="center"/>
          </w:tcPr>
          <w:p>
            <w:pPr>
              <w:spacing w:line="240" w:lineRule="exact"/>
              <w:jc w:val="center"/>
              <w:rPr>
                <w:rFonts w:hint="eastAsia"/>
                <w:sz w:val="18"/>
                <w:szCs w:val="18"/>
              </w:rPr>
            </w:pPr>
            <w:r>
              <w:rPr>
                <w:rFonts w:hint="eastAsia"/>
                <w:sz w:val="18"/>
                <w:szCs w:val="18"/>
              </w:rPr>
              <w:t>2h</w:t>
            </w:r>
          </w:p>
          <w:p>
            <w:pPr>
              <w:spacing w:line="240" w:lineRule="exact"/>
              <w:jc w:val="center"/>
              <w:rPr>
                <w:rFonts w:hint="eastAsia"/>
                <w:sz w:val="18"/>
                <w:szCs w:val="18"/>
              </w:rPr>
            </w:pPr>
            <w:r>
              <w:rPr>
                <w:rFonts w:hint="eastAsia"/>
                <w:sz w:val="18"/>
                <w:szCs w:val="18"/>
              </w:rPr>
              <w:t>（最大）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2"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sz w:val="18"/>
                <w:szCs w:val="18"/>
              </w:rPr>
            </w:pPr>
            <w:r>
              <w:rPr>
                <w:sz w:val="18"/>
                <w:szCs w:val="18"/>
              </w:rPr>
              <w:t>2</w:t>
            </w:r>
          </w:p>
        </w:tc>
        <w:tc>
          <w:tcPr>
            <w:tcW w:w="517" w:type="dxa"/>
            <w:shd w:val="clear" w:color="auto" w:fill="auto"/>
            <w:vAlign w:val="center"/>
          </w:tcPr>
          <w:p>
            <w:pPr>
              <w:jc w:val="center"/>
              <w:rPr>
                <w:rFonts w:ascii="宋体" w:hAnsi="宋体" w:cs="宋体"/>
                <w:sz w:val="18"/>
                <w:szCs w:val="18"/>
              </w:rPr>
            </w:pPr>
            <w:r>
              <w:rPr>
                <w:rFonts w:hint="eastAsia"/>
                <w:sz w:val="18"/>
                <w:szCs w:val="18"/>
              </w:rPr>
              <w:t>330</w:t>
            </w:r>
          </w:p>
        </w:tc>
        <w:tc>
          <w:tcPr>
            <w:tcW w:w="457" w:type="dxa"/>
            <w:shd w:val="clear" w:color="auto" w:fill="auto"/>
            <w:vAlign w:val="center"/>
          </w:tcPr>
          <w:p>
            <w:pPr>
              <w:jc w:val="center"/>
              <w:rPr>
                <w:rFonts w:ascii="宋体" w:hAnsi="宋体" w:cs="宋体"/>
                <w:sz w:val="18"/>
                <w:szCs w:val="18"/>
              </w:rPr>
            </w:pPr>
            <w:r>
              <w:rPr>
                <w:rFonts w:hint="eastAsia"/>
                <w:sz w:val="18"/>
                <w:szCs w:val="18"/>
              </w:rPr>
              <w:t>14</w:t>
            </w:r>
          </w:p>
        </w:tc>
        <w:tc>
          <w:tcPr>
            <w:tcW w:w="711" w:type="dxa"/>
            <w:shd w:val="clear" w:color="auto" w:fill="auto"/>
            <w:vAlign w:val="center"/>
          </w:tcPr>
          <w:p>
            <w:pPr>
              <w:jc w:val="center"/>
              <w:rPr>
                <w:rFonts w:ascii="宋体" w:hAnsi="宋体" w:cs="宋体"/>
                <w:sz w:val="18"/>
                <w:szCs w:val="18"/>
              </w:rPr>
            </w:pPr>
            <w:r>
              <w:rPr>
                <w:rFonts w:hint="eastAsia"/>
                <w:sz w:val="18"/>
                <w:szCs w:val="18"/>
              </w:rPr>
              <w:t>395.60</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191.08</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sz w:val="18"/>
                <w:szCs w:val="18"/>
              </w:rPr>
            </w:pPr>
            <w:r>
              <w:rPr>
                <w:sz w:val="18"/>
                <w:szCs w:val="18"/>
              </w:rPr>
              <w:t>3</w:t>
            </w:r>
          </w:p>
        </w:tc>
        <w:tc>
          <w:tcPr>
            <w:tcW w:w="517" w:type="dxa"/>
            <w:shd w:val="clear" w:color="auto" w:fill="auto"/>
            <w:vAlign w:val="center"/>
          </w:tcPr>
          <w:p>
            <w:pPr>
              <w:jc w:val="center"/>
              <w:rPr>
                <w:rFonts w:ascii="宋体" w:hAnsi="宋体" w:cs="宋体"/>
                <w:sz w:val="18"/>
                <w:szCs w:val="18"/>
              </w:rPr>
            </w:pPr>
            <w:r>
              <w:rPr>
                <w:rFonts w:hint="eastAsia"/>
                <w:sz w:val="18"/>
                <w:szCs w:val="18"/>
              </w:rPr>
              <w:t>330</w:t>
            </w:r>
          </w:p>
        </w:tc>
        <w:tc>
          <w:tcPr>
            <w:tcW w:w="457" w:type="dxa"/>
            <w:shd w:val="clear" w:color="auto" w:fill="auto"/>
            <w:vAlign w:val="center"/>
          </w:tcPr>
          <w:p>
            <w:pPr>
              <w:jc w:val="center"/>
              <w:rPr>
                <w:rFonts w:ascii="宋体" w:hAnsi="宋体" w:cs="宋体"/>
                <w:sz w:val="18"/>
                <w:szCs w:val="18"/>
              </w:rPr>
            </w:pPr>
            <w:r>
              <w:rPr>
                <w:rFonts w:hint="eastAsia"/>
                <w:sz w:val="18"/>
                <w:szCs w:val="18"/>
              </w:rPr>
              <w:t>15</w:t>
            </w:r>
          </w:p>
        </w:tc>
        <w:tc>
          <w:tcPr>
            <w:tcW w:w="711" w:type="dxa"/>
            <w:shd w:val="clear" w:color="auto" w:fill="auto"/>
            <w:vAlign w:val="center"/>
          </w:tcPr>
          <w:p>
            <w:pPr>
              <w:jc w:val="center"/>
              <w:rPr>
                <w:rFonts w:ascii="宋体" w:hAnsi="宋体" w:cs="宋体"/>
                <w:sz w:val="18"/>
                <w:szCs w:val="18"/>
              </w:rPr>
            </w:pPr>
            <w:r>
              <w:rPr>
                <w:rFonts w:hint="eastAsia"/>
                <w:sz w:val="18"/>
                <w:szCs w:val="18"/>
              </w:rPr>
              <w:t>349.06</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171.69</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sz w:val="18"/>
                <w:szCs w:val="18"/>
              </w:rPr>
            </w:pPr>
            <w:r>
              <w:rPr>
                <w:sz w:val="18"/>
                <w:szCs w:val="18"/>
              </w:rPr>
              <w:t>4</w:t>
            </w:r>
          </w:p>
        </w:tc>
        <w:tc>
          <w:tcPr>
            <w:tcW w:w="517" w:type="dxa"/>
            <w:shd w:val="clear" w:color="auto" w:fill="auto"/>
            <w:vAlign w:val="center"/>
          </w:tcPr>
          <w:p>
            <w:pPr>
              <w:jc w:val="center"/>
              <w:rPr>
                <w:rFonts w:ascii="宋体" w:hAnsi="宋体" w:cs="宋体"/>
                <w:sz w:val="18"/>
                <w:szCs w:val="18"/>
              </w:rPr>
            </w:pPr>
            <w:r>
              <w:rPr>
                <w:rFonts w:hint="eastAsia"/>
                <w:sz w:val="18"/>
                <w:szCs w:val="18"/>
              </w:rPr>
              <w:t>190</w:t>
            </w:r>
          </w:p>
        </w:tc>
        <w:tc>
          <w:tcPr>
            <w:tcW w:w="457" w:type="dxa"/>
            <w:shd w:val="clear" w:color="auto" w:fill="auto"/>
            <w:vAlign w:val="center"/>
          </w:tcPr>
          <w:p>
            <w:pPr>
              <w:jc w:val="center"/>
              <w:rPr>
                <w:rFonts w:ascii="宋体" w:hAnsi="宋体" w:cs="宋体"/>
                <w:sz w:val="18"/>
                <w:szCs w:val="18"/>
              </w:rPr>
            </w:pPr>
            <w:r>
              <w:rPr>
                <w:rFonts w:hint="eastAsia"/>
                <w:sz w:val="18"/>
                <w:szCs w:val="18"/>
              </w:rPr>
              <w:t>15</w:t>
            </w:r>
          </w:p>
        </w:tc>
        <w:tc>
          <w:tcPr>
            <w:tcW w:w="711" w:type="dxa"/>
            <w:shd w:val="clear" w:color="auto" w:fill="auto"/>
            <w:vAlign w:val="center"/>
          </w:tcPr>
          <w:p>
            <w:pPr>
              <w:jc w:val="center"/>
              <w:rPr>
                <w:rFonts w:ascii="宋体" w:hAnsi="宋体" w:cs="宋体"/>
                <w:sz w:val="18"/>
                <w:szCs w:val="18"/>
              </w:rPr>
            </w:pPr>
            <w:r>
              <w:rPr>
                <w:rFonts w:hint="eastAsia"/>
                <w:sz w:val="18"/>
                <w:szCs w:val="18"/>
              </w:rPr>
              <w:t>345.20</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170.08</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sz w:val="18"/>
                <w:szCs w:val="18"/>
              </w:rPr>
            </w:pPr>
            <w:r>
              <w:rPr>
                <w:sz w:val="18"/>
                <w:szCs w:val="18"/>
              </w:rPr>
              <w:t>5</w:t>
            </w:r>
          </w:p>
        </w:tc>
        <w:tc>
          <w:tcPr>
            <w:tcW w:w="517" w:type="dxa"/>
            <w:shd w:val="clear" w:color="auto" w:fill="auto"/>
            <w:vAlign w:val="center"/>
          </w:tcPr>
          <w:p>
            <w:pPr>
              <w:jc w:val="center"/>
              <w:rPr>
                <w:rFonts w:ascii="宋体" w:hAnsi="宋体" w:cs="宋体"/>
                <w:sz w:val="18"/>
                <w:szCs w:val="18"/>
              </w:rPr>
            </w:pPr>
            <w:r>
              <w:rPr>
                <w:rFonts w:hint="eastAsia"/>
                <w:sz w:val="18"/>
                <w:szCs w:val="18"/>
              </w:rPr>
              <w:t>102</w:t>
            </w:r>
          </w:p>
        </w:tc>
        <w:tc>
          <w:tcPr>
            <w:tcW w:w="457" w:type="dxa"/>
            <w:shd w:val="clear" w:color="auto" w:fill="auto"/>
            <w:vAlign w:val="center"/>
          </w:tcPr>
          <w:p>
            <w:pPr>
              <w:jc w:val="center"/>
              <w:rPr>
                <w:rFonts w:ascii="宋体" w:hAnsi="宋体" w:cs="宋体"/>
                <w:sz w:val="18"/>
                <w:szCs w:val="18"/>
              </w:rPr>
            </w:pPr>
            <w:r>
              <w:rPr>
                <w:rFonts w:hint="eastAsia"/>
                <w:sz w:val="18"/>
                <w:szCs w:val="18"/>
              </w:rPr>
              <w:t>15</w:t>
            </w:r>
          </w:p>
        </w:tc>
        <w:tc>
          <w:tcPr>
            <w:tcW w:w="711" w:type="dxa"/>
            <w:shd w:val="clear" w:color="auto" w:fill="auto"/>
            <w:vAlign w:val="center"/>
          </w:tcPr>
          <w:p>
            <w:pPr>
              <w:jc w:val="center"/>
              <w:rPr>
                <w:rFonts w:ascii="宋体" w:hAnsi="宋体" w:cs="宋体"/>
                <w:sz w:val="18"/>
                <w:szCs w:val="18"/>
              </w:rPr>
            </w:pPr>
            <w:r>
              <w:rPr>
                <w:rFonts w:hint="eastAsia"/>
                <w:sz w:val="18"/>
                <w:szCs w:val="18"/>
              </w:rPr>
              <w:t>322.16</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160.49</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rFonts w:hint="eastAsia"/>
                <w:sz w:val="18"/>
                <w:szCs w:val="18"/>
              </w:rPr>
            </w:pPr>
            <w:r>
              <w:rPr>
                <w:rFonts w:hint="eastAsia"/>
                <w:sz w:val="18"/>
                <w:szCs w:val="18"/>
              </w:rPr>
              <w:t>6</w:t>
            </w:r>
          </w:p>
        </w:tc>
        <w:tc>
          <w:tcPr>
            <w:tcW w:w="517" w:type="dxa"/>
            <w:shd w:val="clear" w:color="auto" w:fill="auto"/>
            <w:vAlign w:val="center"/>
          </w:tcPr>
          <w:p>
            <w:pPr>
              <w:jc w:val="center"/>
              <w:rPr>
                <w:rFonts w:ascii="宋体" w:hAnsi="宋体" w:cs="宋体"/>
                <w:sz w:val="18"/>
                <w:szCs w:val="18"/>
              </w:rPr>
            </w:pPr>
            <w:r>
              <w:rPr>
                <w:rFonts w:hint="eastAsia"/>
                <w:sz w:val="18"/>
                <w:szCs w:val="18"/>
              </w:rPr>
              <w:t>163</w:t>
            </w:r>
          </w:p>
        </w:tc>
        <w:tc>
          <w:tcPr>
            <w:tcW w:w="457" w:type="dxa"/>
            <w:shd w:val="clear" w:color="auto" w:fill="auto"/>
            <w:vAlign w:val="center"/>
          </w:tcPr>
          <w:p>
            <w:pPr>
              <w:jc w:val="center"/>
              <w:rPr>
                <w:rFonts w:ascii="宋体" w:hAnsi="宋体" w:cs="宋体"/>
                <w:sz w:val="18"/>
                <w:szCs w:val="18"/>
              </w:rPr>
            </w:pPr>
            <w:r>
              <w:rPr>
                <w:rFonts w:hint="eastAsia"/>
                <w:sz w:val="18"/>
                <w:szCs w:val="18"/>
              </w:rPr>
              <w:t>14</w:t>
            </w:r>
          </w:p>
        </w:tc>
        <w:tc>
          <w:tcPr>
            <w:tcW w:w="711" w:type="dxa"/>
            <w:shd w:val="clear" w:color="auto" w:fill="auto"/>
            <w:vAlign w:val="center"/>
          </w:tcPr>
          <w:p>
            <w:pPr>
              <w:jc w:val="center"/>
              <w:rPr>
                <w:rFonts w:ascii="宋体" w:hAnsi="宋体" w:cs="宋体"/>
                <w:sz w:val="18"/>
                <w:szCs w:val="18"/>
              </w:rPr>
            </w:pPr>
            <w:r>
              <w:rPr>
                <w:rFonts w:hint="eastAsia"/>
                <w:sz w:val="18"/>
                <w:szCs w:val="18"/>
              </w:rPr>
              <w:t>300.72</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151.55</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rFonts w:hint="eastAsia"/>
                <w:sz w:val="18"/>
                <w:szCs w:val="18"/>
              </w:rPr>
            </w:pPr>
            <w:r>
              <w:rPr>
                <w:rFonts w:hint="eastAsia"/>
                <w:sz w:val="18"/>
                <w:szCs w:val="18"/>
              </w:rPr>
              <w:t>7</w:t>
            </w:r>
          </w:p>
        </w:tc>
        <w:tc>
          <w:tcPr>
            <w:tcW w:w="517" w:type="dxa"/>
            <w:shd w:val="clear" w:color="auto" w:fill="auto"/>
            <w:vAlign w:val="center"/>
          </w:tcPr>
          <w:p>
            <w:pPr>
              <w:jc w:val="center"/>
              <w:rPr>
                <w:rFonts w:ascii="宋体" w:hAnsi="宋体" w:cs="宋体"/>
                <w:sz w:val="18"/>
                <w:szCs w:val="18"/>
              </w:rPr>
            </w:pPr>
            <w:r>
              <w:rPr>
                <w:rFonts w:hint="eastAsia"/>
                <w:sz w:val="18"/>
                <w:szCs w:val="18"/>
              </w:rPr>
              <w:t>85</w:t>
            </w:r>
          </w:p>
        </w:tc>
        <w:tc>
          <w:tcPr>
            <w:tcW w:w="457" w:type="dxa"/>
            <w:shd w:val="clear" w:color="auto" w:fill="auto"/>
            <w:vAlign w:val="center"/>
          </w:tcPr>
          <w:p>
            <w:pPr>
              <w:jc w:val="center"/>
              <w:rPr>
                <w:rFonts w:ascii="宋体" w:hAnsi="宋体" w:cs="宋体"/>
                <w:sz w:val="18"/>
                <w:szCs w:val="18"/>
              </w:rPr>
            </w:pPr>
            <w:r>
              <w:rPr>
                <w:rFonts w:hint="eastAsia"/>
                <w:sz w:val="18"/>
                <w:szCs w:val="18"/>
              </w:rPr>
              <w:t>15</w:t>
            </w:r>
          </w:p>
        </w:tc>
        <w:tc>
          <w:tcPr>
            <w:tcW w:w="711" w:type="dxa"/>
            <w:shd w:val="clear" w:color="auto" w:fill="auto"/>
            <w:vAlign w:val="center"/>
          </w:tcPr>
          <w:p>
            <w:pPr>
              <w:jc w:val="center"/>
              <w:rPr>
                <w:rFonts w:ascii="宋体" w:hAnsi="宋体" w:cs="宋体"/>
                <w:sz w:val="18"/>
                <w:szCs w:val="18"/>
              </w:rPr>
            </w:pPr>
            <w:r>
              <w:rPr>
                <w:rFonts w:hint="eastAsia"/>
                <w:sz w:val="18"/>
                <w:szCs w:val="18"/>
              </w:rPr>
              <w:t>299.02</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150.84</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rFonts w:hint="eastAsia"/>
                <w:sz w:val="18"/>
                <w:szCs w:val="18"/>
              </w:rPr>
            </w:pPr>
            <w:r>
              <w:rPr>
                <w:rFonts w:hint="eastAsia"/>
                <w:sz w:val="18"/>
                <w:szCs w:val="18"/>
              </w:rPr>
              <w:t>8</w:t>
            </w:r>
          </w:p>
        </w:tc>
        <w:tc>
          <w:tcPr>
            <w:tcW w:w="517" w:type="dxa"/>
            <w:shd w:val="clear" w:color="auto" w:fill="auto"/>
            <w:vAlign w:val="center"/>
          </w:tcPr>
          <w:p>
            <w:pPr>
              <w:jc w:val="center"/>
              <w:rPr>
                <w:rFonts w:ascii="宋体" w:hAnsi="宋体" w:cs="宋体"/>
                <w:sz w:val="18"/>
                <w:szCs w:val="18"/>
              </w:rPr>
            </w:pPr>
            <w:r>
              <w:rPr>
                <w:rFonts w:hint="eastAsia"/>
                <w:sz w:val="18"/>
                <w:szCs w:val="18"/>
              </w:rPr>
              <w:t>201</w:t>
            </w:r>
          </w:p>
        </w:tc>
        <w:tc>
          <w:tcPr>
            <w:tcW w:w="457" w:type="dxa"/>
            <w:shd w:val="clear" w:color="auto" w:fill="auto"/>
            <w:vAlign w:val="center"/>
          </w:tcPr>
          <w:p>
            <w:pPr>
              <w:jc w:val="center"/>
              <w:rPr>
                <w:rFonts w:ascii="宋体" w:hAnsi="宋体" w:cs="宋体"/>
                <w:sz w:val="18"/>
                <w:szCs w:val="18"/>
              </w:rPr>
            </w:pPr>
            <w:r>
              <w:rPr>
                <w:rFonts w:hint="eastAsia"/>
                <w:sz w:val="18"/>
                <w:szCs w:val="18"/>
              </w:rPr>
              <w:t>12</w:t>
            </w:r>
          </w:p>
        </w:tc>
        <w:tc>
          <w:tcPr>
            <w:tcW w:w="711" w:type="dxa"/>
            <w:shd w:val="clear" w:color="auto" w:fill="auto"/>
            <w:vAlign w:val="center"/>
          </w:tcPr>
          <w:p>
            <w:pPr>
              <w:jc w:val="center"/>
              <w:rPr>
                <w:rFonts w:ascii="宋体" w:hAnsi="宋体" w:cs="宋体"/>
                <w:sz w:val="18"/>
                <w:szCs w:val="18"/>
              </w:rPr>
            </w:pPr>
            <w:r>
              <w:rPr>
                <w:rFonts w:hint="eastAsia"/>
                <w:sz w:val="18"/>
                <w:szCs w:val="18"/>
              </w:rPr>
              <w:t>286.54</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145.64</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rFonts w:hint="eastAsia"/>
                <w:sz w:val="18"/>
                <w:szCs w:val="18"/>
              </w:rPr>
            </w:pPr>
            <w:r>
              <w:rPr>
                <w:rFonts w:hint="eastAsia"/>
                <w:sz w:val="18"/>
                <w:szCs w:val="18"/>
              </w:rPr>
              <w:t>9</w:t>
            </w:r>
          </w:p>
        </w:tc>
        <w:tc>
          <w:tcPr>
            <w:tcW w:w="517" w:type="dxa"/>
            <w:shd w:val="clear" w:color="auto" w:fill="auto"/>
            <w:vAlign w:val="center"/>
          </w:tcPr>
          <w:p>
            <w:pPr>
              <w:jc w:val="center"/>
              <w:rPr>
                <w:rFonts w:ascii="宋体" w:hAnsi="宋体" w:cs="宋体"/>
                <w:sz w:val="18"/>
                <w:szCs w:val="18"/>
              </w:rPr>
            </w:pPr>
            <w:r>
              <w:rPr>
                <w:rFonts w:hint="eastAsia"/>
                <w:sz w:val="18"/>
                <w:szCs w:val="18"/>
              </w:rPr>
              <w:t>110</w:t>
            </w:r>
          </w:p>
        </w:tc>
        <w:tc>
          <w:tcPr>
            <w:tcW w:w="457" w:type="dxa"/>
            <w:shd w:val="clear" w:color="auto" w:fill="auto"/>
            <w:vAlign w:val="center"/>
          </w:tcPr>
          <w:p>
            <w:pPr>
              <w:jc w:val="center"/>
              <w:rPr>
                <w:rFonts w:ascii="宋体" w:hAnsi="宋体" w:cs="宋体"/>
                <w:sz w:val="18"/>
                <w:szCs w:val="18"/>
              </w:rPr>
            </w:pPr>
            <w:r>
              <w:rPr>
                <w:rFonts w:hint="eastAsia"/>
                <w:sz w:val="18"/>
                <w:szCs w:val="18"/>
              </w:rPr>
              <w:t>14</w:t>
            </w:r>
          </w:p>
        </w:tc>
        <w:tc>
          <w:tcPr>
            <w:tcW w:w="711" w:type="dxa"/>
            <w:shd w:val="clear" w:color="auto" w:fill="auto"/>
            <w:vAlign w:val="center"/>
          </w:tcPr>
          <w:p>
            <w:pPr>
              <w:jc w:val="center"/>
              <w:rPr>
                <w:rFonts w:ascii="宋体" w:hAnsi="宋体" w:cs="宋体"/>
                <w:sz w:val="18"/>
                <w:szCs w:val="18"/>
              </w:rPr>
            </w:pPr>
            <w:r>
              <w:rPr>
                <w:rFonts w:hint="eastAsia"/>
                <w:sz w:val="18"/>
                <w:szCs w:val="18"/>
              </w:rPr>
              <w:t>276.83</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141.60</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rFonts w:hint="eastAsia"/>
                <w:sz w:val="18"/>
                <w:szCs w:val="18"/>
              </w:rPr>
            </w:pPr>
            <w:r>
              <w:rPr>
                <w:rFonts w:hint="eastAsia"/>
                <w:sz w:val="18"/>
                <w:szCs w:val="18"/>
              </w:rPr>
              <w:t>10</w:t>
            </w:r>
          </w:p>
        </w:tc>
        <w:tc>
          <w:tcPr>
            <w:tcW w:w="517" w:type="dxa"/>
            <w:shd w:val="clear" w:color="auto" w:fill="auto"/>
            <w:vAlign w:val="center"/>
          </w:tcPr>
          <w:p>
            <w:pPr>
              <w:jc w:val="center"/>
              <w:rPr>
                <w:rFonts w:ascii="宋体" w:hAnsi="宋体" w:cs="宋体"/>
                <w:sz w:val="18"/>
                <w:szCs w:val="18"/>
              </w:rPr>
            </w:pPr>
            <w:r>
              <w:rPr>
                <w:rFonts w:hint="eastAsia"/>
                <w:sz w:val="18"/>
                <w:szCs w:val="18"/>
              </w:rPr>
              <w:t>135</w:t>
            </w:r>
          </w:p>
        </w:tc>
        <w:tc>
          <w:tcPr>
            <w:tcW w:w="457" w:type="dxa"/>
            <w:shd w:val="clear" w:color="auto" w:fill="auto"/>
            <w:vAlign w:val="center"/>
          </w:tcPr>
          <w:p>
            <w:pPr>
              <w:jc w:val="center"/>
              <w:rPr>
                <w:rFonts w:ascii="宋体" w:hAnsi="宋体" w:cs="宋体"/>
                <w:sz w:val="18"/>
                <w:szCs w:val="18"/>
              </w:rPr>
            </w:pPr>
            <w:r>
              <w:rPr>
                <w:rFonts w:hint="eastAsia"/>
                <w:sz w:val="18"/>
                <w:szCs w:val="18"/>
              </w:rPr>
              <w:t>12</w:t>
            </w:r>
          </w:p>
        </w:tc>
        <w:tc>
          <w:tcPr>
            <w:tcW w:w="711" w:type="dxa"/>
            <w:shd w:val="clear" w:color="auto" w:fill="auto"/>
            <w:vAlign w:val="center"/>
          </w:tcPr>
          <w:p>
            <w:pPr>
              <w:jc w:val="center"/>
              <w:rPr>
                <w:rFonts w:ascii="宋体" w:hAnsi="宋体" w:cs="宋体"/>
                <w:sz w:val="18"/>
                <w:szCs w:val="18"/>
              </w:rPr>
            </w:pPr>
            <w:r>
              <w:rPr>
                <w:rFonts w:hint="eastAsia"/>
                <w:sz w:val="18"/>
                <w:szCs w:val="18"/>
              </w:rPr>
              <w:t>275.82</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141.18</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rFonts w:hint="eastAsia"/>
                <w:sz w:val="18"/>
                <w:szCs w:val="18"/>
              </w:rPr>
            </w:pPr>
            <w:r>
              <w:rPr>
                <w:rFonts w:hint="eastAsia"/>
                <w:sz w:val="18"/>
                <w:szCs w:val="18"/>
              </w:rPr>
              <w:t>11</w:t>
            </w:r>
          </w:p>
        </w:tc>
        <w:tc>
          <w:tcPr>
            <w:tcW w:w="517" w:type="dxa"/>
            <w:shd w:val="clear" w:color="auto" w:fill="auto"/>
            <w:vAlign w:val="center"/>
          </w:tcPr>
          <w:p>
            <w:pPr>
              <w:jc w:val="center"/>
              <w:rPr>
                <w:rFonts w:ascii="宋体" w:hAnsi="宋体" w:cs="宋体"/>
                <w:sz w:val="18"/>
                <w:szCs w:val="18"/>
              </w:rPr>
            </w:pPr>
            <w:r>
              <w:rPr>
                <w:rFonts w:hint="eastAsia"/>
                <w:sz w:val="18"/>
                <w:szCs w:val="18"/>
              </w:rPr>
              <w:t>171</w:t>
            </w:r>
          </w:p>
        </w:tc>
        <w:tc>
          <w:tcPr>
            <w:tcW w:w="457" w:type="dxa"/>
            <w:shd w:val="clear" w:color="auto" w:fill="auto"/>
            <w:vAlign w:val="center"/>
          </w:tcPr>
          <w:p>
            <w:pPr>
              <w:jc w:val="center"/>
              <w:rPr>
                <w:rFonts w:ascii="宋体" w:hAnsi="宋体" w:cs="宋体"/>
                <w:sz w:val="18"/>
                <w:szCs w:val="18"/>
              </w:rPr>
            </w:pPr>
            <w:r>
              <w:rPr>
                <w:rFonts w:hint="eastAsia"/>
                <w:sz w:val="18"/>
                <w:szCs w:val="18"/>
              </w:rPr>
              <w:t>12</w:t>
            </w:r>
          </w:p>
        </w:tc>
        <w:tc>
          <w:tcPr>
            <w:tcW w:w="711" w:type="dxa"/>
            <w:shd w:val="clear" w:color="auto" w:fill="auto"/>
            <w:vAlign w:val="center"/>
          </w:tcPr>
          <w:p>
            <w:pPr>
              <w:jc w:val="center"/>
              <w:rPr>
                <w:rFonts w:ascii="宋体" w:hAnsi="宋体" w:cs="宋体"/>
                <w:sz w:val="18"/>
                <w:szCs w:val="18"/>
              </w:rPr>
            </w:pPr>
            <w:r>
              <w:rPr>
                <w:rFonts w:hint="eastAsia"/>
                <w:sz w:val="18"/>
                <w:szCs w:val="18"/>
              </w:rPr>
              <w:t>269.49</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138.54</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rFonts w:hint="eastAsia"/>
                <w:sz w:val="18"/>
                <w:szCs w:val="18"/>
              </w:rPr>
            </w:pPr>
            <w:r>
              <w:rPr>
                <w:rFonts w:hint="eastAsia"/>
                <w:sz w:val="18"/>
                <w:szCs w:val="18"/>
              </w:rPr>
              <w:t>12</w:t>
            </w:r>
          </w:p>
        </w:tc>
        <w:tc>
          <w:tcPr>
            <w:tcW w:w="517" w:type="dxa"/>
            <w:shd w:val="clear" w:color="auto" w:fill="auto"/>
            <w:vAlign w:val="center"/>
          </w:tcPr>
          <w:p>
            <w:pPr>
              <w:jc w:val="center"/>
              <w:rPr>
                <w:rFonts w:ascii="宋体" w:hAnsi="宋体" w:cs="宋体"/>
                <w:sz w:val="18"/>
                <w:szCs w:val="18"/>
              </w:rPr>
            </w:pPr>
            <w:r>
              <w:rPr>
                <w:rFonts w:hint="eastAsia"/>
                <w:sz w:val="18"/>
                <w:szCs w:val="18"/>
              </w:rPr>
              <w:t>204</w:t>
            </w:r>
          </w:p>
        </w:tc>
        <w:tc>
          <w:tcPr>
            <w:tcW w:w="457" w:type="dxa"/>
            <w:shd w:val="clear" w:color="auto" w:fill="auto"/>
            <w:vAlign w:val="center"/>
          </w:tcPr>
          <w:p>
            <w:pPr>
              <w:jc w:val="center"/>
              <w:rPr>
                <w:rFonts w:ascii="宋体" w:hAnsi="宋体" w:cs="宋体"/>
                <w:sz w:val="18"/>
                <w:szCs w:val="18"/>
              </w:rPr>
            </w:pPr>
            <w:r>
              <w:rPr>
                <w:rFonts w:hint="eastAsia"/>
                <w:sz w:val="18"/>
                <w:szCs w:val="18"/>
              </w:rPr>
              <w:t>14</w:t>
            </w:r>
          </w:p>
        </w:tc>
        <w:tc>
          <w:tcPr>
            <w:tcW w:w="711" w:type="dxa"/>
            <w:shd w:val="clear" w:color="auto" w:fill="auto"/>
            <w:vAlign w:val="center"/>
          </w:tcPr>
          <w:p>
            <w:pPr>
              <w:jc w:val="center"/>
              <w:rPr>
                <w:rFonts w:ascii="宋体" w:hAnsi="宋体" w:cs="宋体"/>
                <w:sz w:val="18"/>
                <w:szCs w:val="18"/>
              </w:rPr>
            </w:pPr>
            <w:r>
              <w:rPr>
                <w:rFonts w:hint="eastAsia"/>
                <w:sz w:val="18"/>
                <w:szCs w:val="18"/>
              </w:rPr>
              <w:t>242.68</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127.36</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rFonts w:hint="eastAsia"/>
                <w:sz w:val="18"/>
                <w:szCs w:val="18"/>
              </w:rPr>
            </w:pPr>
            <w:r>
              <w:rPr>
                <w:rFonts w:hint="eastAsia"/>
                <w:sz w:val="18"/>
                <w:szCs w:val="18"/>
              </w:rPr>
              <w:t>13</w:t>
            </w:r>
          </w:p>
        </w:tc>
        <w:tc>
          <w:tcPr>
            <w:tcW w:w="517" w:type="dxa"/>
            <w:shd w:val="clear" w:color="auto" w:fill="auto"/>
            <w:vAlign w:val="center"/>
          </w:tcPr>
          <w:p>
            <w:pPr>
              <w:jc w:val="center"/>
              <w:rPr>
                <w:rFonts w:ascii="宋体" w:hAnsi="宋体" w:cs="宋体"/>
                <w:sz w:val="18"/>
                <w:szCs w:val="18"/>
              </w:rPr>
            </w:pPr>
            <w:r>
              <w:rPr>
                <w:rFonts w:hint="eastAsia"/>
                <w:sz w:val="18"/>
                <w:szCs w:val="18"/>
              </w:rPr>
              <w:t>198</w:t>
            </w:r>
          </w:p>
        </w:tc>
        <w:tc>
          <w:tcPr>
            <w:tcW w:w="457" w:type="dxa"/>
            <w:shd w:val="clear" w:color="auto" w:fill="auto"/>
            <w:vAlign w:val="center"/>
          </w:tcPr>
          <w:p>
            <w:pPr>
              <w:jc w:val="center"/>
              <w:rPr>
                <w:rFonts w:ascii="宋体" w:hAnsi="宋体" w:cs="宋体"/>
                <w:sz w:val="18"/>
                <w:szCs w:val="18"/>
              </w:rPr>
            </w:pPr>
            <w:r>
              <w:rPr>
                <w:rFonts w:hint="eastAsia"/>
                <w:sz w:val="18"/>
                <w:szCs w:val="18"/>
              </w:rPr>
              <w:t>9</w:t>
            </w:r>
          </w:p>
        </w:tc>
        <w:tc>
          <w:tcPr>
            <w:tcW w:w="711" w:type="dxa"/>
            <w:shd w:val="clear" w:color="auto" w:fill="auto"/>
            <w:vAlign w:val="center"/>
          </w:tcPr>
          <w:p>
            <w:pPr>
              <w:jc w:val="center"/>
              <w:rPr>
                <w:rFonts w:ascii="宋体" w:hAnsi="宋体" w:cs="宋体"/>
                <w:sz w:val="18"/>
                <w:szCs w:val="18"/>
              </w:rPr>
            </w:pPr>
            <w:r>
              <w:rPr>
                <w:rFonts w:hint="eastAsia"/>
                <w:sz w:val="18"/>
                <w:szCs w:val="18"/>
              </w:rPr>
              <w:t>223.42</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119.34</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rFonts w:hint="eastAsia"/>
                <w:sz w:val="18"/>
                <w:szCs w:val="18"/>
              </w:rPr>
            </w:pPr>
            <w:r>
              <w:rPr>
                <w:rFonts w:hint="eastAsia"/>
                <w:sz w:val="18"/>
                <w:szCs w:val="18"/>
              </w:rPr>
              <w:t>14</w:t>
            </w:r>
          </w:p>
        </w:tc>
        <w:tc>
          <w:tcPr>
            <w:tcW w:w="517" w:type="dxa"/>
            <w:shd w:val="clear" w:color="auto" w:fill="auto"/>
            <w:vAlign w:val="center"/>
          </w:tcPr>
          <w:p>
            <w:pPr>
              <w:jc w:val="center"/>
              <w:rPr>
                <w:rFonts w:ascii="宋体" w:hAnsi="宋体" w:cs="宋体"/>
                <w:sz w:val="18"/>
                <w:szCs w:val="18"/>
              </w:rPr>
            </w:pPr>
            <w:r>
              <w:rPr>
                <w:rFonts w:hint="eastAsia"/>
                <w:sz w:val="18"/>
                <w:szCs w:val="18"/>
              </w:rPr>
              <w:t>190</w:t>
            </w:r>
          </w:p>
        </w:tc>
        <w:tc>
          <w:tcPr>
            <w:tcW w:w="457" w:type="dxa"/>
            <w:shd w:val="clear" w:color="auto" w:fill="auto"/>
            <w:vAlign w:val="center"/>
          </w:tcPr>
          <w:p>
            <w:pPr>
              <w:jc w:val="center"/>
              <w:rPr>
                <w:rFonts w:ascii="宋体" w:hAnsi="宋体" w:cs="宋体"/>
                <w:sz w:val="18"/>
                <w:szCs w:val="18"/>
              </w:rPr>
            </w:pPr>
            <w:r>
              <w:rPr>
                <w:rFonts w:hint="eastAsia"/>
                <w:sz w:val="18"/>
                <w:szCs w:val="18"/>
              </w:rPr>
              <w:t>16</w:t>
            </w:r>
          </w:p>
        </w:tc>
        <w:tc>
          <w:tcPr>
            <w:tcW w:w="711" w:type="dxa"/>
            <w:shd w:val="clear" w:color="auto" w:fill="auto"/>
            <w:vAlign w:val="center"/>
          </w:tcPr>
          <w:p>
            <w:pPr>
              <w:jc w:val="center"/>
              <w:rPr>
                <w:rFonts w:ascii="宋体" w:hAnsi="宋体" w:cs="宋体"/>
                <w:sz w:val="18"/>
                <w:szCs w:val="18"/>
              </w:rPr>
            </w:pPr>
            <w:r>
              <w:rPr>
                <w:rFonts w:hint="eastAsia"/>
                <w:sz w:val="18"/>
                <w:szCs w:val="18"/>
              </w:rPr>
              <w:t>221.39</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118.50</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rFonts w:hint="eastAsia"/>
                <w:sz w:val="18"/>
                <w:szCs w:val="18"/>
              </w:rPr>
            </w:pPr>
            <w:r>
              <w:rPr>
                <w:rFonts w:hint="eastAsia"/>
                <w:sz w:val="18"/>
                <w:szCs w:val="18"/>
              </w:rPr>
              <w:t>15</w:t>
            </w:r>
          </w:p>
        </w:tc>
        <w:tc>
          <w:tcPr>
            <w:tcW w:w="517" w:type="dxa"/>
            <w:shd w:val="clear" w:color="auto" w:fill="auto"/>
            <w:vAlign w:val="center"/>
          </w:tcPr>
          <w:p>
            <w:pPr>
              <w:jc w:val="center"/>
              <w:rPr>
                <w:rFonts w:ascii="宋体" w:hAnsi="宋体" w:cs="宋体"/>
                <w:sz w:val="18"/>
                <w:szCs w:val="18"/>
              </w:rPr>
            </w:pPr>
            <w:r>
              <w:rPr>
                <w:rFonts w:hint="eastAsia"/>
                <w:sz w:val="18"/>
                <w:szCs w:val="18"/>
              </w:rPr>
              <w:t>89</w:t>
            </w:r>
          </w:p>
        </w:tc>
        <w:tc>
          <w:tcPr>
            <w:tcW w:w="457" w:type="dxa"/>
            <w:shd w:val="clear" w:color="auto" w:fill="auto"/>
            <w:vAlign w:val="center"/>
          </w:tcPr>
          <w:p>
            <w:pPr>
              <w:jc w:val="center"/>
              <w:rPr>
                <w:rFonts w:ascii="宋体" w:hAnsi="宋体" w:cs="宋体"/>
                <w:sz w:val="18"/>
                <w:szCs w:val="18"/>
              </w:rPr>
            </w:pPr>
            <w:r>
              <w:rPr>
                <w:rFonts w:hint="eastAsia"/>
                <w:sz w:val="18"/>
                <w:szCs w:val="18"/>
              </w:rPr>
              <w:t>5</w:t>
            </w:r>
          </w:p>
        </w:tc>
        <w:tc>
          <w:tcPr>
            <w:tcW w:w="711" w:type="dxa"/>
            <w:shd w:val="clear" w:color="auto" w:fill="auto"/>
            <w:vAlign w:val="center"/>
          </w:tcPr>
          <w:p>
            <w:pPr>
              <w:jc w:val="center"/>
              <w:rPr>
                <w:rFonts w:ascii="宋体" w:hAnsi="宋体" w:cs="宋体"/>
                <w:sz w:val="18"/>
                <w:szCs w:val="18"/>
              </w:rPr>
            </w:pPr>
            <w:r>
              <w:rPr>
                <w:rFonts w:hint="eastAsia"/>
                <w:sz w:val="18"/>
                <w:szCs w:val="18"/>
              </w:rPr>
              <w:t>221.12</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118.38</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rFonts w:hint="eastAsia"/>
                <w:sz w:val="18"/>
                <w:szCs w:val="18"/>
              </w:rPr>
            </w:pPr>
            <w:r>
              <w:rPr>
                <w:rFonts w:hint="eastAsia"/>
                <w:sz w:val="18"/>
                <w:szCs w:val="18"/>
              </w:rPr>
              <w:t>16</w:t>
            </w:r>
          </w:p>
        </w:tc>
        <w:tc>
          <w:tcPr>
            <w:tcW w:w="517" w:type="dxa"/>
            <w:shd w:val="clear" w:color="auto" w:fill="auto"/>
            <w:vAlign w:val="center"/>
          </w:tcPr>
          <w:p>
            <w:pPr>
              <w:jc w:val="center"/>
              <w:rPr>
                <w:rFonts w:ascii="宋体" w:hAnsi="宋体" w:cs="宋体"/>
                <w:sz w:val="18"/>
                <w:szCs w:val="18"/>
              </w:rPr>
            </w:pPr>
            <w:r>
              <w:rPr>
                <w:rFonts w:hint="eastAsia"/>
                <w:sz w:val="18"/>
                <w:szCs w:val="18"/>
              </w:rPr>
              <w:t>105</w:t>
            </w:r>
          </w:p>
        </w:tc>
        <w:tc>
          <w:tcPr>
            <w:tcW w:w="457" w:type="dxa"/>
            <w:shd w:val="clear" w:color="auto" w:fill="auto"/>
            <w:vAlign w:val="center"/>
          </w:tcPr>
          <w:p>
            <w:pPr>
              <w:jc w:val="center"/>
              <w:rPr>
                <w:rFonts w:ascii="宋体" w:hAnsi="宋体" w:cs="宋体"/>
                <w:sz w:val="18"/>
                <w:szCs w:val="18"/>
              </w:rPr>
            </w:pPr>
            <w:r>
              <w:rPr>
                <w:rFonts w:hint="eastAsia"/>
                <w:sz w:val="18"/>
                <w:szCs w:val="18"/>
              </w:rPr>
              <w:t>9</w:t>
            </w:r>
          </w:p>
        </w:tc>
        <w:tc>
          <w:tcPr>
            <w:tcW w:w="711" w:type="dxa"/>
            <w:shd w:val="clear" w:color="auto" w:fill="auto"/>
            <w:vAlign w:val="center"/>
          </w:tcPr>
          <w:p>
            <w:pPr>
              <w:jc w:val="center"/>
              <w:rPr>
                <w:rFonts w:ascii="宋体" w:hAnsi="宋体" w:cs="宋体"/>
                <w:sz w:val="18"/>
                <w:szCs w:val="18"/>
              </w:rPr>
            </w:pPr>
            <w:r>
              <w:rPr>
                <w:rFonts w:hint="eastAsia"/>
                <w:sz w:val="18"/>
                <w:szCs w:val="18"/>
              </w:rPr>
              <w:t>205.87</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112.03</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rFonts w:hint="eastAsia"/>
                <w:sz w:val="18"/>
                <w:szCs w:val="18"/>
              </w:rPr>
            </w:pPr>
            <w:r>
              <w:rPr>
                <w:rFonts w:hint="eastAsia"/>
                <w:sz w:val="18"/>
                <w:szCs w:val="18"/>
              </w:rPr>
              <w:t>17</w:t>
            </w:r>
          </w:p>
        </w:tc>
        <w:tc>
          <w:tcPr>
            <w:tcW w:w="517" w:type="dxa"/>
            <w:shd w:val="clear" w:color="auto" w:fill="auto"/>
            <w:vAlign w:val="center"/>
          </w:tcPr>
          <w:p>
            <w:pPr>
              <w:jc w:val="center"/>
              <w:rPr>
                <w:rFonts w:ascii="宋体" w:hAnsi="宋体" w:cs="宋体"/>
                <w:sz w:val="18"/>
                <w:szCs w:val="18"/>
              </w:rPr>
            </w:pPr>
            <w:r>
              <w:rPr>
                <w:rFonts w:hint="eastAsia"/>
                <w:sz w:val="18"/>
                <w:szCs w:val="18"/>
              </w:rPr>
              <w:t>171</w:t>
            </w:r>
          </w:p>
        </w:tc>
        <w:tc>
          <w:tcPr>
            <w:tcW w:w="457" w:type="dxa"/>
            <w:shd w:val="clear" w:color="auto" w:fill="auto"/>
            <w:vAlign w:val="center"/>
          </w:tcPr>
          <w:p>
            <w:pPr>
              <w:jc w:val="center"/>
              <w:rPr>
                <w:rFonts w:ascii="宋体" w:hAnsi="宋体" w:cs="宋体"/>
                <w:sz w:val="18"/>
                <w:szCs w:val="18"/>
              </w:rPr>
            </w:pPr>
            <w:r>
              <w:rPr>
                <w:rFonts w:hint="eastAsia"/>
                <w:sz w:val="18"/>
                <w:szCs w:val="18"/>
              </w:rPr>
              <w:t>13</w:t>
            </w:r>
          </w:p>
        </w:tc>
        <w:tc>
          <w:tcPr>
            <w:tcW w:w="711" w:type="dxa"/>
            <w:shd w:val="clear" w:color="auto" w:fill="auto"/>
            <w:vAlign w:val="center"/>
          </w:tcPr>
          <w:p>
            <w:pPr>
              <w:jc w:val="center"/>
              <w:rPr>
                <w:rFonts w:ascii="宋体" w:hAnsi="宋体" w:cs="宋体"/>
                <w:sz w:val="18"/>
                <w:szCs w:val="18"/>
              </w:rPr>
            </w:pPr>
            <w:r>
              <w:rPr>
                <w:rFonts w:hint="eastAsia"/>
                <w:sz w:val="18"/>
                <w:szCs w:val="18"/>
              </w:rPr>
              <w:t>200.51</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109.80</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rFonts w:hint="eastAsia"/>
                <w:sz w:val="18"/>
                <w:szCs w:val="18"/>
              </w:rPr>
            </w:pPr>
            <w:r>
              <w:rPr>
                <w:rFonts w:hint="eastAsia"/>
                <w:sz w:val="18"/>
                <w:szCs w:val="18"/>
              </w:rPr>
              <w:t>18</w:t>
            </w:r>
          </w:p>
        </w:tc>
        <w:tc>
          <w:tcPr>
            <w:tcW w:w="517" w:type="dxa"/>
            <w:shd w:val="clear" w:color="auto" w:fill="auto"/>
            <w:vAlign w:val="center"/>
          </w:tcPr>
          <w:p>
            <w:pPr>
              <w:jc w:val="center"/>
              <w:rPr>
                <w:rFonts w:ascii="宋体" w:hAnsi="宋体" w:cs="宋体"/>
                <w:sz w:val="18"/>
                <w:szCs w:val="18"/>
              </w:rPr>
            </w:pPr>
            <w:r>
              <w:rPr>
                <w:rFonts w:hint="eastAsia"/>
                <w:sz w:val="18"/>
                <w:szCs w:val="18"/>
              </w:rPr>
              <w:t>115</w:t>
            </w:r>
          </w:p>
        </w:tc>
        <w:tc>
          <w:tcPr>
            <w:tcW w:w="457" w:type="dxa"/>
            <w:shd w:val="clear" w:color="auto" w:fill="auto"/>
            <w:vAlign w:val="center"/>
          </w:tcPr>
          <w:p>
            <w:pPr>
              <w:jc w:val="center"/>
              <w:rPr>
                <w:rFonts w:ascii="宋体" w:hAnsi="宋体" w:cs="宋体"/>
                <w:sz w:val="18"/>
                <w:szCs w:val="18"/>
              </w:rPr>
            </w:pPr>
            <w:r>
              <w:rPr>
                <w:rFonts w:hint="eastAsia"/>
                <w:sz w:val="18"/>
                <w:szCs w:val="18"/>
              </w:rPr>
              <w:t>15</w:t>
            </w:r>
          </w:p>
        </w:tc>
        <w:tc>
          <w:tcPr>
            <w:tcW w:w="711" w:type="dxa"/>
            <w:shd w:val="clear" w:color="auto" w:fill="auto"/>
            <w:vAlign w:val="center"/>
          </w:tcPr>
          <w:p>
            <w:pPr>
              <w:jc w:val="center"/>
              <w:rPr>
                <w:rFonts w:ascii="宋体" w:hAnsi="宋体" w:cs="宋体"/>
                <w:sz w:val="18"/>
                <w:szCs w:val="18"/>
              </w:rPr>
            </w:pPr>
            <w:r>
              <w:rPr>
                <w:rFonts w:hint="eastAsia"/>
                <w:sz w:val="18"/>
                <w:szCs w:val="18"/>
              </w:rPr>
              <w:t>198.60</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109.00</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rFonts w:hint="eastAsia"/>
                <w:sz w:val="18"/>
                <w:szCs w:val="18"/>
              </w:rPr>
            </w:pPr>
            <w:r>
              <w:rPr>
                <w:rFonts w:hint="eastAsia"/>
                <w:sz w:val="18"/>
                <w:szCs w:val="18"/>
              </w:rPr>
              <w:t>19</w:t>
            </w:r>
          </w:p>
        </w:tc>
        <w:tc>
          <w:tcPr>
            <w:tcW w:w="517" w:type="dxa"/>
            <w:shd w:val="clear" w:color="auto" w:fill="auto"/>
            <w:vAlign w:val="center"/>
          </w:tcPr>
          <w:p>
            <w:pPr>
              <w:jc w:val="center"/>
              <w:rPr>
                <w:rFonts w:ascii="宋体" w:hAnsi="宋体" w:cs="宋体"/>
                <w:sz w:val="18"/>
                <w:szCs w:val="18"/>
              </w:rPr>
            </w:pPr>
            <w:r>
              <w:rPr>
                <w:rFonts w:hint="eastAsia"/>
                <w:sz w:val="18"/>
                <w:szCs w:val="18"/>
              </w:rPr>
              <w:t>336</w:t>
            </w:r>
          </w:p>
        </w:tc>
        <w:tc>
          <w:tcPr>
            <w:tcW w:w="457" w:type="dxa"/>
            <w:shd w:val="clear" w:color="auto" w:fill="auto"/>
            <w:vAlign w:val="center"/>
          </w:tcPr>
          <w:p>
            <w:pPr>
              <w:jc w:val="center"/>
              <w:rPr>
                <w:rFonts w:ascii="宋体" w:hAnsi="宋体" w:cs="宋体"/>
                <w:sz w:val="18"/>
                <w:szCs w:val="18"/>
              </w:rPr>
            </w:pPr>
            <w:r>
              <w:rPr>
                <w:rFonts w:hint="eastAsia"/>
                <w:sz w:val="18"/>
                <w:szCs w:val="18"/>
              </w:rPr>
              <w:t>7</w:t>
            </w:r>
          </w:p>
        </w:tc>
        <w:tc>
          <w:tcPr>
            <w:tcW w:w="711" w:type="dxa"/>
            <w:shd w:val="clear" w:color="auto" w:fill="auto"/>
            <w:vAlign w:val="center"/>
          </w:tcPr>
          <w:p>
            <w:pPr>
              <w:jc w:val="center"/>
              <w:rPr>
                <w:rFonts w:ascii="宋体" w:hAnsi="宋体" w:cs="宋体"/>
                <w:sz w:val="18"/>
                <w:szCs w:val="18"/>
              </w:rPr>
            </w:pPr>
            <w:r>
              <w:rPr>
                <w:rFonts w:hint="eastAsia"/>
                <w:sz w:val="18"/>
                <w:szCs w:val="18"/>
              </w:rPr>
              <w:t>198.23</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108.85</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rFonts w:hint="eastAsia"/>
                <w:sz w:val="18"/>
                <w:szCs w:val="18"/>
              </w:rPr>
            </w:pPr>
            <w:r>
              <w:rPr>
                <w:rFonts w:hint="eastAsia"/>
                <w:sz w:val="18"/>
                <w:szCs w:val="18"/>
              </w:rPr>
              <w:t>20</w:t>
            </w:r>
          </w:p>
        </w:tc>
        <w:tc>
          <w:tcPr>
            <w:tcW w:w="517" w:type="dxa"/>
            <w:shd w:val="clear" w:color="auto" w:fill="auto"/>
            <w:vAlign w:val="center"/>
          </w:tcPr>
          <w:p>
            <w:pPr>
              <w:jc w:val="center"/>
              <w:rPr>
                <w:rFonts w:ascii="宋体" w:hAnsi="宋体" w:cs="宋体"/>
                <w:sz w:val="18"/>
                <w:szCs w:val="18"/>
              </w:rPr>
            </w:pPr>
            <w:r>
              <w:rPr>
                <w:rFonts w:hint="eastAsia"/>
                <w:sz w:val="18"/>
                <w:szCs w:val="18"/>
              </w:rPr>
              <w:t>331</w:t>
            </w:r>
          </w:p>
        </w:tc>
        <w:tc>
          <w:tcPr>
            <w:tcW w:w="457" w:type="dxa"/>
            <w:shd w:val="clear" w:color="auto" w:fill="auto"/>
            <w:vAlign w:val="center"/>
          </w:tcPr>
          <w:p>
            <w:pPr>
              <w:jc w:val="center"/>
              <w:rPr>
                <w:rFonts w:ascii="宋体" w:hAnsi="宋体" w:cs="宋体"/>
                <w:sz w:val="18"/>
                <w:szCs w:val="18"/>
              </w:rPr>
            </w:pPr>
            <w:r>
              <w:rPr>
                <w:rFonts w:hint="eastAsia"/>
                <w:sz w:val="18"/>
                <w:szCs w:val="18"/>
              </w:rPr>
              <w:t>0</w:t>
            </w:r>
          </w:p>
        </w:tc>
        <w:tc>
          <w:tcPr>
            <w:tcW w:w="711" w:type="dxa"/>
            <w:shd w:val="clear" w:color="auto" w:fill="auto"/>
            <w:vAlign w:val="center"/>
          </w:tcPr>
          <w:p>
            <w:pPr>
              <w:jc w:val="center"/>
              <w:rPr>
                <w:rFonts w:ascii="宋体" w:hAnsi="宋体" w:cs="宋体"/>
                <w:sz w:val="18"/>
                <w:szCs w:val="18"/>
              </w:rPr>
            </w:pPr>
            <w:r>
              <w:rPr>
                <w:rFonts w:hint="eastAsia"/>
                <w:sz w:val="18"/>
                <w:szCs w:val="18"/>
              </w:rPr>
              <w:t>195.03</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107.51</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rFonts w:hint="eastAsia"/>
                <w:sz w:val="18"/>
                <w:szCs w:val="18"/>
              </w:rPr>
            </w:pPr>
            <w:r>
              <w:rPr>
                <w:rFonts w:hint="eastAsia"/>
                <w:sz w:val="18"/>
                <w:szCs w:val="18"/>
              </w:rPr>
              <w:t>21</w:t>
            </w:r>
          </w:p>
        </w:tc>
        <w:tc>
          <w:tcPr>
            <w:tcW w:w="517" w:type="dxa"/>
            <w:shd w:val="clear" w:color="auto" w:fill="auto"/>
            <w:vAlign w:val="center"/>
          </w:tcPr>
          <w:p>
            <w:pPr>
              <w:jc w:val="center"/>
              <w:rPr>
                <w:rFonts w:ascii="宋体" w:hAnsi="宋体" w:cs="宋体"/>
                <w:sz w:val="18"/>
                <w:szCs w:val="18"/>
              </w:rPr>
            </w:pPr>
            <w:r>
              <w:rPr>
                <w:rFonts w:hint="eastAsia"/>
                <w:sz w:val="18"/>
                <w:szCs w:val="18"/>
              </w:rPr>
              <w:t>161</w:t>
            </w:r>
          </w:p>
        </w:tc>
        <w:tc>
          <w:tcPr>
            <w:tcW w:w="457" w:type="dxa"/>
            <w:shd w:val="clear" w:color="auto" w:fill="auto"/>
            <w:vAlign w:val="center"/>
          </w:tcPr>
          <w:p>
            <w:pPr>
              <w:jc w:val="center"/>
              <w:rPr>
                <w:rFonts w:ascii="宋体" w:hAnsi="宋体" w:cs="宋体"/>
                <w:sz w:val="18"/>
                <w:szCs w:val="18"/>
              </w:rPr>
            </w:pPr>
            <w:r>
              <w:rPr>
                <w:rFonts w:hint="eastAsia"/>
                <w:sz w:val="18"/>
                <w:szCs w:val="18"/>
              </w:rPr>
              <w:t>15</w:t>
            </w:r>
          </w:p>
        </w:tc>
        <w:tc>
          <w:tcPr>
            <w:tcW w:w="711" w:type="dxa"/>
            <w:shd w:val="clear" w:color="auto" w:fill="auto"/>
            <w:vAlign w:val="center"/>
          </w:tcPr>
          <w:p>
            <w:pPr>
              <w:jc w:val="center"/>
              <w:rPr>
                <w:rFonts w:ascii="宋体" w:hAnsi="宋体" w:cs="宋体"/>
                <w:sz w:val="18"/>
                <w:szCs w:val="18"/>
              </w:rPr>
            </w:pPr>
            <w:r>
              <w:rPr>
                <w:rFonts w:hint="eastAsia"/>
                <w:sz w:val="18"/>
                <w:szCs w:val="18"/>
              </w:rPr>
              <w:t>189.14</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105.06</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rFonts w:hint="eastAsia"/>
                <w:sz w:val="18"/>
                <w:szCs w:val="18"/>
              </w:rPr>
            </w:pPr>
            <w:r>
              <w:rPr>
                <w:rFonts w:hint="eastAsia"/>
                <w:sz w:val="18"/>
                <w:szCs w:val="18"/>
              </w:rPr>
              <w:t>22</w:t>
            </w:r>
          </w:p>
        </w:tc>
        <w:tc>
          <w:tcPr>
            <w:tcW w:w="517" w:type="dxa"/>
            <w:shd w:val="clear" w:color="auto" w:fill="auto"/>
            <w:vAlign w:val="center"/>
          </w:tcPr>
          <w:p>
            <w:pPr>
              <w:jc w:val="center"/>
              <w:rPr>
                <w:rFonts w:ascii="宋体" w:hAnsi="宋体" w:cs="宋体"/>
                <w:sz w:val="18"/>
                <w:szCs w:val="18"/>
              </w:rPr>
            </w:pPr>
            <w:r>
              <w:rPr>
                <w:rFonts w:hint="eastAsia"/>
                <w:sz w:val="18"/>
                <w:szCs w:val="18"/>
              </w:rPr>
              <w:t>164</w:t>
            </w:r>
          </w:p>
        </w:tc>
        <w:tc>
          <w:tcPr>
            <w:tcW w:w="457" w:type="dxa"/>
            <w:shd w:val="clear" w:color="auto" w:fill="auto"/>
            <w:vAlign w:val="center"/>
          </w:tcPr>
          <w:p>
            <w:pPr>
              <w:jc w:val="center"/>
              <w:rPr>
                <w:rFonts w:ascii="宋体" w:hAnsi="宋体" w:cs="宋体"/>
                <w:sz w:val="18"/>
                <w:szCs w:val="18"/>
              </w:rPr>
            </w:pPr>
            <w:r>
              <w:rPr>
                <w:rFonts w:hint="eastAsia"/>
                <w:sz w:val="18"/>
                <w:szCs w:val="18"/>
              </w:rPr>
              <w:t>1</w:t>
            </w:r>
          </w:p>
        </w:tc>
        <w:tc>
          <w:tcPr>
            <w:tcW w:w="711" w:type="dxa"/>
            <w:shd w:val="clear" w:color="auto" w:fill="auto"/>
            <w:vAlign w:val="center"/>
          </w:tcPr>
          <w:p>
            <w:pPr>
              <w:jc w:val="center"/>
              <w:rPr>
                <w:rFonts w:ascii="宋体" w:hAnsi="宋体" w:cs="宋体"/>
                <w:sz w:val="18"/>
                <w:szCs w:val="18"/>
              </w:rPr>
            </w:pPr>
            <w:r>
              <w:rPr>
                <w:rFonts w:hint="eastAsia"/>
                <w:sz w:val="18"/>
                <w:szCs w:val="18"/>
              </w:rPr>
              <w:t>186.97</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104.16</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rFonts w:hint="eastAsia"/>
                <w:sz w:val="18"/>
                <w:szCs w:val="18"/>
              </w:rPr>
            </w:pPr>
            <w:r>
              <w:rPr>
                <w:rFonts w:hint="eastAsia"/>
                <w:sz w:val="18"/>
                <w:szCs w:val="18"/>
              </w:rPr>
              <w:t>23</w:t>
            </w:r>
          </w:p>
        </w:tc>
        <w:tc>
          <w:tcPr>
            <w:tcW w:w="517" w:type="dxa"/>
            <w:shd w:val="clear" w:color="auto" w:fill="auto"/>
            <w:vAlign w:val="center"/>
          </w:tcPr>
          <w:p>
            <w:pPr>
              <w:jc w:val="center"/>
              <w:rPr>
                <w:rFonts w:ascii="宋体" w:hAnsi="宋体" w:cs="宋体"/>
                <w:sz w:val="18"/>
                <w:szCs w:val="18"/>
              </w:rPr>
            </w:pPr>
            <w:r>
              <w:rPr>
                <w:rFonts w:hint="eastAsia"/>
                <w:sz w:val="18"/>
                <w:szCs w:val="18"/>
              </w:rPr>
              <w:t>175</w:t>
            </w:r>
          </w:p>
        </w:tc>
        <w:tc>
          <w:tcPr>
            <w:tcW w:w="457" w:type="dxa"/>
            <w:shd w:val="clear" w:color="auto" w:fill="auto"/>
            <w:vAlign w:val="center"/>
          </w:tcPr>
          <w:p>
            <w:pPr>
              <w:jc w:val="center"/>
              <w:rPr>
                <w:rFonts w:ascii="宋体" w:hAnsi="宋体" w:cs="宋体"/>
                <w:sz w:val="18"/>
                <w:szCs w:val="18"/>
              </w:rPr>
            </w:pPr>
            <w:r>
              <w:rPr>
                <w:rFonts w:hint="eastAsia"/>
                <w:sz w:val="18"/>
                <w:szCs w:val="18"/>
              </w:rPr>
              <w:t>19</w:t>
            </w:r>
          </w:p>
        </w:tc>
        <w:tc>
          <w:tcPr>
            <w:tcW w:w="711" w:type="dxa"/>
            <w:shd w:val="clear" w:color="auto" w:fill="auto"/>
            <w:vAlign w:val="center"/>
          </w:tcPr>
          <w:p>
            <w:pPr>
              <w:jc w:val="center"/>
              <w:rPr>
                <w:rFonts w:ascii="宋体" w:hAnsi="宋体" w:cs="宋体"/>
                <w:sz w:val="18"/>
                <w:szCs w:val="18"/>
              </w:rPr>
            </w:pPr>
            <w:r>
              <w:rPr>
                <w:rFonts w:hint="eastAsia"/>
                <w:sz w:val="18"/>
                <w:szCs w:val="18"/>
              </w:rPr>
              <w:t>186.97</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104.16</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rFonts w:hint="eastAsia"/>
                <w:sz w:val="18"/>
                <w:szCs w:val="18"/>
              </w:rPr>
            </w:pPr>
            <w:r>
              <w:rPr>
                <w:rFonts w:hint="eastAsia"/>
                <w:sz w:val="18"/>
                <w:szCs w:val="18"/>
              </w:rPr>
              <w:t>24</w:t>
            </w:r>
          </w:p>
        </w:tc>
        <w:tc>
          <w:tcPr>
            <w:tcW w:w="517" w:type="dxa"/>
            <w:shd w:val="clear" w:color="auto" w:fill="auto"/>
            <w:vAlign w:val="center"/>
          </w:tcPr>
          <w:p>
            <w:pPr>
              <w:jc w:val="center"/>
              <w:rPr>
                <w:rFonts w:ascii="宋体" w:hAnsi="宋体" w:cs="宋体"/>
                <w:sz w:val="18"/>
                <w:szCs w:val="18"/>
              </w:rPr>
            </w:pPr>
            <w:r>
              <w:rPr>
                <w:rFonts w:hint="eastAsia"/>
                <w:sz w:val="18"/>
                <w:szCs w:val="18"/>
              </w:rPr>
              <w:t>311</w:t>
            </w:r>
          </w:p>
        </w:tc>
        <w:tc>
          <w:tcPr>
            <w:tcW w:w="457" w:type="dxa"/>
            <w:shd w:val="clear" w:color="auto" w:fill="auto"/>
            <w:vAlign w:val="center"/>
          </w:tcPr>
          <w:p>
            <w:pPr>
              <w:jc w:val="center"/>
              <w:rPr>
                <w:rFonts w:ascii="宋体" w:hAnsi="宋体" w:cs="宋体"/>
                <w:sz w:val="18"/>
                <w:szCs w:val="18"/>
              </w:rPr>
            </w:pPr>
            <w:r>
              <w:rPr>
                <w:rFonts w:hint="eastAsia"/>
                <w:sz w:val="18"/>
                <w:szCs w:val="18"/>
              </w:rPr>
              <w:t>9</w:t>
            </w:r>
          </w:p>
        </w:tc>
        <w:tc>
          <w:tcPr>
            <w:tcW w:w="711" w:type="dxa"/>
            <w:shd w:val="clear" w:color="auto" w:fill="auto"/>
            <w:vAlign w:val="center"/>
          </w:tcPr>
          <w:p>
            <w:pPr>
              <w:jc w:val="center"/>
              <w:rPr>
                <w:rFonts w:ascii="宋体" w:hAnsi="宋体" w:cs="宋体"/>
                <w:sz w:val="18"/>
                <w:szCs w:val="18"/>
              </w:rPr>
            </w:pPr>
            <w:r>
              <w:rPr>
                <w:rFonts w:hint="eastAsia"/>
                <w:sz w:val="18"/>
                <w:szCs w:val="18"/>
              </w:rPr>
              <w:t>186.97</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104.16</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rFonts w:hint="eastAsia"/>
                <w:sz w:val="18"/>
                <w:szCs w:val="18"/>
              </w:rPr>
            </w:pPr>
            <w:r>
              <w:rPr>
                <w:rFonts w:hint="eastAsia"/>
                <w:sz w:val="18"/>
                <w:szCs w:val="18"/>
              </w:rPr>
              <w:t>25</w:t>
            </w:r>
          </w:p>
        </w:tc>
        <w:tc>
          <w:tcPr>
            <w:tcW w:w="517" w:type="dxa"/>
            <w:shd w:val="clear" w:color="auto" w:fill="auto"/>
            <w:vAlign w:val="center"/>
          </w:tcPr>
          <w:p>
            <w:pPr>
              <w:jc w:val="center"/>
              <w:rPr>
                <w:rFonts w:ascii="宋体" w:hAnsi="宋体" w:cs="宋体"/>
                <w:sz w:val="18"/>
                <w:szCs w:val="18"/>
              </w:rPr>
            </w:pPr>
            <w:r>
              <w:rPr>
                <w:rFonts w:hint="eastAsia"/>
                <w:sz w:val="18"/>
                <w:szCs w:val="18"/>
              </w:rPr>
              <w:t>85</w:t>
            </w:r>
          </w:p>
        </w:tc>
        <w:tc>
          <w:tcPr>
            <w:tcW w:w="457" w:type="dxa"/>
            <w:shd w:val="clear" w:color="auto" w:fill="auto"/>
            <w:vAlign w:val="center"/>
          </w:tcPr>
          <w:p>
            <w:pPr>
              <w:jc w:val="center"/>
              <w:rPr>
                <w:rFonts w:ascii="宋体" w:hAnsi="宋体" w:cs="宋体"/>
                <w:sz w:val="18"/>
                <w:szCs w:val="18"/>
              </w:rPr>
            </w:pPr>
            <w:r>
              <w:rPr>
                <w:rFonts w:hint="eastAsia"/>
                <w:sz w:val="18"/>
                <w:szCs w:val="18"/>
              </w:rPr>
              <w:t>14</w:t>
            </w:r>
          </w:p>
        </w:tc>
        <w:tc>
          <w:tcPr>
            <w:tcW w:w="711" w:type="dxa"/>
            <w:shd w:val="clear" w:color="auto" w:fill="auto"/>
            <w:vAlign w:val="center"/>
          </w:tcPr>
          <w:p>
            <w:pPr>
              <w:jc w:val="center"/>
              <w:rPr>
                <w:rFonts w:ascii="宋体" w:hAnsi="宋体" w:cs="宋体"/>
                <w:sz w:val="18"/>
                <w:szCs w:val="18"/>
              </w:rPr>
            </w:pPr>
            <w:r>
              <w:rPr>
                <w:rFonts w:hint="eastAsia"/>
                <w:sz w:val="18"/>
                <w:szCs w:val="18"/>
              </w:rPr>
              <w:t>185.98</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103.74</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vMerge w:val="continue"/>
            <w:shd w:val="clear" w:color="auto" w:fill="auto"/>
            <w:vAlign w:val="center"/>
          </w:tcPr>
          <w:p>
            <w:pPr>
              <w:spacing w:line="240" w:lineRule="exact"/>
              <w:jc w:val="center"/>
              <w:rPr>
                <w:sz w:val="18"/>
                <w:szCs w:val="18"/>
              </w:rPr>
            </w:pPr>
          </w:p>
        </w:tc>
        <w:tc>
          <w:tcPr>
            <w:tcW w:w="676" w:type="dxa"/>
            <w:shd w:val="clear" w:color="auto" w:fill="auto"/>
            <w:vAlign w:val="center"/>
          </w:tcPr>
          <w:p>
            <w:pPr>
              <w:spacing w:line="240" w:lineRule="exact"/>
              <w:jc w:val="center"/>
              <w:rPr>
                <w:rFonts w:hint="eastAsia"/>
                <w:sz w:val="18"/>
                <w:szCs w:val="18"/>
              </w:rPr>
            </w:pPr>
            <w:r>
              <w:rPr>
                <w:rFonts w:hint="eastAsia"/>
                <w:sz w:val="18"/>
                <w:szCs w:val="18"/>
              </w:rPr>
              <w:t>26</w:t>
            </w:r>
          </w:p>
        </w:tc>
        <w:tc>
          <w:tcPr>
            <w:tcW w:w="517" w:type="dxa"/>
            <w:shd w:val="clear" w:color="auto" w:fill="auto"/>
            <w:vAlign w:val="center"/>
          </w:tcPr>
          <w:p>
            <w:pPr>
              <w:jc w:val="center"/>
              <w:rPr>
                <w:rFonts w:ascii="宋体" w:hAnsi="宋体" w:cs="宋体"/>
                <w:sz w:val="18"/>
                <w:szCs w:val="18"/>
              </w:rPr>
            </w:pPr>
            <w:r>
              <w:rPr>
                <w:rFonts w:hint="eastAsia"/>
                <w:sz w:val="18"/>
                <w:szCs w:val="18"/>
              </w:rPr>
              <w:t>206</w:t>
            </w:r>
          </w:p>
        </w:tc>
        <w:tc>
          <w:tcPr>
            <w:tcW w:w="457" w:type="dxa"/>
            <w:shd w:val="clear" w:color="auto" w:fill="auto"/>
            <w:vAlign w:val="center"/>
          </w:tcPr>
          <w:p>
            <w:pPr>
              <w:jc w:val="center"/>
              <w:rPr>
                <w:rFonts w:ascii="宋体" w:hAnsi="宋体" w:cs="宋体"/>
                <w:sz w:val="18"/>
                <w:szCs w:val="18"/>
              </w:rPr>
            </w:pPr>
            <w:r>
              <w:rPr>
                <w:rFonts w:hint="eastAsia"/>
                <w:sz w:val="18"/>
                <w:szCs w:val="18"/>
              </w:rPr>
              <w:t>19</w:t>
            </w:r>
          </w:p>
        </w:tc>
        <w:tc>
          <w:tcPr>
            <w:tcW w:w="711" w:type="dxa"/>
            <w:shd w:val="clear" w:color="auto" w:fill="auto"/>
            <w:vAlign w:val="center"/>
          </w:tcPr>
          <w:p>
            <w:pPr>
              <w:jc w:val="center"/>
              <w:rPr>
                <w:rFonts w:ascii="宋体" w:hAnsi="宋体" w:cs="宋体"/>
                <w:sz w:val="18"/>
                <w:szCs w:val="18"/>
              </w:rPr>
            </w:pPr>
            <w:r>
              <w:rPr>
                <w:rFonts w:hint="eastAsia"/>
                <w:sz w:val="18"/>
                <w:szCs w:val="18"/>
              </w:rPr>
              <w:t>183.34</w:t>
            </w:r>
          </w:p>
        </w:tc>
        <w:tc>
          <w:tcPr>
            <w:tcW w:w="1188" w:type="dxa"/>
            <w:vMerge w:val="continue"/>
            <w:shd w:val="clear" w:color="auto" w:fill="auto"/>
            <w:vAlign w:val="center"/>
          </w:tcPr>
          <w:p>
            <w:pPr>
              <w:spacing w:line="240" w:lineRule="exact"/>
              <w:jc w:val="center"/>
              <w:rPr>
                <w:sz w:val="18"/>
                <w:szCs w:val="18"/>
              </w:rPr>
            </w:pPr>
          </w:p>
        </w:tc>
        <w:tc>
          <w:tcPr>
            <w:tcW w:w="1241" w:type="dxa"/>
            <w:shd w:val="clear" w:color="auto" w:fill="auto"/>
            <w:vAlign w:val="center"/>
          </w:tcPr>
          <w:p>
            <w:pPr>
              <w:jc w:val="center"/>
              <w:rPr>
                <w:rFonts w:ascii="宋体" w:hAnsi="宋体" w:cs="宋体"/>
                <w:sz w:val="18"/>
                <w:szCs w:val="18"/>
              </w:rPr>
            </w:pPr>
            <w:r>
              <w:rPr>
                <w:rFonts w:hint="eastAsia"/>
                <w:sz w:val="18"/>
                <w:szCs w:val="18"/>
              </w:rPr>
              <w:t>102.64</w:t>
            </w:r>
          </w:p>
        </w:tc>
        <w:tc>
          <w:tcPr>
            <w:tcW w:w="1439" w:type="dxa"/>
            <w:vMerge w:val="continue"/>
            <w:vAlign w:val="center"/>
          </w:tcPr>
          <w:p>
            <w:pPr>
              <w:spacing w:line="240" w:lineRule="exact"/>
              <w:jc w:val="center"/>
              <w:rPr>
                <w:sz w:val="18"/>
                <w:szCs w:val="18"/>
              </w:rPr>
            </w:pPr>
          </w:p>
        </w:tc>
        <w:tc>
          <w:tcPr>
            <w:tcW w:w="1030" w:type="dxa"/>
            <w:vMerge w:val="continue"/>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tblHeader/>
          <w:jc w:val="center"/>
        </w:trPr>
        <w:tc>
          <w:tcPr>
            <w:tcW w:w="1072" w:type="dxa"/>
            <w:shd w:val="clear" w:color="auto" w:fill="auto"/>
            <w:vAlign w:val="center"/>
          </w:tcPr>
          <w:p>
            <w:pPr>
              <w:spacing w:line="240" w:lineRule="exact"/>
              <w:jc w:val="center"/>
              <w:rPr>
                <w:rFonts w:hint="eastAsia"/>
                <w:sz w:val="18"/>
                <w:szCs w:val="18"/>
              </w:rPr>
            </w:pPr>
            <w:r>
              <w:rPr>
                <w:rFonts w:hint="eastAsia"/>
                <w:sz w:val="18"/>
                <w:szCs w:val="18"/>
              </w:rPr>
              <w:t>青木关镇</w:t>
            </w:r>
          </w:p>
        </w:tc>
        <w:tc>
          <w:tcPr>
            <w:tcW w:w="676" w:type="dxa"/>
            <w:shd w:val="clear" w:color="auto" w:fill="auto"/>
            <w:vAlign w:val="center"/>
          </w:tcPr>
          <w:p>
            <w:pPr>
              <w:spacing w:line="240" w:lineRule="exact"/>
              <w:jc w:val="center"/>
              <w:rPr>
                <w:rFonts w:hint="eastAsia"/>
                <w:sz w:val="18"/>
                <w:szCs w:val="18"/>
              </w:rPr>
            </w:pPr>
            <w:r>
              <w:rPr>
                <w:rFonts w:hint="eastAsia"/>
                <w:sz w:val="18"/>
                <w:szCs w:val="18"/>
              </w:rPr>
              <w:t>1</w:t>
            </w:r>
          </w:p>
        </w:tc>
        <w:tc>
          <w:tcPr>
            <w:tcW w:w="517" w:type="dxa"/>
            <w:shd w:val="clear" w:color="auto" w:fill="auto"/>
            <w:vAlign w:val="center"/>
          </w:tcPr>
          <w:p>
            <w:pPr>
              <w:jc w:val="center"/>
              <w:rPr>
                <w:sz w:val="18"/>
                <w:szCs w:val="18"/>
              </w:rPr>
            </w:pPr>
            <w:r>
              <w:rPr>
                <w:rFonts w:hint="eastAsia"/>
                <w:sz w:val="18"/>
                <w:szCs w:val="18"/>
              </w:rPr>
              <w:t>302</w:t>
            </w:r>
          </w:p>
        </w:tc>
        <w:tc>
          <w:tcPr>
            <w:tcW w:w="457" w:type="dxa"/>
            <w:shd w:val="clear" w:color="auto" w:fill="auto"/>
            <w:vAlign w:val="center"/>
          </w:tcPr>
          <w:p>
            <w:pPr>
              <w:jc w:val="center"/>
              <w:rPr>
                <w:sz w:val="18"/>
                <w:szCs w:val="18"/>
              </w:rPr>
            </w:pPr>
            <w:r>
              <w:rPr>
                <w:rFonts w:hint="eastAsia"/>
                <w:sz w:val="18"/>
                <w:szCs w:val="18"/>
              </w:rPr>
              <w:t>13</w:t>
            </w:r>
          </w:p>
        </w:tc>
        <w:tc>
          <w:tcPr>
            <w:tcW w:w="711" w:type="dxa"/>
            <w:shd w:val="clear" w:color="auto" w:fill="auto"/>
            <w:vAlign w:val="center"/>
          </w:tcPr>
          <w:p>
            <w:pPr>
              <w:jc w:val="center"/>
              <w:rPr>
                <w:rFonts w:hint="eastAsia"/>
                <w:sz w:val="18"/>
                <w:szCs w:val="18"/>
              </w:rPr>
            </w:pPr>
            <w:r>
              <w:rPr>
                <w:rFonts w:hint="eastAsia"/>
                <w:sz w:val="18"/>
                <w:szCs w:val="18"/>
              </w:rPr>
              <w:t>191.6</w:t>
            </w:r>
          </w:p>
        </w:tc>
        <w:tc>
          <w:tcPr>
            <w:tcW w:w="1188" w:type="dxa"/>
            <w:shd w:val="clear" w:color="auto" w:fill="auto"/>
            <w:vAlign w:val="center"/>
          </w:tcPr>
          <w:p>
            <w:pPr>
              <w:spacing w:line="240" w:lineRule="exact"/>
              <w:jc w:val="center"/>
              <w:rPr>
                <w:rFonts w:hint="eastAsia"/>
                <w:sz w:val="18"/>
                <w:szCs w:val="18"/>
              </w:rPr>
            </w:pPr>
            <w:r>
              <w:rPr>
                <w:rFonts w:hint="eastAsia"/>
                <w:sz w:val="18"/>
                <w:szCs w:val="18"/>
              </w:rPr>
              <w:t>63</w:t>
            </w:r>
          </w:p>
        </w:tc>
        <w:tc>
          <w:tcPr>
            <w:tcW w:w="1241" w:type="dxa"/>
            <w:shd w:val="clear" w:color="auto" w:fill="auto"/>
            <w:vAlign w:val="center"/>
          </w:tcPr>
          <w:p>
            <w:pPr>
              <w:spacing w:line="240" w:lineRule="exact"/>
              <w:jc w:val="center"/>
              <w:rPr>
                <w:rFonts w:hint="eastAsia"/>
                <w:sz w:val="18"/>
                <w:szCs w:val="18"/>
              </w:rPr>
            </w:pPr>
            <w:r>
              <w:rPr>
                <w:rFonts w:hint="eastAsia"/>
                <w:sz w:val="18"/>
                <w:szCs w:val="18"/>
              </w:rPr>
              <w:t>106.08</w:t>
            </w:r>
          </w:p>
        </w:tc>
        <w:tc>
          <w:tcPr>
            <w:tcW w:w="1439" w:type="dxa"/>
            <w:vAlign w:val="center"/>
          </w:tcPr>
          <w:p>
            <w:pPr>
              <w:spacing w:line="240" w:lineRule="exact"/>
              <w:jc w:val="center"/>
              <w:rPr>
                <w:rFonts w:hint="eastAsia"/>
                <w:sz w:val="18"/>
                <w:szCs w:val="18"/>
              </w:rPr>
            </w:pPr>
            <w:r>
              <w:rPr>
                <w:rFonts w:hint="eastAsia"/>
                <w:sz w:val="18"/>
                <w:szCs w:val="18"/>
              </w:rPr>
              <w:t>0.01</w:t>
            </w:r>
          </w:p>
        </w:tc>
        <w:tc>
          <w:tcPr>
            <w:tcW w:w="1030" w:type="dxa"/>
            <w:vAlign w:val="center"/>
          </w:tcPr>
          <w:p>
            <w:pPr>
              <w:spacing w:line="240" w:lineRule="exact"/>
              <w:jc w:val="center"/>
              <w:rPr>
                <w:sz w:val="18"/>
                <w:szCs w:val="18"/>
              </w:rPr>
            </w:pPr>
            <w:r>
              <w:rPr>
                <w:rFonts w:hint="eastAsia"/>
                <w:sz w:val="18"/>
                <w:szCs w:val="18"/>
              </w:rPr>
              <w:t>1h</w:t>
            </w:r>
          </w:p>
        </w:tc>
      </w:tr>
    </w:tbl>
    <w:p>
      <w:pPr>
        <w:rPr>
          <w:rFonts w:hint="eastAsia"/>
        </w:rPr>
      </w:pPr>
    </w:p>
    <w:p>
      <w:pPr>
        <w:rPr>
          <w:rFonts w:hint="eastAsia"/>
        </w:rPr>
      </w:pPr>
    </w:p>
    <w:p>
      <w:pPr>
        <w:spacing w:line="360" w:lineRule="auto"/>
        <w:ind w:firstLine="420" w:firstLineChars="200"/>
        <w:rPr>
          <w:rFonts w:hint="eastAsia"/>
        </w:rPr>
      </w:pPr>
      <w:r>
        <w:rPr>
          <w:rFonts w:hint="eastAsia"/>
        </w:rPr>
        <w:t>从表8-13可以看出，福里树村、青鹏公司家属院和青木关镇的NO</w:t>
      </w:r>
      <w:r>
        <w:rPr>
          <w:rFonts w:hint="eastAsia"/>
          <w:vertAlign w:val="subscript"/>
        </w:rPr>
        <w:t>2</w:t>
      </w:r>
      <w:r>
        <w:rPr>
          <w:rFonts w:hint="eastAsia"/>
        </w:rPr>
        <w:t>小时值年超标次数分别为7次、26次和1次，超标频率分别为0.08%、0.14%和0.01%，超标概率均很低，而且超标时段最多持续2小时，由此说明本技改项目的NO</w:t>
      </w:r>
      <w:r>
        <w:rPr>
          <w:rFonts w:hint="eastAsia"/>
          <w:vertAlign w:val="subscript"/>
        </w:rPr>
        <w:t>2</w:t>
      </w:r>
      <w:r>
        <w:rPr>
          <w:rFonts w:hint="eastAsia"/>
        </w:rPr>
        <w:t>对各敏感点影响很小。</w:t>
      </w:r>
    </w:p>
    <w:p>
      <w:pPr>
        <w:adjustRightInd w:val="0"/>
        <w:snapToGrid w:val="0"/>
        <w:spacing w:line="360" w:lineRule="auto"/>
        <w:ind w:firstLine="420" w:firstLineChars="200"/>
      </w:pPr>
      <w:r>
        <w:rPr>
          <w:rFonts w:hint="eastAsia" w:ascii="宋体" w:hAnsi="宋体" w:cs="宋体"/>
        </w:rPr>
        <w:t>②</w:t>
      </w:r>
      <w:r>
        <w:t>日均最大浓度</w:t>
      </w:r>
    </w:p>
    <w:p>
      <w:pPr>
        <w:adjustRightInd w:val="0"/>
        <w:snapToGrid w:val="0"/>
        <w:spacing w:line="360" w:lineRule="auto"/>
        <w:ind w:firstLine="382" w:firstLineChars="182"/>
        <w:rPr>
          <w:rFonts w:hint="eastAsia"/>
        </w:rPr>
      </w:pPr>
      <w:r>
        <w:t>技改项目排放的污染物在环境敏感点处的日均最大浓度影响值并与现状值进行叠加，结果见表</w:t>
      </w:r>
      <w:r>
        <w:rPr>
          <w:rFonts w:hint="eastAsia"/>
        </w:rPr>
        <w:t>8</w:t>
      </w:r>
      <w:r>
        <w:t>-1</w:t>
      </w:r>
      <w:r>
        <w:rPr>
          <w:rFonts w:hint="eastAsia"/>
        </w:rPr>
        <w:t>4</w:t>
      </w:r>
      <w:r>
        <w:t>。</w:t>
      </w:r>
    </w:p>
    <w:p>
      <w:pPr>
        <w:adjustRightInd w:val="0"/>
        <w:snapToGrid w:val="0"/>
        <w:spacing w:line="360" w:lineRule="auto"/>
        <w:ind w:firstLine="480"/>
        <w:rPr>
          <w:rFonts w:hint="eastAsia"/>
        </w:rPr>
      </w:pPr>
      <w:r>
        <w:t>从表</w:t>
      </w:r>
      <w:r>
        <w:rPr>
          <w:rFonts w:hint="eastAsia"/>
        </w:rPr>
        <w:t>8</w:t>
      </w:r>
      <w:r>
        <w:t>-1</w:t>
      </w:r>
      <w:r>
        <w:rPr>
          <w:rFonts w:hint="eastAsia"/>
        </w:rPr>
        <w:t>4</w:t>
      </w:r>
      <w:r>
        <w:t>可以看出，</w:t>
      </w:r>
      <w:r>
        <w:rPr>
          <w:rFonts w:hint="eastAsia"/>
        </w:rPr>
        <w:t>本技改项目排放污染物对各关心点的浓度贡献值均未超标，在叠加了环境现状监测最大值后，也</w:t>
      </w:r>
      <w:r>
        <w:t>均未超标，</w:t>
      </w:r>
      <w:r>
        <w:rPr>
          <w:rFonts w:hint="eastAsia"/>
        </w:rPr>
        <w:t>均</w:t>
      </w:r>
      <w:r>
        <w:t>满足《环境空气质量标准》（GB3095-1996）二级标准限值。</w:t>
      </w:r>
    </w:p>
    <w:p>
      <w:pPr>
        <w:adjustRightInd w:val="0"/>
        <w:snapToGrid w:val="0"/>
        <w:spacing w:line="360" w:lineRule="auto"/>
        <w:ind w:firstLine="420" w:firstLineChars="200"/>
      </w:pPr>
      <w:r>
        <w:rPr>
          <w:rFonts w:hint="eastAsia" w:ascii="宋体" w:hAnsi="宋体" w:cs="宋体"/>
        </w:rPr>
        <w:t>③</w:t>
      </w:r>
      <w:r>
        <w:t>年均浓度</w:t>
      </w:r>
    </w:p>
    <w:p>
      <w:pPr>
        <w:pStyle w:val="26"/>
        <w:ind w:firstLine="480"/>
        <w:rPr>
          <w:rFonts w:hint="eastAsia"/>
        </w:rPr>
      </w:pPr>
      <w:r>
        <w:t>技改工程排放的污染物PM</w:t>
      </w:r>
      <w:r>
        <w:rPr>
          <w:vertAlign w:val="subscript"/>
        </w:rPr>
        <w:t>10</w:t>
      </w:r>
      <w:r>
        <w:rPr>
          <w:rFonts w:hint="eastAsia"/>
        </w:rPr>
        <w:t>、</w:t>
      </w:r>
      <w:r>
        <w:t>SO</w:t>
      </w:r>
      <w:r>
        <w:rPr>
          <w:vertAlign w:val="subscript"/>
        </w:rPr>
        <w:t>2</w:t>
      </w:r>
      <w:r>
        <w:t>和</w:t>
      </w:r>
      <w:r>
        <w:rPr>
          <w:rFonts w:hint="eastAsia"/>
        </w:rPr>
        <w:t>N</w:t>
      </w:r>
      <w:r>
        <w:t>O</w:t>
      </w:r>
      <w:r>
        <w:rPr>
          <w:vertAlign w:val="subscript"/>
        </w:rPr>
        <w:t>2</w:t>
      </w:r>
      <w:r>
        <w:t>对各关心的贡献值预测结果见表</w:t>
      </w:r>
      <w:r>
        <w:rPr>
          <w:rFonts w:hint="eastAsia"/>
        </w:rPr>
        <w:t>8</w:t>
      </w:r>
      <w:r>
        <w:t>-1</w:t>
      </w:r>
      <w:r>
        <w:rPr>
          <w:rFonts w:hint="eastAsia"/>
        </w:rPr>
        <w:t>5</w:t>
      </w:r>
      <w:r>
        <w:t>。</w:t>
      </w:r>
    </w:p>
    <w:p>
      <w:pPr>
        <w:pStyle w:val="32"/>
      </w:pPr>
      <w:r>
        <w:t>表</w:t>
      </w:r>
      <w:r>
        <w:rPr>
          <w:rFonts w:hint="eastAsia"/>
        </w:rPr>
        <w:t>8</w:t>
      </w:r>
      <w:r>
        <w:t>-1</w:t>
      </w:r>
      <w:r>
        <w:rPr>
          <w:rFonts w:hint="eastAsia"/>
        </w:rPr>
        <w:t>5</w:t>
      </w:r>
      <w:r>
        <w:t xml:space="preserve">  各关心点处污染物年均浓度预测</w:t>
      </w:r>
    </w:p>
    <w:tbl>
      <w:tblPr>
        <w:tblStyle w:val="21"/>
        <w:tblW w:w="9115" w:type="dxa"/>
        <w:jc w:val="center"/>
        <w:tblInd w:w="-919"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287"/>
        <w:gridCol w:w="1288"/>
        <w:gridCol w:w="884"/>
        <w:gridCol w:w="1287"/>
        <w:gridCol w:w="1041"/>
        <w:gridCol w:w="1287"/>
        <w:gridCol w:w="104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tblHeader/>
          <w:jc w:val="center"/>
        </w:trPr>
        <w:tc>
          <w:tcPr>
            <w:tcW w:w="2287" w:type="dxa"/>
            <w:vMerge w:val="restart"/>
            <w:tcBorders>
              <w:tl2br w:val="single" w:color="auto" w:sz="4" w:space="0"/>
            </w:tcBorders>
            <w:vAlign w:val="center"/>
          </w:tcPr>
          <w:p>
            <w:pPr>
              <w:pStyle w:val="31"/>
              <w:snapToGrid w:val="0"/>
              <w:spacing w:line="400" w:lineRule="exact"/>
              <w:ind w:right="-122" w:firstLine="945" w:firstLineChars="450"/>
              <w:jc w:val="both"/>
              <w:rPr>
                <w:color w:val="auto"/>
              </w:rPr>
            </w:pPr>
            <w:r>
              <w:rPr>
                <w:color w:val="auto"/>
              </w:rPr>
              <w:t>预测因子</w:t>
            </w:r>
          </w:p>
          <w:p>
            <w:pPr>
              <w:pStyle w:val="31"/>
              <w:snapToGrid w:val="0"/>
              <w:spacing w:line="400" w:lineRule="exact"/>
              <w:ind w:right="-122"/>
              <w:jc w:val="both"/>
              <w:rPr>
                <w:color w:val="auto"/>
              </w:rPr>
            </w:pPr>
            <w:r>
              <w:rPr>
                <w:color w:val="auto"/>
              </w:rPr>
              <w:t>关心点</w:t>
            </w:r>
          </w:p>
        </w:tc>
        <w:tc>
          <w:tcPr>
            <w:tcW w:w="2172" w:type="dxa"/>
            <w:gridSpan w:val="2"/>
            <w:tcBorders>
              <w:right w:val="single" w:color="auto" w:sz="4" w:space="0"/>
            </w:tcBorders>
            <w:vAlign w:val="center"/>
          </w:tcPr>
          <w:p>
            <w:pPr>
              <w:adjustRightInd w:val="0"/>
              <w:snapToGrid w:val="0"/>
              <w:spacing w:line="400" w:lineRule="exact"/>
              <w:jc w:val="center"/>
              <w:rPr>
                <w:kern w:val="0"/>
                <w:sz w:val="21"/>
                <w:szCs w:val="21"/>
              </w:rPr>
            </w:pPr>
            <w:r>
              <w:rPr>
                <w:sz w:val="21"/>
                <w:szCs w:val="21"/>
              </w:rPr>
              <w:t>PM</w:t>
            </w:r>
            <w:r>
              <w:rPr>
                <w:sz w:val="21"/>
                <w:szCs w:val="21"/>
                <w:vertAlign w:val="subscript"/>
              </w:rPr>
              <w:t>10</w:t>
            </w:r>
          </w:p>
        </w:tc>
        <w:tc>
          <w:tcPr>
            <w:tcW w:w="2328" w:type="dxa"/>
            <w:gridSpan w:val="2"/>
            <w:tcBorders>
              <w:left w:val="single" w:color="auto" w:sz="4" w:space="0"/>
              <w:right w:val="single" w:color="auto" w:sz="4" w:space="0"/>
            </w:tcBorders>
            <w:vAlign w:val="center"/>
          </w:tcPr>
          <w:p>
            <w:pPr>
              <w:widowControl/>
              <w:adjustRightInd w:val="0"/>
              <w:snapToGrid w:val="0"/>
              <w:spacing w:line="400" w:lineRule="exact"/>
              <w:jc w:val="center"/>
              <w:rPr>
                <w:kern w:val="0"/>
                <w:sz w:val="21"/>
                <w:szCs w:val="21"/>
              </w:rPr>
            </w:pPr>
            <w:r>
              <w:rPr>
                <w:sz w:val="21"/>
                <w:szCs w:val="21"/>
              </w:rPr>
              <w:t>SO</w:t>
            </w:r>
            <w:r>
              <w:rPr>
                <w:sz w:val="21"/>
                <w:szCs w:val="21"/>
                <w:vertAlign w:val="subscript"/>
              </w:rPr>
              <w:t>2</w:t>
            </w:r>
          </w:p>
        </w:tc>
        <w:tc>
          <w:tcPr>
            <w:tcW w:w="2328" w:type="dxa"/>
            <w:gridSpan w:val="2"/>
            <w:tcBorders>
              <w:left w:val="single" w:color="auto" w:sz="4" w:space="0"/>
            </w:tcBorders>
            <w:vAlign w:val="center"/>
          </w:tcPr>
          <w:p>
            <w:pPr>
              <w:widowControl/>
              <w:adjustRightInd w:val="0"/>
              <w:snapToGrid w:val="0"/>
              <w:spacing w:line="400" w:lineRule="exact"/>
              <w:jc w:val="center"/>
              <w:rPr>
                <w:rFonts w:hint="eastAsia"/>
                <w:kern w:val="0"/>
                <w:sz w:val="21"/>
                <w:szCs w:val="21"/>
              </w:rPr>
            </w:pPr>
            <w:r>
              <w:rPr>
                <w:rFonts w:hint="eastAsia"/>
                <w:kern w:val="0"/>
                <w:sz w:val="21"/>
                <w:szCs w:val="21"/>
              </w:rPr>
              <w:t>NO</w:t>
            </w:r>
            <w:r>
              <w:rPr>
                <w:rFonts w:hint="eastAsia"/>
                <w:kern w:val="0"/>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jc w:val="center"/>
        </w:trPr>
        <w:tc>
          <w:tcPr>
            <w:tcW w:w="2287" w:type="dxa"/>
            <w:vMerge w:val="continue"/>
            <w:vAlign w:val="center"/>
          </w:tcPr>
          <w:p>
            <w:pPr>
              <w:pStyle w:val="31"/>
              <w:snapToGrid w:val="0"/>
              <w:spacing w:line="400" w:lineRule="exact"/>
              <w:ind w:right="-122"/>
              <w:rPr>
                <w:color w:val="auto"/>
              </w:rPr>
            </w:pPr>
          </w:p>
        </w:tc>
        <w:tc>
          <w:tcPr>
            <w:tcW w:w="1288" w:type="dxa"/>
            <w:vAlign w:val="center"/>
          </w:tcPr>
          <w:p>
            <w:pPr>
              <w:pStyle w:val="31"/>
              <w:snapToGrid w:val="0"/>
              <w:spacing w:line="400" w:lineRule="exact"/>
              <w:ind w:right="-122"/>
              <w:rPr>
                <w:color w:val="auto"/>
              </w:rPr>
            </w:pPr>
            <w:r>
              <w:rPr>
                <w:color w:val="auto"/>
              </w:rPr>
              <w:t>年均浓度（mg/m</w:t>
            </w:r>
            <w:r>
              <w:rPr>
                <w:color w:val="auto"/>
                <w:vertAlign w:val="superscript"/>
              </w:rPr>
              <w:t>3</w:t>
            </w:r>
            <w:r>
              <w:rPr>
                <w:color w:val="auto"/>
              </w:rPr>
              <w:t>）</w:t>
            </w:r>
          </w:p>
        </w:tc>
        <w:tc>
          <w:tcPr>
            <w:tcW w:w="884" w:type="dxa"/>
            <w:vAlign w:val="center"/>
          </w:tcPr>
          <w:p>
            <w:pPr>
              <w:pStyle w:val="31"/>
              <w:snapToGrid w:val="0"/>
              <w:spacing w:line="400" w:lineRule="exact"/>
              <w:ind w:right="-122"/>
              <w:rPr>
                <w:color w:val="auto"/>
              </w:rPr>
            </w:pPr>
            <w:r>
              <w:rPr>
                <w:color w:val="auto"/>
              </w:rPr>
              <w:t>占标率</w:t>
            </w:r>
          </w:p>
          <w:p>
            <w:pPr>
              <w:pStyle w:val="31"/>
              <w:snapToGrid w:val="0"/>
              <w:spacing w:line="400" w:lineRule="exact"/>
              <w:ind w:right="-122"/>
              <w:rPr>
                <w:color w:val="auto"/>
              </w:rPr>
            </w:pPr>
            <w:r>
              <w:rPr>
                <w:color w:val="auto"/>
              </w:rPr>
              <w:t>（%）</w:t>
            </w:r>
          </w:p>
        </w:tc>
        <w:tc>
          <w:tcPr>
            <w:tcW w:w="1287" w:type="dxa"/>
            <w:tcBorders>
              <w:right w:val="single" w:color="auto" w:sz="4" w:space="0"/>
            </w:tcBorders>
            <w:vAlign w:val="center"/>
          </w:tcPr>
          <w:p>
            <w:pPr>
              <w:pStyle w:val="31"/>
              <w:snapToGrid w:val="0"/>
              <w:spacing w:line="400" w:lineRule="exact"/>
              <w:ind w:right="-122"/>
              <w:rPr>
                <w:color w:val="auto"/>
              </w:rPr>
            </w:pPr>
            <w:r>
              <w:rPr>
                <w:color w:val="auto"/>
              </w:rPr>
              <w:t>年均浓度</w:t>
            </w:r>
          </w:p>
          <w:p>
            <w:pPr>
              <w:pStyle w:val="31"/>
              <w:snapToGrid w:val="0"/>
              <w:spacing w:line="400" w:lineRule="exact"/>
              <w:ind w:right="-122"/>
              <w:rPr>
                <w:color w:val="auto"/>
              </w:rPr>
            </w:pPr>
            <w:r>
              <w:rPr>
                <w:color w:val="auto"/>
              </w:rPr>
              <w:t>（mg/m</w:t>
            </w:r>
            <w:r>
              <w:rPr>
                <w:color w:val="auto"/>
                <w:vertAlign w:val="superscript"/>
              </w:rPr>
              <w:t>3</w:t>
            </w:r>
            <w:r>
              <w:rPr>
                <w:color w:val="auto"/>
              </w:rPr>
              <w:t>）</w:t>
            </w:r>
          </w:p>
        </w:tc>
        <w:tc>
          <w:tcPr>
            <w:tcW w:w="1041" w:type="dxa"/>
            <w:tcBorders>
              <w:right w:val="single" w:color="auto" w:sz="4" w:space="0"/>
            </w:tcBorders>
            <w:vAlign w:val="center"/>
          </w:tcPr>
          <w:p>
            <w:pPr>
              <w:pStyle w:val="31"/>
              <w:snapToGrid w:val="0"/>
              <w:spacing w:line="400" w:lineRule="exact"/>
              <w:ind w:right="-122"/>
              <w:rPr>
                <w:color w:val="auto"/>
              </w:rPr>
            </w:pPr>
            <w:r>
              <w:rPr>
                <w:color w:val="auto"/>
              </w:rPr>
              <w:t>占标率</w:t>
            </w:r>
          </w:p>
          <w:p>
            <w:pPr>
              <w:pStyle w:val="31"/>
              <w:snapToGrid w:val="0"/>
              <w:spacing w:line="400" w:lineRule="exact"/>
              <w:ind w:right="-122"/>
              <w:rPr>
                <w:color w:val="auto"/>
              </w:rPr>
            </w:pPr>
            <w:r>
              <w:rPr>
                <w:color w:val="auto"/>
              </w:rPr>
              <w:t>（%）</w:t>
            </w:r>
          </w:p>
        </w:tc>
        <w:tc>
          <w:tcPr>
            <w:tcW w:w="1287" w:type="dxa"/>
            <w:vAlign w:val="center"/>
          </w:tcPr>
          <w:p>
            <w:pPr>
              <w:pStyle w:val="31"/>
              <w:snapToGrid w:val="0"/>
              <w:spacing w:line="400" w:lineRule="exact"/>
              <w:ind w:right="-122"/>
              <w:rPr>
                <w:color w:val="auto"/>
              </w:rPr>
            </w:pPr>
            <w:r>
              <w:rPr>
                <w:color w:val="auto"/>
              </w:rPr>
              <w:t>年均浓度（mg/m</w:t>
            </w:r>
            <w:r>
              <w:rPr>
                <w:color w:val="auto"/>
                <w:vertAlign w:val="superscript"/>
              </w:rPr>
              <w:t>3</w:t>
            </w:r>
            <w:r>
              <w:rPr>
                <w:color w:val="auto"/>
              </w:rPr>
              <w:t>）</w:t>
            </w:r>
          </w:p>
        </w:tc>
        <w:tc>
          <w:tcPr>
            <w:tcW w:w="1041" w:type="dxa"/>
            <w:tcBorders>
              <w:right w:val="single" w:color="auto" w:sz="4" w:space="0"/>
            </w:tcBorders>
            <w:vAlign w:val="center"/>
          </w:tcPr>
          <w:p>
            <w:pPr>
              <w:pStyle w:val="31"/>
              <w:snapToGrid w:val="0"/>
              <w:spacing w:line="400" w:lineRule="exact"/>
              <w:ind w:right="-122"/>
              <w:rPr>
                <w:color w:val="auto"/>
              </w:rPr>
            </w:pPr>
            <w:r>
              <w:rPr>
                <w:color w:val="auto"/>
              </w:rPr>
              <w:t>占标率</w:t>
            </w:r>
          </w:p>
          <w:p>
            <w:pPr>
              <w:pStyle w:val="31"/>
              <w:snapToGrid w:val="0"/>
              <w:spacing w:line="400" w:lineRule="exact"/>
              <w:ind w:right="-122"/>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7" w:hRule="atLeast"/>
          <w:jc w:val="center"/>
        </w:trPr>
        <w:tc>
          <w:tcPr>
            <w:tcW w:w="2287" w:type="dxa"/>
            <w:shd w:val="clear" w:color="auto" w:fill="auto"/>
            <w:vAlign w:val="center"/>
          </w:tcPr>
          <w:p>
            <w:pPr>
              <w:spacing w:line="400" w:lineRule="exact"/>
              <w:jc w:val="center"/>
              <w:rPr>
                <w:sz w:val="21"/>
                <w:szCs w:val="21"/>
              </w:rPr>
            </w:pPr>
            <w:r>
              <w:rPr>
                <w:sz w:val="21"/>
                <w:szCs w:val="21"/>
              </w:rPr>
              <w:t>大路镇</w:t>
            </w:r>
          </w:p>
        </w:tc>
        <w:tc>
          <w:tcPr>
            <w:tcW w:w="1288" w:type="dxa"/>
            <w:shd w:val="clear" w:color="auto" w:fill="F3F3F3"/>
            <w:vAlign w:val="center"/>
          </w:tcPr>
          <w:p>
            <w:pPr>
              <w:spacing w:line="400" w:lineRule="exact"/>
              <w:jc w:val="center"/>
              <w:rPr>
                <w:rFonts w:ascii="宋体" w:hAnsi="宋体" w:cs="宋体"/>
                <w:sz w:val="21"/>
                <w:szCs w:val="21"/>
              </w:rPr>
            </w:pPr>
            <w:r>
              <w:rPr>
                <w:rFonts w:hint="eastAsia"/>
                <w:sz w:val="21"/>
                <w:szCs w:val="21"/>
              </w:rPr>
              <w:t>3.7</w:t>
            </w:r>
            <w:r>
              <w:rPr>
                <w:rFonts w:hint="eastAsia" w:ascii="宋体" w:hAnsi="宋体"/>
                <w:sz w:val="21"/>
                <w:szCs w:val="21"/>
              </w:rPr>
              <w:t>9×10</w:t>
            </w:r>
            <w:r>
              <w:rPr>
                <w:rFonts w:hint="eastAsia"/>
                <w:sz w:val="21"/>
                <w:szCs w:val="21"/>
                <w:vertAlign w:val="superscript"/>
              </w:rPr>
              <w:t>-5</w:t>
            </w:r>
          </w:p>
        </w:tc>
        <w:tc>
          <w:tcPr>
            <w:tcW w:w="884" w:type="dxa"/>
            <w:shd w:val="clear" w:color="auto" w:fill="F3F3F3"/>
            <w:vAlign w:val="center"/>
          </w:tcPr>
          <w:p>
            <w:pPr>
              <w:spacing w:line="400" w:lineRule="exact"/>
              <w:jc w:val="center"/>
              <w:rPr>
                <w:rFonts w:ascii="宋体" w:hAnsi="宋体" w:cs="宋体"/>
                <w:sz w:val="21"/>
                <w:szCs w:val="21"/>
              </w:rPr>
            </w:pPr>
            <w:r>
              <w:rPr>
                <w:rFonts w:hint="eastAsia"/>
                <w:sz w:val="21"/>
                <w:szCs w:val="21"/>
              </w:rPr>
              <w:t>0.038</w:t>
            </w:r>
          </w:p>
        </w:tc>
        <w:tc>
          <w:tcPr>
            <w:tcW w:w="1287" w:type="dxa"/>
            <w:shd w:val="clear" w:color="auto" w:fill="F3F3F3"/>
            <w:vAlign w:val="center"/>
          </w:tcPr>
          <w:p>
            <w:pPr>
              <w:spacing w:line="400" w:lineRule="exact"/>
              <w:jc w:val="center"/>
              <w:rPr>
                <w:rFonts w:ascii="宋体" w:hAnsi="宋体" w:cs="宋体"/>
                <w:sz w:val="21"/>
                <w:szCs w:val="21"/>
              </w:rPr>
            </w:pPr>
            <w:r>
              <w:rPr>
                <w:rFonts w:hint="eastAsia"/>
                <w:sz w:val="21"/>
                <w:szCs w:val="21"/>
              </w:rPr>
              <w:t>3.63</w:t>
            </w:r>
            <w:r>
              <w:rPr>
                <w:rFonts w:hint="eastAsia" w:ascii="宋体" w:hAnsi="宋体"/>
                <w:sz w:val="21"/>
                <w:szCs w:val="21"/>
              </w:rPr>
              <w:t>×10</w:t>
            </w:r>
            <w:r>
              <w:rPr>
                <w:rFonts w:hint="eastAsia"/>
                <w:sz w:val="21"/>
                <w:szCs w:val="21"/>
                <w:vertAlign w:val="superscript"/>
              </w:rPr>
              <w:t>-5</w:t>
            </w:r>
          </w:p>
        </w:tc>
        <w:tc>
          <w:tcPr>
            <w:tcW w:w="1041" w:type="dxa"/>
            <w:shd w:val="clear" w:color="auto" w:fill="F3F3F3"/>
            <w:vAlign w:val="center"/>
          </w:tcPr>
          <w:p>
            <w:pPr>
              <w:spacing w:line="400" w:lineRule="exact"/>
              <w:jc w:val="center"/>
              <w:rPr>
                <w:rFonts w:ascii="宋体" w:hAnsi="宋体" w:cs="宋体"/>
                <w:sz w:val="21"/>
                <w:szCs w:val="21"/>
              </w:rPr>
            </w:pPr>
            <w:r>
              <w:rPr>
                <w:rFonts w:hint="eastAsia"/>
                <w:sz w:val="21"/>
                <w:szCs w:val="21"/>
              </w:rPr>
              <w:t>0.061</w:t>
            </w:r>
          </w:p>
        </w:tc>
        <w:tc>
          <w:tcPr>
            <w:tcW w:w="1287" w:type="dxa"/>
            <w:shd w:val="clear" w:color="auto" w:fill="F3F3F3"/>
            <w:vAlign w:val="center"/>
          </w:tcPr>
          <w:p>
            <w:pPr>
              <w:jc w:val="center"/>
              <w:rPr>
                <w:rFonts w:ascii="宋体" w:hAnsi="宋体" w:cs="宋体"/>
                <w:sz w:val="21"/>
                <w:szCs w:val="21"/>
              </w:rPr>
            </w:pPr>
            <w:r>
              <w:rPr>
                <w:rFonts w:hint="eastAsia"/>
                <w:sz w:val="21"/>
                <w:szCs w:val="21"/>
              </w:rPr>
              <w:t>2.05</w:t>
            </w:r>
            <w:r>
              <w:rPr>
                <w:rFonts w:hint="eastAsia" w:ascii="宋体" w:hAnsi="宋体"/>
                <w:sz w:val="21"/>
                <w:szCs w:val="21"/>
              </w:rPr>
              <w:t>×10</w:t>
            </w:r>
            <w:r>
              <w:rPr>
                <w:rFonts w:hint="eastAsia"/>
                <w:sz w:val="21"/>
                <w:szCs w:val="21"/>
                <w:vertAlign w:val="superscript"/>
              </w:rPr>
              <w:t>-4</w:t>
            </w:r>
          </w:p>
        </w:tc>
        <w:tc>
          <w:tcPr>
            <w:tcW w:w="1041" w:type="dxa"/>
            <w:shd w:val="clear" w:color="auto" w:fill="F3F3F3"/>
            <w:vAlign w:val="center"/>
          </w:tcPr>
          <w:p>
            <w:pPr>
              <w:jc w:val="center"/>
              <w:rPr>
                <w:rFonts w:ascii="宋体" w:hAnsi="宋体" w:cs="宋体"/>
                <w:sz w:val="21"/>
                <w:szCs w:val="21"/>
              </w:rPr>
            </w:pPr>
            <w:r>
              <w:rPr>
                <w:rFonts w:hint="eastAsia"/>
                <w:sz w:val="21"/>
                <w:szCs w:val="21"/>
              </w:rPr>
              <w:t>0.256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2287" w:type="dxa"/>
            <w:vAlign w:val="center"/>
          </w:tcPr>
          <w:p>
            <w:pPr>
              <w:spacing w:line="400" w:lineRule="exact"/>
              <w:jc w:val="center"/>
              <w:rPr>
                <w:sz w:val="21"/>
                <w:szCs w:val="21"/>
              </w:rPr>
            </w:pPr>
            <w:r>
              <w:rPr>
                <w:rFonts w:hAnsi="宋体"/>
                <w:sz w:val="21"/>
                <w:szCs w:val="21"/>
              </w:rPr>
              <w:t>六塘镇</w:t>
            </w:r>
          </w:p>
        </w:tc>
        <w:tc>
          <w:tcPr>
            <w:tcW w:w="1288" w:type="dxa"/>
            <w:vAlign w:val="center"/>
          </w:tcPr>
          <w:p>
            <w:pPr>
              <w:spacing w:line="400" w:lineRule="exact"/>
              <w:jc w:val="center"/>
              <w:rPr>
                <w:rFonts w:ascii="宋体" w:hAnsi="宋体" w:cs="宋体"/>
                <w:sz w:val="21"/>
                <w:szCs w:val="21"/>
              </w:rPr>
            </w:pPr>
            <w:r>
              <w:rPr>
                <w:rFonts w:hint="eastAsia"/>
                <w:sz w:val="21"/>
                <w:szCs w:val="21"/>
              </w:rPr>
              <w:t>2.61</w:t>
            </w:r>
            <w:r>
              <w:rPr>
                <w:rFonts w:hint="eastAsia" w:ascii="宋体" w:hAnsi="宋体"/>
                <w:sz w:val="21"/>
                <w:szCs w:val="21"/>
              </w:rPr>
              <w:t>×10</w:t>
            </w:r>
            <w:r>
              <w:rPr>
                <w:rFonts w:hint="eastAsia"/>
                <w:sz w:val="21"/>
                <w:szCs w:val="21"/>
                <w:vertAlign w:val="superscript"/>
              </w:rPr>
              <w:t>-5</w:t>
            </w:r>
          </w:p>
        </w:tc>
        <w:tc>
          <w:tcPr>
            <w:tcW w:w="884" w:type="dxa"/>
            <w:vAlign w:val="center"/>
          </w:tcPr>
          <w:p>
            <w:pPr>
              <w:spacing w:line="400" w:lineRule="exact"/>
              <w:jc w:val="center"/>
              <w:rPr>
                <w:rFonts w:ascii="宋体" w:hAnsi="宋体" w:cs="宋体"/>
                <w:sz w:val="21"/>
                <w:szCs w:val="21"/>
              </w:rPr>
            </w:pPr>
            <w:r>
              <w:rPr>
                <w:rFonts w:hint="eastAsia"/>
                <w:sz w:val="21"/>
                <w:szCs w:val="21"/>
              </w:rPr>
              <w:t>0.026</w:t>
            </w:r>
          </w:p>
        </w:tc>
        <w:tc>
          <w:tcPr>
            <w:tcW w:w="1287" w:type="dxa"/>
            <w:vAlign w:val="center"/>
          </w:tcPr>
          <w:p>
            <w:pPr>
              <w:spacing w:line="400" w:lineRule="exact"/>
              <w:jc w:val="center"/>
              <w:rPr>
                <w:rFonts w:ascii="宋体" w:hAnsi="宋体" w:cs="宋体"/>
                <w:sz w:val="21"/>
                <w:szCs w:val="21"/>
              </w:rPr>
            </w:pPr>
            <w:r>
              <w:rPr>
                <w:rFonts w:hint="eastAsia"/>
                <w:sz w:val="21"/>
                <w:szCs w:val="21"/>
              </w:rPr>
              <w:t>2.70</w:t>
            </w:r>
            <w:r>
              <w:rPr>
                <w:rFonts w:hint="eastAsia" w:ascii="宋体" w:hAnsi="宋体"/>
                <w:sz w:val="21"/>
                <w:szCs w:val="21"/>
              </w:rPr>
              <w:t>×10</w:t>
            </w:r>
            <w:r>
              <w:rPr>
                <w:rFonts w:hint="eastAsia"/>
                <w:sz w:val="21"/>
                <w:szCs w:val="21"/>
                <w:vertAlign w:val="superscript"/>
              </w:rPr>
              <w:t>-5</w:t>
            </w:r>
          </w:p>
        </w:tc>
        <w:tc>
          <w:tcPr>
            <w:tcW w:w="1041" w:type="dxa"/>
            <w:vAlign w:val="center"/>
          </w:tcPr>
          <w:p>
            <w:pPr>
              <w:spacing w:line="400" w:lineRule="exact"/>
              <w:jc w:val="center"/>
              <w:rPr>
                <w:rFonts w:ascii="宋体" w:hAnsi="宋体" w:cs="宋体"/>
                <w:sz w:val="21"/>
                <w:szCs w:val="21"/>
              </w:rPr>
            </w:pPr>
            <w:r>
              <w:rPr>
                <w:rFonts w:hint="eastAsia"/>
                <w:sz w:val="21"/>
                <w:szCs w:val="21"/>
              </w:rPr>
              <w:t>0.045</w:t>
            </w:r>
          </w:p>
        </w:tc>
        <w:tc>
          <w:tcPr>
            <w:tcW w:w="1287" w:type="dxa"/>
            <w:vAlign w:val="center"/>
          </w:tcPr>
          <w:p>
            <w:pPr>
              <w:jc w:val="center"/>
              <w:rPr>
                <w:rFonts w:ascii="宋体" w:hAnsi="宋体" w:cs="宋体"/>
                <w:sz w:val="21"/>
                <w:szCs w:val="21"/>
              </w:rPr>
            </w:pPr>
            <w:r>
              <w:rPr>
                <w:rFonts w:hint="eastAsia"/>
                <w:sz w:val="21"/>
                <w:szCs w:val="21"/>
              </w:rPr>
              <w:t>1.52</w:t>
            </w:r>
            <w:r>
              <w:rPr>
                <w:rFonts w:hint="eastAsia" w:ascii="宋体" w:hAnsi="宋体"/>
                <w:sz w:val="21"/>
                <w:szCs w:val="21"/>
              </w:rPr>
              <w:t>×10</w:t>
            </w:r>
            <w:r>
              <w:rPr>
                <w:rFonts w:hint="eastAsia"/>
                <w:sz w:val="21"/>
                <w:szCs w:val="21"/>
                <w:vertAlign w:val="superscript"/>
              </w:rPr>
              <w:t>-4</w:t>
            </w:r>
          </w:p>
        </w:tc>
        <w:tc>
          <w:tcPr>
            <w:tcW w:w="1041" w:type="dxa"/>
            <w:vAlign w:val="center"/>
          </w:tcPr>
          <w:p>
            <w:pPr>
              <w:jc w:val="center"/>
              <w:rPr>
                <w:rFonts w:ascii="宋体" w:hAnsi="宋体" w:cs="宋体"/>
                <w:sz w:val="21"/>
                <w:szCs w:val="21"/>
              </w:rPr>
            </w:pPr>
            <w:r>
              <w:rPr>
                <w:rFonts w:hint="eastAsia"/>
                <w:sz w:val="21"/>
                <w:szCs w:val="21"/>
              </w:rPr>
              <w:t>0.190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8" w:hRule="atLeast"/>
          <w:jc w:val="center"/>
        </w:trPr>
        <w:tc>
          <w:tcPr>
            <w:tcW w:w="2287" w:type="dxa"/>
            <w:vAlign w:val="center"/>
          </w:tcPr>
          <w:p>
            <w:pPr>
              <w:spacing w:line="400" w:lineRule="exact"/>
              <w:jc w:val="center"/>
              <w:rPr>
                <w:sz w:val="21"/>
                <w:szCs w:val="21"/>
              </w:rPr>
            </w:pPr>
            <w:r>
              <w:rPr>
                <w:rFonts w:hAnsi="宋体"/>
                <w:sz w:val="21"/>
                <w:szCs w:val="21"/>
              </w:rPr>
              <w:t>接龙镇</w:t>
            </w:r>
          </w:p>
        </w:tc>
        <w:tc>
          <w:tcPr>
            <w:tcW w:w="1288" w:type="dxa"/>
            <w:vAlign w:val="center"/>
          </w:tcPr>
          <w:p>
            <w:pPr>
              <w:spacing w:line="400" w:lineRule="exact"/>
              <w:jc w:val="center"/>
              <w:rPr>
                <w:rFonts w:ascii="宋体" w:hAnsi="宋体" w:cs="宋体"/>
                <w:sz w:val="21"/>
                <w:szCs w:val="21"/>
              </w:rPr>
            </w:pPr>
            <w:r>
              <w:rPr>
                <w:rFonts w:hint="eastAsia"/>
                <w:sz w:val="21"/>
                <w:szCs w:val="21"/>
              </w:rPr>
              <w:t>8.27</w:t>
            </w:r>
            <w:r>
              <w:rPr>
                <w:rFonts w:hint="eastAsia" w:ascii="宋体" w:hAnsi="宋体"/>
                <w:sz w:val="21"/>
                <w:szCs w:val="21"/>
              </w:rPr>
              <w:t>×10</w:t>
            </w:r>
            <w:r>
              <w:rPr>
                <w:rFonts w:hint="eastAsia"/>
                <w:sz w:val="21"/>
                <w:szCs w:val="21"/>
                <w:vertAlign w:val="superscript"/>
              </w:rPr>
              <w:t>-5</w:t>
            </w:r>
          </w:p>
        </w:tc>
        <w:tc>
          <w:tcPr>
            <w:tcW w:w="884" w:type="dxa"/>
            <w:vAlign w:val="center"/>
          </w:tcPr>
          <w:p>
            <w:pPr>
              <w:spacing w:line="400" w:lineRule="exact"/>
              <w:jc w:val="center"/>
              <w:rPr>
                <w:rFonts w:ascii="宋体" w:hAnsi="宋体" w:cs="宋体"/>
                <w:sz w:val="21"/>
                <w:szCs w:val="21"/>
              </w:rPr>
            </w:pPr>
            <w:r>
              <w:rPr>
                <w:rFonts w:hint="eastAsia"/>
                <w:sz w:val="21"/>
                <w:szCs w:val="21"/>
              </w:rPr>
              <w:t>0.083</w:t>
            </w:r>
          </w:p>
        </w:tc>
        <w:tc>
          <w:tcPr>
            <w:tcW w:w="1287" w:type="dxa"/>
            <w:vAlign w:val="center"/>
          </w:tcPr>
          <w:p>
            <w:pPr>
              <w:spacing w:line="400" w:lineRule="exact"/>
              <w:jc w:val="center"/>
              <w:rPr>
                <w:rFonts w:ascii="宋体" w:hAnsi="宋体" w:cs="宋体"/>
                <w:sz w:val="21"/>
                <w:szCs w:val="21"/>
              </w:rPr>
            </w:pPr>
            <w:r>
              <w:rPr>
                <w:rFonts w:hint="eastAsia"/>
                <w:sz w:val="21"/>
                <w:szCs w:val="21"/>
              </w:rPr>
              <w:t>9.61</w:t>
            </w:r>
            <w:r>
              <w:rPr>
                <w:rFonts w:hint="eastAsia" w:ascii="宋体" w:hAnsi="宋体"/>
                <w:sz w:val="21"/>
                <w:szCs w:val="21"/>
              </w:rPr>
              <w:t>×10</w:t>
            </w:r>
            <w:r>
              <w:rPr>
                <w:rFonts w:hint="eastAsia"/>
                <w:sz w:val="21"/>
                <w:szCs w:val="21"/>
                <w:vertAlign w:val="superscript"/>
              </w:rPr>
              <w:t>-5</w:t>
            </w:r>
          </w:p>
        </w:tc>
        <w:tc>
          <w:tcPr>
            <w:tcW w:w="1041" w:type="dxa"/>
            <w:vAlign w:val="center"/>
          </w:tcPr>
          <w:p>
            <w:pPr>
              <w:spacing w:line="400" w:lineRule="exact"/>
              <w:jc w:val="center"/>
              <w:rPr>
                <w:rFonts w:ascii="宋体" w:hAnsi="宋体" w:cs="宋体"/>
                <w:sz w:val="21"/>
                <w:szCs w:val="21"/>
              </w:rPr>
            </w:pPr>
            <w:r>
              <w:rPr>
                <w:rFonts w:hint="eastAsia"/>
                <w:sz w:val="21"/>
                <w:szCs w:val="21"/>
              </w:rPr>
              <w:t>0.160</w:t>
            </w:r>
          </w:p>
        </w:tc>
        <w:tc>
          <w:tcPr>
            <w:tcW w:w="1287" w:type="dxa"/>
            <w:vAlign w:val="center"/>
          </w:tcPr>
          <w:p>
            <w:pPr>
              <w:jc w:val="center"/>
              <w:rPr>
                <w:rFonts w:ascii="宋体" w:hAnsi="宋体" w:cs="宋体"/>
                <w:sz w:val="21"/>
                <w:szCs w:val="21"/>
              </w:rPr>
            </w:pPr>
            <w:r>
              <w:rPr>
                <w:rFonts w:hint="eastAsia"/>
                <w:sz w:val="21"/>
                <w:szCs w:val="21"/>
              </w:rPr>
              <w:t>5.42</w:t>
            </w:r>
            <w:r>
              <w:rPr>
                <w:rFonts w:hint="eastAsia" w:ascii="宋体" w:hAnsi="宋体"/>
                <w:sz w:val="21"/>
                <w:szCs w:val="21"/>
              </w:rPr>
              <w:t>×10</w:t>
            </w:r>
            <w:r>
              <w:rPr>
                <w:rFonts w:hint="eastAsia"/>
                <w:sz w:val="21"/>
                <w:szCs w:val="21"/>
                <w:vertAlign w:val="superscript"/>
              </w:rPr>
              <w:t>-4</w:t>
            </w:r>
          </w:p>
        </w:tc>
        <w:tc>
          <w:tcPr>
            <w:tcW w:w="1041" w:type="dxa"/>
            <w:vAlign w:val="center"/>
          </w:tcPr>
          <w:p>
            <w:pPr>
              <w:jc w:val="center"/>
              <w:rPr>
                <w:rFonts w:ascii="宋体" w:hAnsi="宋体" w:cs="宋体"/>
                <w:sz w:val="21"/>
                <w:szCs w:val="21"/>
              </w:rPr>
            </w:pPr>
            <w:r>
              <w:rPr>
                <w:rFonts w:hint="eastAsia"/>
                <w:sz w:val="21"/>
                <w:szCs w:val="21"/>
              </w:rPr>
              <w:t>0.677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2" w:hRule="atLeast"/>
          <w:jc w:val="center"/>
        </w:trPr>
        <w:tc>
          <w:tcPr>
            <w:tcW w:w="2287" w:type="dxa"/>
            <w:shd w:val="clear" w:color="auto" w:fill="auto"/>
            <w:vAlign w:val="center"/>
          </w:tcPr>
          <w:p>
            <w:pPr>
              <w:spacing w:line="400" w:lineRule="exact"/>
              <w:jc w:val="center"/>
              <w:rPr>
                <w:sz w:val="21"/>
                <w:szCs w:val="21"/>
              </w:rPr>
            </w:pPr>
            <w:r>
              <w:rPr>
                <w:rFonts w:hAnsi="宋体"/>
                <w:sz w:val="21"/>
                <w:szCs w:val="21"/>
              </w:rPr>
              <w:t>福里树村</w:t>
            </w:r>
          </w:p>
        </w:tc>
        <w:tc>
          <w:tcPr>
            <w:tcW w:w="1288" w:type="dxa"/>
            <w:shd w:val="clear" w:color="auto" w:fill="auto"/>
            <w:vAlign w:val="center"/>
          </w:tcPr>
          <w:p>
            <w:pPr>
              <w:spacing w:line="400" w:lineRule="exact"/>
              <w:jc w:val="center"/>
              <w:rPr>
                <w:rFonts w:ascii="宋体" w:hAnsi="宋体" w:cs="宋体"/>
                <w:sz w:val="21"/>
                <w:szCs w:val="21"/>
              </w:rPr>
            </w:pPr>
            <w:r>
              <w:rPr>
                <w:rFonts w:hint="eastAsia"/>
                <w:sz w:val="21"/>
                <w:szCs w:val="21"/>
              </w:rPr>
              <w:t>3.22</w:t>
            </w:r>
            <w:r>
              <w:rPr>
                <w:rFonts w:hint="eastAsia" w:ascii="宋体" w:hAnsi="宋体"/>
                <w:sz w:val="21"/>
                <w:szCs w:val="21"/>
              </w:rPr>
              <w:t>×10</w:t>
            </w:r>
            <w:r>
              <w:rPr>
                <w:rFonts w:hint="eastAsia"/>
                <w:sz w:val="21"/>
                <w:szCs w:val="21"/>
                <w:vertAlign w:val="superscript"/>
              </w:rPr>
              <w:t>-4</w:t>
            </w:r>
          </w:p>
        </w:tc>
        <w:tc>
          <w:tcPr>
            <w:tcW w:w="884" w:type="dxa"/>
            <w:shd w:val="clear" w:color="auto" w:fill="auto"/>
            <w:vAlign w:val="center"/>
          </w:tcPr>
          <w:p>
            <w:pPr>
              <w:spacing w:line="400" w:lineRule="exact"/>
              <w:jc w:val="center"/>
              <w:rPr>
                <w:rFonts w:ascii="宋体" w:hAnsi="宋体" w:cs="宋体"/>
                <w:sz w:val="21"/>
                <w:szCs w:val="21"/>
              </w:rPr>
            </w:pPr>
            <w:r>
              <w:rPr>
                <w:rFonts w:hint="eastAsia"/>
                <w:sz w:val="21"/>
                <w:szCs w:val="21"/>
              </w:rPr>
              <w:t>0.322</w:t>
            </w:r>
          </w:p>
        </w:tc>
        <w:tc>
          <w:tcPr>
            <w:tcW w:w="1287" w:type="dxa"/>
            <w:vAlign w:val="center"/>
          </w:tcPr>
          <w:p>
            <w:pPr>
              <w:spacing w:line="400" w:lineRule="exact"/>
              <w:jc w:val="center"/>
              <w:rPr>
                <w:rFonts w:ascii="宋体" w:hAnsi="宋体" w:cs="宋体"/>
                <w:sz w:val="21"/>
                <w:szCs w:val="21"/>
              </w:rPr>
            </w:pPr>
            <w:r>
              <w:rPr>
                <w:rFonts w:hint="eastAsia"/>
                <w:sz w:val="21"/>
                <w:szCs w:val="21"/>
              </w:rPr>
              <w:t>2.87</w:t>
            </w:r>
            <w:r>
              <w:rPr>
                <w:rFonts w:hint="eastAsia" w:ascii="宋体" w:hAnsi="宋体"/>
                <w:sz w:val="21"/>
                <w:szCs w:val="21"/>
              </w:rPr>
              <w:t>×10</w:t>
            </w:r>
            <w:r>
              <w:rPr>
                <w:rFonts w:hint="eastAsia"/>
                <w:sz w:val="21"/>
                <w:szCs w:val="21"/>
                <w:vertAlign w:val="superscript"/>
              </w:rPr>
              <w:t>-4</w:t>
            </w:r>
          </w:p>
        </w:tc>
        <w:tc>
          <w:tcPr>
            <w:tcW w:w="1041" w:type="dxa"/>
            <w:vAlign w:val="center"/>
          </w:tcPr>
          <w:p>
            <w:pPr>
              <w:spacing w:line="400" w:lineRule="exact"/>
              <w:jc w:val="center"/>
              <w:rPr>
                <w:rFonts w:ascii="宋体" w:hAnsi="宋体" w:cs="宋体"/>
                <w:sz w:val="21"/>
                <w:szCs w:val="21"/>
              </w:rPr>
            </w:pPr>
            <w:r>
              <w:rPr>
                <w:rFonts w:hint="eastAsia"/>
                <w:sz w:val="21"/>
                <w:szCs w:val="21"/>
              </w:rPr>
              <w:t>0.478</w:t>
            </w:r>
          </w:p>
        </w:tc>
        <w:tc>
          <w:tcPr>
            <w:tcW w:w="1287" w:type="dxa"/>
            <w:vAlign w:val="center"/>
          </w:tcPr>
          <w:p>
            <w:pPr>
              <w:jc w:val="center"/>
              <w:rPr>
                <w:rFonts w:ascii="宋体" w:hAnsi="宋体" w:cs="宋体"/>
                <w:sz w:val="21"/>
                <w:szCs w:val="21"/>
              </w:rPr>
            </w:pPr>
            <w:r>
              <w:rPr>
                <w:rFonts w:hint="eastAsia"/>
                <w:sz w:val="21"/>
                <w:szCs w:val="21"/>
              </w:rPr>
              <w:t>1.62</w:t>
            </w:r>
            <w:r>
              <w:rPr>
                <w:rFonts w:hint="eastAsia" w:ascii="宋体" w:hAnsi="宋体"/>
                <w:sz w:val="21"/>
                <w:szCs w:val="21"/>
              </w:rPr>
              <w:t>×10</w:t>
            </w:r>
            <w:r>
              <w:rPr>
                <w:rFonts w:hint="eastAsia"/>
                <w:sz w:val="21"/>
                <w:szCs w:val="21"/>
                <w:vertAlign w:val="superscript"/>
              </w:rPr>
              <w:t>-3</w:t>
            </w:r>
          </w:p>
        </w:tc>
        <w:tc>
          <w:tcPr>
            <w:tcW w:w="1041" w:type="dxa"/>
            <w:vAlign w:val="center"/>
          </w:tcPr>
          <w:p>
            <w:pPr>
              <w:jc w:val="center"/>
              <w:rPr>
                <w:rFonts w:ascii="宋体" w:hAnsi="宋体" w:cs="宋体"/>
                <w:sz w:val="21"/>
                <w:szCs w:val="21"/>
              </w:rPr>
            </w:pPr>
            <w:r>
              <w:rPr>
                <w:rFonts w:hint="eastAsia"/>
                <w:sz w:val="21"/>
                <w:szCs w:val="21"/>
              </w:rPr>
              <w:t>2.021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2" w:hRule="atLeast"/>
          <w:jc w:val="center"/>
        </w:trPr>
        <w:tc>
          <w:tcPr>
            <w:tcW w:w="2287" w:type="dxa"/>
            <w:shd w:val="clear" w:color="auto" w:fill="auto"/>
            <w:vAlign w:val="center"/>
          </w:tcPr>
          <w:p>
            <w:pPr>
              <w:spacing w:line="400" w:lineRule="exact"/>
              <w:jc w:val="center"/>
              <w:rPr>
                <w:sz w:val="21"/>
                <w:szCs w:val="21"/>
              </w:rPr>
            </w:pPr>
            <w:r>
              <w:rPr>
                <w:rFonts w:hAnsi="宋体"/>
                <w:sz w:val="21"/>
                <w:szCs w:val="21"/>
              </w:rPr>
              <w:t>殷家老院子</w:t>
            </w:r>
          </w:p>
        </w:tc>
        <w:tc>
          <w:tcPr>
            <w:tcW w:w="1288" w:type="dxa"/>
            <w:shd w:val="clear" w:color="auto" w:fill="auto"/>
            <w:vAlign w:val="center"/>
          </w:tcPr>
          <w:p>
            <w:pPr>
              <w:spacing w:line="400" w:lineRule="exact"/>
              <w:jc w:val="center"/>
              <w:rPr>
                <w:rFonts w:ascii="宋体" w:hAnsi="宋体" w:cs="宋体"/>
                <w:sz w:val="21"/>
                <w:szCs w:val="21"/>
              </w:rPr>
            </w:pPr>
            <w:r>
              <w:rPr>
                <w:rFonts w:hint="eastAsia"/>
                <w:sz w:val="21"/>
                <w:szCs w:val="21"/>
              </w:rPr>
              <w:t>1.48</w:t>
            </w:r>
            <w:r>
              <w:rPr>
                <w:rFonts w:hint="eastAsia" w:ascii="宋体" w:hAnsi="宋体"/>
                <w:sz w:val="21"/>
                <w:szCs w:val="21"/>
              </w:rPr>
              <w:t>×10</w:t>
            </w:r>
            <w:r>
              <w:rPr>
                <w:rFonts w:hint="eastAsia"/>
                <w:sz w:val="21"/>
                <w:szCs w:val="21"/>
                <w:vertAlign w:val="superscript"/>
              </w:rPr>
              <w:t>-4</w:t>
            </w:r>
          </w:p>
        </w:tc>
        <w:tc>
          <w:tcPr>
            <w:tcW w:w="884" w:type="dxa"/>
            <w:shd w:val="clear" w:color="auto" w:fill="auto"/>
            <w:vAlign w:val="center"/>
          </w:tcPr>
          <w:p>
            <w:pPr>
              <w:spacing w:line="400" w:lineRule="exact"/>
              <w:jc w:val="center"/>
              <w:rPr>
                <w:rFonts w:ascii="宋体" w:hAnsi="宋体" w:cs="宋体"/>
                <w:sz w:val="21"/>
                <w:szCs w:val="21"/>
              </w:rPr>
            </w:pPr>
            <w:r>
              <w:rPr>
                <w:rFonts w:hint="eastAsia"/>
                <w:sz w:val="21"/>
                <w:szCs w:val="21"/>
              </w:rPr>
              <w:t>0.148</w:t>
            </w:r>
          </w:p>
        </w:tc>
        <w:tc>
          <w:tcPr>
            <w:tcW w:w="1287" w:type="dxa"/>
            <w:shd w:val="clear" w:color="auto" w:fill="auto"/>
            <w:vAlign w:val="center"/>
          </w:tcPr>
          <w:p>
            <w:pPr>
              <w:spacing w:line="400" w:lineRule="exact"/>
              <w:jc w:val="center"/>
              <w:rPr>
                <w:rFonts w:ascii="宋体" w:hAnsi="宋体" w:cs="宋体"/>
                <w:sz w:val="21"/>
                <w:szCs w:val="21"/>
              </w:rPr>
            </w:pPr>
            <w:r>
              <w:rPr>
                <w:rFonts w:hint="eastAsia"/>
                <w:sz w:val="21"/>
                <w:szCs w:val="21"/>
              </w:rPr>
              <w:t>1.65</w:t>
            </w:r>
            <w:r>
              <w:rPr>
                <w:rFonts w:hint="eastAsia" w:ascii="宋体" w:hAnsi="宋体"/>
                <w:sz w:val="21"/>
                <w:szCs w:val="21"/>
              </w:rPr>
              <w:t>×10</w:t>
            </w:r>
            <w:r>
              <w:rPr>
                <w:rFonts w:hint="eastAsia"/>
                <w:sz w:val="21"/>
                <w:szCs w:val="21"/>
                <w:vertAlign w:val="superscript"/>
              </w:rPr>
              <w:t>-4</w:t>
            </w:r>
          </w:p>
        </w:tc>
        <w:tc>
          <w:tcPr>
            <w:tcW w:w="1041" w:type="dxa"/>
            <w:vAlign w:val="center"/>
          </w:tcPr>
          <w:p>
            <w:pPr>
              <w:spacing w:line="400" w:lineRule="exact"/>
              <w:jc w:val="center"/>
              <w:rPr>
                <w:rFonts w:ascii="宋体" w:hAnsi="宋体" w:cs="宋体"/>
                <w:sz w:val="21"/>
                <w:szCs w:val="21"/>
              </w:rPr>
            </w:pPr>
            <w:r>
              <w:rPr>
                <w:rFonts w:hint="eastAsia"/>
                <w:sz w:val="21"/>
                <w:szCs w:val="21"/>
              </w:rPr>
              <w:t>0.275</w:t>
            </w:r>
          </w:p>
        </w:tc>
        <w:tc>
          <w:tcPr>
            <w:tcW w:w="1287" w:type="dxa"/>
            <w:vAlign w:val="center"/>
          </w:tcPr>
          <w:p>
            <w:pPr>
              <w:jc w:val="center"/>
              <w:rPr>
                <w:rFonts w:ascii="宋体" w:hAnsi="宋体" w:cs="宋体"/>
                <w:sz w:val="21"/>
                <w:szCs w:val="21"/>
              </w:rPr>
            </w:pPr>
            <w:r>
              <w:rPr>
                <w:rFonts w:hint="eastAsia"/>
                <w:sz w:val="21"/>
                <w:szCs w:val="21"/>
              </w:rPr>
              <w:t>9.31</w:t>
            </w:r>
            <w:r>
              <w:rPr>
                <w:rFonts w:hint="eastAsia" w:ascii="宋体" w:hAnsi="宋体"/>
                <w:sz w:val="21"/>
                <w:szCs w:val="21"/>
              </w:rPr>
              <w:t>×10</w:t>
            </w:r>
            <w:r>
              <w:rPr>
                <w:rFonts w:hint="eastAsia"/>
                <w:sz w:val="21"/>
                <w:szCs w:val="21"/>
                <w:vertAlign w:val="superscript"/>
              </w:rPr>
              <w:t>-4</w:t>
            </w:r>
          </w:p>
        </w:tc>
        <w:tc>
          <w:tcPr>
            <w:tcW w:w="1041" w:type="dxa"/>
            <w:vAlign w:val="center"/>
          </w:tcPr>
          <w:p>
            <w:pPr>
              <w:jc w:val="center"/>
              <w:rPr>
                <w:rFonts w:ascii="宋体" w:hAnsi="宋体" w:cs="宋体"/>
                <w:sz w:val="21"/>
                <w:szCs w:val="21"/>
              </w:rPr>
            </w:pPr>
            <w:r>
              <w:rPr>
                <w:rFonts w:hint="eastAsia"/>
                <w:sz w:val="21"/>
                <w:szCs w:val="21"/>
              </w:rPr>
              <w:t>1.164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6" w:hRule="atLeast"/>
          <w:jc w:val="center"/>
        </w:trPr>
        <w:tc>
          <w:tcPr>
            <w:tcW w:w="2287" w:type="dxa"/>
            <w:vAlign w:val="center"/>
          </w:tcPr>
          <w:p>
            <w:pPr>
              <w:spacing w:line="400" w:lineRule="exact"/>
              <w:jc w:val="center"/>
              <w:rPr>
                <w:sz w:val="21"/>
                <w:szCs w:val="21"/>
              </w:rPr>
            </w:pPr>
            <w:r>
              <w:rPr>
                <w:rFonts w:hAnsi="宋体"/>
                <w:sz w:val="21"/>
                <w:szCs w:val="21"/>
              </w:rPr>
              <w:t>璧山县</w:t>
            </w:r>
          </w:p>
        </w:tc>
        <w:tc>
          <w:tcPr>
            <w:tcW w:w="1288" w:type="dxa"/>
            <w:vAlign w:val="center"/>
          </w:tcPr>
          <w:p>
            <w:pPr>
              <w:spacing w:line="400" w:lineRule="exact"/>
              <w:jc w:val="center"/>
              <w:rPr>
                <w:rFonts w:ascii="宋体" w:hAnsi="宋体" w:cs="宋体"/>
                <w:sz w:val="21"/>
                <w:szCs w:val="21"/>
              </w:rPr>
            </w:pPr>
            <w:r>
              <w:rPr>
                <w:rFonts w:hint="eastAsia"/>
                <w:sz w:val="21"/>
                <w:szCs w:val="21"/>
              </w:rPr>
              <w:t>3.47</w:t>
            </w:r>
            <w:r>
              <w:rPr>
                <w:rFonts w:hint="eastAsia" w:ascii="宋体" w:hAnsi="宋体"/>
                <w:sz w:val="21"/>
                <w:szCs w:val="21"/>
              </w:rPr>
              <w:t>×10</w:t>
            </w:r>
            <w:r>
              <w:rPr>
                <w:rFonts w:hint="eastAsia"/>
                <w:sz w:val="21"/>
                <w:szCs w:val="21"/>
                <w:vertAlign w:val="superscript"/>
              </w:rPr>
              <w:t>-5</w:t>
            </w:r>
          </w:p>
        </w:tc>
        <w:tc>
          <w:tcPr>
            <w:tcW w:w="884" w:type="dxa"/>
            <w:vAlign w:val="center"/>
          </w:tcPr>
          <w:p>
            <w:pPr>
              <w:spacing w:line="400" w:lineRule="exact"/>
              <w:jc w:val="center"/>
              <w:rPr>
                <w:rFonts w:ascii="宋体" w:hAnsi="宋体" w:cs="宋体"/>
                <w:sz w:val="21"/>
                <w:szCs w:val="21"/>
              </w:rPr>
            </w:pPr>
            <w:r>
              <w:rPr>
                <w:rFonts w:hint="eastAsia"/>
                <w:sz w:val="21"/>
                <w:szCs w:val="21"/>
              </w:rPr>
              <w:t>0.035</w:t>
            </w:r>
          </w:p>
        </w:tc>
        <w:tc>
          <w:tcPr>
            <w:tcW w:w="1287" w:type="dxa"/>
            <w:vAlign w:val="center"/>
          </w:tcPr>
          <w:p>
            <w:pPr>
              <w:spacing w:line="400" w:lineRule="exact"/>
              <w:jc w:val="center"/>
              <w:rPr>
                <w:rFonts w:ascii="宋体" w:hAnsi="宋体" w:cs="宋体"/>
                <w:sz w:val="21"/>
                <w:szCs w:val="21"/>
              </w:rPr>
            </w:pPr>
            <w:r>
              <w:rPr>
                <w:rFonts w:hint="eastAsia"/>
                <w:sz w:val="21"/>
                <w:szCs w:val="21"/>
              </w:rPr>
              <w:t>2.28</w:t>
            </w:r>
            <w:r>
              <w:rPr>
                <w:rFonts w:hint="eastAsia" w:ascii="宋体" w:hAnsi="宋体"/>
                <w:sz w:val="21"/>
                <w:szCs w:val="21"/>
              </w:rPr>
              <w:t>×10</w:t>
            </w:r>
            <w:r>
              <w:rPr>
                <w:rFonts w:hint="eastAsia"/>
                <w:sz w:val="21"/>
                <w:szCs w:val="21"/>
                <w:vertAlign w:val="superscript"/>
              </w:rPr>
              <w:t>-5</w:t>
            </w:r>
          </w:p>
        </w:tc>
        <w:tc>
          <w:tcPr>
            <w:tcW w:w="1041" w:type="dxa"/>
            <w:vAlign w:val="center"/>
          </w:tcPr>
          <w:p>
            <w:pPr>
              <w:spacing w:line="400" w:lineRule="exact"/>
              <w:jc w:val="center"/>
              <w:rPr>
                <w:rFonts w:ascii="宋体" w:hAnsi="宋体" w:cs="宋体"/>
                <w:sz w:val="21"/>
                <w:szCs w:val="21"/>
              </w:rPr>
            </w:pPr>
            <w:r>
              <w:rPr>
                <w:rFonts w:hint="eastAsia"/>
                <w:sz w:val="21"/>
                <w:szCs w:val="21"/>
              </w:rPr>
              <w:t>0.038</w:t>
            </w:r>
          </w:p>
        </w:tc>
        <w:tc>
          <w:tcPr>
            <w:tcW w:w="1287" w:type="dxa"/>
            <w:vAlign w:val="center"/>
          </w:tcPr>
          <w:p>
            <w:pPr>
              <w:jc w:val="center"/>
              <w:rPr>
                <w:rFonts w:ascii="宋体" w:hAnsi="宋体" w:cs="宋体"/>
                <w:sz w:val="21"/>
                <w:szCs w:val="21"/>
              </w:rPr>
            </w:pPr>
            <w:r>
              <w:rPr>
                <w:rFonts w:hint="eastAsia"/>
                <w:sz w:val="21"/>
                <w:szCs w:val="21"/>
              </w:rPr>
              <w:t>1.29</w:t>
            </w:r>
            <w:r>
              <w:rPr>
                <w:rFonts w:hint="eastAsia" w:ascii="宋体" w:hAnsi="宋体"/>
                <w:sz w:val="21"/>
                <w:szCs w:val="21"/>
              </w:rPr>
              <w:t>×10</w:t>
            </w:r>
            <w:r>
              <w:rPr>
                <w:rFonts w:hint="eastAsia"/>
                <w:sz w:val="21"/>
                <w:szCs w:val="21"/>
                <w:vertAlign w:val="superscript"/>
              </w:rPr>
              <w:t>-4</w:t>
            </w:r>
          </w:p>
        </w:tc>
        <w:tc>
          <w:tcPr>
            <w:tcW w:w="1041" w:type="dxa"/>
            <w:vAlign w:val="center"/>
          </w:tcPr>
          <w:p>
            <w:pPr>
              <w:jc w:val="center"/>
              <w:rPr>
                <w:rFonts w:ascii="宋体" w:hAnsi="宋体" w:cs="宋体"/>
                <w:sz w:val="21"/>
                <w:szCs w:val="21"/>
              </w:rPr>
            </w:pPr>
            <w:r>
              <w:rPr>
                <w:rFonts w:hint="eastAsia"/>
                <w:sz w:val="21"/>
                <w:szCs w:val="21"/>
              </w:rPr>
              <w:t>0.161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2287" w:type="dxa"/>
            <w:vAlign w:val="center"/>
          </w:tcPr>
          <w:p>
            <w:pPr>
              <w:spacing w:line="400" w:lineRule="exact"/>
              <w:jc w:val="center"/>
              <w:rPr>
                <w:rFonts w:hint="eastAsia"/>
                <w:sz w:val="21"/>
                <w:szCs w:val="21"/>
              </w:rPr>
            </w:pPr>
            <w:r>
              <w:rPr>
                <w:rFonts w:hAnsi="宋体"/>
                <w:sz w:val="21"/>
                <w:szCs w:val="21"/>
              </w:rPr>
              <w:t>青鹏煤业公司</w:t>
            </w:r>
            <w:r>
              <w:rPr>
                <w:rFonts w:hint="eastAsia" w:hAnsi="宋体"/>
                <w:sz w:val="21"/>
                <w:szCs w:val="21"/>
              </w:rPr>
              <w:t>家属院</w:t>
            </w:r>
          </w:p>
        </w:tc>
        <w:tc>
          <w:tcPr>
            <w:tcW w:w="1288" w:type="dxa"/>
            <w:vAlign w:val="center"/>
          </w:tcPr>
          <w:p>
            <w:pPr>
              <w:spacing w:line="400" w:lineRule="exact"/>
              <w:jc w:val="center"/>
              <w:rPr>
                <w:rFonts w:ascii="宋体" w:hAnsi="宋体" w:cs="宋体"/>
                <w:sz w:val="21"/>
                <w:szCs w:val="21"/>
              </w:rPr>
            </w:pPr>
            <w:r>
              <w:rPr>
                <w:rFonts w:hint="eastAsia"/>
                <w:sz w:val="21"/>
                <w:szCs w:val="21"/>
              </w:rPr>
              <w:t>1.67</w:t>
            </w:r>
            <w:r>
              <w:rPr>
                <w:rFonts w:hint="eastAsia" w:ascii="宋体" w:hAnsi="宋体"/>
                <w:sz w:val="21"/>
                <w:szCs w:val="21"/>
              </w:rPr>
              <w:t>×10</w:t>
            </w:r>
            <w:r>
              <w:rPr>
                <w:rFonts w:hint="eastAsia"/>
                <w:sz w:val="21"/>
                <w:szCs w:val="21"/>
                <w:vertAlign w:val="superscript"/>
              </w:rPr>
              <w:t>-4</w:t>
            </w:r>
          </w:p>
        </w:tc>
        <w:tc>
          <w:tcPr>
            <w:tcW w:w="884" w:type="dxa"/>
            <w:vAlign w:val="center"/>
          </w:tcPr>
          <w:p>
            <w:pPr>
              <w:spacing w:line="400" w:lineRule="exact"/>
              <w:jc w:val="center"/>
              <w:rPr>
                <w:rFonts w:ascii="宋体" w:hAnsi="宋体" w:cs="宋体"/>
                <w:sz w:val="21"/>
                <w:szCs w:val="21"/>
              </w:rPr>
            </w:pPr>
            <w:r>
              <w:rPr>
                <w:rFonts w:hint="eastAsia"/>
                <w:sz w:val="21"/>
                <w:szCs w:val="21"/>
              </w:rPr>
              <w:t>0.167</w:t>
            </w:r>
          </w:p>
        </w:tc>
        <w:tc>
          <w:tcPr>
            <w:tcW w:w="1287" w:type="dxa"/>
            <w:vAlign w:val="center"/>
          </w:tcPr>
          <w:p>
            <w:pPr>
              <w:spacing w:line="400" w:lineRule="exact"/>
              <w:jc w:val="center"/>
              <w:rPr>
                <w:rFonts w:ascii="宋体" w:hAnsi="宋体" w:cs="宋体"/>
                <w:sz w:val="21"/>
                <w:szCs w:val="21"/>
              </w:rPr>
            </w:pPr>
            <w:r>
              <w:rPr>
                <w:rFonts w:hint="eastAsia"/>
                <w:sz w:val="21"/>
                <w:szCs w:val="21"/>
              </w:rPr>
              <w:t>2.41</w:t>
            </w:r>
            <w:r>
              <w:rPr>
                <w:rFonts w:hint="eastAsia" w:ascii="宋体" w:hAnsi="宋体"/>
                <w:sz w:val="21"/>
                <w:szCs w:val="21"/>
              </w:rPr>
              <w:t>×10</w:t>
            </w:r>
            <w:r>
              <w:rPr>
                <w:rFonts w:hint="eastAsia"/>
                <w:sz w:val="21"/>
                <w:szCs w:val="21"/>
                <w:vertAlign w:val="superscript"/>
              </w:rPr>
              <w:t>-4</w:t>
            </w:r>
          </w:p>
        </w:tc>
        <w:tc>
          <w:tcPr>
            <w:tcW w:w="1041" w:type="dxa"/>
            <w:vAlign w:val="center"/>
          </w:tcPr>
          <w:p>
            <w:pPr>
              <w:spacing w:line="400" w:lineRule="exact"/>
              <w:jc w:val="center"/>
              <w:rPr>
                <w:rFonts w:ascii="宋体" w:hAnsi="宋体" w:cs="宋体"/>
                <w:sz w:val="21"/>
                <w:szCs w:val="21"/>
              </w:rPr>
            </w:pPr>
            <w:r>
              <w:rPr>
                <w:rFonts w:hint="eastAsia"/>
                <w:sz w:val="21"/>
                <w:szCs w:val="21"/>
              </w:rPr>
              <w:t>0.402</w:t>
            </w:r>
          </w:p>
        </w:tc>
        <w:tc>
          <w:tcPr>
            <w:tcW w:w="1287" w:type="dxa"/>
            <w:vAlign w:val="center"/>
          </w:tcPr>
          <w:p>
            <w:pPr>
              <w:jc w:val="center"/>
              <w:rPr>
                <w:rFonts w:ascii="宋体" w:hAnsi="宋体" w:cs="宋体"/>
                <w:sz w:val="21"/>
                <w:szCs w:val="21"/>
              </w:rPr>
            </w:pPr>
            <w:r>
              <w:rPr>
                <w:rFonts w:hint="eastAsia"/>
                <w:sz w:val="21"/>
                <w:szCs w:val="21"/>
              </w:rPr>
              <w:t>1.36</w:t>
            </w:r>
            <w:r>
              <w:rPr>
                <w:rFonts w:hint="eastAsia" w:ascii="宋体" w:hAnsi="宋体"/>
                <w:sz w:val="21"/>
                <w:szCs w:val="21"/>
              </w:rPr>
              <w:t>×10</w:t>
            </w:r>
            <w:r>
              <w:rPr>
                <w:rFonts w:hint="eastAsia"/>
                <w:sz w:val="21"/>
                <w:szCs w:val="21"/>
                <w:vertAlign w:val="superscript"/>
              </w:rPr>
              <w:t>-3</w:t>
            </w:r>
          </w:p>
        </w:tc>
        <w:tc>
          <w:tcPr>
            <w:tcW w:w="1041" w:type="dxa"/>
            <w:vAlign w:val="center"/>
          </w:tcPr>
          <w:p>
            <w:pPr>
              <w:jc w:val="center"/>
              <w:rPr>
                <w:rFonts w:ascii="宋体" w:hAnsi="宋体" w:cs="宋体"/>
                <w:sz w:val="21"/>
                <w:szCs w:val="21"/>
              </w:rPr>
            </w:pPr>
            <w:r>
              <w:rPr>
                <w:rFonts w:hint="eastAsia"/>
                <w:sz w:val="21"/>
                <w:szCs w:val="21"/>
              </w:rPr>
              <w:t>1.701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4" w:hRule="atLeast"/>
          <w:jc w:val="center"/>
        </w:trPr>
        <w:tc>
          <w:tcPr>
            <w:tcW w:w="2287" w:type="dxa"/>
            <w:vAlign w:val="center"/>
          </w:tcPr>
          <w:p>
            <w:pPr>
              <w:spacing w:line="400" w:lineRule="exact"/>
              <w:jc w:val="center"/>
              <w:rPr>
                <w:sz w:val="21"/>
                <w:szCs w:val="21"/>
              </w:rPr>
            </w:pPr>
            <w:r>
              <w:rPr>
                <w:rFonts w:hAnsi="宋体"/>
                <w:sz w:val="21"/>
                <w:szCs w:val="21"/>
              </w:rPr>
              <w:t>青木关镇</w:t>
            </w:r>
          </w:p>
        </w:tc>
        <w:tc>
          <w:tcPr>
            <w:tcW w:w="1288" w:type="dxa"/>
            <w:vAlign w:val="center"/>
          </w:tcPr>
          <w:p>
            <w:pPr>
              <w:spacing w:line="400" w:lineRule="exact"/>
              <w:jc w:val="center"/>
              <w:rPr>
                <w:rFonts w:ascii="宋体" w:hAnsi="宋体" w:cs="宋体"/>
                <w:sz w:val="21"/>
                <w:szCs w:val="21"/>
              </w:rPr>
            </w:pPr>
            <w:r>
              <w:rPr>
                <w:rFonts w:hint="eastAsia"/>
                <w:sz w:val="21"/>
                <w:szCs w:val="21"/>
              </w:rPr>
              <w:t>1.60</w:t>
            </w:r>
            <w:r>
              <w:rPr>
                <w:rFonts w:hint="eastAsia" w:ascii="宋体" w:hAnsi="宋体"/>
                <w:sz w:val="21"/>
                <w:szCs w:val="21"/>
              </w:rPr>
              <w:t>×10</w:t>
            </w:r>
            <w:r>
              <w:rPr>
                <w:rFonts w:hint="eastAsia"/>
                <w:sz w:val="21"/>
                <w:szCs w:val="21"/>
                <w:vertAlign w:val="superscript"/>
              </w:rPr>
              <w:t>-4</w:t>
            </w:r>
          </w:p>
        </w:tc>
        <w:tc>
          <w:tcPr>
            <w:tcW w:w="884" w:type="dxa"/>
            <w:vAlign w:val="center"/>
          </w:tcPr>
          <w:p>
            <w:pPr>
              <w:spacing w:line="400" w:lineRule="exact"/>
              <w:jc w:val="center"/>
              <w:rPr>
                <w:rFonts w:ascii="宋体" w:hAnsi="宋体" w:cs="宋体"/>
                <w:sz w:val="21"/>
                <w:szCs w:val="21"/>
              </w:rPr>
            </w:pPr>
            <w:r>
              <w:rPr>
                <w:rFonts w:hint="eastAsia"/>
                <w:sz w:val="21"/>
                <w:szCs w:val="21"/>
              </w:rPr>
              <w:t>0.160</w:t>
            </w:r>
          </w:p>
        </w:tc>
        <w:tc>
          <w:tcPr>
            <w:tcW w:w="1287" w:type="dxa"/>
            <w:vAlign w:val="center"/>
          </w:tcPr>
          <w:p>
            <w:pPr>
              <w:spacing w:line="400" w:lineRule="exact"/>
              <w:jc w:val="center"/>
              <w:rPr>
                <w:rFonts w:ascii="宋体" w:hAnsi="宋体" w:cs="宋体"/>
                <w:sz w:val="21"/>
                <w:szCs w:val="21"/>
              </w:rPr>
            </w:pPr>
            <w:r>
              <w:rPr>
                <w:rFonts w:hint="eastAsia"/>
                <w:sz w:val="21"/>
                <w:szCs w:val="21"/>
              </w:rPr>
              <w:t>1.79</w:t>
            </w:r>
            <w:r>
              <w:rPr>
                <w:rFonts w:hint="eastAsia" w:ascii="宋体" w:hAnsi="宋体"/>
                <w:sz w:val="21"/>
                <w:szCs w:val="21"/>
              </w:rPr>
              <w:t>×10</w:t>
            </w:r>
            <w:r>
              <w:rPr>
                <w:rFonts w:hint="eastAsia"/>
                <w:sz w:val="21"/>
                <w:szCs w:val="21"/>
                <w:vertAlign w:val="superscript"/>
              </w:rPr>
              <w:t>-4</w:t>
            </w:r>
          </w:p>
        </w:tc>
        <w:tc>
          <w:tcPr>
            <w:tcW w:w="1041" w:type="dxa"/>
            <w:vAlign w:val="center"/>
          </w:tcPr>
          <w:p>
            <w:pPr>
              <w:spacing w:line="400" w:lineRule="exact"/>
              <w:jc w:val="center"/>
              <w:rPr>
                <w:rFonts w:ascii="宋体" w:hAnsi="宋体" w:cs="宋体"/>
                <w:sz w:val="21"/>
                <w:szCs w:val="21"/>
              </w:rPr>
            </w:pPr>
            <w:r>
              <w:rPr>
                <w:rFonts w:hint="eastAsia"/>
                <w:sz w:val="21"/>
                <w:szCs w:val="21"/>
              </w:rPr>
              <w:t>0.299</w:t>
            </w:r>
          </w:p>
        </w:tc>
        <w:tc>
          <w:tcPr>
            <w:tcW w:w="1287" w:type="dxa"/>
            <w:vAlign w:val="center"/>
          </w:tcPr>
          <w:p>
            <w:pPr>
              <w:jc w:val="center"/>
              <w:rPr>
                <w:rFonts w:ascii="宋体" w:hAnsi="宋体" w:cs="宋体"/>
                <w:sz w:val="21"/>
                <w:szCs w:val="21"/>
              </w:rPr>
            </w:pPr>
            <w:r>
              <w:rPr>
                <w:rFonts w:hint="eastAsia"/>
                <w:sz w:val="21"/>
                <w:szCs w:val="21"/>
              </w:rPr>
              <w:t>1.01</w:t>
            </w:r>
            <w:r>
              <w:rPr>
                <w:rFonts w:hint="eastAsia" w:ascii="宋体" w:hAnsi="宋体"/>
                <w:sz w:val="21"/>
                <w:szCs w:val="21"/>
              </w:rPr>
              <w:t>×10</w:t>
            </w:r>
            <w:r>
              <w:rPr>
                <w:rFonts w:hint="eastAsia"/>
                <w:sz w:val="21"/>
                <w:szCs w:val="21"/>
                <w:vertAlign w:val="superscript"/>
              </w:rPr>
              <w:t>-3</w:t>
            </w:r>
          </w:p>
        </w:tc>
        <w:tc>
          <w:tcPr>
            <w:tcW w:w="1041" w:type="dxa"/>
            <w:vAlign w:val="center"/>
          </w:tcPr>
          <w:p>
            <w:pPr>
              <w:jc w:val="center"/>
              <w:rPr>
                <w:rFonts w:ascii="宋体" w:hAnsi="宋体" w:cs="宋体"/>
                <w:sz w:val="21"/>
                <w:szCs w:val="21"/>
              </w:rPr>
            </w:pPr>
            <w:r>
              <w:rPr>
                <w:rFonts w:hint="eastAsia"/>
                <w:sz w:val="21"/>
                <w:szCs w:val="21"/>
              </w:rPr>
              <w:t>1.262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0" w:hRule="atLeast"/>
          <w:jc w:val="center"/>
        </w:trPr>
        <w:tc>
          <w:tcPr>
            <w:tcW w:w="2287" w:type="dxa"/>
            <w:vAlign w:val="center"/>
          </w:tcPr>
          <w:p>
            <w:pPr>
              <w:spacing w:line="400" w:lineRule="exact"/>
              <w:jc w:val="center"/>
              <w:rPr>
                <w:sz w:val="21"/>
                <w:szCs w:val="21"/>
              </w:rPr>
            </w:pPr>
            <w:r>
              <w:rPr>
                <w:rFonts w:hAnsi="宋体"/>
                <w:sz w:val="21"/>
                <w:szCs w:val="21"/>
              </w:rPr>
              <w:t>凤凰镇</w:t>
            </w:r>
          </w:p>
        </w:tc>
        <w:tc>
          <w:tcPr>
            <w:tcW w:w="1288" w:type="dxa"/>
            <w:vAlign w:val="center"/>
          </w:tcPr>
          <w:p>
            <w:pPr>
              <w:spacing w:line="400" w:lineRule="exact"/>
              <w:jc w:val="center"/>
              <w:rPr>
                <w:rFonts w:ascii="宋体" w:hAnsi="宋体" w:cs="宋体"/>
                <w:sz w:val="21"/>
                <w:szCs w:val="21"/>
              </w:rPr>
            </w:pPr>
            <w:r>
              <w:rPr>
                <w:rFonts w:hint="eastAsia"/>
                <w:sz w:val="21"/>
                <w:szCs w:val="21"/>
              </w:rPr>
              <w:t>3.54</w:t>
            </w:r>
            <w:r>
              <w:rPr>
                <w:rFonts w:hint="eastAsia" w:ascii="宋体" w:hAnsi="宋体"/>
                <w:sz w:val="21"/>
                <w:szCs w:val="21"/>
              </w:rPr>
              <w:t>×10</w:t>
            </w:r>
            <w:r>
              <w:rPr>
                <w:rFonts w:hint="eastAsia"/>
                <w:sz w:val="21"/>
                <w:szCs w:val="21"/>
                <w:vertAlign w:val="superscript"/>
              </w:rPr>
              <w:t>-5</w:t>
            </w:r>
          </w:p>
        </w:tc>
        <w:tc>
          <w:tcPr>
            <w:tcW w:w="884" w:type="dxa"/>
            <w:vAlign w:val="center"/>
          </w:tcPr>
          <w:p>
            <w:pPr>
              <w:spacing w:line="400" w:lineRule="exact"/>
              <w:jc w:val="center"/>
              <w:rPr>
                <w:rFonts w:ascii="宋体" w:hAnsi="宋体" w:cs="宋体"/>
                <w:sz w:val="21"/>
                <w:szCs w:val="21"/>
              </w:rPr>
            </w:pPr>
            <w:r>
              <w:rPr>
                <w:rFonts w:hint="eastAsia"/>
                <w:sz w:val="21"/>
                <w:szCs w:val="21"/>
              </w:rPr>
              <w:t>0.035</w:t>
            </w:r>
          </w:p>
        </w:tc>
        <w:tc>
          <w:tcPr>
            <w:tcW w:w="1287" w:type="dxa"/>
            <w:vAlign w:val="center"/>
          </w:tcPr>
          <w:p>
            <w:pPr>
              <w:spacing w:line="400" w:lineRule="exact"/>
              <w:jc w:val="center"/>
              <w:rPr>
                <w:rFonts w:ascii="宋体" w:hAnsi="宋体" w:cs="宋体"/>
                <w:sz w:val="21"/>
                <w:szCs w:val="21"/>
              </w:rPr>
            </w:pPr>
            <w:r>
              <w:rPr>
                <w:rFonts w:hint="eastAsia"/>
                <w:sz w:val="21"/>
                <w:szCs w:val="21"/>
              </w:rPr>
              <w:t>3.33</w:t>
            </w:r>
            <w:r>
              <w:rPr>
                <w:rFonts w:hint="eastAsia" w:ascii="宋体" w:hAnsi="宋体"/>
                <w:sz w:val="21"/>
                <w:szCs w:val="21"/>
              </w:rPr>
              <w:t>×10</w:t>
            </w:r>
            <w:r>
              <w:rPr>
                <w:rFonts w:hint="eastAsia"/>
                <w:sz w:val="21"/>
                <w:szCs w:val="21"/>
                <w:vertAlign w:val="superscript"/>
              </w:rPr>
              <w:t>-5</w:t>
            </w:r>
          </w:p>
        </w:tc>
        <w:tc>
          <w:tcPr>
            <w:tcW w:w="1041" w:type="dxa"/>
            <w:vAlign w:val="center"/>
          </w:tcPr>
          <w:p>
            <w:pPr>
              <w:spacing w:line="400" w:lineRule="exact"/>
              <w:jc w:val="center"/>
              <w:rPr>
                <w:rFonts w:ascii="宋体" w:hAnsi="宋体" w:cs="宋体"/>
                <w:sz w:val="21"/>
                <w:szCs w:val="21"/>
              </w:rPr>
            </w:pPr>
            <w:r>
              <w:rPr>
                <w:rFonts w:hint="eastAsia"/>
                <w:sz w:val="21"/>
                <w:szCs w:val="21"/>
              </w:rPr>
              <w:t>0.056</w:t>
            </w:r>
          </w:p>
        </w:tc>
        <w:tc>
          <w:tcPr>
            <w:tcW w:w="1287" w:type="dxa"/>
            <w:vAlign w:val="center"/>
          </w:tcPr>
          <w:p>
            <w:pPr>
              <w:jc w:val="center"/>
              <w:rPr>
                <w:rFonts w:ascii="宋体" w:hAnsi="宋体" w:cs="宋体"/>
                <w:sz w:val="21"/>
                <w:szCs w:val="21"/>
              </w:rPr>
            </w:pPr>
            <w:r>
              <w:rPr>
                <w:rFonts w:hint="eastAsia"/>
                <w:sz w:val="21"/>
                <w:szCs w:val="21"/>
              </w:rPr>
              <w:t>1.88</w:t>
            </w:r>
            <w:r>
              <w:rPr>
                <w:rFonts w:hint="eastAsia" w:ascii="宋体" w:hAnsi="宋体"/>
                <w:sz w:val="21"/>
                <w:szCs w:val="21"/>
              </w:rPr>
              <w:t>×10</w:t>
            </w:r>
            <w:r>
              <w:rPr>
                <w:rFonts w:hint="eastAsia"/>
                <w:sz w:val="21"/>
                <w:szCs w:val="21"/>
                <w:vertAlign w:val="superscript"/>
              </w:rPr>
              <w:t>-4</w:t>
            </w:r>
          </w:p>
        </w:tc>
        <w:tc>
          <w:tcPr>
            <w:tcW w:w="1041" w:type="dxa"/>
            <w:vAlign w:val="center"/>
          </w:tcPr>
          <w:p>
            <w:pPr>
              <w:jc w:val="center"/>
              <w:rPr>
                <w:rFonts w:ascii="宋体" w:hAnsi="宋体" w:cs="宋体"/>
                <w:sz w:val="21"/>
                <w:szCs w:val="21"/>
              </w:rPr>
            </w:pPr>
            <w:r>
              <w:rPr>
                <w:rFonts w:hint="eastAsia"/>
                <w:sz w:val="21"/>
                <w:szCs w:val="21"/>
              </w:rPr>
              <w:t>0.235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8" w:hRule="atLeast"/>
          <w:jc w:val="center"/>
        </w:trPr>
        <w:tc>
          <w:tcPr>
            <w:tcW w:w="2287" w:type="dxa"/>
            <w:vAlign w:val="center"/>
          </w:tcPr>
          <w:p>
            <w:pPr>
              <w:spacing w:line="400" w:lineRule="exact"/>
              <w:jc w:val="center"/>
              <w:rPr>
                <w:sz w:val="21"/>
                <w:szCs w:val="21"/>
              </w:rPr>
            </w:pPr>
            <w:r>
              <w:rPr>
                <w:rFonts w:hAnsi="宋体"/>
                <w:sz w:val="21"/>
                <w:szCs w:val="21"/>
              </w:rPr>
              <w:t>管家桥村</w:t>
            </w:r>
          </w:p>
        </w:tc>
        <w:tc>
          <w:tcPr>
            <w:tcW w:w="1288" w:type="dxa"/>
            <w:vAlign w:val="center"/>
          </w:tcPr>
          <w:p>
            <w:pPr>
              <w:spacing w:line="400" w:lineRule="exact"/>
              <w:jc w:val="center"/>
              <w:rPr>
                <w:rFonts w:ascii="宋体" w:hAnsi="宋体" w:cs="宋体"/>
                <w:sz w:val="21"/>
                <w:szCs w:val="21"/>
              </w:rPr>
            </w:pPr>
            <w:r>
              <w:rPr>
                <w:rFonts w:hint="eastAsia"/>
                <w:sz w:val="21"/>
                <w:szCs w:val="21"/>
              </w:rPr>
              <w:t>6.26</w:t>
            </w:r>
            <w:r>
              <w:rPr>
                <w:rFonts w:hint="eastAsia" w:ascii="宋体" w:hAnsi="宋体"/>
                <w:sz w:val="21"/>
                <w:szCs w:val="21"/>
              </w:rPr>
              <w:t>×10</w:t>
            </w:r>
            <w:r>
              <w:rPr>
                <w:rFonts w:hint="eastAsia"/>
                <w:sz w:val="21"/>
                <w:szCs w:val="21"/>
                <w:vertAlign w:val="superscript"/>
              </w:rPr>
              <w:t>-4</w:t>
            </w:r>
          </w:p>
        </w:tc>
        <w:tc>
          <w:tcPr>
            <w:tcW w:w="884" w:type="dxa"/>
            <w:vAlign w:val="center"/>
          </w:tcPr>
          <w:p>
            <w:pPr>
              <w:spacing w:line="400" w:lineRule="exact"/>
              <w:jc w:val="center"/>
              <w:rPr>
                <w:rFonts w:ascii="宋体" w:hAnsi="宋体" w:cs="宋体"/>
                <w:sz w:val="21"/>
                <w:szCs w:val="21"/>
              </w:rPr>
            </w:pPr>
            <w:r>
              <w:rPr>
                <w:rFonts w:hint="eastAsia"/>
                <w:sz w:val="21"/>
                <w:szCs w:val="21"/>
              </w:rPr>
              <w:t>0.626</w:t>
            </w:r>
          </w:p>
        </w:tc>
        <w:tc>
          <w:tcPr>
            <w:tcW w:w="1287" w:type="dxa"/>
            <w:vAlign w:val="center"/>
          </w:tcPr>
          <w:p>
            <w:pPr>
              <w:spacing w:line="400" w:lineRule="exact"/>
              <w:jc w:val="center"/>
              <w:rPr>
                <w:rFonts w:ascii="宋体" w:hAnsi="宋体" w:cs="宋体"/>
                <w:sz w:val="21"/>
                <w:szCs w:val="21"/>
              </w:rPr>
            </w:pPr>
            <w:r>
              <w:rPr>
                <w:rFonts w:hint="eastAsia"/>
                <w:sz w:val="21"/>
                <w:szCs w:val="21"/>
              </w:rPr>
              <w:t>9.69</w:t>
            </w:r>
            <w:r>
              <w:rPr>
                <w:rFonts w:hint="eastAsia" w:ascii="宋体" w:hAnsi="宋体"/>
                <w:sz w:val="21"/>
                <w:szCs w:val="21"/>
              </w:rPr>
              <w:t>×10</w:t>
            </w:r>
            <w:r>
              <w:rPr>
                <w:rFonts w:hint="eastAsia"/>
                <w:sz w:val="21"/>
                <w:szCs w:val="21"/>
                <w:vertAlign w:val="superscript"/>
              </w:rPr>
              <w:t>-4</w:t>
            </w:r>
          </w:p>
        </w:tc>
        <w:tc>
          <w:tcPr>
            <w:tcW w:w="1041" w:type="dxa"/>
            <w:vAlign w:val="center"/>
          </w:tcPr>
          <w:p>
            <w:pPr>
              <w:spacing w:line="400" w:lineRule="exact"/>
              <w:jc w:val="center"/>
              <w:rPr>
                <w:rFonts w:ascii="宋体" w:hAnsi="宋体" w:cs="宋体"/>
                <w:sz w:val="21"/>
                <w:szCs w:val="21"/>
              </w:rPr>
            </w:pPr>
            <w:r>
              <w:rPr>
                <w:rFonts w:hint="eastAsia"/>
                <w:sz w:val="21"/>
                <w:szCs w:val="21"/>
              </w:rPr>
              <w:t>1.614</w:t>
            </w:r>
          </w:p>
        </w:tc>
        <w:tc>
          <w:tcPr>
            <w:tcW w:w="1287" w:type="dxa"/>
            <w:vAlign w:val="center"/>
          </w:tcPr>
          <w:p>
            <w:pPr>
              <w:jc w:val="center"/>
              <w:rPr>
                <w:rFonts w:ascii="宋体" w:hAnsi="宋体" w:cs="宋体"/>
                <w:sz w:val="21"/>
                <w:szCs w:val="21"/>
              </w:rPr>
            </w:pPr>
            <w:r>
              <w:rPr>
                <w:rFonts w:hint="eastAsia"/>
                <w:sz w:val="21"/>
                <w:szCs w:val="21"/>
              </w:rPr>
              <w:t>5.46</w:t>
            </w:r>
            <w:r>
              <w:rPr>
                <w:rFonts w:hint="eastAsia" w:ascii="宋体" w:hAnsi="宋体"/>
                <w:sz w:val="21"/>
                <w:szCs w:val="21"/>
              </w:rPr>
              <w:t>×10</w:t>
            </w:r>
            <w:r>
              <w:rPr>
                <w:rFonts w:hint="eastAsia"/>
                <w:sz w:val="21"/>
                <w:szCs w:val="21"/>
                <w:vertAlign w:val="superscript"/>
              </w:rPr>
              <w:t>-3</w:t>
            </w:r>
          </w:p>
        </w:tc>
        <w:tc>
          <w:tcPr>
            <w:tcW w:w="1041" w:type="dxa"/>
            <w:vAlign w:val="center"/>
          </w:tcPr>
          <w:p>
            <w:pPr>
              <w:jc w:val="center"/>
              <w:rPr>
                <w:rFonts w:ascii="宋体" w:hAnsi="宋体" w:cs="宋体"/>
                <w:sz w:val="21"/>
                <w:szCs w:val="21"/>
              </w:rPr>
            </w:pPr>
            <w:r>
              <w:rPr>
                <w:rFonts w:hint="eastAsia"/>
                <w:sz w:val="21"/>
                <w:szCs w:val="21"/>
              </w:rPr>
              <w:t>6.820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2" w:hRule="atLeast"/>
          <w:jc w:val="center"/>
        </w:trPr>
        <w:tc>
          <w:tcPr>
            <w:tcW w:w="2287" w:type="dxa"/>
            <w:vAlign w:val="center"/>
          </w:tcPr>
          <w:p>
            <w:pPr>
              <w:spacing w:line="400" w:lineRule="exact"/>
              <w:jc w:val="center"/>
              <w:rPr>
                <w:sz w:val="21"/>
                <w:szCs w:val="21"/>
              </w:rPr>
            </w:pPr>
            <w:r>
              <w:rPr>
                <w:rFonts w:hAnsi="宋体"/>
                <w:sz w:val="21"/>
                <w:szCs w:val="21"/>
              </w:rPr>
              <w:t>陈家桥镇</w:t>
            </w:r>
          </w:p>
        </w:tc>
        <w:tc>
          <w:tcPr>
            <w:tcW w:w="1288" w:type="dxa"/>
            <w:vAlign w:val="center"/>
          </w:tcPr>
          <w:p>
            <w:pPr>
              <w:spacing w:line="400" w:lineRule="exact"/>
              <w:jc w:val="center"/>
              <w:rPr>
                <w:rFonts w:ascii="宋体" w:hAnsi="宋体" w:cs="宋体"/>
                <w:sz w:val="21"/>
                <w:szCs w:val="21"/>
              </w:rPr>
            </w:pPr>
            <w:r>
              <w:rPr>
                <w:rFonts w:hint="eastAsia"/>
                <w:sz w:val="21"/>
                <w:szCs w:val="21"/>
              </w:rPr>
              <w:t>2.59</w:t>
            </w:r>
            <w:r>
              <w:rPr>
                <w:rFonts w:hint="eastAsia" w:ascii="宋体" w:hAnsi="宋体"/>
                <w:sz w:val="21"/>
                <w:szCs w:val="21"/>
              </w:rPr>
              <w:t>×10</w:t>
            </w:r>
            <w:r>
              <w:rPr>
                <w:rFonts w:hint="eastAsia"/>
                <w:sz w:val="21"/>
                <w:szCs w:val="21"/>
                <w:vertAlign w:val="superscript"/>
              </w:rPr>
              <w:t>-4</w:t>
            </w:r>
          </w:p>
        </w:tc>
        <w:tc>
          <w:tcPr>
            <w:tcW w:w="884" w:type="dxa"/>
            <w:vAlign w:val="center"/>
          </w:tcPr>
          <w:p>
            <w:pPr>
              <w:spacing w:line="400" w:lineRule="exact"/>
              <w:jc w:val="center"/>
              <w:rPr>
                <w:rFonts w:ascii="宋体" w:hAnsi="宋体" w:cs="宋体"/>
                <w:sz w:val="21"/>
                <w:szCs w:val="21"/>
              </w:rPr>
            </w:pPr>
            <w:r>
              <w:rPr>
                <w:rFonts w:hint="eastAsia"/>
                <w:sz w:val="21"/>
                <w:szCs w:val="21"/>
              </w:rPr>
              <w:t>0.259</w:t>
            </w:r>
          </w:p>
        </w:tc>
        <w:tc>
          <w:tcPr>
            <w:tcW w:w="1287" w:type="dxa"/>
            <w:vAlign w:val="center"/>
          </w:tcPr>
          <w:p>
            <w:pPr>
              <w:spacing w:line="400" w:lineRule="exact"/>
              <w:jc w:val="center"/>
              <w:rPr>
                <w:rFonts w:ascii="宋体" w:hAnsi="宋体" w:cs="宋体"/>
                <w:sz w:val="21"/>
                <w:szCs w:val="21"/>
              </w:rPr>
            </w:pPr>
            <w:r>
              <w:rPr>
                <w:rFonts w:hint="eastAsia"/>
                <w:sz w:val="21"/>
                <w:szCs w:val="21"/>
              </w:rPr>
              <w:t>2.72</w:t>
            </w:r>
            <w:r>
              <w:rPr>
                <w:rFonts w:hint="eastAsia" w:ascii="宋体" w:hAnsi="宋体"/>
                <w:sz w:val="21"/>
                <w:szCs w:val="21"/>
              </w:rPr>
              <w:t>×10</w:t>
            </w:r>
            <w:r>
              <w:rPr>
                <w:rFonts w:hint="eastAsia"/>
                <w:sz w:val="21"/>
                <w:szCs w:val="21"/>
                <w:vertAlign w:val="superscript"/>
              </w:rPr>
              <w:t>-4</w:t>
            </w:r>
          </w:p>
        </w:tc>
        <w:tc>
          <w:tcPr>
            <w:tcW w:w="1041" w:type="dxa"/>
            <w:vAlign w:val="center"/>
          </w:tcPr>
          <w:p>
            <w:pPr>
              <w:spacing w:line="400" w:lineRule="exact"/>
              <w:jc w:val="center"/>
              <w:rPr>
                <w:rFonts w:ascii="宋体" w:hAnsi="宋体" w:cs="宋体"/>
                <w:sz w:val="21"/>
                <w:szCs w:val="21"/>
              </w:rPr>
            </w:pPr>
            <w:r>
              <w:rPr>
                <w:rFonts w:hint="eastAsia"/>
                <w:sz w:val="21"/>
                <w:szCs w:val="21"/>
              </w:rPr>
              <w:t>0.453</w:t>
            </w:r>
          </w:p>
        </w:tc>
        <w:tc>
          <w:tcPr>
            <w:tcW w:w="1287" w:type="dxa"/>
            <w:vAlign w:val="center"/>
          </w:tcPr>
          <w:p>
            <w:pPr>
              <w:jc w:val="center"/>
              <w:rPr>
                <w:rFonts w:ascii="宋体" w:hAnsi="宋体" w:cs="宋体"/>
                <w:sz w:val="21"/>
                <w:szCs w:val="21"/>
              </w:rPr>
            </w:pPr>
            <w:r>
              <w:rPr>
                <w:rFonts w:hint="eastAsia"/>
                <w:sz w:val="21"/>
                <w:szCs w:val="21"/>
              </w:rPr>
              <w:t>1.53</w:t>
            </w:r>
            <w:r>
              <w:rPr>
                <w:rFonts w:hint="eastAsia" w:ascii="宋体" w:hAnsi="宋体"/>
                <w:sz w:val="21"/>
                <w:szCs w:val="21"/>
              </w:rPr>
              <w:t>×10</w:t>
            </w:r>
            <w:r>
              <w:rPr>
                <w:rFonts w:hint="eastAsia"/>
                <w:sz w:val="21"/>
                <w:szCs w:val="21"/>
                <w:vertAlign w:val="superscript"/>
              </w:rPr>
              <w:t>-3</w:t>
            </w:r>
          </w:p>
        </w:tc>
        <w:tc>
          <w:tcPr>
            <w:tcW w:w="1041" w:type="dxa"/>
            <w:vAlign w:val="center"/>
          </w:tcPr>
          <w:p>
            <w:pPr>
              <w:jc w:val="center"/>
              <w:rPr>
                <w:rFonts w:ascii="宋体" w:hAnsi="宋体" w:cs="宋体"/>
                <w:sz w:val="21"/>
                <w:szCs w:val="21"/>
              </w:rPr>
            </w:pPr>
            <w:r>
              <w:rPr>
                <w:rFonts w:hint="eastAsia"/>
                <w:sz w:val="21"/>
                <w:szCs w:val="21"/>
              </w:rPr>
              <w:t>1.915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2" w:hRule="atLeast"/>
          <w:jc w:val="center"/>
        </w:trPr>
        <w:tc>
          <w:tcPr>
            <w:tcW w:w="2287" w:type="dxa"/>
            <w:vAlign w:val="center"/>
          </w:tcPr>
          <w:p>
            <w:pPr>
              <w:spacing w:line="400" w:lineRule="exact"/>
              <w:jc w:val="center"/>
              <w:rPr>
                <w:sz w:val="21"/>
                <w:szCs w:val="21"/>
              </w:rPr>
            </w:pPr>
            <w:r>
              <w:rPr>
                <w:rFonts w:hAnsi="宋体"/>
                <w:sz w:val="21"/>
                <w:szCs w:val="21"/>
              </w:rPr>
              <w:t>大学城</w:t>
            </w:r>
          </w:p>
        </w:tc>
        <w:tc>
          <w:tcPr>
            <w:tcW w:w="1288" w:type="dxa"/>
            <w:vAlign w:val="center"/>
          </w:tcPr>
          <w:p>
            <w:pPr>
              <w:spacing w:line="400" w:lineRule="exact"/>
              <w:jc w:val="center"/>
              <w:rPr>
                <w:rFonts w:ascii="宋体" w:hAnsi="宋体" w:cs="宋体"/>
                <w:sz w:val="21"/>
                <w:szCs w:val="21"/>
              </w:rPr>
            </w:pPr>
            <w:r>
              <w:rPr>
                <w:rFonts w:hint="eastAsia"/>
                <w:sz w:val="21"/>
                <w:szCs w:val="21"/>
              </w:rPr>
              <w:t>1.51</w:t>
            </w:r>
            <w:r>
              <w:rPr>
                <w:rFonts w:hint="eastAsia" w:ascii="宋体" w:hAnsi="宋体"/>
                <w:sz w:val="21"/>
                <w:szCs w:val="21"/>
              </w:rPr>
              <w:t>×10</w:t>
            </w:r>
            <w:r>
              <w:rPr>
                <w:rFonts w:hint="eastAsia"/>
                <w:sz w:val="21"/>
                <w:szCs w:val="21"/>
                <w:vertAlign w:val="superscript"/>
              </w:rPr>
              <w:t>-4</w:t>
            </w:r>
          </w:p>
        </w:tc>
        <w:tc>
          <w:tcPr>
            <w:tcW w:w="884" w:type="dxa"/>
            <w:vAlign w:val="center"/>
          </w:tcPr>
          <w:p>
            <w:pPr>
              <w:spacing w:line="400" w:lineRule="exact"/>
              <w:jc w:val="center"/>
              <w:rPr>
                <w:rFonts w:ascii="宋体" w:hAnsi="宋体" w:cs="宋体"/>
                <w:sz w:val="21"/>
                <w:szCs w:val="21"/>
              </w:rPr>
            </w:pPr>
            <w:r>
              <w:rPr>
                <w:rFonts w:hint="eastAsia"/>
                <w:sz w:val="21"/>
                <w:szCs w:val="21"/>
              </w:rPr>
              <w:t>0.151</w:t>
            </w:r>
          </w:p>
        </w:tc>
        <w:tc>
          <w:tcPr>
            <w:tcW w:w="1287" w:type="dxa"/>
            <w:vAlign w:val="center"/>
          </w:tcPr>
          <w:p>
            <w:pPr>
              <w:spacing w:line="400" w:lineRule="exact"/>
              <w:jc w:val="center"/>
              <w:rPr>
                <w:rFonts w:ascii="宋体" w:hAnsi="宋体" w:cs="宋体"/>
                <w:sz w:val="21"/>
                <w:szCs w:val="21"/>
              </w:rPr>
            </w:pPr>
            <w:r>
              <w:rPr>
                <w:rFonts w:hint="eastAsia"/>
                <w:sz w:val="21"/>
                <w:szCs w:val="21"/>
              </w:rPr>
              <w:t>1.33</w:t>
            </w:r>
            <w:r>
              <w:rPr>
                <w:rFonts w:hint="eastAsia" w:ascii="宋体" w:hAnsi="宋体"/>
                <w:sz w:val="21"/>
                <w:szCs w:val="21"/>
              </w:rPr>
              <w:t>×10</w:t>
            </w:r>
            <w:r>
              <w:rPr>
                <w:rFonts w:hint="eastAsia"/>
                <w:sz w:val="21"/>
                <w:szCs w:val="21"/>
                <w:vertAlign w:val="superscript"/>
              </w:rPr>
              <w:t>-4</w:t>
            </w:r>
          </w:p>
        </w:tc>
        <w:tc>
          <w:tcPr>
            <w:tcW w:w="1041" w:type="dxa"/>
            <w:vAlign w:val="center"/>
          </w:tcPr>
          <w:p>
            <w:pPr>
              <w:spacing w:line="400" w:lineRule="exact"/>
              <w:jc w:val="center"/>
              <w:rPr>
                <w:rFonts w:ascii="宋体" w:hAnsi="宋体" w:cs="宋体"/>
                <w:sz w:val="21"/>
                <w:szCs w:val="21"/>
              </w:rPr>
            </w:pPr>
            <w:r>
              <w:rPr>
                <w:rFonts w:hint="eastAsia"/>
                <w:sz w:val="21"/>
                <w:szCs w:val="21"/>
              </w:rPr>
              <w:t>0.221</w:t>
            </w:r>
          </w:p>
        </w:tc>
        <w:tc>
          <w:tcPr>
            <w:tcW w:w="1287" w:type="dxa"/>
            <w:vAlign w:val="center"/>
          </w:tcPr>
          <w:p>
            <w:pPr>
              <w:jc w:val="center"/>
              <w:rPr>
                <w:rFonts w:ascii="宋体" w:hAnsi="宋体" w:cs="宋体"/>
                <w:sz w:val="21"/>
                <w:szCs w:val="21"/>
              </w:rPr>
            </w:pPr>
            <w:r>
              <w:rPr>
                <w:rFonts w:hint="eastAsia"/>
                <w:sz w:val="21"/>
                <w:szCs w:val="21"/>
              </w:rPr>
              <w:t>7.48</w:t>
            </w:r>
            <w:r>
              <w:rPr>
                <w:rFonts w:hint="eastAsia" w:ascii="宋体" w:hAnsi="宋体"/>
                <w:sz w:val="21"/>
                <w:szCs w:val="21"/>
              </w:rPr>
              <w:t>×10</w:t>
            </w:r>
            <w:r>
              <w:rPr>
                <w:rFonts w:hint="eastAsia"/>
                <w:sz w:val="21"/>
                <w:szCs w:val="21"/>
                <w:vertAlign w:val="superscript"/>
              </w:rPr>
              <w:t>-4</w:t>
            </w:r>
          </w:p>
        </w:tc>
        <w:tc>
          <w:tcPr>
            <w:tcW w:w="1041" w:type="dxa"/>
            <w:vAlign w:val="center"/>
          </w:tcPr>
          <w:p>
            <w:pPr>
              <w:jc w:val="center"/>
              <w:rPr>
                <w:rFonts w:ascii="宋体" w:hAnsi="宋体" w:cs="宋体"/>
                <w:sz w:val="21"/>
                <w:szCs w:val="21"/>
              </w:rPr>
            </w:pPr>
            <w:r>
              <w:rPr>
                <w:rFonts w:hint="eastAsia"/>
                <w:sz w:val="21"/>
                <w:szCs w:val="21"/>
              </w:rPr>
              <w:t>0.935</w:t>
            </w:r>
          </w:p>
        </w:tc>
      </w:tr>
    </w:tbl>
    <w:p>
      <w:pPr>
        <w:pStyle w:val="26"/>
        <w:spacing w:line="480" w:lineRule="exact"/>
        <w:ind w:firstLine="480"/>
        <w:rPr>
          <w:rFonts w:hint="eastAsia"/>
        </w:rPr>
      </w:pPr>
    </w:p>
    <w:p>
      <w:pPr>
        <w:pStyle w:val="26"/>
        <w:spacing w:line="480" w:lineRule="exact"/>
        <w:ind w:firstLine="480"/>
        <w:rPr>
          <w:rFonts w:hint="eastAsia"/>
        </w:rPr>
      </w:pPr>
      <w:r>
        <w:t>从表</w:t>
      </w:r>
      <w:r>
        <w:rPr>
          <w:rFonts w:hint="eastAsia"/>
        </w:rPr>
        <w:t>8</w:t>
      </w:r>
      <w:r>
        <w:t>-1</w:t>
      </w:r>
      <w:r>
        <w:rPr>
          <w:rFonts w:hint="eastAsia"/>
        </w:rPr>
        <w:t>5</w:t>
      </w:r>
      <w:r>
        <w:t>可以看出，技改项目对各关心点处PM</w:t>
      </w:r>
      <w:r>
        <w:rPr>
          <w:vertAlign w:val="subscript"/>
        </w:rPr>
        <w:t>10</w:t>
      </w:r>
      <w:r>
        <w:t>、SO</w:t>
      </w:r>
      <w:r>
        <w:rPr>
          <w:vertAlign w:val="subscript"/>
        </w:rPr>
        <w:t>2</w:t>
      </w:r>
      <w:r>
        <w:rPr>
          <w:rFonts w:hint="eastAsia"/>
        </w:rPr>
        <w:t>和N</w:t>
      </w:r>
      <w:r>
        <w:t>O</w:t>
      </w:r>
      <w:r>
        <w:rPr>
          <w:vertAlign w:val="subscript"/>
        </w:rPr>
        <w:t>2</w:t>
      </w:r>
      <w:r>
        <w:t>年均浓度均符合《环境空气质量标准》(GB3095-1996)中的二级标准限值。</w:t>
      </w:r>
    </w:p>
    <w:p>
      <w:pPr>
        <w:spacing w:line="480" w:lineRule="exact"/>
        <w:ind w:firstLine="316" w:firstLineChars="150"/>
        <w:jc w:val="center"/>
        <w:rPr>
          <w:b/>
        </w:rPr>
        <w:sectPr>
          <w:pgSz w:w="11906" w:h="16838"/>
          <w:pgMar w:top="1440" w:right="1418" w:bottom="1440" w:left="1418" w:header="851" w:footer="992" w:gutter="0"/>
          <w:paperSrc w:first="20070" w:other="20070"/>
          <w:cols w:space="425" w:num="1"/>
          <w:docGrid w:linePitch="312" w:charSpace="0"/>
        </w:sectPr>
      </w:pPr>
    </w:p>
    <w:p>
      <w:pPr>
        <w:pStyle w:val="27"/>
        <w:rPr>
          <w:rFonts w:hint="eastAsia" w:ascii="宋体" w:hAnsi="宋体" w:eastAsia="宋体"/>
          <w:b/>
          <w:sz w:val="24"/>
          <w:szCs w:val="24"/>
          <w:vertAlign w:val="superscript"/>
        </w:rPr>
      </w:pPr>
      <w:r>
        <w:rPr>
          <w:rFonts w:ascii="宋体" w:hAnsi="宋体" w:eastAsia="宋体"/>
          <w:b/>
          <w:sz w:val="24"/>
          <w:szCs w:val="24"/>
        </w:rPr>
        <w:t>表</w:t>
      </w:r>
      <w:r>
        <w:rPr>
          <w:rFonts w:hint="eastAsia" w:ascii="宋体" w:hAnsi="宋体" w:eastAsia="宋体"/>
          <w:b/>
          <w:sz w:val="24"/>
          <w:szCs w:val="24"/>
        </w:rPr>
        <w:t>8</w:t>
      </w:r>
      <w:r>
        <w:rPr>
          <w:rFonts w:ascii="宋体" w:hAnsi="宋体" w:eastAsia="宋体"/>
          <w:b/>
          <w:sz w:val="24"/>
          <w:szCs w:val="24"/>
        </w:rPr>
        <w:t>-1</w:t>
      </w:r>
      <w:r>
        <w:rPr>
          <w:rFonts w:hint="eastAsia" w:ascii="宋体" w:hAnsi="宋体" w:eastAsia="宋体"/>
          <w:b/>
          <w:sz w:val="24"/>
          <w:szCs w:val="24"/>
        </w:rPr>
        <w:t>4</w:t>
      </w:r>
      <w:r>
        <w:rPr>
          <w:rFonts w:ascii="宋体" w:hAnsi="宋体" w:eastAsia="宋体"/>
          <w:b/>
          <w:sz w:val="24"/>
          <w:szCs w:val="24"/>
        </w:rPr>
        <w:t xml:space="preserve">  关心点处</w:t>
      </w:r>
      <w:r>
        <w:rPr>
          <w:rFonts w:hint="eastAsia" w:ascii="宋体" w:hAnsi="宋体" w:eastAsia="宋体"/>
          <w:b/>
          <w:sz w:val="24"/>
        </w:rPr>
        <w:t>日均</w:t>
      </w:r>
      <w:r>
        <w:rPr>
          <w:rFonts w:ascii="宋体" w:hAnsi="宋体" w:eastAsia="宋体"/>
          <w:b/>
          <w:sz w:val="24"/>
        </w:rPr>
        <w:t>浓度叠加结果</w:t>
      </w:r>
      <w:r>
        <w:rPr>
          <w:rFonts w:ascii="宋体" w:hAnsi="宋体" w:eastAsia="宋体"/>
          <w:b/>
          <w:sz w:val="24"/>
          <w:szCs w:val="24"/>
        </w:rPr>
        <w:t xml:space="preserve">     单位：</w:t>
      </w:r>
      <w:r>
        <w:rPr>
          <w:rFonts w:hint="eastAsia" w:ascii="宋体" w:hAnsi="宋体" w:eastAsia="宋体"/>
          <w:b/>
          <w:sz w:val="24"/>
          <w:szCs w:val="24"/>
        </w:rPr>
        <w:t>m</w:t>
      </w:r>
      <w:r>
        <w:rPr>
          <w:rFonts w:ascii="宋体" w:hAnsi="宋体" w:eastAsia="宋体"/>
          <w:b/>
          <w:sz w:val="24"/>
          <w:szCs w:val="24"/>
        </w:rPr>
        <w:t>g/m</w:t>
      </w:r>
      <w:r>
        <w:rPr>
          <w:rFonts w:ascii="宋体" w:hAnsi="宋体" w:eastAsia="宋体"/>
          <w:b/>
          <w:sz w:val="24"/>
          <w:szCs w:val="24"/>
          <w:vertAlign w:val="superscript"/>
        </w:rPr>
        <w:t>3</w:t>
      </w:r>
    </w:p>
    <w:p>
      <w:pPr>
        <w:rPr>
          <w:rFonts w:hint="eastAsia" w:ascii="宋体" w:hAnsi="宋体"/>
          <w:b/>
        </w:rPr>
      </w:pPr>
    </w:p>
    <w:tbl>
      <w:tblPr>
        <w:tblStyle w:val="21"/>
        <w:tblW w:w="12675" w:type="dxa"/>
        <w:jc w:val="center"/>
        <w:tblInd w:w="-10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116"/>
        <w:gridCol w:w="801"/>
        <w:gridCol w:w="801"/>
        <w:gridCol w:w="801"/>
        <w:gridCol w:w="936"/>
        <w:gridCol w:w="1116"/>
        <w:gridCol w:w="801"/>
        <w:gridCol w:w="1296"/>
        <w:gridCol w:w="936"/>
        <w:gridCol w:w="801"/>
        <w:gridCol w:w="936"/>
        <w:gridCol w:w="936"/>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1713" w:type="dxa"/>
            <w:gridSpan w:val="2"/>
            <w:shd w:val="clear" w:color="auto" w:fill="auto"/>
            <w:vAlign w:val="center"/>
          </w:tcPr>
          <w:p>
            <w:pPr>
              <w:widowControl/>
              <w:adjustRightInd w:val="0"/>
              <w:snapToGrid w:val="0"/>
              <w:spacing w:line="480" w:lineRule="exact"/>
              <w:jc w:val="center"/>
              <w:rPr>
                <w:kern w:val="0"/>
                <w:sz w:val="18"/>
                <w:szCs w:val="18"/>
              </w:rPr>
            </w:pPr>
            <w:r>
              <w:rPr>
                <w:kern w:val="0"/>
                <w:sz w:val="18"/>
                <w:szCs w:val="18"/>
              </w:rPr>
              <w:t>点位</w:t>
            </w:r>
          </w:p>
        </w:tc>
        <w:tc>
          <w:tcPr>
            <w:tcW w:w="801" w:type="dxa"/>
            <w:shd w:val="clear" w:color="auto" w:fill="auto"/>
            <w:vAlign w:val="center"/>
          </w:tcPr>
          <w:p>
            <w:pPr>
              <w:spacing w:line="480" w:lineRule="exact"/>
              <w:jc w:val="center"/>
              <w:rPr>
                <w:sz w:val="18"/>
                <w:szCs w:val="18"/>
              </w:rPr>
            </w:pPr>
            <w:r>
              <w:rPr>
                <w:sz w:val="18"/>
                <w:szCs w:val="18"/>
              </w:rPr>
              <w:t>大路镇</w:t>
            </w:r>
          </w:p>
        </w:tc>
        <w:tc>
          <w:tcPr>
            <w:tcW w:w="801" w:type="dxa"/>
            <w:shd w:val="clear" w:color="auto" w:fill="auto"/>
            <w:vAlign w:val="center"/>
          </w:tcPr>
          <w:p>
            <w:pPr>
              <w:spacing w:line="480" w:lineRule="exact"/>
              <w:jc w:val="center"/>
              <w:rPr>
                <w:sz w:val="18"/>
                <w:szCs w:val="18"/>
              </w:rPr>
            </w:pPr>
            <w:r>
              <w:rPr>
                <w:sz w:val="18"/>
                <w:szCs w:val="18"/>
              </w:rPr>
              <w:t>六塘镇</w:t>
            </w:r>
          </w:p>
        </w:tc>
        <w:tc>
          <w:tcPr>
            <w:tcW w:w="801" w:type="dxa"/>
            <w:shd w:val="clear" w:color="auto" w:fill="auto"/>
            <w:vAlign w:val="center"/>
          </w:tcPr>
          <w:p>
            <w:pPr>
              <w:spacing w:line="480" w:lineRule="exact"/>
              <w:jc w:val="center"/>
              <w:rPr>
                <w:sz w:val="18"/>
                <w:szCs w:val="18"/>
              </w:rPr>
            </w:pPr>
            <w:r>
              <w:rPr>
                <w:sz w:val="18"/>
                <w:szCs w:val="18"/>
              </w:rPr>
              <w:t>接龙镇</w:t>
            </w:r>
          </w:p>
        </w:tc>
        <w:tc>
          <w:tcPr>
            <w:tcW w:w="936" w:type="dxa"/>
            <w:shd w:val="clear" w:color="auto" w:fill="auto"/>
            <w:vAlign w:val="center"/>
          </w:tcPr>
          <w:p>
            <w:pPr>
              <w:spacing w:line="480" w:lineRule="exact"/>
              <w:jc w:val="center"/>
              <w:rPr>
                <w:sz w:val="18"/>
                <w:szCs w:val="18"/>
              </w:rPr>
            </w:pPr>
            <w:r>
              <w:rPr>
                <w:sz w:val="18"/>
                <w:szCs w:val="18"/>
              </w:rPr>
              <w:t>福里树村</w:t>
            </w:r>
          </w:p>
        </w:tc>
        <w:tc>
          <w:tcPr>
            <w:tcW w:w="1116" w:type="dxa"/>
            <w:shd w:val="clear" w:color="auto" w:fill="auto"/>
            <w:vAlign w:val="center"/>
          </w:tcPr>
          <w:p>
            <w:pPr>
              <w:spacing w:line="480" w:lineRule="exact"/>
              <w:jc w:val="center"/>
              <w:rPr>
                <w:sz w:val="18"/>
                <w:szCs w:val="18"/>
              </w:rPr>
            </w:pPr>
            <w:r>
              <w:rPr>
                <w:sz w:val="18"/>
                <w:szCs w:val="18"/>
              </w:rPr>
              <w:t>殷家老院子</w:t>
            </w:r>
          </w:p>
        </w:tc>
        <w:tc>
          <w:tcPr>
            <w:tcW w:w="801" w:type="dxa"/>
            <w:shd w:val="clear" w:color="auto" w:fill="auto"/>
            <w:vAlign w:val="center"/>
          </w:tcPr>
          <w:p>
            <w:pPr>
              <w:spacing w:line="480" w:lineRule="exact"/>
              <w:jc w:val="center"/>
              <w:rPr>
                <w:sz w:val="18"/>
                <w:szCs w:val="18"/>
              </w:rPr>
            </w:pPr>
            <w:r>
              <w:rPr>
                <w:sz w:val="18"/>
                <w:szCs w:val="18"/>
              </w:rPr>
              <w:t>璧山县</w:t>
            </w:r>
          </w:p>
        </w:tc>
        <w:tc>
          <w:tcPr>
            <w:tcW w:w="1296" w:type="dxa"/>
            <w:vAlign w:val="center"/>
          </w:tcPr>
          <w:p>
            <w:pPr>
              <w:spacing w:line="480" w:lineRule="exact"/>
              <w:jc w:val="center"/>
              <w:rPr>
                <w:sz w:val="18"/>
                <w:szCs w:val="18"/>
              </w:rPr>
            </w:pPr>
            <w:r>
              <w:rPr>
                <w:sz w:val="18"/>
                <w:szCs w:val="18"/>
              </w:rPr>
              <w:t>青鹏煤业公司</w:t>
            </w:r>
          </w:p>
        </w:tc>
        <w:tc>
          <w:tcPr>
            <w:tcW w:w="936" w:type="dxa"/>
            <w:vAlign w:val="center"/>
          </w:tcPr>
          <w:p>
            <w:pPr>
              <w:spacing w:line="480" w:lineRule="exact"/>
              <w:jc w:val="center"/>
              <w:rPr>
                <w:sz w:val="18"/>
                <w:szCs w:val="18"/>
              </w:rPr>
            </w:pPr>
            <w:r>
              <w:rPr>
                <w:sz w:val="18"/>
                <w:szCs w:val="18"/>
              </w:rPr>
              <w:t>青木关镇</w:t>
            </w:r>
          </w:p>
        </w:tc>
        <w:tc>
          <w:tcPr>
            <w:tcW w:w="801" w:type="dxa"/>
            <w:vAlign w:val="center"/>
          </w:tcPr>
          <w:p>
            <w:pPr>
              <w:spacing w:line="480" w:lineRule="exact"/>
              <w:jc w:val="center"/>
              <w:rPr>
                <w:sz w:val="18"/>
                <w:szCs w:val="18"/>
              </w:rPr>
            </w:pPr>
            <w:r>
              <w:rPr>
                <w:sz w:val="18"/>
                <w:szCs w:val="18"/>
              </w:rPr>
              <w:t>凤凰镇</w:t>
            </w:r>
          </w:p>
        </w:tc>
        <w:tc>
          <w:tcPr>
            <w:tcW w:w="936" w:type="dxa"/>
            <w:vAlign w:val="center"/>
          </w:tcPr>
          <w:p>
            <w:pPr>
              <w:spacing w:line="480" w:lineRule="exact"/>
              <w:jc w:val="center"/>
              <w:rPr>
                <w:sz w:val="18"/>
                <w:szCs w:val="18"/>
              </w:rPr>
            </w:pPr>
            <w:r>
              <w:rPr>
                <w:sz w:val="18"/>
                <w:szCs w:val="18"/>
              </w:rPr>
              <w:t>管家桥村</w:t>
            </w:r>
          </w:p>
        </w:tc>
        <w:tc>
          <w:tcPr>
            <w:tcW w:w="936" w:type="dxa"/>
            <w:vAlign w:val="center"/>
          </w:tcPr>
          <w:p>
            <w:pPr>
              <w:spacing w:line="480" w:lineRule="exact"/>
              <w:jc w:val="center"/>
              <w:rPr>
                <w:sz w:val="18"/>
                <w:szCs w:val="18"/>
              </w:rPr>
            </w:pPr>
            <w:r>
              <w:rPr>
                <w:sz w:val="18"/>
                <w:szCs w:val="18"/>
              </w:rPr>
              <w:t>陈家桥镇</w:t>
            </w:r>
          </w:p>
        </w:tc>
        <w:tc>
          <w:tcPr>
            <w:tcW w:w="801" w:type="dxa"/>
            <w:vAlign w:val="center"/>
          </w:tcPr>
          <w:p>
            <w:pPr>
              <w:spacing w:line="480" w:lineRule="exact"/>
              <w:jc w:val="center"/>
              <w:rPr>
                <w:sz w:val="18"/>
                <w:szCs w:val="18"/>
              </w:rPr>
            </w:pPr>
            <w:r>
              <w:rPr>
                <w:sz w:val="18"/>
                <w:szCs w:val="18"/>
              </w:rPr>
              <w:t>大学城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597" w:type="dxa"/>
            <w:vMerge w:val="restart"/>
            <w:shd w:val="clear" w:color="auto" w:fill="auto"/>
            <w:vAlign w:val="center"/>
          </w:tcPr>
          <w:p>
            <w:pPr>
              <w:widowControl/>
              <w:adjustRightInd w:val="0"/>
              <w:snapToGrid w:val="0"/>
              <w:spacing w:line="480" w:lineRule="exact"/>
              <w:jc w:val="center"/>
              <w:rPr>
                <w:kern w:val="0"/>
                <w:sz w:val="18"/>
                <w:szCs w:val="18"/>
              </w:rPr>
            </w:pPr>
            <w:r>
              <w:rPr>
                <w:sz w:val="18"/>
                <w:szCs w:val="18"/>
              </w:rPr>
              <w:t>PM</w:t>
            </w:r>
            <w:r>
              <w:rPr>
                <w:sz w:val="18"/>
                <w:szCs w:val="18"/>
                <w:vertAlign w:val="subscript"/>
              </w:rPr>
              <w:t>10</w:t>
            </w:r>
          </w:p>
        </w:tc>
        <w:tc>
          <w:tcPr>
            <w:tcW w:w="1116" w:type="dxa"/>
            <w:shd w:val="clear" w:color="auto" w:fill="auto"/>
            <w:vAlign w:val="center"/>
          </w:tcPr>
          <w:p>
            <w:pPr>
              <w:widowControl/>
              <w:adjustRightInd w:val="0"/>
              <w:snapToGrid w:val="0"/>
              <w:spacing w:line="480" w:lineRule="exact"/>
              <w:jc w:val="center"/>
              <w:rPr>
                <w:kern w:val="0"/>
                <w:sz w:val="18"/>
                <w:szCs w:val="18"/>
              </w:rPr>
            </w:pPr>
            <w:r>
              <w:rPr>
                <w:kern w:val="0"/>
                <w:sz w:val="18"/>
                <w:szCs w:val="18"/>
              </w:rPr>
              <w:t>预测最大值</w:t>
            </w:r>
          </w:p>
        </w:tc>
        <w:tc>
          <w:tcPr>
            <w:tcW w:w="801" w:type="dxa"/>
            <w:shd w:val="clear" w:color="auto" w:fill="auto"/>
            <w:vAlign w:val="center"/>
          </w:tcPr>
          <w:p>
            <w:pPr>
              <w:jc w:val="center"/>
              <w:rPr>
                <w:rFonts w:ascii="宋体" w:hAnsi="宋体" w:cs="宋体"/>
                <w:sz w:val="18"/>
                <w:szCs w:val="18"/>
              </w:rPr>
            </w:pPr>
            <w:r>
              <w:rPr>
                <w:rFonts w:hint="eastAsia"/>
                <w:sz w:val="18"/>
                <w:szCs w:val="18"/>
              </w:rPr>
              <w:t>0.00039</w:t>
            </w:r>
          </w:p>
        </w:tc>
        <w:tc>
          <w:tcPr>
            <w:tcW w:w="801" w:type="dxa"/>
            <w:shd w:val="clear" w:color="auto" w:fill="auto"/>
            <w:vAlign w:val="center"/>
          </w:tcPr>
          <w:p>
            <w:pPr>
              <w:jc w:val="center"/>
              <w:rPr>
                <w:rFonts w:ascii="宋体" w:hAnsi="宋体" w:cs="宋体"/>
                <w:sz w:val="18"/>
                <w:szCs w:val="18"/>
              </w:rPr>
            </w:pPr>
            <w:r>
              <w:rPr>
                <w:rFonts w:hint="eastAsia"/>
                <w:sz w:val="18"/>
                <w:szCs w:val="18"/>
              </w:rPr>
              <w:t>0.00072</w:t>
            </w:r>
          </w:p>
        </w:tc>
        <w:tc>
          <w:tcPr>
            <w:tcW w:w="801" w:type="dxa"/>
            <w:shd w:val="clear" w:color="auto" w:fill="F3F3F3"/>
            <w:vAlign w:val="center"/>
          </w:tcPr>
          <w:p>
            <w:pPr>
              <w:jc w:val="center"/>
              <w:rPr>
                <w:rFonts w:ascii="宋体" w:hAnsi="宋体" w:cs="宋体"/>
                <w:sz w:val="18"/>
                <w:szCs w:val="18"/>
              </w:rPr>
            </w:pPr>
            <w:r>
              <w:rPr>
                <w:rFonts w:hint="eastAsia"/>
                <w:sz w:val="18"/>
                <w:szCs w:val="18"/>
              </w:rPr>
              <w:t>0.00073</w:t>
            </w:r>
          </w:p>
        </w:tc>
        <w:tc>
          <w:tcPr>
            <w:tcW w:w="936" w:type="dxa"/>
            <w:shd w:val="clear" w:color="auto" w:fill="auto"/>
            <w:vAlign w:val="center"/>
          </w:tcPr>
          <w:p>
            <w:pPr>
              <w:jc w:val="center"/>
              <w:rPr>
                <w:rFonts w:ascii="宋体" w:hAnsi="宋体" w:cs="宋体"/>
                <w:sz w:val="18"/>
                <w:szCs w:val="18"/>
              </w:rPr>
            </w:pPr>
            <w:r>
              <w:rPr>
                <w:rFonts w:hint="eastAsia"/>
                <w:sz w:val="18"/>
                <w:szCs w:val="18"/>
              </w:rPr>
              <w:t>0.00282</w:t>
            </w:r>
          </w:p>
        </w:tc>
        <w:tc>
          <w:tcPr>
            <w:tcW w:w="1116" w:type="dxa"/>
            <w:shd w:val="clear" w:color="auto" w:fill="auto"/>
            <w:vAlign w:val="center"/>
          </w:tcPr>
          <w:p>
            <w:pPr>
              <w:jc w:val="center"/>
              <w:rPr>
                <w:rFonts w:ascii="宋体" w:hAnsi="宋体" w:cs="宋体"/>
                <w:sz w:val="18"/>
                <w:szCs w:val="18"/>
              </w:rPr>
            </w:pPr>
            <w:r>
              <w:rPr>
                <w:rFonts w:hint="eastAsia"/>
                <w:sz w:val="18"/>
                <w:szCs w:val="18"/>
              </w:rPr>
              <w:t>0.00167</w:t>
            </w:r>
          </w:p>
        </w:tc>
        <w:tc>
          <w:tcPr>
            <w:tcW w:w="801" w:type="dxa"/>
            <w:vAlign w:val="center"/>
          </w:tcPr>
          <w:p>
            <w:pPr>
              <w:jc w:val="center"/>
              <w:rPr>
                <w:rFonts w:ascii="宋体" w:hAnsi="宋体" w:cs="宋体"/>
                <w:sz w:val="18"/>
                <w:szCs w:val="18"/>
              </w:rPr>
            </w:pPr>
            <w:r>
              <w:rPr>
                <w:rFonts w:hint="eastAsia"/>
                <w:sz w:val="18"/>
                <w:szCs w:val="18"/>
              </w:rPr>
              <w:t>0.00029</w:t>
            </w:r>
          </w:p>
        </w:tc>
        <w:tc>
          <w:tcPr>
            <w:tcW w:w="1296" w:type="dxa"/>
            <w:vAlign w:val="center"/>
          </w:tcPr>
          <w:p>
            <w:pPr>
              <w:jc w:val="center"/>
              <w:rPr>
                <w:rFonts w:ascii="宋体" w:hAnsi="宋体" w:cs="宋体"/>
                <w:sz w:val="18"/>
                <w:szCs w:val="18"/>
              </w:rPr>
            </w:pPr>
            <w:r>
              <w:rPr>
                <w:rFonts w:hint="eastAsia"/>
                <w:sz w:val="18"/>
                <w:szCs w:val="18"/>
              </w:rPr>
              <w:t>0.00334</w:t>
            </w:r>
          </w:p>
        </w:tc>
        <w:tc>
          <w:tcPr>
            <w:tcW w:w="936" w:type="dxa"/>
            <w:vAlign w:val="center"/>
          </w:tcPr>
          <w:p>
            <w:pPr>
              <w:jc w:val="center"/>
              <w:rPr>
                <w:rFonts w:ascii="宋体" w:hAnsi="宋体" w:cs="宋体"/>
                <w:sz w:val="18"/>
                <w:szCs w:val="18"/>
              </w:rPr>
            </w:pPr>
            <w:r>
              <w:rPr>
                <w:rFonts w:hint="eastAsia"/>
                <w:sz w:val="18"/>
                <w:szCs w:val="18"/>
              </w:rPr>
              <w:t>0.00165</w:t>
            </w:r>
          </w:p>
        </w:tc>
        <w:tc>
          <w:tcPr>
            <w:tcW w:w="801" w:type="dxa"/>
            <w:vAlign w:val="center"/>
          </w:tcPr>
          <w:p>
            <w:pPr>
              <w:jc w:val="center"/>
              <w:rPr>
                <w:rFonts w:ascii="宋体" w:hAnsi="宋体" w:cs="宋体"/>
                <w:sz w:val="18"/>
                <w:szCs w:val="18"/>
              </w:rPr>
            </w:pPr>
            <w:r>
              <w:rPr>
                <w:rFonts w:hint="eastAsia"/>
                <w:sz w:val="18"/>
                <w:szCs w:val="18"/>
              </w:rPr>
              <w:t>0.00046</w:t>
            </w:r>
          </w:p>
        </w:tc>
        <w:tc>
          <w:tcPr>
            <w:tcW w:w="936" w:type="dxa"/>
            <w:vAlign w:val="center"/>
          </w:tcPr>
          <w:p>
            <w:pPr>
              <w:jc w:val="center"/>
              <w:rPr>
                <w:rFonts w:ascii="宋体" w:hAnsi="宋体" w:cs="宋体"/>
                <w:sz w:val="18"/>
                <w:szCs w:val="18"/>
              </w:rPr>
            </w:pPr>
            <w:r>
              <w:rPr>
                <w:rFonts w:hint="eastAsia"/>
                <w:sz w:val="18"/>
                <w:szCs w:val="18"/>
              </w:rPr>
              <w:t>0.00195</w:t>
            </w:r>
          </w:p>
        </w:tc>
        <w:tc>
          <w:tcPr>
            <w:tcW w:w="936" w:type="dxa"/>
            <w:vAlign w:val="center"/>
          </w:tcPr>
          <w:p>
            <w:pPr>
              <w:jc w:val="center"/>
              <w:rPr>
                <w:rFonts w:ascii="宋体" w:hAnsi="宋体" w:cs="宋体"/>
                <w:sz w:val="18"/>
                <w:szCs w:val="18"/>
              </w:rPr>
            </w:pPr>
            <w:r>
              <w:rPr>
                <w:rFonts w:hint="eastAsia"/>
                <w:sz w:val="18"/>
                <w:szCs w:val="18"/>
              </w:rPr>
              <w:t>0.00085</w:t>
            </w:r>
          </w:p>
        </w:tc>
        <w:tc>
          <w:tcPr>
            <w:tcW w:w="801" w:type="dxa"/>
            <w:vAlign w:val="center"/>
          </w:tcPr>
          <w:p>
            <w:pPr>
              <w:jc w:val="center"/>
              <w:rPr>
                <w:rFonts w:ascii="宋体" w:hAnsi="宋体" w:cs="宋体"/>
                <w:sz w:val="18"/>
                <w:szCs w:val="18"/>
              </w:rPr>
            </w:pPr>
            <w:r>
              <w:rPr>
                <w:rFonts w:hint="eastAsia"/>
                <w:sz w:val="18"/>
                <w:szCs w:val="18"/>
              </w:rPr>
              <w:t>0.00084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597" w:type="dxa"/>
            <w:vMerge w:val="continue"/>
            <w:shd w:val="clear" w:color="auto" w:fill="auto"/>
            <w:vAlign w:val="center"/>
          </w:tcPr>
          <w:p>
            <w:pPr>
              <w:widowControl/>
              <w:adjustRightInd w:val="0"/>
              <w:snapToGrid w:val="0"/>
              <w:spacing w:line="480" w:lineRule="exact"/>
              <w:jc w:val="center"/>
              <w:rPr>
                <w:kern w:val="0"/>
                <w:sz w:val="18"/>
                <w:szCs w:val="18"/>
              </w:rPr>
            </w:pPr>
          </w:p>
        </w:tc>
        <w:tc>
          <w:tcPr>
            <w:tcW w:w="1116" w:type="dxa"/>
            <w:shd w:val="clear" w:color="auto" w:fill="auto"/>
            <w:vAlign w:val="center"/>
          </w:tcPr>
          <w:p>
            <w:pPr>
              <w:widowControl/>
              <w:adjustRightInd w:val="0"/>
              <w:snapToGrid w:val="0"/>
              <w:spacing w:line="480" w:lineRule="exact"/>
              <w:jc w:val="center"/>
              <w:rPr>
                <w:kern w:val="0"/>
                <w:sz w:val="18"/>
                <w:szCs w:val="18"/>
              </w:rPr>
            </w:pPr>
            <w:r>
              <w:rPr>
                <w:kern w:val="0"/>
                <w:sz w:val="18"/>
                <w:szCs w:val="18"/>
              </w:rPr>
              <w:t>背景值</w:t>
            </w:r>
          </w:p>
        </w:tc>
        <w:tc>
          <w:tcPr>
            <w:tcW w:w="801" w:type="dxa"/>
            <w:shd w:val="clear" w:color="auto" w:fill="auto"/>
            <w:vAlign w:val="center"/>
          </w:tcPr>
          <w:p>
            <w:pPr>
              <w:jc w:val="center"/>
              <w:rPr>
                <w:rFonts w:hint="eastAsia" w:ascii="宋体" w:hAnsi="宋体" w:cs="宋体"/>
                <w:sz w:val="18"/>
                <w:szCs w:val="18"/>
              </w:rPr>
            </w:pPr>
            <w:r>
              <w:rPr>
                <w:rFonts w:hint="eastAsia" w:ascii="宋体" w:hAnsi="宋体" w:cs="宋体"/>
                <w:sz w:val="18"/>
                <w:szCs w:val="18"/>
              </w:rPr>
              <w:t>/</w:t>
            </w:r>
          </w:p>
        </w:tc>
        <w:tc>
          <w:tcPr>
            <w:tcW w:w="801" w:type="dxa"/>
            <w:shd w:val="clear" w:color="auto" w:fill="auto"/>
            <w:vAlign w:val="center"/>
          </w:tcPr>
          <w:p>
            <w:pPr>
              <w:jc w:val="center"/>
              <w:rPr>
                <w:rFonts w:hint="eastAsia" w:ascii="宋体" w:hAnsi="宋体" w:cs="宋体"/>
                <w:sz w:val="18"/>
                <w:szCs w:val="18"/>
              </w:rPr>
            </w:pPr>
            <w:r>
              <w:rPr>
                <w:rFonts w:hint="eastAsia" w:ascii="宋体" w:hAnsi="宋体" w:cs="宋体"/>
                <w:sz w:val="18"/>
                <w:szCs w:val="18"/>
              </w:rPr>
              <w:t>/</w:t>
            </w:r>
          </w:p>
        </w:tc>
        <w:tc>
          <w:tcPr>
            <w:tcW w:w="801" w:type="dxa"/>
            <w:shd w:val="clear" w:color="auto" w:fill="F3F3F3"/>
            <w:vAlign w:val="center"/>
          </w:tcPr>
          <w:p>
            <w:pPr>
              <w:jc w:val="center"/>
              <w:rPr>
                <w:rFonts w:hint="eastAsia" w:ascii="宋体" w:hAnsi="宋体" w:cs="宋体"/>
                <w:sz w:val="18"/>
                <w:szCs w:val="18"/>
              </w:rPr>
            </w:pPr>
            <w:r>
              <w:rPr>
                <w:rFonts w:hint="eastAsia" w:ascii="宋体" w:hAnsi="宋体" w:cs="宋体"/>
                <w:sz w:val="18"/>
                <w:szCs w:val="18"/>
              </w:rPr>
              <w:t>/</w:t>
            </w:r>
          </w:p>
        </w:tc>
        <w:tc>
          <w:tcPr>
            <w:tcW w:w="936" w:type="dxa"/>
            <w:shd w:val="clear" w:color="auto" w:fill="auto"/>
            <w:vAlign w:val="center"/>
          </w:tcPr>
          <w:p>
            <w:pPr>
              <w:jc w:val="center"/>
              <w:rPr>
                <w:rFonts w:ascii="宋体" w:hAnsi="宋体" w:cs="宋体"/>
                <w:sz w:val="18"/>
                <w:szCs w:val="18"/>
              </w:rPr>
            </w:pPr>
            <w:r>
              <w:rPr>
                <w:rFonts w:hint="eastAsia"/>
                <w:sz w:val="18"/>
                <w:szCs w:val="18"/>
              </w:rPr>
              <w:t>0.117</w:t>
            </w:r>
          </w:p>
        </w:tc>
        <w:tc>
          <w:tcPr>
            <w:tcW w:w="1116" w:type="dxa"/>
            <w:shd w:val="clear" w:color="auto" w:fill="auto"/>
            <w:vAlign w:val="center"/>
          </w:tcPr>
          <w:p>
            <w:pPr>
              <w:jc w:val="center"/>
              <w:rPr>
                <w:rFonts w:ascii="宋体" w:hAnsi="宋体" w:cs="宋体"/>
                <w:sz w:val="18"/>
                <w:szCs w:val="18"/>
              </w:rPr>
            </w:pPr>
            <w:r>
              <w:rPr>
                <w:rFonts w:hint="eastAsia"/>
                <w:sz w:val="18"/>
                <w:szCs w:val="18"/>
              </w:rPr>
              <w:t>0.125</w:t>
            </w:r>
          </w:p>
        </w:tc>
        <w:tc>
          <w:tcPr>
            <w:tcW w:w="801" w:type="dxa"/>
            <w:vAlign w:val="center"/>
          </w:tcPr>
          <w:p>
            <w:pPr>
              <w:jc w:val="center"/>
              <w:rPr>
                <w:rFonts w:hint="eastAsia" w:ascii="宋体" w:hAnsi="宋体" w:cs="宋体"/>
                <w:sz w:val="18"/>
                <w:szCs w:val="18"/>
              </w:rPr>
            </w:pPr>
            <w:r>
              <w:rPr>
                <w:rFonts w:hint="eastAsia" w:ascii="宋体" w:hAnsi="宋体" w:cs="宋体"/>
                <w:sz w:val="18"/>
                <w:szCs w:val="18"/>
              </w:rPr>
              <w:t>/</w:t>
            </w:r>
          </w:p>
        </w:tc>
        <w:tc>
          <w:tcPr>
            <w:tcW w:w="1296" w:type="dxa"/>
            <w:vAlign w:val="center"/>
          </w:tcPr>
          <w:p>
            <w:pPr>
              <w:jc w:val="center"/>
              <w:rPr>
                <w:rFonts w:ascii="宋体" w:hAnsi="宋体" w:cs="宋体"/>
                <w:sz w:val="18"/>
                <w:szCs w:val="18"/>
              </w:rPr>
            </w:pPr>
            <w:r>
              <w:rPr>
                <w:rFonts w:hint="eastAsia"/>
                <w:sz w:val="18"/>
                <w:szCs w:val="18"/>
              </w:rPr>
              <w:t>0.122</w:t>
            </w:r>
          </w:p>
        </w:tc>
        <w:tc>
          <w:tcPr>
            <w:tcW w:w="936" w:type="dxa"/>
            <w:vAlign w:val="center"/>
          </w:tcPr>
          <w:p>
            <w:pPr>
              <w:jc w:val="center"/>
              <w:rPr>
                <w:rFonts w:ascii="宋体" w:hAnsi="宋体" w:cs="宋体"/>
                <w:sz w:val="18"/>
                <w:szCs w:val="18"/>
              </w:rPr>
            </w:pPr>
            <w:r>
              <w:rPr>
                <w:rFonts w:hint="eastAsia"/>
                <w:sz w:val="18"/>
                <w:szCs w:val="18"/>
              </w:rPr>
              <w:t>0.119</w:t>
            </w:r>
          </w:p>
        </w:tc>
        <w:tc>
          <w:tcPr>
            <w:tcW w:w="801" w:type="dxa"/>
            <w:vAlign w:val="center"/>
          </w:tcPr>
          <w:p>
            <w:pPr>
              <w:jc w:val="center"/>
              <w:rPr>
                <w:rFonts w:hint="eastAsia" w:ascii="宋体" w:hAnsi="宋体" w:cs="宋体"/>
                <w:sz w:val="18"/>
                <w:szCs w:val="18"/>
              </w:rPr>
            </w:pPr>
            <w:r>
              <w:rPr>
                <w:rFonts w:hint="eastAsia" w:ascii="宋体" w:hAnsi="宋体" w:cs="宋体"/>
                <w:sz w:val="18"/>
                <w:szCs w:val="18"/>
              </w:rPr>
              <w:t>/</w:t>
            </w:r>
          </w:p>
        </w:tc>
        <w:tc>
          <w:tcPr>
            <w:tcW w:w="936" w:type="dxa"/>
            <w:vAlign w:val="center"/>
          </w:tcPr>
          <w:p>
            <w:pPr>
              <w:jc w:val="center"/>
              <w:rPr>
                <w:rFonts w:ascii="宋体" w:hAnsi="宋体" w:cs="宋体"/>
                <w:sz w:val="18"/>
                <w:szCs w:val="18"/>
              </w:rPr>
            </w:pPr>
            <w:r>
              <w:rPr>
                <w:rFonts w:hint="eastAsia"/>
                <w:sz w:val="18"/>
                <w:szCs w:val="18"/>
              </w:rPr>
              <w:t>0.114</w:t>
            </w:r>
          </w:p>
        </w:tc>
        <w:tc>
          <w:tcPr>
            <w:tcW w:w="936" w:type="dxa"/>
            <w:vAlign w:val="center"/>
          </w:tcPr>
          <w:p>
            <w:pPr>
              <w:jc w:val="center"/>
              <w:rPr>
                <w:rFonts w:hint="eastAsia" w:ascii="宋体" w:hAnsi="宋体" w:cs="宋体"/>
                <w:sz w:val="18"/>
                <w:szCs w:val="18"/>
              </w:rPr>
            </w:pPr>
            <w:r>
              <w:rPr>
                <w:rFonts w:hint="eastAsia" w:ascii="宋体" w:hAnsi="宋体" w:cs="宋体"/>
                <w:sz w:val="18"/>
                <w:szCs w:val="18"/>
              </w:rPr>
              <w:t>/</w:t>
            </w:r>
          </w:p>
        </w:tc>
        <w:tc>
          <w:tcPr>
            <w:tcW w:w="801" w:type="dxa"/>
            <w:vAlign w:val="center"/>
          </w:tcPr>
          <w:p>
            <w:pPr>
              <w:jc w:val="center"/>
              <w:rPr>
                <w:rFonts w:ascii="宋体" w:hAnsi="宋体" w:cs="宋体"/>
                <w:sz w:val="18"/>
                <w:szCs w:val="18"/>
              </w:rPr>
            </w:pPr>
            <w:r>
              <w:rPr>
                <w:rFonts w:hint="eastAsia"/>
                <w:sz w:val="18"/>
                <w:szCs w:val="18"/>
              </w:rPr>
              <w:t>0.119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jc w:val="center"/>
        </w:trPr>
        <w:tc>
          <w:tcPr>
            <w:tcW w:w="597" w:type="dxa"/>
            <w:vMerge w:val="continue"/>
            <w:shd w:val="clear" w:color="auto" w:fill="auto"/>
            <w:vAlign w:val="center"/>
          </w:tcPr>
          <w:p>
            <w:pPr>
              <w:widowControl/>
              <w:adjustRightInd w:val="0"/>
              <w:snapToGrid w:val="0"/>
              <w:spacing w:line="480" w:lineRule="exact"/>
              <w:jc w:val="center"/>
              <w:rPr>
                <w:kern w:val="0"/>
                <w:sz w:val="18"/>
                <w:szCs w:val="18"/>
              </w:rPr>
            </w:pPr>
          </w:p>
        </w:tc>
        <w:tc>
          <w:tcPr>
            <w:tcW w:w="1116" w:type="dxa"/>
            <w:shd w:val="clear" w:color="auto" w:fill="auto"/>
            <w:vAlign w:val="center"/>
          </w:tcPr>
          <w:p>
            <w:pPr>
              <w:widowControl/>
              <w:adjustRightInd w:val="0"/>
              <w:snapToGrid w:val="0"/>
              <w:spacing w:line="480" w:lineRule="exact"/>
              <w:jc w:val="center"/>
              <w:rPr>
                <w:kern w:val="0"/>
                <w:sz w:val="18"/>
                <w:szCs w:val="18"/>
              </w:rPr>
            </w:pPr>
            <w:r>
              <w:rPr>
                <w:kern w:val="0"/>
                <w:sz w:val="18"/>
                <w:szCs w:val="18"/>
              </w:rPr>
              <w:t>叠加值</w:t>
            </w:r>
          </w:p>
        </w:tc>
        <w:tc>
          <w:tcPr>
            <w:tcW w:w="801" w:type="dxa"/>
            <w:shd w:val="clear" w:color="auto" w:fill="auto"/>
            <w:vAlign w:val="center"/>
          </w:tcPr>
          <w:p>
            <w:pPr>
              <w:jc w:val="center"/>
              <w:rPr>
                <w:rFonts w:ascii="宋体" w:hAnsi="宋体" w:cs="宋体"/>
                <w:sz w:val="18"/>
                <w:szCs w:val="18"/>
              </w:rPr>
            </w:pPr>
            <w:r>
              <w:rPr>
                <w:rFonts w:hint="eastAsia"/>
                <w:sz w:val="18"/>
                <w:szCs w:val="18"/>
              </w:rPr>
              <w:t>0.00039</w:t>
            </w:r>
          </w:p>
        </w:tc>
        <w:tc>
          <w:tcPr>
            <w:tcW w:w="801" w:type="dxa"/>
            <w:shd w:val="clear" w:color="auto" w:fill="auto"/>
            <w:vAlign w:val="center"/>
          </w:tcPr>
          <w:p>
            <w:pPr>
              <w:jc w:val="center"/>
              <w:rPr>
                <w:rFonts w:ascii="宋体" w:hAnsi="宋体" w:cs="宋体"/>
                <w:sz w:val="18"/>
                <w:szCs w:val="18"/>
              </w:rPr>
            </w:pPr>
            <w:r>
              <w:rPr>
                <w:rFonts w:hint="eastAsia"/>
                <w:sz w:val="18"/>
                <w:szCs w:val="18"/>
              </w:rPr>
              <w:t>0.00072</w:t>
            </w:r>
          </w:p>
        </w:tc>
        <w:tc>
          <w:tcPr>
            <w:tcW w:w="801" w:type="dxa"/>
            <w:shd w:val="clear" w:color="auto" w:fill="F3F3F3"/>
            <w:vAlign w:val="center"/>
          </w:tcPr>
          <w:p>
            <w:pPr>
              <w:jc w:val="center"/>
              <w:rPr>
                <w:rFonts w:ascii="宋体" w:hAnsi="宋体" w:cs="宋体"/>
                <w:sz w:val="18"/>
                <w:szCs w:val="18"/>
              </w:rPr>
            </w:pPr>
            <w:r>
              <w:rPr>
                <w:rFonts w:hint="eastAsia"/>
                <w:sz w:val="18"/>
                <w:szCs w:val="18"/>
              </w:rPr>
              <w:t>0.00073</w:t>
            </w:r>
          </w:p>
        </w:tc>
        <w:tc>
          <w:tcPr>
            <w:tcW w:w="936" w:type="dxa"/>
            <w:shd w:val="clear" w:color="auto" w:fill="auto"/>
            <w:vAlign w:val="center"/>
          </w:tcPr>
          <w:p>
            <w:pPr>
              <w:jc w:val="center"/>
              <w:rPr>
                <w:rFonts w:ascii="宋体" w:hAnsi="宋体" w:cs="宋体"/>
                <w:sz w:val="18"/>
                <w:szCs w:val="18"/>
              </w:rPr>
            </w:pPr>
            <w:r>
              <w:rPr>
                <w:rFonts w:hint="eastAsia"/>
                <w:sz w:val="18"/>
                <w:szCs w:val="18"/>
              </w:rPr>
              <w:t>0.11982</w:t>
            </w:r>
          </w:p>
        </w:tc>
        <w:tc>
          <w:tcPr>
            <w:tcW w:w="1116" w:type="dxa"/>
            <w:shd w:val="clear" w:color="auto" w:fill="auto"/>
            <w:vAlign w:val="center"/>
          </w:tcPr>
          <w:p>
            <w:pPr>
              <w:jc w:val="center"/>
              <w:rPr>
                <w:rFonts w:ascii="宋体" w:hAnsi="宋体" w:cs="宋体"/>
                <w:sz w:val="18"/>
                <w:szCs w:val="18"/>
              </w:rPr>
            </w:pPr>
            <w:r>
              <w:rPr>
                <w:rFonts w:hint="eastAsia"/>
                <w:sz w:val="18"/>
                <w:szCs w:val="18"/>
              </w:rPr>
              <w:t>0.12667</w:t>
            </w:r>
          </w:p>
        </w:tc>
        <w:tc>
          <w:tcPr>
            <w:tcW w:w="801" w:type="dxa"/>
            <w:vAlign w:val="center"/>
          </w:tcPr>
          <w:p>
            <w:pPr>
              <w:jc w:val="center"/>
              <w:rPr>
                <w:rFonts w:ascii="宋体" w:hAnsi="宋体" w:cs="宋体"/>
                <w:sz w:val="18"/>
                <w:szCs w:val="18"/>
              </w:rPr>
            </w:pPr>
            <w:r>
              <w:rPr>
                <w:rFonts w:hint="eastAsia"/>
                <w:sz w:val="18"/>
                <w:szCs w:val="18"/>
              </w:rPr>
              <w:t>0.00029</w:t>
            </w:r>
          </w:p>
        </w:tc>
        <w:tc>
          <w:tcPr>
            <w:tcW w:w="1296" w:type="dxa"/>
            <w:vAlign w:val="center"/>
          </w:tcPr>
          <w:p>
            <w:pPr>
              <w:jc w:val="center"/>
              <w:rPr>
                <w:rFonts w:ascii="宋体" w:hAnsi="宋体" w:cs="宋体"/>
                <w:sz w:val="18"/>
                <w:szCs w:val="18"/>
              </w:rPr>
            </w:pPr>
            <w:r>
              <w:rPr>
                <w:rFonts w:hint="eastAsia"/>
                <w:sz w:val="18"/>
                <w:szCs w:val="18"/>
              </w:rPr>
              <w:t>0.12534</w:t>
            </w:r>
          </w:p>
        </w:tc>
        <w:tc>
          <w:tcPr>
            <w:tcW w:w="936" w:type="dxa"/>
            <w:vAlign w:val="center"/>
          </w:tcPr>
          <w:p>
            <w:pPr>
              <w:jc w:val="center"/>
              <w:rPr>
                <w:rFonts w:ascii="宋体" w:hAnsi="宋体" w:cs="宋体"/>
                <w:sz w:val="18"/>
                <w:szCs w:val="18"/>
              </w:rPr>
            </w:pPr>
            <w:r>
              <w:rPr>
                <w:rFonts w:hint="eastAsia"/>
                <w:sz w:val="18"/>
                <w:szCs w:val="18"/>
              </w:rPr>
              <w:t>0.12065</w:t>
            </w:r>
          </w:p>
        </w:tc>
        <w:tc>
          <w:tcPr>
            <w:tcW w:w="801" w:type="dxa"/>
            <w:vAlign w:val="center"/>
          </w:tcPr>
          <w:p>
            <w:pPr>
              <w:jc w:val="center"/>
              <w:rPr>
                <w:rFonts w:ascii="宋体" w:hAnsi="宋体" w:cs="宋体"/>
                <w:sz w:val="18"/>
                <w:szCs w:val="18"/>
              </w:rPr>
            </w:pPr>
            <w:r>
              <w:rPr>
                <w:rFonts w:hint="eastAsia"/>
                <w:sz w:val="18"/>
                <w:szCs w:val="18"/>
              </w:rPr>
              <w:t>0.00046</w:t>
            </w:r>
          </w:p>
        </w:tc>
        <w:tc>
          <w:tcPr>
            <w:tcW w:w="936" w:type="dxa"/>
            <w:vAlign w:val="center"/>
          </w:tcPr>
          <w:p>
            <w:pPr>
              <w:jc w:val="center"/>
              <w:rPr>
                <w:rFonts w:ascii="宋体" w:hAnsi="宋体" w:cs="宋体"/>
                <w:sz w:val="18"/>
                <w:szCs w:val="18"/>
              </w:rPr>
            </w:pPr>
            <w:r>
              <w:rPr>
                <w:rFonts w:hint="eastAsia"/>
                <w:sz w:val="18"/>
                <w:szCs w:val="18"/>
              </w:rPr>
              <w:t>0.11595</w:t>
            </w:r>
          </w:p>
        </w:tc>
        <w:tc>
          <w:tcPr>
            <w:tcW w:w="936" w:type="dxa"/>
            <w:vAlign w:val="center"/>
          </w:tcPr>
          <w:p>
            <w:pPr>
              <w:jc w:val="center"/>
              <w:rPr>
                <w:rFonts w:ascii="宋体" w:hAnsi="宋体" w:cs="宋体"/>
                <w:sz w:val="18"/>
                <w:szCs w:val="18"/>
              </w:rPr>
            </w:pPr>
            <w:r>
              <w:rPr>
                <w:rFonts w:hint="eastAsia"/>
                <w:sz w:val="18"/>
                <w:szCs w:val="18"/>
              </w:rPr>
              <w:t>0.00085</w:t>
            </w:r>
          </w:p>
        </w:tc>
        <w:tc>
          <w:tcPr>
            <w:tcW w:w="801" w:type="dxa"/>
            <w:vAlign w:val="center"/>
          </w:tcPr>
          <w:p>
            <w:pPr>
              <w:jc w:val="center"/>
              <w:rPr>
                <w:rFonts w:ascii="宋体" w:hAnsi="宋体" w:cs="宋体"/>
                <w:sz w:val="18"/>
                <w:szCs w:val="18"/>
              </w:rPr>
            </w:pPr>
            <w:r>
              <w:rPr>
                <w:rFonts w:hint="eastAsia"/>
                <w:sz w:val="18"/>
                <w:szCs w:val="18"/>
              </w:rPr>
              <w:t>0.11984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597" w:type="dxa"/>
            <w:vMerge w:val="continue"/>
            <w:shd w:val="clear" w:color="auto" w:fill="auto"/>
            <w:vAlign w:val="center"/>
          </w:tcPr>
          <w:p>
            <w:pPr>
              <w:widowControl/>
              <w:adjustRightInd w:val="0"/>
              <w:snapToGrid w:val="0"/>
              <w:spacing w:line="480" w:lineRule="exact"/>
              <w:jc w:val="center"/>
              <w:rPr>
                <w:kern w:val="0"/>
                <w:sz w:val="18"/>
                <w:szCs w:val="18"/>
              </w:rPr>
            </w:pPr>
          </w:p>
        </w:tc>
        <w:tc>
          <w:tcPr>
            <w:tcW w:w="1116" w:type="dxa"/>
            <w:shd w:val="clear" w:color="auto" w:fill="auto"/>
            <w:vAlign w:val="center"/>
          </w:tcPr>
          <w:p>
            <w:pPr>
              <w:widowControl/>
              <w:adjustRightInd w:val="0"/>
              <w:snapToGrid w:val="0"/>
              <w:spacing w:line="480" w:lineRule="exact"/>
              <w:jc w:val="center"/>
              <w:rPr>
                <w:kern w:val="0"/>
                <w:sz w:val="18"/>
                <w:szCs w:val="18"/>
              </w:rPr>
            </w:pPr>
            <w:r>
              <w:rPr>
                <w:kern w:val="0"/>
                <w:sz w:val="18"/>
                <w:szCs w:val="18"/>
              </w:rPr>
              <w:t>占标率(%)</w:t>
            </w:r>
          </w:p>
        </w:tc>
        <w:tc>
          <w:tcPr>
            <w:tcW w:w="801" w:type="dxa"/>
            <w:shd w:val="clear" w:color="auto" w:fill="auto"/>
            <w:vAlign w:val="center"/>
          </w:tcPr>
          <w:p>
            <w:pPr>
              <w:jc w:val="center"/>
              <w:rPr>
                <w:rFonts w:ascii="宋体" w:hAnsi="宋体" w:cs="宋体"/>
                <w:sz w:val="18"/>
                <w:szCs w:val="18"/>
              </w:rPr>
            </w:pPr>
            <w:r>
              <w:rPr>
                <w:rFonts w:hint="eastAsia"/>
                <w:sz w:val="18"/>
                <w:szCs w:val="18"/>
              </w:rPr>
              <w:t>0.26</w:t>
            </w:r>
          </w:p>
        </w:tc>
        <w:tc>
          <w:tcPr>
            <w:tcW w:w="801" w:type="dxa"/>
            <w:shd w:val="clear" w:color="auto" w:fill="auto"/>
            <w:vAlign w:val="center"/>
          </w:tcPr>
          <w:p>
            <w:pPr>
              <w:jc w:val="center"/>
              <w:rPr>
                <w:rFonts w:ascii="宋体" w:hAnsi="宋体" w:cs="宋体"/>
                <w:sz w:val="18"/>
                <w:szCs w:val="18"/>
              </w:rPr>
            </w:pPr>
            <w:r>
              <w:rPr>
                <w:rFonts w:hint="eastAsia"/>
                <w:sz w:val="18"/>
                <w:szCs w:val="18"/>
              </w:rPr>
              <w:t>0.48</w:t>
            </w:r>
          </w:p>
        </w:tc>
        <w:tc>
          <w:tcPr>
            <w:tcW w:w="801" w:type="dxa"/>
            <w:shd w:val="clear" w:color="auto" w:fill="F3F3F3"/>
            <w:vAlign w:val="center"/>
          </w:tcPr>
          <w:p>
            <w:pPr>
              <w:jc w:val="center"/>
              <w:rPr>
                <w:rFonts w:ascii="宋体" w:hAnsi="宋体" w:cs="宋体"/>
                <w:sz w:val="18"/>
                <w:szCs w:val="18"/>
              </w:rPr>
            </w:pPr>
            <w:r>
              <w:rPr>
                <w:rFonts w:hint="eastAsia"/>
                <w:sz w:val="18"/>
                <w:szCs w:val="18"/>
              </w:rPr>
              <w:t>0.49</w:t>
            </w:r>
          </w:p>
        </w:tc>
        <w:tc>
          <w:tcPr>
            <w:tcW w:w="936" w:type="dxa"/>
            <w:shd w:val="clear" w:color="auto" w:fill="auto"/>
            <w:vAlign w:val="center"/>
          </w:tcPr>
          <w:p>
            <w:pPr>
              <w:jc w:val="center"/>
              <w:rPr>
                <w:rFonts w:ascii="宋体" w:hAnsi="宋体" w:cs="宋体"/>
                <w:sz w:val="18"/>
                <w:szCs w:val="18"/>
              </w:rPr>
            </w:pPr>
            <w:r>
              <w:rPr>
                <w:rFonts w:hint="eastAsia"/>
                <w:sz w:val="18"/>
                <w:szCs w:val="18"/>
              </w:rPr>
              <w:t>79.88</w:t>
            </w:r>
          </w:p>
        </w:tc>
        <w:tc>
          <w:tcPr>
            <w:tcW w:w="1116" w:type="dxa"/>
            <w:shd w:val="clear" w:color="auto" w:fill="auto"/>
            <w:vAlign w:val="center"/>
          </w:tcPr>
          <w:p>
            <w:pPr>
              <w:jc w:val="center"/>
              <w:rPr>
                <w:rFonts w:ascii="宋体" w:hAnsi="宋体" w:cs="宋体"/>
                <w:sz w:val="18"/>
                <w:szCs w:val="18"/>
              </w:rPr>
            </w:pPr>
            <w:r>
              <w:rPr>
                <w:rFonts w:hint="eastAsia"/>
                <w:sz w:val="18"/>
                <w:szCs w:val="18"/>
              </w:rPr>
              <w:t>84.44</w:t>
            </w:r>
          </w:p>
        </w:tc>
        <w:tc>
          <w:tcPr>
            <w:tcW w:w="801" w:type="dxa"/>
            <w:vAlign w:val="center"/>
          </w:tcPr>
          <w:p>
            <w:pPr>
              <w:jc w:val="center"/>
              <w:rPr>
                <w:rFonts w:ascii="宋体" w:hAnsi="宋体" w:cs="宋体"/>
                <w:sz w:val="18"/>
                <w:szCs w:val="18"/>
              </w:rPr>
            </w:pPr>
            <w:r>
              <w:rPr>
                <w:rFonts w:hint="eastAsia"/>
                <w:sz w:val="18"/>
                <w:szCs w:val="18"/>
              </w:rPr>
              <w:t>0.19</w:t>
            </w:r>
          </w:p>
        </w:tc>
        <w:tc>
          <w:tcPr>
            <w:tcW w:w="1296" w:type="dxa"/>
            <w:vAlign w:val="center"/>
          </w:tcPr>
          <w:p>
            <w:pPr>
              <w:jc w:val="center"/>
              <w:rPr>
                <w:rFonts w:ascii="宋体" w:hAnsi="宋体" w:cs="宋体"/>
                <w:sz w:val="18"/>
                <w:szCs w:val="18"/>
              </w:rPr>
            </w:pPr>
            <w:r>
              <w:rPr>
                <w:rFonts w:hint="eastAsia"/>
                <w:sz w:val="18"/>
                <w:szCs w:val="18"/>
              </w:rPr>
              <w:t>83.56</w:t>
            </w:r>
          </w:p>
        </w:tc>
        <w:tc>
          <w:tcPr>
            <w:tcW w:w="936" w:type="dxa"/>
            <w:vAlign w:val="center"/>
          </w:tcPr>
          <w:p>
            <w:pPr>
              <w:jc w:val="center"/>
              <w:rPr>
                <w:rFonts w:ascii="宋体" w:hAnsi="宋体" w:cs="宋体"/>
                <w:sz w:val="18"/>
                <w:szCs w:val="18"/>
              </w:rPr>
            </w:pPr>
            <w:r>
              <w:rPr>
                <w:rFonts w:hint="eastAsia"/>
                <w:sz w:val="18"/>
                <w:szCs w:val="18"/>
              </w:rPr>
              <w:t>80.43</w:t>
            </w:r>
          </w:p>
        </w:tc>
        <w:tc>
          <w:tcPr>
            <w:tcW w:w="801" w:type="dxa"/>
            <w:vAlign w:val="center"/>
          </w:tcPr>
          <w:p>
            <w:pPr>
              <w:jc w:val="center"/>
              <w:rPr>
                <w:rFonts w:ascii="宋体" w:hAnsi="宋体" w:cs="宋体"/>
                <w:sz w:val="18"/>
                <w:szCs w:val="18"/>
              </w:rPr>
            </w:pPr>
            <w:r>
              <w:rPr>
                <w:rFonts w:hint="eastAsia"/>
                <w:sz w:val="18"/>
                <w:szCs w:val="18"/>
              </w:rPr>
              <w:t>0.30</w:t>
            </w:r>
          </w:p>
        </w:tc>
        <w:tc>
          <w:tcPr>
            <w:tcW w:w="936" w:type="dxa"/>
            <w:vAlign w:val="center"/>
          </w:tcPr>
          <w:p>
            <w:pPr>
              <w:jc w:val="center"/>
              <w:rPr>
                <w:rFonts w:ascii="宋体" w:hAnsi="宋体" w:cs="宋体"/>
                <w:sz w:val="18"/>
                <w:szCs w:val="18"/>
              </w:rPr>
            </w:pPr>
            <w:r>
              <w:rPr>
                <w:rFonts w:hint="eastAsia"/>
                <w:sz w:val="18"/>
                <w:szCs w:val="18"/>
              </w:rPr>
              <w:t>77.30</w:t>
            </w:r>
          </w:p>
        </w:tc>
        <w:tc>
          <w:tcPr>
            <w:tcW w:w="936" w:type="dxa"/>
            <w:vAlign w:val="center"/>
          </w:tcPr>
          <w:p>
            <w:pPr>
              <w:jc w:val="center"/>
              <w:rPr>
                <w:rFonts w:ascii="宋体" w:hAnsi="宋体" w:cs="宋体"/>
                <w:sz w:val="18"/>
                <w:szCs w:val="18"/>
              </w:rPr>
            </w:pPr>
            <w:r>
              <w:rPr>
                <w:rFonts w:hint="eastAsia"/>
                <w:sz w:val="18"/>
                <w:szCs w:val="18"/>
              </w:rPr>
              <w:t>0.56</w:t>
            </w:r>
          </w:p>
        </w:tc>
        <w:tc>
          <w:tcPr>
            <w:tcW w:w="801" w:type="dxa"/>
            <w:vAlign w:val="center"/>
          </w:tcPr>
          <w:p>
            <w:pPr>
              <w:jc w:val="center"/>
              <w:rPr>
                <w:rFonts w:ascii="宋体" w:hAnsi="宋体" w:cs="宋体"/>
                <w:sz w:val="18"/>
                <w:szCs w:val="18"/>
              </w:rPr>
            </w:pPr>
            <w:r>
              <w:rPr>
                <w:rFonts w:hint="eastAsia"/>
                <w:sz w:val="18"/>
                <w:szCs w:val="18"/>
              </w:rPr>
              <w:t>79.89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 w:hRule="atLeast"/>
          <w:jc w:val="center"/>
        </w:trPr>
        <w:tc>
          <w:tcPr>
            <w:tcW w:w="597" w:type="dxa"/>
            <w:vMerge w:val="restart"/>
            <w:shd w:val="clear" w:color="auto" w:fill="auto"/>
            <w:vAlign w:val="center"/>
          </w:tcPr>
          <w:p>
            <w:pPr>
              <w:widowControl/>
              <w:adjustRightInd w:val="0"/>
              <w:snapToGrid w:val="0"/>
              <w:spacing w:line="480" w:lineRule="exact"/>
              <w:jc w:val="center"/>
              <w:rPr>
                <w:kern w:val="0"/>
                <w:sz w:val="18"/>
                <w:szCs w:val="18"/>
              </w:rPr>
            </w:pPr>
            <w:r>
              <w:rPr>
                <w:sz w:val="18"/>
                <w:szCs w:val="18"/>
              </w:rPr>
              <w:t>SO</w:t>
            </w:r>
            <w:r>
              <w:rPr>
                <w:sz w:val="18"/>
                <w:szCs w:val="18"/>
                <w:vertAlign w:val="subscript"/>
              </w:rPr>
              <w:t>2</w:t>
            </w:r>
          </w:p>
        </w:tc>
        <w:tc>
          <w:tcPr>
            <w:tcW w:w="1116" w:type="dxa"/>
            <w:shd w:val="clear" w:color="auto" w:fill="auto"/>
            <w:vAlign w:val="center"/>
          </w:tcPr>
          <w:p>
            <w:pPr>
              <w:widowControl/>
              <w:adjustRightInd w:val="0"/>
              <w:snapToGrid w:val="0"/>
              <w:spacing w:line="480" w:lineRule="exact"/>
              <w:jc w:val="center"/>
              <w:rPr>
                <w:kern w:val="0"/>
                <w:sz w:val="18"/>
                <w:szCs w:val="18"/>
              </w:rPr>
            </w:pPr>
            <w:r>
              <w:rPr>
                <w:kern w:val="0"/>
                <w:sz w:val="18"/>
                <w:szCs w:val="18"/>
              </w:rPr>
              <w:t>预测最大值</w:t>
            </w:r>
          </w:p>
        </w:tc>
        <w:tc>
          <w:tcPr>
            <w:tcW w:w="801" w:type="dxa"/>
            <w:shd w:val="clear" w:color="auto" w:fill="auto"/>
            <w:vAlign w:val="center"/>
          </w:tcPr>
          <w:p>
            <w:pPr>
              <w:jc w:val="center"/>
              <w:rPr>
                <w:rFonts w:ascii="宋体" w:hAnsi="宋体" w:cs="宋体"/>
                <w:sz w:val="18"/>
                <w:szCs w:val="18"/>
              </w:rPr>
            </w:pPr>
            <w:r>
              <w:rPr>
                <w:rFonts w:hint="eastAsia"/>
                <w:sz w:val="18"/>
                <w:szCs w:val="18"/>
              </w:rPr>
              <w:t>0.00033</w:t>
            </w:r>
          </w:p>
        </w:tc>
        <w:tc>
          <w:tcPr>
            <w:tcW w:w="801" w:type="dxa"/>
            <w:shd w:val="clear" w:color="auto" w:fill="auto"/>
            <w:vAlign w:val="center"/>
          </w:tcPr>
          <w:p>
            <w:pPr>
              <w:jc w:val="center"/>
              <w:rPr>
                <w:rFonts w:ascii="宋体" w:hAnsi="宋体" w:cs="宋体"/>
                <w:sz w:val="18"/>
                <w:szCs w:val="18"/>
              </w:rPr>
            </w:pPr>
            <w:r>
              <w:rPr>
                <w:rFonts w:hint="eastAsia"/>
                <w:sz w:val="18"/>
                <w:szCs w:val="18"/>
              </w:rPr>
              <w:t>0.00080</w:t>
            </w:r>
          </w:p>
        </w:tc>
        <w:tc>
          <w:tcPr>
            <w:tcW w:w="801" w:type="dxa"/>
            <w:shd w:val="clear" w:color="auto" w:fill="F3F3F3"/>
            <w:vAlign w:val="center"/>
          </w:tcPr>
          <w:p>
            <w:pPr>
              <w:jc w:val="center"/>
              <w:rPr>
                <w:rFonts w:ascii="宋体" w:hAnsi="宋体" w:cs="宋体"/>
                <w:sz w:val="18"/>
                <w:szCs w:val="18"/>
              </w:rPr>
            </w:pPr>
            <w:r>
              <w:rPr>
                <w:rFonts w:hint="eastAsia"/>
                <w:sz w:val="18"/>
                <w:szCs w:val="18"/>
              </w:rPr>
              <w:t>0.00122</w:t>
            </w:r>
          </w:p>
        </w:tc>
        <w:tc>
          <w:tcPr>
            <w:tcW w:w="936" w:type="dxa"/>
            <w:shd w:val="clear" w:color="auto" w:fill="auto"/>
            <w:vAlign w:val="center"/>
          </w:tcPr>
          <w:p>
            <w:pPr>
              <w:jc w:val="center"/>
              <w:rPr>
                <w:rFonts w:ascii="宋体" w:hAnsi="宋体" w:cs="宋体"/>
                <w:sz w:val="18"/>
                <w:szCs w:val="18"/>
              </w:rPr>
            </w:pPr>
            <w:r>
              <w:rPr>
                <w:rFonts w:hint="eastAsia"/>
                <w:sz w:val="18"/>
                <w:szCs w:val="18"/>
              </w:rPr>
              <w:t>0.00249</w:t>
            </w:r>
          </w:p>
        </w:tc>
        <w:tc>
          <w:tcPr>
            <w:tcW w:w="1116" w:type="dxa"/>
            <w:shd w:val="clear" w:color="auto" w:fill="auto"/>
            <w:vAlign w:val="center"/>
          </w:tcPr>
          <w:p>
            <w:pPr>
              <w:jc w:val="center"/>
              <w:rPr>
                <w:rFonts w:ascii="宋体" w:hAnsi="宋体" w:cs="宋体"/>
                <w:sz w:val="18"/>
                <w:szCs w:val="18"/>
              </w:rPr>
            </w:pPr>
            <w:r>
              <w:rPr>
                <w:rFonts w:hint="eastAsia"/>
                <w:sz w:val="18"/>
                <w:szCs w:val="18"/>
              </w:rPr>
              <w:t>0.00176</w:t>
            </w:r>
          </w:p>
        </w:tc>
        <w:tc>
          <w:tcPr>
            <w:tcW w:w="801" w:type="dxa"/>
            <w:vAlign w:val="center"/>
          </w:tcPr>
          <w:p>
            <w:pPr>
              <w:jc w:val="center"/>
              <w:rPr>
                <w:rFonts w:ascii="宋体" w:hAnsi="宋体" w:cs="宋体"/>
                <w:sz w:val="18"/>
                <w:szCs w:val="18"/>
              </w:rPr>
            </w:pPr>
            <w:r>
              <w:rPr>
                <w:rFonts w:hint="eastAsia"/>
                <w:sz w:val="18"/>
                <w:szCs w:val="18"/>
              </w:rPr>
              <w:t>0.00027</w:t>
            </w:r>
          </w:p>
        </w:tc>
        <w:tc>
          <w:tcPr>
            <w:tcW w:w="1296" w:type="dxa"/>
            <w:vAlign w:val="center"/>
          </w:tcPr>
          <w:p>
            <w:pPr>
              <w:jc w:val="center"/>
              <w:rPr>
                <w:rFonts w:ascii="宋体" w:hAnsi="宋体" w:cs="宋体"/>
                <w:sz w:val="18"/>
                <w:szCs w:val="18"/>
              </w:rPr>
            </w:pPr>
            <w:r>
              <w:rPr>
                <w:rFonts w:hint="eastAsia"/>
                <w:sz w:val="18"/>
                <w:szCs w:val="18"/>
              </w:rPr>
              <w:t>0.00459</w:t>
            </w:r>
          </w:p>
        </w:tc>
        <w:tc>
          <w:tcPr>
            <w:tcW w:w="936" w:type="dxa"/>
            <w:vAlign w:val="center"/>
          </w:tcPr>
          <w:p>
            <w:pPr>
              <w:jc w:val="center"/>
              <w:rPr>
                <w:rFonts w:ascii="宋体" w:hAnsi="宋体" w:cs="宋体"/>
                <w:sz w:val="18"/>
                <w:szCs w:val="18"/>
              </w:rPr>
            </w:pPr>
            <w:r>
              <w:rPr>
                <w:rFonts w:hint="eastAsia"/>
                <w:sz w:val="18"/>
                <w:szCs w:val="18"/>
              </w:rPr>
              <w:t>0.00197</w:t>
            </w:r>
          </w:p>
        </w:tc>
        <w:tc>
          <w:tcPr>
            <w:tcW w:w="801" w:type="dxa"/>
            <w:vAlign w:val="center"/>
          </w:tcPr>
          <w:p>
            <w:pPr>
              <w:jc w:val="center"/>
              <w:rPr>
                <w:rFonts w:ascii="宋体" w:hAnsi="宋体" w:cs="宋体"/>
                <w:sz w:val="18"/>
                <w:szCs w:val="18"/>
              </w:rPr>
            </w:pPr>
            <w:r>
              <w:rPr>
                <w:rFonts w:hint="eastAsia"/>
                <w:sz w:val="18"/>
                <w:szCs w:val="18"/>
              </w:rPr>
              <w:t>0.00057</w:t>
            </w:r>
          </w:p>
        </w:tc>
        <w:tc>
          <w:tcPr>
            <w:tcW w:w="936" w:type="dxa"/>
            <w:vAlign w:val="center"/>
          </w:tcPr>
          <w:p>
            <w:pPr>
              <w:jc w:val="center"/>
              <w:rPr>
                <w:rFonts w:ascii="宋体" w:hAnsi="宋体" w:cs="宋体"/>
                <w:sz w:val="18"/>
                <w:szCs w:val="18"/>
              </w:rPr>
            </w:pPr>
            <w:r>
              <w:rPr>
                <w:rFonts w:hint="eastAsia"/>
                <w:sz w:val="18"/>
                <w:szCs w:val="18"/>
              </w:rPr>
              <w:t>0.00338</w:t>
            </w:r>
          </w:p>
        </w:tc>
        <w:tc>
          <w:tcPr>
            <w:tcW w:w="936" w:type="dxa"/>
            <w:vAlign w:val="center"/>
          </w:tcPr>
          <w:p>
            <w:pPr>
              <w:jc w:val="center"/>
              <w:rPr>
                <w:rFonts w:ascii="宋体" w:hAnsi="宋体" w:cs="宋体"/>
                <w:sz w:val="18"/>
                <w:szCs w:val="18"/>
              </w:rPr>
            </w:pPr>
            <w:r>
              <w:rPr>
                <w:rFonts w:hint="eastAsia"/>
                <w:sz w:val="18"/>
                <w:szCs w:val="18"/>
              </w:rPr>
              <w:t>0.00103</w:t>
            </w:r>
          </w:p>
        </w:tc>
        <w:tc>
          <w:tcPr>
            <w:tcW w:w="801" w:type="dxa"/>
            <w:vAlign w:val="center"/>
          </w:tcPr>
          <w:p>
            <w:pPr>
              <w:jc w:val="center"/>
              <w:rPr>
                <w:rFonts w:ascii="宋体" w:hAnsi="宋体" w:cs="宋体"/>
                <w:sz w:val="18"/>
                <w:szCs w:val="18"/>
              </w:rPr>
            </w:pPr>
            <w:r>
              <w:rPr>
                <w:rFonts w:hint="eastAsia"/>
                <w:sz w:val="18"/>
                <w:szCs w:val="18"/>
              </w:rPr>
              <w:t>0.00090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597" w:type="dxa"/>
            <w:vMerge w:val="continue"/>
            <w:shd w:val="clear" w:color="auto" w:fill="auto"/>
            <w:vAlign w:val="center"/>
          </w:tcPr>
          <w:p>
            <w:pPr>
              <w:widowControl/>
              <w:adjustRightInd w:val="0"/>
              <w:snapToGrid w:val="0"/>
              <w:spacing w:line="480" w:lineRule="exact"/>
              <w:jc w:val="center"/>
              <w:rPr>
                <w:kern w:val="0"/>
                <w:sz w:val="18"/>
                <w:szCs w:val="18"/>
              </w:rPr>
            </w:pPr>
          </w:p>
        </w:tc>
        <w:tc>
          <w:tcPr>
            <w:tcW w:w="1116" w:type="dxa"/>
            <w:shd w:val="clear" w:color="auto" w:fill="auto"/>
            <w:vAlign w:val="center"/>
          </w:tcPr>
          <w:p>
            <w:pPr>
              <w:widowControl/>
              <w:adjustRightInd w:val="0"/>
              <w:snapToGrid w:val="0"/>
              <w:spacing w:line="480" w:lineRule="exact"/>
              <w:jc w:val="center"/>
              <w:rPr>
                <w:kern w:val="0"/>
                <w:sz w:val="18"/>
                <w:szCs w:val="18"/>
              </w:rPr>
            </w:pPr>
            <w:r>
              <w:rPr>
                <w:kern w:val="0"/>
                <w:sz w:val="18"/>
                <w:szCs w:val="18"/>
              </w:rPr>
              <w:t>背景值</w:t>
            </w:r>
          </w:p>
        </w:tc>
        <w:tc>
          <w:tcPr>
            <w:tcW w:w="801" w:type="dxa"/>
            <w:shd w:val="clear" w:color="auto" w:fill="auto"/>
            <w:vAlign w:val="center"/>
          </w:tcPr>
          <w:p>
            <w:pPr>
              <w:jc w:val="center"/>
              <w:rPr>
                <w:rFonts w:hint="eastAsia" w:ascii="宋体" w:hAnsi="宋体" w:cs="宋体"/>
                <w:sz w:val="18"/>
                <w:szCs w:val="18"/>
              </w:rPr>
            </w:pPr>
            <w:r>
              <w:rPr>
                <w:rFonts w:hint="eastAsia" w:ascii="宋体" w:hAnsi="宋体" w:cs="宋体"/>
                <w:sz w:val="18"/>
                <w:szCs w:val="18"/>
              </w:rPr>
              <w:t>/</w:t>
            </w:r>
          </w:p>
        </w:tc>
        <w:tc>
          <w:tcPr>
            <w:tcW w:w="801" w:type="dxa"/>
            <w:shd w:val="clear" w:color="auto" w:fill="auto"/>
            <w:vAlign w:val="center"/>
          </w:tcPr>
          <w:p>
            <w:pPr>
              <w:jc w:val="center"/>
              <w:rPr>
                <w:rFonts w:hint="eastAsia" w:ascii="宋体" w:hAnsi="宋体" w:cs="宋体"/>
                <w:sz w:val="18"/>
                <w:szCs w:val="18"/>
              </w:rPr>
            </w:pPr>
            <w:r>
              <w:rPr>
                <w:rFonts w:hint="eastAsia" w:ascii="宋体" w:hAnsi="宋体" w:cs="宋体"/>
                <w:sz w:val="18"/>
                <w:szCs w:val="18"/>
              </w:rPr>
              <w:t>/</w:t>
            </w:r>
          </w:p>
        </w:tc>
        <w:tc>
          <w:tcPr>
            <w:tcW w:w="801" w:type="dxa"/>
            <w:shd w:val="clear" w:color="auto" w:fill="F3F3F3"/>
            <w:vAlign w:val="center"/>
          </w:tcPr>
          <w:p>
            <w:pPr>
              <w:jc w:val="center"/>
              <w:rPr>
                <w:rFonts w:hint="eastAsia" w:ascii="宋体" w:hAnsi="宋体" w:cs="宋体"/>
                <w:sz w:val="18"/>
                <w:szCs w:val="18"/>
              </w:rPr>
            </w:pPr>
            <w:r>
              <w:rPr>
                <w:rFonts w:hint="eastAsia" w:ascii="宋体" w:hAnsi="宋体" w:cs="宋体"/>
                <w:sz w:val="18"/>
                <w:szCs w:val="18"/>
              </w:rPr>
              <w:t>/</w:t>
            </w:r>
          </w:p>
        </w:tc>
        <w:tc>
          <w:tcPr>
            <w:tcW w:w="936" w:type="dxa"/>
            <w:shd w:val="clear" w:color="auto" w:fill="auto"/>
            <w:vAlign w:val="center"/>
          </w:tcPr>
          <w:p>
            <w:pPr>
              <w:jc w:val="center"/>
              <w:rPr>
                <w:rFonts w:ascii="宋体" w:hAnsi="宋体" w:cs="宋体"/>
                <w:sz w:val="18"/>
                <w:szCs w:val="18"/>
              </w:rPr>
            </w:pPr>
            <w:r>
              <w:rPr>
                <w:rFonts w:hint="eastAsia"/>
                <w:sz w:val="18"/>
                <w:szCs w:val="18"/>
              </w:rPr>
              <w:t>0.066</w:t>
            </w:r>
          </w:p>
        </w:tc>
        <w:tc>
          <w:tcPr>
            <w:tcW w:w="1116" w:type="dxa"/>
            <w:shd w:val="clear" w:color="auto" w:fill="auto"/>
            <w:vAlign w:val="center"/>
          </w:tcPr>
          <w:p>
            <w:pPr>
              <w:jc w:val="center"/>
              <w:rPr>
                <w:rFonts w:ascii="宋体" w:hAnsi="宋体" w:cs="宋体"/>
                <w:sz w:val="18"/>
                <w:szCs w:val="18"/>
              </w:rPr>
            </w:pPr>
            <w:r>
              <w:rPr>
                <w:rFonts w:hint="eastAsia"/>
                <w:sz w:val="18"/>
                <w:szCs w:val="18"/>
              </w:rPr>
              <w:t>0.058</w:t>
            </w:r>
          </w:p>
        </w:tc>
        <w:tc>
          <w:tcPr>
            <w:tcW w:w="801" w:type="dxa"/>
            <w:vAlign w:val="center"/>
          </w:tcPr>
          <w:p>
            <w:pPr>
              <w:jc w:val="center"/>
              <w:rPr>
                <w:rFonts w:hint="eastAsia" w:ascii="宋体" w:hAnsi="宋体" w:cs="宋体"/>
                <w:sz w:val="18"/>
                <w:szCs w:val="18"/>
              </w:rPr>
            </w:pPr>
            <w:r>
              <w:rPr>
                <w:rFonts w:hint="eastAsia" w:ascii="宋体" w:hAnsi="宋体" w:cs="宋体"/>
                <w:sz w:val="18"/>
                <w:szCs w:val="18"/>
              </w:rPr>
              <w:t>/</w:t>
            </w:r>
          </w:p>
        </w:tc>
        <w:tc>
          <w:tcPr>
            <w:tcW w:w="1296" w:type="dxa"/>
            <w:vAlign w:val="center"/>
          </w:tcPr>
          <w:p>
            <w:pPr>
              <w:jc w:val="center"/>
              <w:rPr>
                <w:rFonts w:ascii="宋体" w:hAnsi="宋体" w:cs="宋体"/>
                <w:sz w:val="18"/>
                <w:szCs w:val="18"/>
              </w:rPr>
            </w:pPr>
            <w:r>
              <w:rPr>
                <w:rFonts w:hint="eastAsia"/>
                <w:sz w:val="18"/>
                <w:szCs w:val="18"/>
              </w:rPr>
              <w:t>0.078</w:t>
            </w:r>
          </w:p>
        </w:tc>
        <w:tc>
          <w:tcPr>
            <w:tcW w:w="936" w:type="dxa"/>
            <w:vAlign w:val="center"/>
          </w:tcPr>
          <w:p>
            <w:pPr>
              <w:jc w:val="center"/>
              <w:rPr>
                <w:rFonts w:ascii="宋体" w:hAnsi="宋体" w:cs="宋体"/>
                <w:sz w:val="18"/>
                <w:szCs w:val="18"/>
              </w:rPr>
            </w:pPr>
            <w:r>
              <w:rPr>
                <w:rFonts w:hint="eastAsia"/>
                <w:sz w:val="18"/>
                <w:szCs w:val="18"/>
              </w:rPr>
              <w:t>0.067</w:t>
            </w:r>
          </w:p>
        </w:tc>
        <w:tc>
          <w:tcPr>
            <w:tcW w:w="801" w:type="dxa"/>
            <w:vAlign w:val="center"/>
          </w:tcPr>
          <w:p>
            <w:pPr>
              <w:jc w:val="center"/>
              <w:rPr>
                <w:rFonts w:hint="eastAsia" w:ascii="宋体" w:hAnsi="宋体" w:cs="宋体"/>
                <w:sz w:val="18"/>
                <w:szCs w:val="18"/>
              </w:rPr>
            </w:pPr>
            <w:r>
              <w:rPr>
                <w:rFonts w:hint="eastAsia" w:ascii="宋体" w:hAnsi="宋体" w:cs="宋体"/>
                <w:sz w:val="18"/>
                <w:szCs w:val="18"/>
              </w:rPr>
              <w:t>/</w:t>
            </w:r>
          </w:p>
        </w:tc>
        <w:tc>
          <w:tcPr>
            <w:tcW w:w="936" w:type="dxa"/>
            <w:vAlign w:val="center"/>
          </w:tcPr>
          <w:p>
            <w:pPr>
              <w:jc w:val="center"/>
              <w:rPr>
                <w:rFonts w:ascii="宋体" w:hAnsi="宋体" w:cs="宋体"/>
                <w:sz w:val="18"/>
                <w:szCs w:val="18"/>
              </w:rPr>
            </w:pPr>
            <w:r>
              <w:rPr>
                <w:rFonts w:hint="eastAsia"/>
                <w:sz w:val="18"/>
                <w:szCs w:val="18"/>
              </w:rPr>
              <w:t>0.084</w:t>
            </w:r>
          </w:p>
        </w:tc>
        <w:tc>
          <w:tcPr>
            <w:tcW w:w="936" w:type="dxa"/>
            <w:vAlign w:val="center"/>
          </w:tcPr>
          <w:p>
            <w:pPr>
              <w:jc w:val="center"/>
              <w:rPr>
                <w:rFonts w:hint="eastAsia" w:ascii="宋体" w:hAnsi="宋体" w:cs="宋体"/>
                <w:sz w:val="18"/>
                <w:szCs w:val="18"/>
              </w:rPr>
            </w:pPr>
            <w:r>
              <w:rPr>
                <w:rFonts w:hint="eastAsia" w:ascii="宋体" w:hAnsi="宋体" w:cs="宋体"/>
                <w:sz w:val="18"/>
                <w:szCs w:val="18"/>
              </w:rPr>
              <w:t>/</w:t>
            </w:r>
          </w:p>
        </w:tc>
        <w:tc>
          <w:tcPr>
            <w:tcW w:w="801" w:type="dxa"/>
            <w:vAlign w:val="center"/>
          </w:tcPr>
          <w:p>
            <w:pPr>
              <w:jc w:val="center"/>
              <w:rPr>
                <w:rFonts w:ascii="宋体" w:hAnsi="宋体" w:cs="宋体"/>
                <w:sz w:val="18"/>
                <w:szCs w:val="18"/>
              </w:rPr>
            </w:pPr>
            <w:r>
              <w:rPr>
                <w:rFonts w:hint="eastAsia"/>
                <w:sz w:val="18"/>
                <w:szCs w:val="18"/>
              </w:rPr>
              <w:t>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597" w:type="dxa"/>
            <w:vMerge w:val="continue"/>
            <w:shd w:val="clear" w:color="auto" w:fill="auto"/>
            <w:vAlign w:val="center"/>
          </w:tcPr>
          <w:p>
            <w:pPr>
              <w:widowControl/>
              <w:adjustRightInd w:val="0"/>
              <w:snapToGrid w:val="0"/>
              <w:spacing w:line="480" w:lineRule="exact"/>
              <w:jc w:val="center"/>
              <w:rPr>
                <w:kern w:val="0"/>
                <w:sz w:val="18"/>
                <w:szCs w:val="18"/>
              </w:rPr>
            </w:pPr>
          </w:p>
        </w:tc>
        <w:tc>
          <w:tcPr>
            <w:tcW w:w="1116" w:type="dxa"/>
            <w:shd w:val="clear" w:color="auto" w:fill="auto"/>
            <w:vAlign w:val="center"/>
          </w:tcPr>
          <w:p>
            <w:pPr>
              <w:widowControl/>
              <w:adjustRightInd w:val="0"/>
              <w:snapToGrid w:val="0"/>
              <w:spacing w:line="480" w:lineRule="exact"/>
              <w:jc w:val="center"/>
              <w:rPr>
                <w:kern w:val="0"/>
                <w:sz w:val="18"/>
                <w:szCs w:val="18"/>
              </w:rPr>
            </w:pPr>
            <w:r>
              <w:rPr>
                <w:kern w:val="0"/>
                <w:sz w:val="18"/>
                <w:szCs w:val="18"/>
              </w:rPr>
              <w:t>叠加值</w:t>
            </w:r>
          </w:p>
        </w:tc>
        <w:tc>
          <w:tcPr>
            <w:tcW w:w="801" w:type="dxa"/>
            <w:shd w:val="clear" w:color="auto" w:fill="auto"/>
            <w:vAlign w:val="center"/>
          </w:tcPr>
          <w:p>
            <w:pPr>
              <w:jc w:val="center"/>
              <w:rPr>
                <w:rFonts w:ascii="宋体" w:hAnsi="宋体" w:cs="宋体"/>
                <w:sz w:val="18"/>
                <w:szCs w:val="18"/>
              </w:rPr>
            </w:pPr>
            <w:r>
              <w:rPr>
                <w:rFonts w:hint="eastAsia"/>
                <w:sz w:val="18"/>
                <w:szCs w:val="18"/>
              </w:rPr>
              <w:t>0.00033</w:t>
            </w:r>
          </w:p>
        </w:tc>
        <w:tc>
          <w:tcPr>
            <w:tcW w:w="801" w:type="dxa"/>
            <w:shd w:val="clear" w:color="auto" w:fill="auto"/>
            <w:vAlign w:val="center"/>
          </w:tcPr>
          <w:p>
            <w:pPr>
              <w:jc w:val="center"/>
              <w:rPr>
                <w:rFonts w:ascii="宋体" w:hAnsi="宋体" w:cs="宋体"/>
                <w:sz w:val="18"/>
                <w:szCs w:val="18"/>
              </w:rPr>
            </w:pPr>
            <w:r>
              <w:rPr>
                <w:rFonts w:hint="eastAsia"/>
                <w:sz w:val="18"/>
                <w:szCs w:val="18"/>
              </w:rPr>
              <w:t>0.00080</w:t>
            </w:r>
          </w:p>
        </w:tc>
        <w:tc>
          <w:tcPr>
            <w:tcW w:w="801" w:type="dxa"/>
            <w:shd w:val="clear" w:color="auto" w:fill="F3F3F3"/>
            <w:vAlign w:val="center"/>
          </w:tcPr>
          <w:p>
            <w:pPr>
              <w:jc w:val="center"/>
              <w:rPr>
                <w:rFonts w:ascii="宋体" w:hAnsi="宋体" w:cs="宋体"/>
                <w:sz w:val="18"/>
                <w:szCs w:val="18"/>
              </w:rPr>
            </w:pPr>
            <w:r>
              <w:rPr>
                <w:rFonts w:hint="eastAsia"/>
                <w:sz w:val="18"/>
                <w:szCs w:val="18"/>
              </w:rPr>
              <w:t>0.00122</w:t>
            </w:r>
          </w:p>
        </w:tc>
        <w:tc>
          <w:tcPr>
            <w:tcW w:w="936" w:type="dxa"/>
            <w:shd w:val="clear" w:color="auto" w:fill="auto"/>
            <w:vAlign w:val="center"/>
          </w:tcPr>
          <w:p>
            <w:pPr>
              <w:jc w:val="center"/>
              <w:rPr>
                <w:rFonts w:ascii="宋体" w:hAnsi="宋体" w:cs="宋体"/>
                <w:sz w:val="18"/>
                <w:szCs w:val="18"/>
              </w:rPr>
            </w:pPr>
            <w:r>
              <w:rPr>
                <w:rFonts w:hint="eastAsia"/>
                <w:sz w:val="18"/>
                <w:szCs w:val="18"/>
              </w:rPr>
              <w:t>0.06849</w:t>
            </w:r>
          </w:p>
        </w:tc>
        <w:tc>
          <w:tcPr>
            <w:tcW w:w="1116" w:type="dxa"/>
            <w:shd w:val="clear" w:color="auto" w:fill="auto"/>
            <w:vAlign w:val="center"/>
          </w:tcPr>
          <w:p>
            <w:pPr>
              <w:jc w:val="center"/>
              <w:rPr>
                <w:rFonts w:ascii="宋体" w:hAnsi="宋体" w:cs="宋体"/>
                <w:sz w:val="18"/>
                <w:szCs w:val="18"/>
              </w:rPr>
            </w:pPr>
            <w:r>
              <w:rPr>
                <w:rFonts w:hint="eastAsia"/>
                <w:sz w:val="18"/>
                <w:szCs w:val="18"/>
              </w:rPr>
              <w:t>0.05976</w:t>
            </w:r>
          </w:p>
        </w:tc>
        <w:tc>
          <w:tcPr>
            <w:tcW w:w="801" w:type="dxa"/>
            <w:vAlign w:val="center"/>
          </w:tcPr>
          <w:p>
            <w:pPr>
              <w:jc w:val="center"/>
              <w:rPr>
                <w:rFonts w:ascii="宋体" w:hAnsi="宋体" w:cs="宋体"/>
                <w:sz w:val="18"/>
                <w:szCs w:val="18"/>
              </w:rPr>
            </w:pPr>
            <w:r>
              <w:rPr>
                <w:rFonts w:hint="eastAsia"/>
                <w:sz w:val="18"/>
                <w:szCs w:val="18"/>
              </w:rPr>
              <w:t>0.00027</w:t>
            </w:r>
          </w:p>
        </w:tc>
        <w:tc>
          <w:tcPr>
            <w:tcW w:w="1296" w:type="dxa"/>
            <w:vAlign w:val="center"/>
          </w:tcPr>
          <w:p>
            <w:pPr>
              <w:jc w:val="center"/>
              <w:rPr>
                <w:rFonts w:ascii="宋体" w:hAnsi="宋体" w:cs="宋体"/>
                <w:sz w:val="18"/>
                <w:szCs w:val="18"/>
              </w:rPr>
            </w:pPr>
            <w:r>
              <w:rPr>
                <w:rFonts w:hint="eastAsia"/>
                <w:sz w:val="18"/>
                <w:szCs w:val="18"/>
              </w:rPr>
              <w:t>0.08259</w:t>
            </w:r>
          </w:p>
        </w:tc>
        <w:tc>
          <w:tcPr>
            <w:tcW w:w="936" w:type="dxa"/>
            <w:vAlign w:val="center"/>
          </w:tcPr>
          <w:p>
            <w:pPr>
              <w:jc w:val="center"/>
              <w:rPr>
                <w:rFonts w:ascii="宋体" w:hAnsi="宋体" w:cs="宋体"/>
                <w:sz w:val="18"/>
                <w:szCs w:val="18"/>
              </w:rPr>
            </w:pPr>
            <w:r>
              <w:rPr>
                <w:rFonts w:hint="eastAsia"/>
                <w:sz w:val="18"/>
                <w:szCs w:val="18"/>
              </w:rPr>
              <w:t>0.06897</w:t>
            </w:r>
          </w:p>
        </w:tc>
        <w:tc>
          <w:tcPr>
            <w:tcW w:w="801" w:type="dxa"/>
            <w:vAlign w:val="center"/>
          </w:tcPr>
          <w:p>
            <w:pPr>
              <w:jc w:val="center"/>
              <w:rPr>
                <w:rFonts w:ascii="宋体" w:hAnsi="宋体" w:cs="宋体"/>
                <w:sz w:val="18"/>
                <w:szCs w:val="18"/>
              </w:rPr>
            </w:pPr>
            <w:r>
              <w:rPr>
                <w:rFonts w:hint="eastAsia"/>
                <w:sz w:val="18"/>
                <w:szCs w:val="18"/>
              </w:rPr>
              <w:t>0.00057</w:t>
            </w:r>
          </w:p>
        </w:tc>
        <w:tc>
          <w:tcPr>
            <w:tcW w:w="936" w:type="dxa"/>
            <w:vAlign w:val="center"/>
          </w:tcPr>
          <w:p>
            <w:pPr>
              <w:jc w:val="center"/>
              <w:rPr>
                <w:rFonts w:ascii="宋体" w:hAnsi="宋体" w:cs="宋体"/>
                <w:sz w:val="18"/>
                <w:szCs w:val="18"/>
              </w:rPr>
            </w:pPr>
            <w:r>
              <w:rPr>
                <w:rFonts w:hint="eastAsia"/>
                <w:sz w:val="18"/>
                <w:szCs w:val="18"/>
              </w:rPr>
              <w:t>0.08738</w:t>
            </w:r>
          </w:p>
        </w:tc>
        <w:tc>
          <w:tcPr>
            <w:tcW w:w="936" w:type="dxa"/>
            <w:vAlign w:val="center"/>
          </w:tcPr>
          <w:p>
            <w:pPr>
              <w:jc w:val="center"/>
              <w:rPr>
                <w:rFonts w:ascii="宋体" w:hAnsi="宋体" w:cs="宋体"/>
                <w:sz w:val="18"/>
                <w:szCs w:val="18"/>
              </w:rPr>
            </w:pPr>
            <w:r>
              <w:rPr>
                <w:rFonts w:hint="eastAsia"/>
                <w:sz w:val="18"/>
                <w:szCs w:val="18"/>
              </w:rPr>
              <w:t>0.00103</w:t>
            </w:r>
          </w:p>
        </w:tc>
        <w:tc>
          <w:tcPr>
            <w:tcW w:w="801" w:type="dxa"/>
            <w:vAlign w:val="center"/>
          </w:tcPr>
          <w:p>
            <w:pPr>
              <w:jc w:val="center"/>
              <w:rPr>
                <w:rFonts w:ascii="宋体" w:hAnsi="宋体" w:cs="宋体"/>
                <w:sz w:val="18"/>
                <w:szCs w:val="18"/>
              </w:rPr>
            </w:pPr>
            <w:r>
              <w:rPr>
                <w:rFonts w:hint="eastAsia"/>
                <w:sz w:val="18"/>
                <w:szCs w:val="18"/>
              </w:rPr>
              <w:t>0.05890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jc w:val="center"/>
        </w:trPr>
        <w:tc>
          <w:tcPr>
            <w:tcW w:w="597" w:type="dxa"/>
            <w:vMerge w:val="continue"/>
            <w:shd w:val="clear" w:color="auto" w:fill="auto"/>
            <w:vAlign w:val="center"/>
          </w:tcPr>
          <w:p>
            <w:pPr>
              <w:widowControl/>
              <w:adjustRightInd w:val="0"/>
              <w:snapToGrid w:val="0"/>
              <w:spacing w:line="480" w:lineRule="exact"/>
              <w:jc w:val="center"/>
              <w:rPr>
                <w:kern w:val="0"/>
                <w:sz w:val="18"/>
                <w:szCs w:val="18"/>
              </w:rPr>
            </w:pPr>
          </w:p>
        </w:tc>
        <w:tc>
          <w:tcPr>
            <w:tcW w:w="1116" w:type="dxa"/>
            <w:shd w:val="clear" w:color="auto" w:fill="auto"/>
            <w:vAlign w:val="center"/>
          </w:tcPr>
          <w:p>
            <w:pPr>
              <w:widowControl/>
              <w:adjustRightInd w:val="0"/>
              <w:snapToGrid w:val="0"/>
              <w:spacing w:line="480" w:lineRule="exact"/>
              <w:jc w:val="center"/>
              <w:rPr>
                <w:kern w:val="0"/>
                <w:sz w:val="18"/>
                <w:szCs w:val="18"/>
              </w:rPr>
            </w:pPr>
            <w:r>
              <w:rPr>
                <w:kern w:val="0"/>
                <w:sz w:val="18"/>
                <w:szCs w:val="18"/>
              </w:rPr>
              <w:t>占标率(%)</w:t>
            </w:r>
          </w:p>
        </w:tc>
        <w:tc>
          <w:tcPr>
            <w:tcW w:w="801" w:type="dxa"/>
            <w:shd w:val="clear" w:color="auto" w:fill="auto"/>
            <w:vAlign w:val="center"/>
          </w:tcPr>
          <w:p>
            <w:pPr>
              <w:jc w:val="center"/>
              <w:rPr>
                <w:rFonts w:ascii="宋体" w:hAnsi="宋体" w:cs="宋体"/>
                <w:sz w:val="18"/>
                <w:szCs w:val="18"/>
              </w:rPr>
            </w:pPr>
            <w:r>
              <w:rPr>
                <w:rFonts w:hint="eastAsia"/>
                <w:sz w:val="18"/>
                <w:szCs w:val="18"/>
              </w:rPr>
              <w:t>0.22</w:t>
            </w:r>
          </w:p>
        </w:tc>
        <w:tc>
          <w:tcPr>
            <w:tcW w:w="801" w:type="dxa"/>
            <w:shd w:val="clear" w:color="auto" w:fill="auto"/>
            <w:vAlign w:val="center"/>
          </w:tcPr>
          <w:p>
            <w:pPr>
              <w:jc w:val="center"/>
              <w:rPr>
                <w:rFonts w:ascii="宋体" w:hAnsi="宋体" w:cs="宋体"/>
                <w:sz w:val="18"/>
                <w:szCs w:val="18"/>
              </w:rPr>
            </w:pPr>
            <w:r>
              <w:rPr>
                <w:rFonts w:hint="eastAsia"/>
                <w:sz w:val="18"/>
                <w:szCs w:val="18"/>
              </w:rPr>
              <w:t>0.53</w:t>
            </w:r>
          </w:p>
        </w:tc>
        <w:tc>
          <w:tcPr>
            <w:tcW w:w="801" w:type="dxa"/>
            <w:shd w:val="clear" w:color="auto" w:fill="F3F3F3"/>
            <w:vAlign w:val="center"/>
          </w:tcPr>
          <w:p>
            <w:pPr>
              <w:jc w:val="center"/>
              <w:rPr>
                <w:rFonts w:ascii="宋体" w:hAnsi="宋体" w:cs="宋体"/>
                <w:sz w:val="18"/>
                <w:szCs w:val="18"/>
              </w:rPr>
            </w:pPr>
            <w:r>
              <w:rPr>
                <w:rFonts w:hint="eastAsia"/>
                <w:sz w:val="18"/>
                <w:szCs w:val="18"/>
              </w:rPr>
              <w:t>0.81</w:t>
            </w:r>
          </w:p>
        </w:tc>
        <w:tc>
          <w:tcPr>
            <w:tcW w:w="936" w:type="dxa"/>
            <w:shd w:val="clear" w:color="auto" w:fill="auto"/>
            <w:vAlign w:val="center"/>
          </w:tcPr>
          <w:p>
            <w:pPr>
              <w:jc w:val="center"/>
              <w:rPr>
                <w:rFonts w:ascii="宋体" w:hAnsi="宋体" w:cs="宋体"/>
                <w:sz w:val="18"/>
                <w:szCs w:val="18"/>
              </w:rPr>
            </w:pPr>
            <w:r>
              <w:rPr>
                <w:rFonts w:hint="eastAsia"/>
                <w:sz w:val="18"/>
                <w:szCs w:val="18"/>
              </w:rPr>
              <w:t>45.66</w:t>
            </w:r>
          </w:p>
        </w:tc>
        <w:tc>
          <w:tcPr>
            <w:tcW w:w="1116" w:type="dxa"/>
            <w:shd w:val="clear" w:color="auto" w:fill="auto"/>
            <w:vAlign w:val="center"/>
          </w:tcPr>
          <w:p>
            <w:pPr>
              <w:jc w:val="center"/>
              <w:rPr>
                <w:rFonts w:ascii="宋体" w:hAnsi="宋体" w:cs="宋体"/>
                <w:sz w:val="18"/>
                <w:szCs w:val="18"/>
              </w:rPr>
            </w:pPr>
            <w:r>
              <w:rPr>
                <w:rFonts w:hint="eastAsia"/>
                <w:sz w:val="18"/>
                <w:szCs w:val="18"/>
              </w:rPr>
              <w:t>39.84</w:t>
            </w:r>
          </w:p>
        </w:tc>
        <w:tc>
          <w:tcPr>
            <w:tcW w:w="801" w:type="dxa"/>
            <w:vAlign w:val="center"/>
          </w:tcPr>
          <w:p>
            <w:pPr>
              <w:jc w:val="center"/>
              <w:rPr>
                <w:rFonts w:ascii="宋体" w:hAnsi="宋体" w:cs="宋体"/>
                <w:sz w:val="18"/>
                <w:szCs w:val="18"/>
              </w:rPr>
            </w:pPr>
            <w:r>
              <w:rPr>
                <w:rFonts w:hint="eastAsia"/>
                <w:sz w:val="18"/>
                <w:szCs w:val="18"/>
              </w:rPr>
              <w:t>0.18</w:t>
            </w:r>
          </w:p>
        </w:tc>
        <w:tc>
          <w:tcPr>
            <w:tcW w:w="1296" w:type="dxa"/>
            <w:vAlign w:val="center"/>
          </w:tcPr>
          <w:p>
            <w:pPr>
              <w:jc w:val="center"/>
              <w:rPr>
                <w:rFonts w:ascii="宋体" w:hAnsi="宋体" w:cs="宋体"/>
                <w:sz w:val="18"/>
                <w:szCs w:val="18"/>
              </w:rPr>
            </w:pPr>
            <w:r>
              <w:rPr>
                <w:rFonts w:hint="eastAsia"/>
                <w:sz w:val="18"/>
                <w:szCs w:val="18"/>
              </w:rPr>
              <w:t>55.06</w:t>
            </w:r>
          </w:p>
        </w:tc>
        <w:tc>
          <w:tcPr>
            <w:tcW w:w="936" w:type="dxa"/>
            <w:vAlign w:val="center"/>
          </w:tcPr>
          <w:p>
            <w:pPr>
              <w:jc w:val="center"/>
              <w:rPr>
                <w:rFonts w:ascii="宋体" w:hAnsi="宋体" w:cs="宋体"/>
                <w:sz w:val="18"/>
                <w:szCs w:val="18"/>
              </w:rPr>
            </w:pPr>
            <w:r>
              <w:rPr>
                <w:rFonts w:hint="eastAsia"/>
                <w:sz w:val="18"/>
                <w:szCs w:val="18"/>
              </w:rPr>
              <w:t>45.98</w:t>
            </w:r>
          </w:p>
        </w:tc>
        <w:tc>
          <w:tcPr>
            <w:tcW w:w="801" w:type="dxa"/>
            <w:vAlign w:val="center"/>
          </w:tcPr>
          <w:p>
            <w:pPr>
              <w:jc w:val="center"/>
              <w:rPr>
                <w:rFonts w:ascii="宋体" w:hAnsi="宋体" w:cs="宋体"/>
                <w:sz w:val="18"/>
                <w:szCs w:val="18"/>
              </w:rPr>
            </w:pPr>
            <w:r>
              <w:rPr>
                <w:rFonts w:hint="eastAsia"/>
                <w:sz w:val="18"/>
                <w:szCs w:val="18"/>
              </w:rPr>
              <w:t>0.38</w:t>
            </w:r>
          </w:p>
        </w:tc>
        <w:tc>
          <w:tcPr>
            <w:tcW w:w="936" w:type="dxa"/>
            <w:vAlign w:val="center"/>
          </w:tcPr>
          <w:p>
            <w:pPr>
              <w:jc w:val="center"/>
              <w:rPr>
                <w:rFonts w:ascii="宋体" w:hAnsi="宋体" w:cs="宋体"/>
                <w:sz w:val="18"/>
                <w:szCs w:val="18"/>
              </w:rPr>
            </w:pPr>
            <w:r>
              <w:rPr>
                <w:rFonts w:hint="eastAsia"/>
                <w:sz w:val="18"/>
                <w:szCs w:val="18"/>
              </w:rPr>
              <w:t>58.26</w:t>
            </w:r>
          </w:p>
        </w:tc>
        <w:tc>
          <w:tcPr>
            <w:tcW w:w="936" w:type="dxa"/>
            <w:vAlign w:val="center"/>
          </w:tcPr>
          <w:p>
            <w:pPr>
              <w:jc w:val="center"/>
              <w:rPr>
                <w:rFonts w:ascii="宋体" w:hAnsi="宋体" w:cs="宋体"/>
                <w:sz w:val="18"/>
                <w:szCs w:val="18"/>
              </w:rPr>
            </w:pPr>
            <w:r>
              <w:rPr>
                <w:rFonts w:hint="eastAsia"/>
                <w:sz w:val="18"/>
                <w:szCs w:val="18"/>
              </w:rPr>
              <w:t>0.69</w:t>
            </w:r>
          </w:p>
        </w:tc>
        <w:tc>
          <w:tcPr>
            <w:tcW w:w="801" w:type="dxa"/>
            <w:vAlign w:val="center"/>
          </w:tcPr>
          <w:p>
            <w:pPr>
              <w:jc w:val="center"/>
              <w:rPr>
                <w:rFonts w:ascii="宋体" w:hAnsi="宋体" w:cs="宋体"/>
                <w:sz w:val="18"/>
                <w:szCs w:val="18"/>
              </w:rPr>
            </w:pPr>
            <w:r>
              <w:rPr>
                <w:rFonts w:hint="eastAsia"/>
                <w:sz w:val="18"/>
                <w:szCs w:val="18"/>
              </w:rPr>
              <w:t>39.27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597" w:type="dxa"/>
            <w:vMerge w:val="restart"/>
            <w:shd w:val="clear" w:color="auto" w:fill="auto"/>
            <w:vAlign w:val="center"/>
          </w:tcPr>
          <w:p>
            <w:pPr>
              <w:widowControl/>
              <w:adjustRightInd w:val="0"/>
              <w:snapToGrid w:val="0"/>
              <w:spacing w:line="480" w:lineRule="exact"/>
              <w:jc w:val="center"/>
              <w:rPr>
                <w:kern w:val="0"/>
                <w:sz w:val="18"/>
                <w:szCs w:val="18"/>
              </w:rPr>
            </w:pPr>
            <w:r>
              <w:rPr>
                <w:kern w:val="0"/>
                <w:sz w:val="18"/>
                <w:szCs w:val="18"/>
              </w:rPr>
              <w:t>NO</w:t>
            </w:r>
            <w:r>
              <w:rPr>
                <w:kern w:val="0"/>
                <w:sz w:val="18"/>
                <w:szCs w:val="18"/>
                <w:vertAlign w:val="subscript"/>
              </w:rPr>
              <w:t>2</w:t>
            </w:r>
          </w:p>
        </w:tc>
        <w:tc>
          <w:tcPr>
            <w:tcW w:w="1116" w:type="dxa"/>
            <w:shd w:val="clear" w:color="auto" w:fill="auto"/>
            <w:vAlign w:val="center"/>
          </w:tcPr>
          <w:p>
            <w:pPr>
              <w:widowControl/>
              <w:adjustRightInd w:val="0"/>
              <w:snapToGrid w:val="0"/>
              <w:spacing w:line="480" w:lineRule="exact"/>
              <w:jc w:val="center"/>
              <w:rPr>
                <w:kern w:val="0"/>
                <w:sz w:val="18"/>
                <w:szCs w:val="18"/>
              </w:rPr>
            </w:pPr>
            <w:r>
              <w:rPr>
                <w:kern w:val="0"/>
                <w:sz w:val="18"/>
                <w:szCs w:val="18"/>
              </w:rPr>
              <w:t>预测最大值</w:t>
            </w:r>
          </w:p>
        </w:tc>
        <w:tc>
          <w:tcPr>
            <w:tcW w:w="801" w:type="dxa"/>
            <w:shd w:val="clear" w:color="auto" w:fill="auto"/>
            <w:vAlign w:val="center"/>
          </w:tcPr>
          <w:p>
            <w:pPr>
              <w:jc w:val="center"/>
              <w:rPr>
                <w:rFonts w:ascii="宋体" w:hAnsi="宋体" w:cs="宋体"/>
                <w:sz w:val="18"/>
                <w:szCs w:val="18"/>
              </w:rPr>
            </w:pPr>
            <w:r>
              <w:rPr>
                <w:rFonts w:hint="eastAsia"/>
                <w:sz w:val="18"/>
                <w:szCs w:val="18"/>
              </w:rPr>
              <w:t>0.00226</w:t>
            </w:r>
          </w:p>
        </w:tc>
        <w:tc>
          <w:tcPr>
            <w:tcW w:w="801" w:type="dxa"/>
            <w:shd w:val="clear" w:color="auto" w:fill="auto"/>
            <w:vAlign w:val="center"/>
          </w:tcPr>
          <w:p>
            <w:pPr>
              <w:jc w:val="center"/>
              <w:rPr>
                <w:rFonts w:ascii="宋体" w:hAnsi="宋体" w:cs="宋体"/>
                <w:sz w:val="18"/>
                <w:szCs w:val="18"/>
              </w:rPr>
            </w:pPr>
            <w:r>
              <w:rPr>
                <w:rFonts w:hint="eastAsia"/>
                <w:sz w:val="18"/>
                <w:szCs w:val="18"/>
              </w:rPr>
              <w:t>0.00539</w:t>
            </w:r>
          </w:p>
        </w:tc>
        <w:tc>
          <w:tcPr>
            <w:tcW w:w="801" w:type="dxa"/>
            <w:shd w:val="clear" w:color="auto" w:fill="F3F3F3"/>
            <w:vAlign w:val="center"/>
          </w:tcPr>
          <w:p>
            <w:pPr>
              <w:jc w:val="center"/>
              <w:rPr>
                <w:rFonts w:ascii="宋体" w:hAnsi="宋体" w:cs="宋体"/>
                <w:sz w:val="18"/>
                <w:szCs w:val="18"/>
              </w:rPr>
            </w:pPr>
            <w:r>
              <w:rPr>
                <w:rFonts w:hint="eastAsia"/>
                <w:sz w:val="18"/>
                <w:szCs w:val="18"/>
              </w:rPr>
              <w:t>0.00824</w:t>
            </w:r>
          </w:p>
        </w:tc>
        <w:tc>
          <w:tcPr>
            <w:tcW w:w="936" w:type="dxa"/>
            <w:shd w:val="clear" w:color="auto" w:fill="auto"/>
            <w:vAlign w:val="center"/>
          </w:tcPr>
          <w:p>
            <w:pPr>
              <w:jc w:val="center"/>
              <w:rPr>
                <w:rFonts w:ascii="宋体" w:hAnsi="宋体" w:cs="宋体"/>
                <w:sz w:val="18"/>
                <w:szCs w:val="18"/>
              </w:rPr>
            </w:pPr>
            <w:r>
              <w:rPr>
                <w:rFonts w:hint="eastAsia"/>
                <w:sz w:val="18"/>
                <w:szCs w:val="18"/>
              </w:rPr>
              <w:t>0.01683</w:t>
            </w:r>
          </w:p>
        </w:tc>
        <w:tc>
          <w:tcPr>
            <w:tcW w:w="1116" w:type="dxa"/>
            <w:shd w:val="clear" w:color="auto" w:fill="auto"/>
            <w:vAlign w:val="center"/>
          </w:tcPr>
          <w:p>
            <w:pPr>
              <w:jc w:val="center"/>
              <w:rPr>
                <w:rFonts w:ascii="宋体" w:hAnsi="宋体" w:cs="宋体"/>
                <w:sz w:val="18"/>
                <w:szCs w:val="18"/>
              </w:rPr>
            </w:pPr>
            <w:r>
              <w:rPr>
                <w:rFonts w:hint="eastAsia"/>
                <w:sz w:val="18"/>
                <w:szCs w:val="18"/>
              </w:rPr>
              <w:t>0.01187</w:t>
            </w:r>
          </w:p>
        </w:tc>
        <w:tc>
          <w:tcPr>
            <w:tcW w:w="801" w:type="dxa"/>
            <w:vAlign w:val="center"/>
          </w:tcPr>
          <w:p>
            <w:pPr>
              <w:jc w:val="center"/>
              <w:rPr>
                <w:rFonts w:ascii="宋体" w:hAnsi="宋体" w:cs="宋体"/>
                <w:sz w:val="18"/>
                <w:szCs w:val="18"/>
              </w:rPr>
            </w:pPr>
            <w:r>
              <w:rPr>
                <w:rFonts w:hint="eastAsia"/>
                <w:sz w:val="18"/>
                <w:szCs w:val="18"/>
              </w:rPr>
              <w:t>0.00180</w:t>
            </w:r>
          </w:p>
        </w:tc>
        <w:tc>
          <w:tcPr>
            <w:tcW w:w="1296" w:type="dxa"/>
            <w:vAlign w:val="center"/>
          </w:tcPr>
          <w:p>
            <w:pPr>
              <w:jc w:val="center"/>
              <w:rPr>
                <w:rFonts w:ascii="宋体" w:hAnsi="宋体" w:cs="宋体"/>
                <w:sz w:val="18"/>
                <w:szCs w:val="18"/>
              </w:rPr>
            </w:pPr>
            <w:r>
              <w:rPr>
                <w:rFonts w:hint="eastAsia"/>
                <w:sz w:val="18"/>
                <w:szCs w:val="18"/>
              </w:rPr>
              <w:t>0.03103</w:t>
            </w:r>
          </w:p>
        </w:tc>
        <w:tc>
          <w:tcPr>
            <w:tcW w:w="936" w:type="dxa"/>
            <w:vAlign w:val="center"/>
          </w:tcPr>
          <w:p>
            <w:pPr>
              <w:jc w:val="center"/>
              <w:rPr>
                <w:rFonts w:ascii="宋体" w:hAnsi="宋体" w:cs="宋体"/>
                <w:sz w:val="18"/>
                <w:szCs w:val="18"/>
              </w:rPr>
            </w:pPr>
            <w:r>
              <w:rPr>
                <w:rFonts w:hint="eastAsia"/>
                <w:sz w:val="18"/>
                <w:szCs w:val="18"/>
              </w:rPr>
              <w:t>0.01333</w:t>
            </w:r>
          </w:p>
        </w:tc>
        <w:tc>
          <w:tcPr>
            <w:tcW w:w="801" w:type="dxa"/>
            <w:vAlign w:val="center"/>
          </w:tcPr>
          <w:p>
            <w:pPr>
              <w:jc w:val="center"/>
              <w:rPr>
                <w:rFonts w:ascii="宋体" w:hAnsi="宋体" w:cs="宋体"/>
                <w:sz w:val="18"/>
                <w:szCs w:val="18"/>
              </w:rPr>
            </w:pPr>
            <w:r>
              <w:rPr>
                <w:rFonts w:hint="eastAsia"/>
                <w:sz w:val="18"/>
                <w:szCs w:val="18"/>
              </w:rPr>
              <w:t>0.00385</w:t>
            </w:r>
          </w:p>
        </w:tc>
        <w:tc>
          <w:tcPr>
            <w:tcW w:w="936" w:type="dxa"/>
            <w:vAlign w:val="center"/>
          </w:tcPr>
          <w:p>
            <w:pPr>
              <w:jc w:val="center"/>
              <w:rPr>
                <w:rFonts w:ascii="宋体" w:hAnsi="宋体" w:cs="宋体"/>
                <w:sz w:val="18"/>
                <w:szCs w:val="18"/>
              </w:rPr>
            </w:pPr>
            <w:r>
              <w:rPr>
                <w:rFonts w:hint="eastAsia"/>
                <w:sz w:val="18"/>
                <w:szCs w:val="18"/>
              </w:rPr>
              <w:t>0.02289</w:t>
            </w:r>
          </w:p>
        </w:tc>
        <w:tc>
          <w:tcPr>
            <w:tcW w:w="936" w:type="dxa"/>
            <w:vAlign w:val="center"/>
          </w:tcPr>
          <w:p>
            <w:pPr>
              <w:jc w:val="center"/>
              <w:rPr>
                <w:rFonts w:ascii="宋体" w:hAnsi="宋体" w:cs="宋体"/>
                <w:sz w:val="18"/>
                <w:szCs w:val="18"/>
              </w:rPr>
            </w:pPr>
            <w:r>
              <w:rPr>
                <w:rFonts w:hint="eastAsia"/>
                <w:sz w:val="18"/>
                <w:szCs w:val="18"/>
              </w:rPr>
              <w:t>0.00699</w:t>
            </w:r>
          </w:p>
        </w:tc>
        <w:tc>
          <w:tcPr>
            <w:tcW w:w="801" w:type="dxa"/>
            <w:vAlign w:val="center"/>
          </w:tcPr>
          <w:p>
            <w:pPr>
              <w:jc w:val="center"/>
              <w:rPr>
                <w:rFonts w:ascii="宋体" w:hAnsi="宋体" w:cs="宋体"/>
                <w:sz w:val="18"/>
                <w:szCs w:val="18"/>
              </w:rPr>
            </w:pPr>
            <w:r>
              <w:rPr>
                <w:rFonts w:hint="eastAsia"/>
                <w:sz w:val="18"/>
                <w:szCs w:val="18"/>
              </w:rPr>
              <w:t>0.00611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597" w:type="dxa"/>
            <w:vMerge w:val="continue"/>
            <w:shd w:val="clear" w:color="auto" w:fill="auto"/>
            <w:vAlign w:val="center"/>
          </w:tcPr>
          <w:p>
            <w:pPr>
              <w:widowControl/>
              <w:adjustRightInd w:val="0"/>
              <w:snapToGrid w:val="0"/>
              <w:spacing w:line="480" w:lineRule="exact"/>
              <w:jc w:val="center"/>
              <w:rPr>
                <w:kern w:val="0"/>
                <w:sz w:val="18"/>
                <w:szCs w:val="18"/>
              </w:rPr>
            </w:pPr>
          </w:p>
        </w:tc>
        <w:tc>
          <w:tcPr>
            <w:tcW w:w="1116" w:type="dxa"/>
            <w:shd w:val="clear" w:color="auto" w:fill="auto"/>
            <w:vAlign w:val="center"/>
          </w:tcPr>
          <w:p>
            <w:pPr>
              <w:widowControl/>
              <w:adjustRightInd w:val="0"/>
              <w:snapToGrid w:val="0"/>
              <w:spacing w:line="480" w:lineRule="exact"/>
              <w:jc w:val="center"/>
              <w:rPr>
                <w:kern w:val="0"/>
                <w:sz w:val="18"/>
                <w:szCs w:val="18"/>
              </w:rPr>
            </w:pPr>
            <w:r>
              <w:rPr>
                <w:kern w:val="0"/>
                <w:sz w:val="18"/>
                <w:szCs w:val="18"/>
              </w:rPr>
              <w:t>背景值</w:t>
            </w:r>
          </w:p>
        </w:tc>
        <w:tc>
          <w:tcPr>
            <w:tcW w:w="801" w:type="dxa"/>
            <w:shd w:val="clear" w:color="auto" w:fill="auto"/>
            <w:vAlign w:val="center"/>
          </w:tcPr>
          <w:p>
            <w:pPr>
              <w:jc w:val="center"/>
              <w:rPr>
                <w:rFonts w:hint="eastAsia" w:ascii="宋体" w:hAnsi="宋体" w:cs="宋体"/>
                <w:sz w:val="18"/>
                <w:szCs w:val="18"/>
              </w:rPr>
            </w:pPr>
            <w:r>
              <w:rPr>
                <w:rFonts w:hint="eastAsia" w:ascii="宋体" w:hAnsi="宋体" w:cs="宋体"/>
                <w:sz w:val="18"/>
                <w:szCs w:val="18"/>
              </w:rPr>
              <w:t>/</w:t>
            </w:r>
          </w:p>
        </w:tc>
        <w:tc>
          <w:tcPr>
            <w:tcW w:w="801" w:type="dxa"/>
            <w:shd w:val="clear" w:color="auto" w:fill="auto"/>
            <w:vAlign w:val="center"/>
          </w:tcPr>
          <w:p>
            <w:pPr>
              <w:jc w:val="center"/>
              <w:rPr>
                <w:rFonts w:hint="eastAsia" w:ascii="宋体" w:hAnsi="宋体" w:cs="宋体"/>
                <w:sz w:val="18"/>
                <w:szCs w:val="18"/>
              </w:rPr>
            </w:pPr>
            <w:r>
              <w:rPr>
                <w:rFonts w:hint="eastAsia" w:ascii="宋体" w:hAnsi="宋体" w:cs="宋体"/>
                <w:sz w:val="18"/>
                <w:szCs w:val="18"/>
              </w:rPr>
              <w:t>/</w:t>
            </w:r>
          </w:p>
        </w:tc>
        <w:tc>
          <w:tcPr>
            <w:tcW w:w="801" w:type="dxa"/>
            <w:shd w:val="clear" w:color="auto" w:fill="F3F3F3"/>
            <w:vAlign w:val="center"/>
          </w:tcPr>
          <w:p>
            <w:pPr>
              <w:jc w:val="center"/>
              <w:rPr>
                <w:rFonts w:hint="eastAsia" w:ascii="宋体" w:hAnsi="宋体" w:cs="宋体"/>
                <w:sz w:val="18"/>
                <w:szCs w:val="18"/>
              </w:rPr>
            </w:pPr>
            <w:r>
              <w:rPr>
                <w:rFonts w:hint="eastAsia" w:ascii="宋体" w:hAnsi="宋体" w:cs="宋体"/>
                <w:sz w:val="18"/>
                <w:szCs w:val="18"/>
              </w:rPr>
              <w:t>/</w:t>
            </w:r>
          </w:p>
        </w:tc>
        <w:tc>
          <w:tcPr>
            <w:tcW w:w="936" w:type="dxa"/>
            <w:shd w:val="clear" w:color="auto" w:fill="auto"/>
            <w:vAlign w:val="center"/>
          </w:tcPr>
          <w:p>
            <w:pPr>
              <w:jc w:val="center"/>
              <w:rPr>
                <w:rFonts w:ascii="宋体" w:hAnsi="宋体" w:cs="宋体"/>
                <w:sz w:val="18"/>
                <w:szCs w:val="18"/>
              </w:rPr>
            </w:pPr>
            <w:r>
              <w:rPr>
                <w:rFonts w:hint="eastAsia"/>
                <w:sz w:val="18"/>
                <w:szCs w:val="18"/>
              </w:rPr>
              <w:t>0.039</w:t>
            </w:r>
          </w:p>
        </w:tc>
        <w:tc>
          <w:tcPr>
            <w:tcW w:w="1116" w:type="dxa"/>
            <w:shd w:val="clear" w:color="auto" w:fill="auto"/>
            <w:vAlign w:val="center"/>
          </w:tcPr>
          <w:p>
            <w:pPr>
              <w:jc w:val="center"/>
              <w:rPr>
                <w:rFonts w:ascii="宋体" w:hAnsi="宋体" w:cs="宋体"/>
                <w:sz w:val="18"/>
                <w:szCs w:val="18"/>
              </w:rPr>
            </w:pPr>
            <w:r>
              <w:rPr>
                <w:rFonts w:hint="eastAsia"/>
                <w:sz w:val="18"/>
                <w:szCs w:val="18"/>
              </w:rPr>
              <w:t>0.021</w:t>
            </w:r>
          </w:p>
        </w:tc>
        <w:tc>
          <w:tcPr>
            <w:tcW w:w="801" w:type="dxa"/>
            <w:vAlign w:val="center"/>
          </w:tcPr>
          <w:p>
            <w:pPr>
              <w:jc w:val="center"/>
              <w:rPr>
                <w:rFonts w:hint="eastAsia" w:ascii="宋体" w:hAnsi="宋体" w:cs="宋体"/>
                <w:sz w:val="18"/>
                <w:szCs w:val="18"/>
              </w:rPr>
            </w:pPr>
            <w:r>
              <w:rPr>
                <w:rFonts w:hint="eastAsia" w:ascii="宋体" w:hAnsi="宋体" w:cs="宋体"/>
                <w:sz w:val="18"/>
                <w:szCs w:val="18"/>
              </w:rPr>
              <w:t>/</w:t>
            </w:r>
          </w:p>
        </w:tc>
        <w:tc>
          <w:tcPr>
            <w:tcW w:w="1296" w:type="dxa"/>
            <w:vAlign w:val="center"/>
          </w:tcPr>
          <w:p>
            <w:pPr>
              <w:jc w:val="center"/>
              <w:rPr>
                <w:rFonts w:ascii="宋体" w:hAnsi="宋体" w:cs="宋体"/>
                <w:sz w:val="18"/>
                <w:szCs w:val="18"/>
              </w:rPr>
            </w:pPr>
            <w:r>
              <w:rPr>
                <w:rFonts w:hint="eastAsia"/>
                <w:sz w:val="18"/>
                <w:szCs w:val="18"/>
              </w:rPr>
              <w:t>0.053</w:t>
            </w:r>
          </w:p>
        </w:tc>
        <w:tc>
          <w:tcPr>
            <w:tcW w:w="936" w:type="dxa"/>
            <w:vAlign w:val="center"/>
          </w:tcPr>
          <w:p>
            <w:pPr>
              <w:jc w:val="center"/>
              <w:rPr>
                <w:rFonts w:ascii="宋体" w:hAnsi="宋体" w:cs="宋体"/>
                <w:sz w:val="18"/>
                <w:szCs w:val="18"/>
              </w:rPr>
            </w:pPr>
            <w:r>
              <w:rPr>
                <w:rFonts w:hint="eastAsia"/>
                <w:sz w:val="18"/>
                <w:szCs w:val="18"/>
              </w:rPr>
              <w:t>0.051</w:t>
            </w:r>
          </w:p>
        </w:tc>
        <w:tc>
          <w:tcPr>
            <w:tcW w:w="801" w:type="dxa"/>
            <w:vAlign w:val="center"/>
          </w:tcPr>
          <w:p>
            <w:pPr>
              <w:jc w:val="center"/>
              <w:rPr>
                <w:rFonts w:hint="eastAsia" w:ascii="宋体" w:hAnsi="宋体" w:cs="宋体"/>
                <w:sz w:val="18"/>
                <w:szCs w:val="18"/>
              </w:rPr>
            </w:pPr>
            <w:r>
              <w:rPr>
                <w:rFonts w:hint="eastAsia" w:ascii="宋体" w:hAnsi="宋体" w:cs="宋体"/>
                <w:sz w:val="18"/>
                <w:szCs w:val="18"/>
              </w:rPr>
              <w:t>/</w:t>
            </w:r>
          </w:p>
        </w:tc>
        <w:tc>
          <w:tcPr>
            <w:tcW w:w="936" w:type="dxa"/>
            <w:vAlign w:val="center"/>
          </w:tcPr>
          <w:p>
            <w:pPr>
              <w:jc w:val="center"/>
              <w:rPr>
                <w:rFonts w:ascii="宋体" w:hAnsi="宋体" w:cs="宋体"/>
                <w:sz w:val="18"/>
                <w:szCs w:val="18"/>
              </w:rPr>
            </w:pPr>
            <w:r>
              <w:rPr>
                <w:rFonts w:hint="eastAsia"/>
                <w:sz w:val="18"/>
                <w:szCs w:val="18"/>
              </w:rPr>
              <w:t>0.048</w:t>
            </w:r>
          </w:p>
        </w:tc>
        <w:tc>
          <w:tcPr>
            <w:tcW w:w="936" w:type="dxa"/>
            <w:vAlign w:val="center"/>
          </w:tcPr>
          <w:p>
            <w:pPr>
              <w:jc w:val="center"/>
              <w:rPr>
                <w:rFonts w:hint="eastAsia" w:ascii="宋体" w:hAnsi="宋体" w:cs="宋体"/>
                <w:sz w:val="18"/>
                <w:szCs w:val="18"/>
              </w:rPr>
            </w:pPr>
            <w:r>
              <w:rPr>
                <w:rFonts w:hint="eastAsia" w:ascii="宋体" w:hAnsi="宋体" w:cs="宋体"/>
                <w:sz w:val="18"/>
                <w:szCs w:val="18"/>
              </w:rPr>
              <w:t>/</w:t>
            </w:r>
          </w:p>
        </w:tc>
        <w:tc>
          <w:tcPr>
            <w:tcW w:w="801" w:type="dxa"/>
            <w:vAlign w:val="center"/>
          </w:tcPr>
          <w:p>
            <w:pPr>
              <w:jc w:val="center"/>
              <w:rPr>
                <w:rFonts w:ascii="宋体" w:hAnsi="宋体" w:cs="宋体"/>
                <w:sz w:val="18"/>
                <w:szCs w:val="18"/>
              </w:rPr>
            </w:pPr>
            <w:r>
              <w:rPr>
                <w:rFonts w:hint="eastAsia"/>
                <w:sz w:val="18"/>
                <w:szCs w:val="18"/>
              </w:rPr>
              <w:t>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597" w:type="dxa"/>
            <w:vMerge w:val="continue"/>
            <w:shd w:val="clear" w:color="auto" w:fill="auto"/>
            <w:vAlign w:val="center"/>
          </w:tcPr>
          <w:p>
            <w:pPr>
              <w:widowControl/>
              <w:adjustRightInd w:val="0"/>
              <w:snapToGrid w:val="0"/>
              <w:spacing w:line="480" w:lineRule="exact"/>
              <w:jc w:val="center"/>
              <w:rPr>
                <w:kern w:val="0"/>
                <w:sz w:val="18"/>
                <w:szCs w:val="18"/>
              </w:rPr>
            </w:pPr>
          </w:p>
        </w:tc>
        <w:tc>
          <w:tcPr>
            <w:tcW w:w="1116" w:type="dxa"/>
            <w:shd w:val="clear" w:color="auto" w:fill="auto"/>
            <w:vAlign w:val="center"/>
          </w:tcPr>
          <w:p>
            <w:pPr>
              <w:widowControl/>
              <w:adjustRightInd w:val="0"/>
              <w:snapToGrid w:val="0"/>
              <w:spacing w:line="480" w:lineRule="exact"/>
              <w:jc w:val="center"/>
              <w:rPr>
                <w:kern w:val="0"/>
                <w:sz w:val="18"/>
                <w:szCs w:val="18"/>
              </w:rPr>
            </w:pPr>
            <w:r>
              <w:rPr>
                <w:kern w:val="0"/>
                <w:sz w:val="18"/>
                <w:szCs w:val="18"/>
              </w:rPr>
              <w:t>叠加值</w:t>
            </w:r>
          </w:p>
        </w:tc>
        <w:tc>
          <w:tcPr>
            <w:tcW w:w="801" w:type="dxa"/>
            <w:shd w:val="clear" w:color="auto" w:fill="auto"/>
            <w:vAlign w:val="center"/>
          </w:tcPr>
          <w:p>
            <w:pPr>
              <w:jc w:val="center"/>
              <w:rPr>
                <w:rFonts w:ascii="宋体" w:hAnsi="宋体" w:cs="宋体"/>
                <w:sz w:val="18"/>
                <w:szCs w:val="18"/>
              </w:rPr>
            </w:pPr>
            <w:r>
              <w:rPr>
                <w:rFonts w:hint="eastAsia"/>
                <w:sz w:val="18"/>
                <w:szCs w:val="18"/>
              </w:rPr>
              <w:t>0.00226</w:t>
            </w:r>
          </w:p>
        </w:tc>
        <w:tc>
          <w:tcPr>
            <w:tcW w:w="801" w:type="dxa"/>
            <w:shd w:val="clear" w:color="auto" w:fill="auto"/>
            <w:vAlign w:val="center"/>
          </w:tcPr>
          <w:p>
            <w:pPr>
              <w:jc w:val="center"/>
              <w:rPr>
                <w:rFonts w:ascii="宋体" w:hAnsi="宋体" w:cs="宋体"/>
                <w:sz w:val="18"/>
                <w:szCs w:val="18"/>
              </w:rPr>
            </w:pPr>
            <w:r>
              <w:rPr>
                <w:rFonts w:hint="eastAsia"/>
                <w:sz w:val="18"/>
                <w:szCs w:val="18"/>
              </w:rPr>
              <w:t>0.00539</w:t>
            </w:r>
          </w:p>
        </w:tc>
        <w:tc>
          <w:tcPr>
            <w:tcW w:w="801" w:type="dxa"/>
            <w:shd w:val="clear" w:color="auto" w:fill="F3F3F3"/>
            <w:vAlign w:val="center"/>
          </w:tcPr>
          <w:p>
            <w:pPr>
              <w:jc w:val="center"/>
              <w:rPr>
                <w:rFonts w:ascii="宋体" w:hAnsi="宋体" w:cs="宋体"/>
                <w:sz w:val="18"/>
                <w:szCs w:val="18"/>
              </w:rPr>
            </w:pPr>
            <w:r>
              <w:rPr>
                <w:rFonts w:hint="eastAsia"/>
                <w:sz w:val="18"/>
                <w:szCs w:val="18"/>
              </w:rPr>
              <w:t>0.00824</w:t>
            </w:r>
          </w:p>
        </w:tc>
        <w:tc>
          <w:tcPr>
            <w:tcW w:w="936" w:type="dxa"/>
            <w:shd w:val="clear" w:color="auto" w:fill="auto"/>
            <w:vAlign w:val="center"/>
          </w:tcPr>
          <w:p>
            <w:pPr>
              <w:jc w:val="center"/>
              <w:rPr>
                <w:rFonts w:ascii="宋体" w:hAnsi="宋体" w:cs="宋体"/>
                <w:sz w:val="18"/>
                <w:szCs w:val="18"/>
              </w:rPr>
            </w:pPr>
            <w:r>
              <w:rPr>
                <w:rFonts w:hint="eastAsia"/>
                <w:sz w:val="18"/>
                <w:szCs w:val="18"/>
              </w:rPr>
              <w:t>0.05583</w:t>
            </w:r>
          </w:p>
        </w:tc>
        <w:tc>
          <w:tcPr>
            <w:tcW w:w="1116" w:type="dxa"/>
            <w:shd w:val="clear" w:color="auto" w:fill="auto"/>
            <w:vAlign w:val="center"/>
          </w:tcPr>
          <w:p>
            <w:pPr>
              <w:jc w:val="center"/>
              <w:rPr>
                <w:rFonts w:ascii="宋体" w:hAnsi="宋体" w:cs="宋体"/>
                <w:sz w:val="18"/>
                <w:szCs w:val="18"/>
              </w:rPr>
            </w:pPr>
            <w:r>
              <w:rPr>
                <w:rFonts w:hint="eastAsia"/>
                <w:sz w:val="18"/>
                <w:szCs w:val="18"/>
              </w:rPr>
              <w:t>0.03287</w:t>
            </w:r>
          </w:p>
        </w:tc>
        <w:tc>
          <w:tcPr>
            <w:tcW w:w="801" w:type="dxa"/>
            <w:vAlign w:val="center"/>
          </w:tcPr>
          <w:p>
            <w:pPr>
              <w:jc w:val="center"/>
              <w:rPr>
                <w:rFonts w:ascii="宋体" w:hAnsi="宋体" w:cs="宋体"/>
                <w:sz w:val="18"/>
                <w:szCs w:val="18"/>
              </w:rPr>
            </w:pPr>
            <w:r>
              <w:rPr>
                <w:rFonts w:hint="eastAsia"/>
                <w:sz w:val="18"/>
                <w:szCs w:val="18"/>
              </w:rPr>
              <w:t>0.00180</w:t>
            </w:r>
          </w:p>
        </w:tc>
        <w:tc>
          <w:tcPr>
            <w:tcW w:w="1296" w:type="dxa"/>
            <w:vAlign w:val="center"/>
          </w:tcPr>
          <w:p>
            <w:pPr>
              <w:jc w:val="center"/>
              <w:rPr>
                <w:rFonts w:ascii="宋体" w:hAnsi="宋体" w:cs="宋体"/>
                <w:sz w:val="18"/>
                <w:szCs w:val="18"/>
              </w:rPr>
            </w:pPr>
            <w:r>
              <w:rPr>
                <w:rFonts w:hint="eastAsia"/>
                <w:sz w:val="18"/>
                <w:szCs w:val="18"/>
              </w:rPr>
              <w:t>0.08403</w:t>
            </w:r>
          </w:p>
        </w:tc>
        <w:tc>
          <w:tcPr>
            <w:tcW w:w="936" w:type="dxa"/>
            <w:vAlign w:val="center"/>
          </w:tcPr>
          <w:p>
            <w:pPr>
              <w:jc w:val="center"/>
              <w:rPr>
                <w:rFonts w:ascii="宋体" w:hAnsi="宋体" w:cs="宋体"/>
                <w:sz w:val="18"/>
                <w:szCs w:val="18"/>
              </w:rPr>
            </w:pPr>
            <w:r>
              <w:rPr>
                <w:rFonts w:hint="eastAsia"/>
                <w:sz w:val="18"/>
                <w:szCs w:val="18"/>
              </w:rPr>
              <w:t>0.06433</w:t>
            </w:r>
          </w:p>
        </w:tc>
        <w:tc>
          <w:tcPr>
            <w:tcW w:w="801" w:type="dxa"/>
            <w:vAlign w:val="center"/>
          </w:tcPr>
          <w:p>
            <w:pPr>
              <w:jc w:val="center"/>
              <w:rPr>
                <w:rFonts w:ascii="宋体" w:hAnsi="宋体" w:cs="宋体"/>
                <w:sz w:val="18"/>
                <w:szCs w:val="18"/>
              </w:rPr>
            </w:pPr>
            <w:r>
              <w:rPr>
                <w:rFonts w:hint="eastAsia"/>
                <w:sz w:val="18"/>
                <w:szCs w:val="18"/>
              </w:rPr>
              <w:t>0.00385</w:t>
            </w:r>
          </w:p>
        </w:tc>
        <w:tc>
          <w:tcPr>
            <w:tcW w:w="936" w:type="dxa"/>
            <w:vAlign w:val="center"/>
          </w:tcPr>
          <w:p>
            <w:pPr>
              <w:jc w:val="center"/>
              <w:rPr>
                <w:rFonts w:ascii="宋体" w:hAnsi="宋体" w:cs="宋体"/>
                <w:sz w:val="18"/>
                <w:szCs w:val="18"/>
              </w:rPr>
            </w:pPr>
            <w:r>
              <w:rPr>
                <w:rFonts w:hint="eastAsia"/>
                <w:sz w:val="18"/>
                <w:szCs w:val="18"/>
              </w:rPr>
              <w:t>0.07089</w:t>
            </w:r>
          </w:p>
        </w:tc>
        <w:tc>
          <w:tcPr>
            <w:tcW w:w="936" w:type="dxa"/>
            <w:vAlign w:val="center"/>
          </w:tcPr>
          <w:p>
            <w:pPr>
              <w:jc w:val="center"/>
              <w:rPr>
                <w:rFonts w:ascii="宋体" w:hAnsi="宋体" w:cs="宋体"/>
                <w:sz w:val="18"/>
                <w:szCs w:val="18"/>
              </w:rPr>
            </w:pPr>
            <w:r>
              <w:rPr>
                <w:rFonts w:hint="eastAsia"/>
                <w:sz w:val="18"/>
                <w:szCs w:val="18"/>
              </w:rPr>
              <w:t>0.00699</w:t>
            </w:r>
          </w:p>
        </w:tc>
        <w:tc>
          <w:tcPr>
            <w:tcW w:w="801" w:type="dxa"/>
            <w:vAlign w:val="center"/>
          </w:tcPr>
          <w:p>
            <w:pPr>
              <w:jc w:val="center"/>
              <w:rPr>
                <w:rFonts w:ascii="宋体" w:hAnsi="宋体" w:cs="宋体"/>
                <w:sz w:val="18"/>
                <w:szCs w:val="18"/>
              </w:rPr>
            </w:pPr>
            <w:r>
              <w:rPr>
                <w:rFonts w:hint="eastAsia"/>
                <w:sz w:val="18"/>
                <w:szCs w:val="18"/>
              </w:rPr>
              <w:t>0.04511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597" w:type="dxa"/>
            <w:vMerge w:val="continue"/>
            <w:shd w:val="clear" w:color="auto" w:fill="auto"/>
            <w:vAlign w:val="center"/>
          </w:tcPr>
          <w:p>
            <w:pPr>
              <w:widowControl/>
              <w:adjustRightInd w:val="0"/>
              <w:snapToGrid w:val="0"/>
              <w:spacing w:line="480" w:lineRule="exact"/>
              <w:jc w:val="center"/>
              <w:rPr>
                <w:kern w:val="0"/>
                <w:sz w:val="18"/>
                <w:szCs w:val="18"/>
              </w:rPr>
            </w:pPr>
          </w:p>
        </w:tc>
        <w:tc>
          <w:tcPr>
            <w:tcW w:w="1116" w:type="dxa"/>
            <w:shd w:val="clear" w:color="auto" w:fill="auto"/>
            <w:vAlign w:val="center"/>
          </w:tcPr>
          <w:p>
            <w:pPr>
              <w:widowControl/>
              <w:adjustRightInd w:val="0"/>
              <w:snapToGrid w:val="0"/>
              <w:spacing w:line="480" w:lineRule="exact"/>
              <w:jc w:val="center"/>
              <w:rPr>
                <w:kern w:val="0"/>
                <w:sz w:val="18"/>
                <w:szCs w:val="18"/>
              </w:rPr>
            </w:pPr>
            <w:r>
              <w:rPr>
                <w:kern w:val="0"/>
                <w:sz w:val="18"/>
                <w:szCs w:val="18"/>
              </w:rPr>
              <w:t>占标率(%)</w:t>
            </w:r>
          </w:p>
        </w:tc>
        <w:tc>
          <w:tcPr>
            <w:tcW w:w="801" w:type="dxa"/>
            <w:shd w:val="clear" w:color="auto" w:fill="auto"/>
            <w:vAlign w:val="center"/>
          </w:tcPr>
          <w:p>
            <w:pPr>
              <w:jc w:val="center"/>
              <w:rPr>
                <w:rFonts w:ascii="宋体" w:hAnsi="宋体" w:cs="宋体"/>
                <w:sz w:val="18"/>
                <w:szCs w:val="18"/>
              </w:rPr>
            </w:pPr>
            <w:r>
              <w:rPr>
                <w:rFonts w:hint="eastAsia"/>
                <w:sz w:val="18"/>
                <w:szCs w:val="18"/>
              </w:rPr>
              <w:t>1.88</w:t>
            </w:r>
          </w:p>
        </w:tc>
        <w:tc>
          <w:tcPr>
            <w:tcW w:w="801" w:type="dxa"/>
            <w:shd w:val="clear" w:color="auto" w:fill="auto"/>
            <w:vAlign w:val="center"/>
          </w:tcPr>
          <w:p>
            <w:pPr>
              <w:jc w:val="center"/>
              <w:rPr>
                <w:rFonts w:ascii="宋体" w:hAnsi="宋体" w:cs="宋体"/>
                <w:sz w:val="18"/>
                <w:szCs w:val="18"/>
              </w:rPr>
            </w:pPr>
            <w:r>
              <w:rPr>
                <w:rFonts w:hint="eastAsia"/>
                <w:sz w:val="18"/>
                <w:szCs w:val="18"/>
              </w:rPr>
              <w:t>4.49</w:t>
            </w:r>
          </w:p>
        </w:tc>
        <w:tc>
          <w:tcPr>
            <w:tcW w:w="801" w:type="dxa"/>
            <w:shd w:val="clear" w:color="auto" w:fill="F3F3F3"/>
            <w:vAlign w:val="center"/>
          </w:tcPr>
          <w:p>
            <w:pPr>
              <w:jc w:val="center"/>
              <w:rPr>
                <w:rFonts w:ascii="宋体" w:hAnsi="宋体" w:cs="宋体"/>
                <w:sz w:val="18"/>
                <w:szCs w:val="18"/>
              </w:rPr>
            </w:pPr>
            <w:r>
              <w:rPr>
                <w:rFonts w:hint="eastAsia"/>
                <w:sz w:val="18"/>
                <w:szCs w:val="18"/>
              </w:rPr>
              <w:t>6.87</w:t>
            </w:r>
          </w:p>
        </w:tc>
        <w:tc>
          <w:tcPr>
            <w:tcW w:w="936" w:type="dxa"/>
            <w:shd w:val="clear" w:color="auto" w:fill="auto"/>
            <w:vAlign w:val="center"/>
          </w:tcPr>
          <w:p>
            <w:pPr>
              <w:jc w:val="center"/>
              <w:rPr>
                <w:rFonts w:ascii="宋体" w:hAnsi="宋体" w:cs="宋体"/>
                <w:sz w:val="18"/>
                <w:szCs w:val="18"/>
              </w:rPr>
            </w:pPr>
            <w:r>
              <w:rPr>
                <w:rFonts w:hint="eastAsia"/>
                <w:sz w:val="18"/>
                <w:szCs w:val="18"/>
              </w:rPr>
              <w:t>46.53</w:t>
            </w:r>
          </w:p>
        </w:tc>
        <w:tc>
          <w:tcPr>
            <w:tcW w:w="1116" w:type="dxa"/>
            <w:shd w:val="clear" w:color="auto" w:fill="auto"/>
            <w:vAlign w:val="center"/>
          </w:tcPr>
          <w:p>
            <w:pPr>
              <w:jc w:val="center"/>
              <w:rPr>
                <w:rFonts w:ascii="宋体" w:hAnsi="宋体" w:cs="宋体"/>
                <w:sz w:val="18"/>
                <w:szCs w:val="18"/>
              </w:rPr>
            </w:pPr>
            <w:r>
              <w:rPr>
                <w:rFonts w:hint="eastAsia"/>
                <w:sz w:val="18"/>
                <w:szCs w:val="18"/>
              </w:rPr>
              <w:t>27.39</w:t>
            </w:r>
          </w:p>
        </w:tc>
        <w:tc>
          <w:tcPr>
            <w:tcW w:w="801" w:type="dxa"/>
            <w:vAlign w:val="center"/>
          </w:tcPr>
          <w:p>
            <w:pPr>
              <w:jc w:val="center"/>
              <w:rPr>
                <w:rFonts w:ascii="宋体" w:hAnsi="宋体" w:cs="宋体"/>
                <w:sz w:val="18"/>
                <w:szCs w:val="18"/>
              </w:rPr>
            </w:pPr>
            <w:r>
              <w:rPr>
                <w:rFonts w:hint="eastAsia"/>
                <w:sz w:val="18"/>
                <w:szCs w:val="18"/>
              </w:rPr>
              <w:t>1.50</w:t>
            </w:r>
          </w:p>
        </w:tc>
        <w:tc>
          <w:tcPr>
            <w:tcW w:w="1296" w:type="dxa"/>
            <w:vAlign w:val="center"/>
          </w:tcPr>
          <w:p>
            <w:pPr>
              <w:jc w:val="center"/>
              <w:rPr>
                <w:rFonts w:ascii="宋体" w:hAnsi="宋体" w:cs="宋体"/>
                <w:sz w:val="18"/>
                <w:szCs w:val="18"/>
              </w:rPr>
            </w:pPr>
            <w:r>
              <w:rPr>
                <w:rFonts w:hint="eastAsia"/>
                <w:sz w:val="18"/>
                <w:szCs w:val="18"/>
              </w:rPr>
              <w:t>70.02</w:t>
            </w:r>
          </w:p>
        </w:tc>
        <w:tc>
          <w:tcPr>
            <w:tcW w:w="936" w:type="dxa"/>
            <w:vAlign w:val="center"/>
          </w:tcPr>
          <w:p>
            <w:pPr>
              <w:jc w:val="center"/>
              <w:rPr>
                <w:rFonts w:ascii="宋体" w:hAnsi="宋体" w:cs="宋体"/>
                <w:sz w:val="18"/>
                <w:szCs w:val="18"/>
              </w:rPr>
            </w:pPr>
            <w:r>
              <w:rPr>
                <w:rFonts w:hint="eastAsia"/>
                <w:sz w:val="18"/>
                <w:szCs w:val="18"/>
              </w:rPr>
              <w:t>53.60</w:t>
            </w:r>
          </w:p>
        </w:tc>
        <w:tc>
          <w:tcPr>
            <w:tcW w:w="801" w:type="dxa"/>
            <w:vAlign w:val="center"/>
          </w:tcPr>
          <w:p>
            <w:pPr>
              <w:jc w:val="center"/>
              <w:rPr>
                <w:rFonts w:ascii="宋体" w:hAnsi="宋体" w:cs="宋体"/>
                <w:sz w:val="18"/>
                <w:szCs w:val="18"/>
              </w:rPr>
            </w:pPr>
            <w:r>
              <w:rPr>
                <w:rFonts w:hint="eastAsia"/>
                <w:sz w:val="18"/>
                <w:szCs w:val="18"/>
              </w:rPr>
              <w:t>3.21</w:t>
            </w:r>
          </w:p>
        </w:tc>
        <w:tc>
          <w:tcPr>
            <w:tcW w:w="936" w:type="dxa"/>
            <w:vAlign w:val="center"/>
          </w:tcPr>
          <w:p>
            <w:pPr>
              <w:jc w:val="center"/>
              <w:rPr>
                <w:rFonts w:ascii="宋体" w:hAnsi="宋体" w:cs="宋体"/>
                <w:sz w:val="18"/>
                <w:szCs w:val="18"/>
              </w:rPr>
            </w:pPr>
            <w:r>
              <w:rPr>
                <w:rFonts w:hint="eastAsia"/>
                <w:sz w:val="18"/>
                <w:szCs w:val="18"/>
              </w:rPr>
              <w:t>59.08</w:t>
            </w:r>
          </w:p>
        </w:tc>
        <w:tc>
          <w:tcPr>
            <w:tcW w:w="936" w:type="dxa"/>
            <w:vAlign w:val="center"/>
          </w:tcPr>
          <w:p>
            <w:pPr>
              <w:jc w:val="center"/>
              <w:rPr>
                <w:rFonts w:ascii="宋体" w:hAnsi="宋体" w:cs="宋体"/>
                <w:sz w:val="18"/>
                <w:szCs w:val="18"/>
              </w:rPr>
            </w:pPr>
            <w:r>
              <w:rPr>
                <w:rFonts w:hint="eastAsia"/>
                <w:sz w:val="18"/>
                <w:szCs w:val="18"/>
              </w:rPr>
              <w:t>5.82</w:t>
            </w:r>
          </w:p>
        </w:tc>
        <w:tc>
          <w:tcPr>
            <w:tcW w:w="801" w:type="dxa"/>
            <w:vAlign w:val="center"/>
          </w:tcPr>
          <w:p>
            <w:pPr>
              <w:jc w:val="center"/>
              <w:rPr>
                <w:rFonts w:ascii="宋体" w:hAnsi="宋体" w:cs="宋体"/>
                <w:sz w:val="18"/>
                <w:szCs w:val="18"/>
              </w:rPr>
            </w:pPr>
            <w:r>
              <w:rPr>
                <w:rFonts w:hint="eastAsia"/>
                <w:sz w:val="18"/>
                <w:szCs w:val="18"/>
              </w:rPr>
              <w:t>37.59</w:t>
            </w:r>
          </w:p>
        </w:tc>
      </w:tr>
    </w:tbl>
    <w:p>
      <w:pPr>
        <w:adjustRightInd w:val="0"/>
        <w:snapToGrid w:val="0"/>
        <w:spacing w:line="480" w:lineRule="exact"/>
        <w:ind w:firstLine="480"/>
        <w:rPr>
          <w:rFonts w:hint="eastAsia"/>
        </w:rPr>
      </w:pPr>
    </w:p>
    <w:p>
      <w:pPr>
        <w:adjustRightInd w:val="0"/>
        <w:snapToGrid w:val="0"/>
        <w:spacing w:line="480" w:lineRule="exact"/>
        <w:ind w:firstLine="480"/>
        <w:rPr>
          <w:rFonts w:hint="eastAsia"/>
        </w:rPr>
      </w:pPr>
    </w:p>
    <w:p>
      <w:pPr>
        <w:adjustRightInd w:val="0"/>
        <w:snapToGrid w:val="0"/>
        <w:spacing w:line="480" w:lineRule="exact"/>
        <w:ind w:firstLine="480"/>
        <w:sectPr>
          <w:pgSz w:w="16838" w:h="11906" w:orient="landscape"/>
          <w:pgMar w:top="1418" w:right="1418" w:bottom="1418" w:left="1418" w:header="851" w:footer="992" w:gutter="0"/>
          <w:paperSrc w:first="20070" w:other="20070"/>
          <w:cols w:space="425" w:num="1"/>
          <w:docGrid w:linePitch="312" w:charSpace="0"/>
        </w:sectPr>
      </w:pPr>
    </w:p>
    <w:p>
      <w:pPr>
        <w:pStyle w:val="26"/>
        <w:ind w:firstLine="482"/>
        <w:rPr>
          <w:rFonts w:hint="eastAsia"/>
        </w:rPr>
      </w:pPr>
      <w:r>
        <w:t>C、</w:t>
      </w:r>
      <w:r>
        <w:rPr>
          <w:rFonts w:hint="eastAsia"/>
        </w:rPr>
        <w:t>技改项目建成后对区域环境的改善作用分析</w:t>
      </w:r>
    </w:p>
    <w:p>
      <w:pPr>
        <w:pStyle w:val="26"/>
        <w:ind w:firstLine="482"/>
        <w:rPr>
          <w:rFonts w:hint="eastAsia"/>
        </w:rPr>
      </w:pPr>
      <w:r>
        <w:rPr>
          <w:rFonts w:hint="eastAsia"/>
        </w:rPr>
        <w:t>技改项目将在现有立窑拆除后建设，工程分析表明其污染物排放量较现有立窑将有较大程度的减少，为进一步分析技改项目建成后对环境的改善作用，本评价对技改前后水泥生产线对周边各敏感点的小时</w:t>
      </w:r>
      <w:r>
        <w:t>最大浓度</w:t>
      </w:r>
      <w:r>
        <w:rPr>
          <w:rFonts w:hint="eastAsia"/>
        </w:rPr>
        <w:t>、</w:t>
      </w:r>
      <w:r>
        <w:t>日均最大浓度</w:t>
      </w:r>
      <w:r>
        <w:rPr>
          <w:rFonts w:hint="eastAsia"/>
        </w:rPr>
        <w:t>和年均影响浓度进行了对比分析，结果见表8-16</w:t>
      </w:r>
      <w:r>
        <w:t>—</w:t>
      </w:r>
      <w:r>
        <w:rPr>
          <w:rFonts w:hint="eastAsia"/>
        </w:rPr>
        <w:t>表8-18。</w:t>
      </w:r>
    </w:p>
    <w:p>
      <w:pPr>
        <w:spacing w:line="360" w:lineRule="auto"/>
        <w:ind w:firstLine="482"/>
        <w:rPr>
          <w:rFonts w:hint="eastAsia"/>
          <w:snapToGrid w:val="0"/>
          <w:kern w:val="0"/>
        </w:rPr>
      </w:pPr>
      <w:r>
        <w:rPr>
          <w:rFonts w:hint="eastAsia"/>
          <w:snapToGrid w:val="0"/>
          <w:kern w:val="0"/>
        </w:rPr>
        <w:t>从表8-16</w:t>
      </w:r>
      <w:r>
        <w:rPr>
          <w:snapToGrid w:val="0"/>
          <w:kern w:val="0"/>
        </w:rPr>
        <w:t>—</w:t>
      </w:r>
      <w:r>
        <w:rPr>
          <w:rFonts w:hint="eastAsia"/>
          <w:snapToGrid w:val="0"/>
          <w:kern w:val="0"/>
        </w:rPr>
        <w:t>表8-18可以看出，技改项目建成后</w:t>
      </w:r>
      <w:r>
        <w:rPr>
          <w:snapToGrid w:val="0"/>
          <w:kern w:val="0"/>
        </w:rPr>
        <w:t>PM</w:t>
      </w:r>
      <w:r>
        <w:rPr>
          <w:snapToGrid w:val="0"/>
          <w:kern w:val="0"/>
          <w:vertAlign w:val="subscript"/>
        </w:rPr>
        <w:t>10</w:t>
      </w:r>
      <w:r>
        <w:rPr>
          <w:rFonts w:hint="eastAsia"/>
          <w:snapToGrid w:val="0"/>
          <w:kern w:val="0"/>
        </w:rPr>
        <w:t>、</w:t>
      </w:r>
      <w:r>
        <w:rPr>
          <w:snapToGrid w:val="0"/>
          <w:kern w:val="0"/>
        </w:rPr>
        <w:t>SO</w:t>
      </w:r>
      <w:r>
        <w:rPr>
          <w:snapToGrid w:val="0"/>
          <w:kern w:val="0"/>
          <w:vertAlign w:val="subscript"/>
        </w:rPr>
        <w:t>2</w:t>
      </w:r>
      <w:r>
        <w:rPr>
          <w:rFonts w:hint="eastAsia"/>
          <w:snapToGrid w:val="0"/>
          <w:kern w:val="0"/>
        </w:rPr>
        <w:t>对各敏感点的影响明显减少，但是NO</w:t>
      </w:r>
      <w:r>
        <w:rPr>
          <w:rFonts w:hint="eastAsia"/>
          <w:snapToGrid w:val="0"/>
          <w:kern w:val="0"/>
          <w:vertAlign w:val="subscript"/>
        </w:rPr>
        <w:t>2</w:t>
      </w:r>
      <w:r>
        <w:rPr>
          <w:rFonts w:hint="eastAsia"/>
          <w:snapToGrid w:val="0"/>
          <w:kern w:val="0"/>
        </w:rPr>
        <w:t>对敏感点影响值增加明显。</w:t>
      </w:r>
    </w:p>
    <w:p>
      <w:pPr>
        <w:adjustRightInd w:val="0"/>
        <w:snapToGrid w:val="0"/>
        <w:spacing w:line="360" w:lineRule="auto"/>
        <w:ind w:firstLine="482"/>
      </w:pPr>
      <w:r>
        <w:rPr>
          <w:rFonts w:hint="eastAsia"/>
        </w:rPr>
        <w:t>D</w:t>
      </w:r>
      <w:r>
        <w:t>、非正常排况对环境空气保护目标和评价范围的最大小时影响浓度</w:t>
      </w:r>
    </w:p>
    <w:p>
      <w:pPr>
        <w:widowControl/>
        <w:spacing w:line="360" w:lineRule="auto"/>
        <w:ind w:firstLine="482"/>
        <w:rPr>
          <w:rFonts w:hint="eastAsia"/>
        </w:rPr>
      </w:pPr>
      <w:r>
        <w:t>非正常工况主要考虑了当所有设备处于正常状态运作时，</w:t>
      </w:r>
      <w:r>
        <w:rPr>
          <w:rFonts w:hint="eastAsia"/>
        </w:rPr>
        <w:t>窑尾废气处理设备、窑头废气处理设备、煤粉制备和水泥粉磨废气处理设备同时出现故障这种极端情况</w:t>
      </w:r>
      <w:r>
        <w:rPr>
          <w:kern w:val="0"/>
        </w:rPr>
        <w:t>，</w:t>
      </w:r>
      <w:r>
        <w:t>排放的污染物对敏感点的影响预测结果与正常工况下对敏感点的影响对比见表</w:t>
      </w:r>
      <w:r>
        <w:rPr>
          <w:rFonts w:hint="eastAsia"/>
        </w:rPr>
        <w:t>8</w:t>
      </w:r>
      <w:r>
        <w:t>-1</w:t>
      </w:r>
      <w:r>
        <w:rPr>
          <w:rFonts w:hint="eastAsia"/>
        </w:rPr>
        <w:t>9</w:t>
      </w:r>
      <w:r>
        <w:t>。</w:t>
      </w:r>
    </w:p>
    <w:p>
      <w:pPr>
        <w:spacing w:line="480" w:lineRule="exact"/>
        <w:ind w:firstLine="316" w:firstLineChars="150"/>
        <w:jc w:val="center"/>
        <w:rPr>
          <w:rFonts w:hint="eastAsia"/>
          <w:b/>
          <w:szCs w:val="21"/>
          <w:vertAlign w:val="superscript"/>
        </w:rPr>
      </w:pPr>
      <w:r>
        <w:rPr>
          <w:b/>
        </w:rPr>
        <w:t>表</w:t>
      </w:r>
      <w:r>
        <w:rPr>
          <w:rFonts w:hint="eastAsia"/>
          <w:b/>
        </w:rPr>
        <w:t>8</w:t>
      </w:r>
      <w:r>
        <w:rPr>
          <w:b/>
        </w:rPr>
        <w:t>-1</w:t>
      </w:r>
      <w:r>
        <w:rPr>
          <w:rFonts w:hint="eastAsia"/>
          <w:b/>
        </w:rPr>
        <w:t>9</w:t>
      </w:r>
      <w:r>
        <w:rPr>
          <w:b/>
        </w:rPr>
        <w:t xml:space="preserve">  非正常排放对环境的影响    单位：</w:t>
      </w:r>
      <w:r>
        <w:rPr>
          <w:b/>
          <w:szCs w:val="21"/>
        </w:rPr>
        <w:t>mg/m</w:t>
      </w:r>
      <w:r>
        <w:rPr>
          <w:b/>
          <w:szCs w:val="21"/>
          <w:vertAlign w:val="superscript"/>
        </w:rPr>
        <w:t>3</w:t>
      </w:r>
    </w:p>
    <w:tbl>
      <w:tblPr>
        <w:tblStyle w:val="21"/>
        <w:tblW w:w="9286"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496"/>
        <w:gridCol w:w="2234"/>
        <w:gridCol w:w="1755"/>
        <w:gridCol w:w="1753"/>
        <w:gridCol w:w="4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7" w:hRule="atLeast"/>
          <w:tblHeader/>
          <w:jc w:val="center"/>
        </w:trPr>
        <w:tc>
          <w:tcPr>
            <w:tcW w:w="3496" w:type="dxa"/>
            <w:vMerge w:val="restart"/>
            <w:tcBorders>
              <w:tl2br w:val="single" w:color="auto" w:sz="4" w:space="0"/>
            </w:tcBorders>
            <w:vAlign w:val="center"/>
          </w:tcPr>
          <w:p>
            <w:pPr>
              <w:pStyle w:val="31"/>
              <w:snapToGrid w:val="0"/>
              <w:spacing w:line="480" w:lineRule="exact"/>
              <w:ind w:left="0" w:leftChars="0" w:right="-122" w:firstLine="1365" w:firstLineChars="650"/>
              <w:jc w:val="both"/>
              <w:rPr>
                <w:color w:val="auto"/>
              </w:rPr>
            </w:pPr>
            <w:r>
              <w:rPr>
                <w:color w:val="auto"/>
              </w:rPr>
              <w:t>预测因子</w:t>
            </w:r>
          </w:p>
          <w:p>
            <w:pPr>
              <w:pStyle w:val="31"/>
              <w:snapToGrid w:val="0"/>
              <w:spacing w:line="480" w:lineRule="exact"/>
              <w:ind w:right="-122"/>
              <w:jc w:val="both"/>
              <w:rPr>
                <w:color w:val="auto"/>
              </w:rPr>
            </w:pPr>
            <w:r>
              <w:rPr>
                <w:color w:val="auto"/>
              </w:rPr>
              <w:t>关心点</w:t>
            </w:r>
          </w:p>
        </w:tc>
        <w:tc>
          <w:tcPr>
            <w:tcW w:w="5790" w:type="dxa"/>
            <w:gridSpan w:val="4"/>
            <w:vAlign w:val="center"/>
          </w:tcPr>
          <w:p>
            <w:pPr>
              <w:widowControl/>
              <w:adjustRightInd w:val="0"/>
              <w:snapToGrid w:val="0"/>
              <w:spacing w:line="480" w:lineRule="exact"/>
              <w:jc w:val="center"/>
              <w:rPr>
                <w:szCs w:val="21"/>
              </w:rPr>
            </w:pPr>
            <w:r>
              <w:rPr>
                <w:szCs w:val="21"/>
              </w:rPr>
              <w:t>PM</w:t>
            </w:r>
            <w:r>
              <w:rPr>
                <w:szCs w:val="21"/>
                <w:vertAlign w:val="subscript"/>
              </w:rPr>
              <w:t>10</w:t>
            </w:r>
            <w:r>
              <w:rPr>
                <w:szCs w:val="21"/>
              </w:rPr>
              <w:t>小时浓度最大值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gridAfter w:val="1"/>
          <w:wAfter w:w="48" w:type="dxa"/>
          <w:trHeight w:val="290" w:hRule="atLeast"/>
          <w:tblHeader/>
          <w:jc w:val="center"/>
        </w:trPr>
        <w:tc>
          <w:tcPr>
            <w:tcW w:w="3496" w:type="dxa"/>
            <w:vMerge w:val="continue"/>
            <w:vAlign w:val="center"/>
          </w:tcPr>
          <w:p>
            <w:pPr>
              <w:pStyle w:val="31"/>
              <w:snapToGrid w:val="0"/>
              <w:spacing w:line="240" w:lineRule="exact"/>
              <w:ind w:right="-122"/>
              <w:rPr>
                <w:color w:val="auto"/>
              </w:rPr>
            </w:pPr>
          </w:p>
        </w:tc>
        <w:tc>
          <w:tcPr>
            <w:tcW w:w="2234" w:type="dxa"/>
            <w:tcBorders>
              <w:right w:val="single" w:color="auto" w:sz="4" w:space="0"/>
            </w:tcBorders>
            <w:vAlign w:val="center"/>
          </w:tcPr>
          <w:p>
            <w:pPr>
              <w:spacing w:line="240" w:lineRule="exact"/>
              <w:jc w:val="center"/>
              <w:rPr>
                <w:szCs w:val="21"/>
              </w:rPr>
            </w:pPr>
            <w:r>
              <w:rPr>
                <w:szCs w:val="21"/>
              </w:rPr>
              <w:t>非正常排放</w:t>
            </w:r>
          </w:p>
        </w:tc>
        <w:tc>
          <w:tcPr>
            <w:tcW w:w="1755" w:type="dxa"/>
            <w:vAlign w:val="center"/>
          </w:tcPr>
          <w:p>
            <w:pPr>
              <w:spacing w:line="240" w:lineRule="exact"/>
              <w:jc w:val="center"/>
              <w:rPr>
                <w:szCs w:val="21"/>
              </w:rPr>
            </w:pPr>
            <w:r>
              <w:rPr>
                <w:szCs w:val="21"/>
              </w:rPr>
              <w:t>正常排放</w:t>
            </w:r>
          </w:p>
        </w:tc>
        <w:tc>
          <w:tcPr>
            <w:tcW w:w="1753" w:type="dxa"/>
            <w:tcBorders>
              <w:left w:val="single" w:color="auto" w:sz="4" w:space="0"/>
              <w:right w:val="single" w:color="auto" w:sz="4" w:space="0"/>
            </w:tcBorders>
            <w:vAlign w:val="center"/>
          </w:tcPr>
          <w:p>
            <w:pPr>
              <w:spacing w:line="240" w:lineRule="exact"/>
              <w:jc w:val="center"/>
              <w:rPr>
                <w:rFonts w:hint="eastAsia"/>
                <w:szCs w:val="21"/>
              </w:rPr>
            </w:pPr>
            <w:r>
              <w:rPr>
                <w:rFonts w:hint="eastAsia"/>
                <w:szCs w:val="21"/>
              </w:rPr>
              <w:t>变化量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gridAfter w:val="1"/>
          <w:wAfter w:w="48" w:type="dxa"/>
          <w:trHeight w:val="294" w:hRule="atLeast"/>
          <w:jc w:val="center"/>
        </w:trPr>
        <w:tc>
          <w:tcPr>
            <w:tcW w:w="3496" w:type="dxa"/>
            <w:shd w:val="clear" w:color="auto" w:fill="auto"/>
            <w:vAlign w:val="center"/>
          </w:tcPr>
          <w:p>
            <w:pPr>
              <w:jc w:val="center"/>
              <w:rPr>
                <w:sz w:val="21"/>
                <w:szCs w:val="21"/>
              </w:rPr>
            </w:pPr>
            <w:r>
              <w:rPr>
                <w:sz w:val="21"/>
                <w:szCs w:val="21"/>
              </w:rPr>
              <w:t>大路镇</w:t>
            </w:r>
          </w:p>
        </w:tc>
        <w:tc>
          <w:tcPr>
            <w:tcW w:w="2234" w:type="dxa"/>
            <w:shd w:val="clear" w:color="auto" w:fill="F3F3F3"/>
            <w:vAlign w:val="center"/>
          </w:tcPr>
          <w:p>
            <w:pPr>
              <w:jc w:val="center"/>
              <w:rPr>
                <w:rFonts w:ascii="宋体" w:hAnsi="宋体" w:cs="宋体"/>
                <w:sz w:val="21"/>
                <w:szCs w:val="21"/>
              </w:rPr>
            </w:pPr>
            <w:r>
              <w:rPr>
                <w:rFonts w:hint="eastAsia"/>
                <w:sz w:val="21"/>
                <w:szCs w:val="21"/>
              </w:rPr>
              <w:t>0.1010</w:t>
            </w:r>
          </w:p>
        </w:tc>
        <w:tc>
          <w:tcPr>
            <w:tcW w:w="1755" w:type="dxa"/>
            <w:shd w:val="clear" w:color="auto" w:fill="F3F3F3"/>
            <w:vAlign w:val="center"/>
          </w:tcPr>
          <w:p>
            <w:pPr>
              <w:jc w:val="center"/>
              <w:rPr>
                <w:rFonts w:ascii="宋体" w:hAnsi="宋体" w:cs="宋体"/>
                <w:sz w:val="21"/>
                <w:szCs w:val="21"/>
              </w:rPr>
            </w:pPr>
            <w:r>
              <w:rPr>
                <w:rFonts w:hint="eastAsia"/>
                <w:sz w:val="21"/>
                <w:szCs w:val="21"/>
              </w:rPr>
              <w:t>0.0027</w:t>
            </w:r>
          </w:p>
        </w:tc>
        <w:tc>
          <w:tcPr>
            <w:tcW w:w="1753" w:type="dxa"/>
            <w:tcBorders>
              <w:left w:val="single" w:color="auto" w:sz="4" w:space="0"/>
            </w:tcBorders>
            <w:shd w:val="clear" w:color="auto" w:fill="F3F3F3"/>
            <w:vAlign w:val="center"/>
          </w:tcPr>
          <w:p>
            <w:pPr>
              <w:jc w:val="center"/>
              <w:rPr>
                <w:rFonts w:ascii="宋体" w:hAnsi="宋体" w:cs="宋体"/>
                <w:sz w:val="21"/>
                <w:szCs w:val="21"/>
              </w:rPr>
            </w:pPr>
            <w:r>
              <w:rPr>
                <w:rFonts w:hint="eastAsia"/>
                <w:sz w:val="21"/>
                <w:szCs w:val="21"/>
              </w:rPr>
              <w:t>+0.0983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gridAfter w:val="1"/>
          <w:wAfter w:w="48" w:type="dxa"/>
          <w:trHeight w:val="312" w:hRule="atLeast"/>
          <w:jc w:val="center"/>
        </w:trPr>
        <w:tc>
          <w:tcPr>
            <w:tcW w:w="3496" w:type="dxa"/>
            <w:vAlign w:val="center"/>
          </w:tcPr>
          <w:p>
            <w:pPr>
              <w:jc w:val="center"/>
              <w:rPr>
                <w:sz w:val="21"/>
                <w:szCs w:val="21"/>
              </w:rPr>
            </w:pPr>
            <w:r>
              <w:rPr>
                <w:rFonts w:hAnsi="宋体"/>
                <w:sz w:val="21"/>
                <w:szCs w:val="21"/>
              </w:rPr>
              <w:t>六塘镇</w:t>
            </w:r>
          </w:p>
        </w:tc>
        <w:tc>
          <w:tcPr>
            <w:tcW w:w="2234" w:type="dxa"/>
            <w:vAlign w:val="center"/>
          </w:tcPr>
          <w:p>
            <w:pPr>
              <w:jc w:val="center"/>
              <w:rPr>
                <w:rFonts w:ascii="宋体" w:hAnsi="宋体" w:cs="宋体"/>
                <w:sz w:val="21"/>
                <w:szCs w:val="21"/>
              </w:rPr>
            </w:pPr>
            <w:r>
              <w:rPr>
                <w:rFonts w:hint="eastAsia"/>
                <w:sz w:val="21"/>
                <w:szCs w:val="21"/>
              </w:rPr>
              <w:t>0.1997</w:t>
            </w:r>
          </w:p>
        </w:tc>
        <w:tc>
          <w:tcPr>
            <w:tcW w:w="1755" w:type="dxa"/>
            <w:vAlign w:val="center"/>
          </w:tcPr>
          <w:p>
            <w:pPr>
              <w:jc w:val="center"/>
              <w:rPr>
                <w:rFonts w:ascii="宋体" w:hAnsi="宋体" w:cs="宋体"/>
                <w:sz w:val="21"/>
                <w:szCs w:val="21"/>
              </w:rPr>
            </w:pPr>
            <w:r>
              <w:rPr>
                <w:rFonts w:hint="eastAsia"/>
                <w:sz w:val="21"/>
                <w:szCs w:val="21"/>
              </w:rPr>
              <w:t>0.0038</w:t>
            </w:r>
          </w:p>
        </w:tc>
        <w:tc>
          <w:tcPr>
            <w:tcW w:w="1753" w:type="dxa"/>
            <w:tcBorders>
              <w:left w:val="single" w:color="auto" w:sz="4" w:space="0"/>
            </w:tcBorders>
            <w:vAlign w:val="center"/>
          </w:tcPr>
          <w:p>
            <w:pPr>
              <w:jc w:val="center"/>
              <w:rPr>
                <w:rFonts w:ascii="宋体" w:hAnsi="宋体" w:cs="宋体"/>
                <w:sz w:val="21"/>
                <w:szCs w:val="21"/>
              </w:rPr>
            </w:pPr>
            <w:r>
              <w:rPr>
                <w:rFonts w:hint="eastAsia"/>
                <w:sz w:val="21"/>
                <w:szCs w:val="21"/>
              </w:rPr>
              <w:t>+0.1959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gridAfter w:val="1"/>
          <w:wAfter w:w="48" w:type="dxa"/>
          <w:trHeight w:val="288" w:hRule="atLeast"/>
          <w:jc w:val="center"/>
        </w:trPr>
        <w:tc>
          <w:tcPr>
            <w:tcW w:w="3496" w:type="dxa"/>
            <w:vAlign w:val="center"/>
          </w:tcPr>
          <w:p>
            <w:pPr>
              <w:jc w:val="center"/>
              <w:rPr>
                <w:sz w:val="21"/>
                <w:szCs w:val="21"/>
              </w:rPr>
            </w:pPr>
            <w:r>
              <w:rPr>
                <w:rFonts w:hAnsi="宋体"/>
                <w:sz w:val="21"/>
                <w:szCs w:val="21"/>
              </w:rPr>
              <w:t>接龙镇</w:t>
            </w:r>
          </w:p>
        </w:tc>
        <w:tc>
          <w:tcPr>
            <w:tcW w:w="2234" w:type="dxa"/>
            <w:vAlign w:val="center"/>
          </w:tcPr>
          <w:p>
            <w:pPr>
              <w:jc w:val="center"/>
              <w:rPr>
                <w:rFonts w:ascii="宋体" w:hAnsi="宋体" w:cs="宋体"/>
                <w:sz w:val="21"/>
                <w:szCs w:val="21"/>
              </w:rPr>
            </w:pPr>
            <w:r>
              <w:rPr>
                <w:rFonts w:hint="eastAsia"/>
                <w:sz w:val="21"/>
                <w:szCs w:val="21"/>
              </w:rPr>
              <w:t>0.4148</w:t>
            </w:r>
          </w:p>
        </w:tc>
        <w:tc>
          <w:tcPr>
            <w:tcW w:w="1755" w:type="dxa"/>
            <w:vAlign w:val="center"/>
          </w:tcPr>
          <w:p>
            <w:pPr>
              <w:jc w:val="center"/>
              <w:rPr>
                <w:rFonts w:ascii="宋体" w:hAnsi="宋体" w:cs="宋体"/>
                <w:sz w:val="21"/>
                <w:szCs w:val="21"/>
              </w:rPr>
            </w:pPr>
            <w:r>
              <w:rPr>
                <w:rFonts w:hint="eastAsia"/>
                <w:sz w:val="21"/>
                <w:szCs w:val="21"/>
              </w:rPr>
              <w:t>0.0069</w:t>
            </w:r>
          </w:p>
        </w:tc>
        <w:tc>
          <w:tcPr>
            <w:tcW w:w="1753" w:type="dxa"/>
            <w:tcBorders>
              <w:left w:val="single" w:color="auto" w:sz="4" w:space="0"/>
            </w:tcBorders>
            <w:vAlign w:val="center"/>
          </w:tcPr>
          <w:p>
            <w:pPr>
              <w:jc w:val="center"/>
              <w:rPr>
                <w:rFonts w:ascii="宋体" w:hAnsi="宋体" w:cs="宋体"/>
                <w:sz w:val="21"/>
                <w:szCs w:val="21"/>
              </w:rPr>
            </w:pPr>
            <w:r>
              <w:rPr>
                <w:rFonts w:hint="eastAsia"/>
                <w:sz w:val="21"/>
                <w:szCs w:val="21"/>
              </w:rPr>
              <w:t>+0.4079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gridAfter w:val="1"/>
          <w:wAfter w:w="48" w:type="dxa"/>
          <w:trHeight w:val="292" w:hRule="atLeast"/>
          <w:jc w:val="center"/>
        </w:trPr>
        <w:tc>
          <w:tcPr>
            <w:tcW w:w="3496" w:type="dxa"/>
            <w:vAlign w:val="center"/>
          </w:tcPr>
          <w:p>
            <w:pPr>
              <w:jc w:val="center"/>
              <w:rPr>
                <w:sz w:val="21"/>
                <w:szCs w:val="21"/>
              </w:rPr>
            </w:pPr>
            <w:r>
              <w:rPr>
                <w:rFonts w:hAnsi="宋体"/>
                <w:sz w:val="21"/>
                <w:szCs w:val="21"/>
              </w:rPr>
              <w:t>福里树村</w:t>
            </w:r>
          </w:p>
        </w:tc>
        <w:tc>
          <w:tcPr>
            <w:tcW w:w="2234" w:type="dxa"/>
            <w:vAlign w:val="center"/>
          </w:tcPr>
          <w:p>
            <w:pPr>
              <w:jc w:val="center"/>
              <w:rPr>
                <w:rFonts w:ascii="宋体" w:hAnsi="宋体" w:cs="宋体"/>
                <w:sz w:val="21"/>
                <w:szCs w:val="21"/>
              </w:rPr>
            </w:pPr>
            <w:r>
              <w:rPr>
                <w:rFonts w:hint="eastAsia"/>
                <w:sz w:val="21"/>
                <w:szCs w:val="21"/>
              </w:rPr>
              <w:t>1.2391</w:t>
            </w:r>
          </w:p>
        </w:tc>
        <w:tc>
          <w:tcPr>
            <w:tcW w:w="1755" w:type="dxa"/>
            <w:vAlign w:val="center"/>
          </w:tcPr>
          <w:p>
            <w:pPr>
              <w:jc w:val="center"/>
              <w:rPr>
                <w:rFonts w:ascii="宋体" w:hAnsi="宋体" w:cs="宋体"/>
                <w:sz w:val="21"/>
                <w:szCs w:val="21"/>
              </w:rPr>
            </w:pPr>
            <w:r>
              <w:rPr>
                <w:rFonts w:hint="eastAsia"/>
                <w:sz w:val="21"/>
                <w:szCs w:val="21"/>
              </w:rPr>
              <w:t>0.0227</w:t>
            </w:r>
          </w:p>
        </w:tc>
        <w:tc>
          <w:tcPr>
            <w:tcW w:w="1753" w:type="dxa"/>
            <w:tcBorders>
              <w:left w:val="single" w:color="auto" w:sz="4" w:space="0"/>
            </w:tcBorders>
            <w:vAlign w:val="center"/>
          </w:tcPr>
          <w:p>
            <w:pPr>
              <w:jc w:val="center"/>
              <w:rPr>
                <w:rFonts w:ascii="宋体" w:hAnsi="宋体" w:cs="宋体"/>
                <w:b/>
                <w:sz w:val="21"/>
                <w:szCs w:val="21"/>
              </w:rPr>
            </w:pPr>
            <w:r>
              <w:rPr>
                <w:rFonts w:hint="eastAsia"/>
                <w:b/>
                <w:sz w:val="21"/>
                <w:szCs w:val="21"/>
              </w:rPr>
              <w:t>+1.2164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gridAfter w:val="1"/>
          <w:wAfter w:w="48" w:type="dxa"/>
          <w:trHeight w:val="309" w:hRule="atLeast"/>
          <w:jc w:val="center"/>
        </w:trPr>
        <w:tc>
          <w:tcPr>
            <w:tcW w:w="3496" w:type="dxa"/>
            <w:shd w:val="clear" w:color="auto" w:fill="auto"/>
            <w:vAlign w:val="center"/>
          </w:tcPr>
          <w:p>
            <w:pPr>
              <w:jc w:val="center"/>
              <w:rPr>
                <w:sz w:val="21"/>
                <w:szCs w:val="21"/>
              </w:rPr>
            </w:pPr>
            <w:r>
              <w:rPr>
                <w:rFonts w:hAnsi="宋体"/>
                <w:sz w:val="21"/>
                <w:szCs w:val="21"/>
              </w:rPr>
              <w:t>殷家老院子</w:t>
            </w:r>
          </w:p>
        </w:tc>
        <w:tc>
          <w:tcPr>
            <w:tcW w:w="2234" w:type="dxa"/>
            <w:shd w:val="clear" w:color="auto" w:fill="auto"/>
            <w:vAlign w:val="center"/>
          </w:tcPr>
          <w:p>
            <w:pPr>
              <w:jc w:val="center"/>
              <w:rPr>
                <w:rFonts w:ascii="宋体" w:hAnsi="宋体" w:cs="宋体"/>
                <w:sz w:val="21"/>
                <w:szCs w:val="21"/>
              </w:rPr>
            </w:pPr>
            <w:r>
              <w:rPr>
                <w:rFonts w:hint="eastAsia"/>
                <w:sz w:val="21"/>
                <w:szCs w:val="21"/>
              </w:rPr>
              <w:t>0.5739</w:t>
            </w:r>
          </w:p>
        </w:tc>
        <w:tc>
          <w:tcPr>
            <w:tcW w:w="1755" w:type="dxa"/>
            <w:vAlign w:val="center"/>
          </w:tcPr>
          <w:p>
            <w:pPr>
              <w:jc w:val="center"/>
              <w:rPr>
                <w:rFonts w:ascii="宋体" w:hAnsi="宋体" w:cs="宋体"/>
                <w:sz w:val="21"/>
                <w:szCs w:val="21"/>
              </w:rPr>
            </w:pPr>
            <w:r>
              <w:rPr>
                <w:rFonts w:hint="eastAsia"/>
                <w:sz w:val="21"/>
                <w:szCs w:val="21"/>
              </w:rPr>
              <w:t>0.0126</w:t>
            </w:r>
          </w:p>
        </w:tc>
        <w:tc>
          <w:tcPr>
            <w:tcW w:w="1753" w:type="dxa"/>
            <w:tcBorders>
              <w:left w:val="single" w:color="auto" w:sz="4" w:space="0"/>
            </w:tcBorders>
            <w:vAlign w:val="center"/>
          </w:tcPr>
          <w:p>
            <w:pPr>
              <w:jc w:val="center"/>
              <w:rPr>
                <w:rFonts w:ascii="宋体" w:hAnsi="宋体" w:cs="宋体"/>
                <w:b/>
                <w:sz w:val="21"/>
                <w:szCs w:val="21"/>
              </w:rPr>
            </w:pPr>
            <w:r>
              <w:rPr>
                <w:rFonts w:hint="eastAsia"/>
                <w:b/>
                <w:sz w:val="21"/>
                <w:szCs w:val="21"/>
              </w:rPr>
              <w:t>+0.5613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gridAfter w:val="1"/>
          <w:wAfter w:w="48" w:type="dxa"/>
          <w:trHeight w:val="286" w:hRule="atLeast"/>
          <w:jc w:val="center"/>
        </w:trPr>
        <w:tc>
          <w:tcPr>
            <w:tcW w:w="3496" w:type="dxa"/>
            <w:vAlign w:val="center"/>
          </w:tcPr>
          <w:p>
            <w:pPr>
              <w:jc w:val="center"/>
              <w:rPr>
                <w:sz w:val="21"/>
                <w:szCs w:val="21"/>
              </w:rPr>
            </w:pPr>
            <w:r>
              <w:rPr>
                <w:rFonts w:hAnsi="宋体"/>
                <w:sz w:val="21"/>
                <w:szCs w:val="21"/>
              </w:rPr>
              <w:t>璧山县</w:t>
            </w:r>
          </w:p>
        </w:tc>
        <w:tc>
          <w:tcPr>
            <w:tcW w:w="2234" w:type="dxa"/>
            <w:vAlign w:val="center"/>
          </w:tcPr>
          <w:p>
            <w:pPr>
              <w:jc w:val="center"/>
              <w:rPr>
                <w:rFonts w:ascii="宋体" w:hAnsi="宋体" w:cs="宋体"/>
                <w:sz w:val="21"/>
                <w:szCs w:val="21"/>
              </w:rPr>
            </w:pPr>
            <w:r>
              <w:rPr>
                <w:rFonts w:hint="eastAsia"/>
                <w:sz w:val="21"/>
                <w:szCs w:val="21"/>
              </w:rPr>
              <w:t>0.1208</w:t>
            </w:r>
          </w:p>
        </w:tc>
        <w:tc>
          <w:tcPr>
            <w:tcW w:w="1755" w:type="dxa"/>
            <w:vAlign w:val="center"/>
          </w:tcPr>
          <w:p>
            <w:pPr>
              <w:jc w:val="center"/>
              <w:rPr>
                <w:rFonts w:ascii="宋体" w:hAnsi="宋体" w:cs="宋体"/>
                <w:sz w:val="21"/>
                <w:szCs w:val="21"/>
              </w:rPr>
            </w:pPr>
            <w:r>
              <w:rPr>
                <w:rFonts w:hint="eastAsia"/>
                <w:sz w:val="21"/>
                <w:szCs w:val="21"/>
              </w:rPr>
              <w:t>0.0032</w:t>
            </w:r>
          </w:p>
        </w:tc>
        <w:tc>
          <w:tcPr>
            <w:tcW w:w="1753" w:type="dxa"/>
            <w:tcBorders>
              <w:left w:val="single" w:color="auto" w:sz="4" w:space="0"/>
            </w:tcBorders>
            <w:vAlign w:val="center"/>
          </w:tcPr>
          <w:p>
            <w:pPr>
              <w:jc w:val="center"/>
              <w:rPr>
                <w:rFonts w:ascii="宋体" w:hAnsi="宋体" w:cs="宋体"/>
                <w:sz w:val="21"/>
                <w:szCs w:val="21"/>
              </w:rPr>
            </w:pPr>
            <w:r>
              <w:rPr>
                <w:rFonts w:hint="eastAsia"/>
                <w:sz w:val="21"/>
                <w:szCs w:val="21"/>
              </w:rPr>
              <w:t>+0.1176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gridAfter w:val="1"/>
          <w:wAfter w:w="48" w:type="dxa"/>
          <w:trHeight w:val="304" w:hRule="atLeast"/>
          <w:jc w:val="center"/>
        </w:trPr>
        <w:tc>
          <w:tcPr>
            <w:tcW w:w="3496" w:type="dxa"/>
            <w:vAlign w:val="center"/>
          </w:tcPr>
          <w:p>
            <w:pPr>
              <w:jc w:val="center"/>
              <w:rPr>
                <w:rFonts w:hint="eastAsia"/>
                <w:sz w:val="21"/>
                <w:szCs w:val="21"/>
              </w:rPr>
            </w:pPr>
            <w:r>
              <w:rPr>
                <w:rFonts w:hAnsi="宋体"/>
                <w:sz w:val="21"/>
                <w:szCs w:val="21"/>
              </w:rPr>
              <w:t>青鹏煤业公司</w:t>
            </w:r>
            <w:r>
              <w:rPr>
                <w:rFonts w:hint="eastAsia" w:hAnsi="宋体"/>
                <w:sz w:val="21"/>
                <w:szCs w:val="21"/>
              </w:rPr>
              <w:t>家属院</w:t>
            </w:r>
          </w:p>
        </w:tc>
        <w:tc>
          <w:tcPr>
            <w:tcW w:w="2234" w:type="dxa"/>
            <w:vAlign w:val="center"/>
          </w:tcPr>
          <w:p>
            <w:pPr>
              <w:jc w:val="center"/>
              <w:rPr>
                <w:rFonts w:ascii="宋体" w:hAnsi="宋体" w:cs="宋体"/>
                <w:sz w:val="21"/>
                <w:szCs w:val="21"/>
              </w:rPr>
            </w:pPr>
            <w:r>
              <w:rPr>
                <w:rFonts w:hint="eastAsia"/>
                <w:sz w:val="21"/>
                <w:szCs w:val="21"/>
              </w:rPr>
              <w:t>3.1638</w:t>
            </w:r>
          </w:p>
        </w:tc>
        <w:tc>
          <w:tcPr>
            <w:tcW w:w="1755" w:type="dxa"/>
            <w:vAlign w:val="center"/>
          </w:tcPr>
          <w:p>
            <w:pPr>
              <w:jc w:val="center"/>
              <w:rPr>
                <w:rFonts w:ascii="宋体" w:hAnsi="宋体" w:cs="宋体"/>
                <w:sz w:val="21"/>
                <w:szCs w:val="21"/>
              </w:rPr>
            </w:pPr>
            <w:r>
              <w:rPr>
                <w:rFonts w:hint="eastAsia"/>
                <w:sz w:val="21"/>
                <w:szCs w:val="21"/>
              </w:rPr>
              <w:t>0.0566</w:t>
            </w:r>
          </w:p>
        </w:tc>
        <w:tc>
          <w:tcPr>
            <w:tcW w:w="1753" w:type="dxa"/>
            <w:tcBorders>
              <w:left w:val="single" w:color="auto" w:sz="4" w:space="0"/>
            </w:tcBorders>
            <w:vAlign w:val="center"/>
          </w:tcPr>
          <w:p>
            <w:pPr>
              <w:jc w:val="center"/>
              <w:rPr>
                <w:rFonts w:ascii="宋体" w:hAnsi="宋体" w:cs="宋体"/>
                <w:b/>
                <w:sz w:val="21"/>
                <w:szCs w:val="21"/>
              </w:rPr>
            </w:pPr>
            <w:r>
              <w:rPr>
                <w:rFonts w:hint="eastAsia"/>
                <w:b/>
                <w:sz w:val="21"/>
                <w:szCs w:val="21"/>
              </w:rPr>
              <w:t>+3.1072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gridAfter w:val="1"/>
          <w:wAfter w:w="48" w:type="dxa"/>
          <w:trHeight w:val="280" w:hRule="atLeast"/>
          <w:jc w:val="center"/>
        </w:trPr>
        <w:tc>
          <w:tcPr>
            <w:tcW w:w="3496" w:type="dxa"/>
            <w:vAlign w:val="center"/>
          </w:tcPr>
          <w:p>
            <w:pPr>
              <w:jc w:val="center"/>
              <w:rPr>
                <w:sz w:val="21"/>
                <w:szCs w:val="21"/>
              </w:rPr>
            </w:pPr>
            <w:r>
              <w:rPr>
                <w:rFonts w:hAnsi="宋体"/>
                <w:sz w:val="21"/>
                <w:szCs w:val="21"/>
              </w:rPr>
              <w:t>青木关镇</w:t>
            </w:r>
          </w:p>
        </w:tc>
        <w:tc>
          <w:tcPr>
            <w:tcW w:w="2234" w:type="dxa"/>
            <w:vAlign w:val="center"/>
          </w:tcPr>
          <w:p>
            <w:pPr>
              <w:jc w:val="center"/>
              <w:rPr>
                <w:rFonts w:ascii="宋体" w:hAnsi="宋体" w:cs="宋体"/>
                <w:sz w:val="21"/>
                <w:szCs w:val="21"/>
              </w:rPr>
            </w:pPr>
            <w:r>
              <w:rPr>
                <w:rFonts w:hint="eastAsia"/>
                <w:sz w:val="21"/>
                <w:szCs w:val="21"/>
              </w:rPr>
              <w:t>0.9556</w:t>
            </w:r>
          </w:p>
        </w:tc>
        <w:tc>
          <w:tcPr>
            <w:tcW w:w="1755" w:type="dxa"/>
            <w:vAlign w:val="center"/>
          </w:tcPr>
          <w:p>
            <w:pPr>
              <w:jc w:val="center"/>
              <w:rPr>
                <w:rFonts w:ascii="宋体" w:hAnsi="宋体" w:cs="宋体"/>
                <w:sz w:val="21"/>
                <w:szCs w:val="21"/>
              </w:rPr>
            </w:pPr>
            <w:r>
              <w:rPr>
                <w:rFonts w:hint="eastAsia"/>
                <w:sz w:val="21"/>
                <w:szCs w:val="21"/>
              </w:rPr>
              <w:t>0.0183</w:t>
            </w:r>
          </w:p>
        </w:tc>
        <w:tc>
          <w:tcPr>
            <w:tcW w:w="1753" w:type="dxa"/>
            <w:tcBorders>
              <w:left w:val="single" w:color="auto" w:sz="4" w:space="0"/>
            </w:tcBorders>
            <w:vAlign w:val="center"/>
          </w:tcPr>
          <w:p>
            <w:pPr>
              <w:jc w:val="center"/>
              <w:rPr>
                <w:rFonts w:ascii="宋体" w:hAnsi="宋体" w:cs="宋体"/>
                <w:b/>
                <w:sz w:val="21"/>
                <w:szCs w:val="21"/>
              </w:rPr>
            </w:pPr>
            <w:r>
              <w:rPr>
                <w:rFonts w:hint="eastAsia"/>
                <w:b/>
                <w:sz w:val="21"/>
                <w:szCs w:val="21"/>
              </w:rPr>
              <w:t>+0.9373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gridAfter w:val="1"/>
          <w:wAfter w:w="48" w:type="dxa"/>
          <w:trHeight w:val="298" w:hRule="atLeast"/>
          <w:jc w:val="center"/>
        </w:trPr>
        <w:tc>
          <w:tcPr>
            <w:tcW w:w="3496" w:type="dxa"/>
            <w:vAlign w:val="center"/>
          </w:tcPr>
          <w:p>
            <w:pPr>
              <w:jc w:val="center"/>
              <w:rPr>
                <w:sz w:val="21"/>
                <w:szCs w:val="21"/>
              </w:rPr>
            </w:pPr>
            <w:r>
              <w:rPr>
                <w:rFonts w:hAnsi="宋体"/>
                <w:sz w:val="21"/>
                <w:szCs w:val="21"/>
              </w:rPr>
              <w:t>凤凰镇</w:t>
            </w:r>
          </w:p>
        </w:tc>
        <w:tc>
          <w:tcPr>
            <w:tcW w:w="2234" w:type="dxa"/>
            <w:vAlign w:val="center"/>
          </w:tcPr>
          <w:p>
            <w:pPr>
              <w:jc w:val="center"/>
              <w:rPr>
                <w:rFonts w:ascii="宋体" w:hAnsi="宋体" w:cs="宋体"/>
                <w:sz w:val="21"/>
                <w:szCs w:val="21"/>
              </w:rPr>
            </w:pPr>
            <w:r>
              <w:rPr>
                <w:rFonts w:hint="eastAsia"/>
                <w:sz w:val="21"/>
                <w:szCs w:val="21"/>
              </w:rPr>
              <w:t>0.2764</w:t>
            </w:r>
          </w:p>
        </w:tc>
        <w:tc>
          <w:tcPr>
            <w:tcW w:w="1755" w:type="dxa"/>
            <w:vAlign w:val="center"/>
          </w:tcPr>
          <w:p>
            <w:pPr>
              <w:jc w:val="center"/>
              <w:rPr>
                <w:rFonts w:ascii="宋体" w:hAnsi="宋体" w:cs="宋体"/>
                <w:sz w:val="21"/>
                <w:szCs w:val="21"/>
              </w:rPr>
            </w:pPr>
            <w:r>
              <w:rPr>
                <w:rFonts w:hint="eastAsia"/>
                <w:sz w:val="21"/>
                <w:szCs w:val="21"/>
              </w:rPr>
              <w:t>0.0046</w:t>
            </w:r>
          </w:p>
        </w:tc>
        <w:tc>
          <w:tcPr>
            <w:tcW w:w="1753" w:type="dxa"/>
            <w:tcBorders>
              <w:left w:val="single" w:color="auto" w:sz="4" w:space="0"/>
            </w:tcBorders>
            <w:vAlign w:val="center"/>
          </w:tcPr>
          <w:p>
            <w:pPr>
              <w:jc w:val="center"/>
              <w:rPr>
                <w:rFonts w:ascii="宋体" w:hAnsi="宋体" w:cs="宋体"/>
                <w:sz w:val="21"/>
                <w:szCs w:val="21"/>
              </w:rPr>
            </w:pPr>
            <w:r>
              <w:rPr>
                <w:rFonts w:hint="eastAsia"/>
                <w:sz w:val="21"/>
                <w:szCs w:val="21"/>
              </w:rPr>
              <w:t>+0.2718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gridAfter w:val="1"/>
          <w:wAfter w:w="48" w:type="dxa"/>
          <w:trHeight w:val="302" w:hRule="atLeast"/>
          <w:jc w:val="center"/>
        </w:trPr>
        <w:tc>
          <w:tcPr>
            <w:tcW w:w="3496" w:type="dxa"/>
            <w:vAlign w:val="center"/>
          </w:tcPr>
          <w:p>
            <w:pPr>
              <w:jc w:val="center"/>
              <w:rPr>
                <w:sz w:val="21"/>
                <w:szCs w:val="21"/>
              </w:rPr>
            </w:pPr>
            <w:r>
              <w:rPr>
                <w:rFonts w:hAnsi="宋体"/>
                <w:sz w:val="21"/>
                <w:szCs w:val="21"/>
              </w:rPr>
              <w:t>管家桥村</w:t>
            </w:r>
          </w:p>
        </w:tc>
        <w:tc>
          <w:tcPr>
            <w:tcW w:w="2234" w:type="dxa"/>
            <w:vAlign w:val="center"/>
          </w:tcPr>
          <w:p>
            <w:pPr>
              <w:jc w:val="center"/>
              <w:rPr>
                <w:rFonts w:ascii="宋体" w:hAnsi="宋体" w:cs="宋体"/>
                <w:sz w:val="21"/>
                <w:szCs w:val="21"/>
              </w:rPr>
            </w:pPr>
            <w:r>
              <w:rPr>
                <w:rFonts w:hint="eastAsia"/>
                <w:sz w:val="21"/>
                <w:szCs w:val="21"/>
              </w:rPr>
              <w:t>0.3601</w:t>
            </w:r>
          </w:p>
        </w:tc>
        <w:tc>
          <w:tcPr>
            <w:tcW w:w="1755" w:type="dxa"/>
            <w:vAlign w:val="center"/>
          </w:tcPr>
          <w:p>
            <w:pPr>
              <w:jc w:val="center"/>
              <w:rPr>
                <w:rFonts w:ascii="宋体" w:hAnsi="宋体" w:cs="宋体"/>
                <w:sz w:val="21"/>
                <w:szCs w:val="21"/>
              </w:rPr>
            </w:pPr>
            <w:r>
              <w:rPr>
                <w:rFonts w:hint="eastAsia"/>
                <w:sz w:val="21"/>
                <w:szCs w:val="21"/>
              </w:rPr>
              <w:t>0.0079</w:t>
            </w:r>
          </w:p>
        </w:tc>
        <w:tc>
          <w:tcPr>
            <w:tcW w:w="1753" w:type="dxa"/>
            <w:tcBorders>
              <w:left w:val="single" w:color="auto" w:sz="4" w:space="0"/>
            </w:tcBorders>
            <w:vAlign w:val="center"/>
          </w:tcPr>
          <w:p>
            <w:pPr>
              <w:jc w:val="center"/>
              <w:rPr>
                <w:rFonts w:ascii="宋体" w:hAnsi="宋体" w:cs="宋体"/>
                <w:sz w:val="21"/>
                <w:szCs w:val="21"/>
              </w:rPr>
            </w:pPr>
            <w:r>
              <w:rPr>
                <w:rFonts w:hint="eastAsia"/>
                <w:sz w:val="21"/>
                <w:szCs w:val="21"/>
              </w:rPr>
              <w:t>+0.3522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gridAfter w:val="1"/>
          <w:wAfter w:w="48" w:type="dxa"/>
          <w:trHeight w:val="292" w:hRule="atLeast"/>
          <w:jc w:val="center"/>
        </w:trPr>
        <w:tc>
          <w:tcPr>
            <w:tcW w:w="3496" w:type="dxa"/>
            <w:vAlign w:val="center"/>
          </w:tcPr>
          <w:p>
            <w:pPr>
              <w:jc w:val="center"/>
              <w:rPr>
                <w:sz w:val="21"/>
                <w:szCs w:val="21"/>
              </w:rPr>
            </w:pPr>
            <w:r>
              <w:rPr>
                <w:rFonts w:hAnsi="宋体"/>
                <w:sz w:val="21"/>
                <w:szCs w:val="21"/>
              </w:rPr>
              <w:t>陈家桥镇</w:t>
            </w:r>
          </w:p>
        </w:tc>
        <w:tc>
          <w:tcPr>
            <w:tcW w:w="2234" w:type="dxa"/>
            <w:vAlign w:val="center"/>
          </w:tcPr>
          <w:p>
            <w:pPr>
              <w:jc w:val="center"/>
              <w:rPr>
                <w:rFonts w:ascii="宋体" w:hAnsi="宋体" w:cs="宋体"/>
                <w:sz w:val="21"/>
                <w:szCs w:val="21"/>
              </w:rPr>
            </w:pPr>
            <w:r>
              <w:rPr>
                <w:rFonts w:hint="eastAsia"/>
                <w:sz w:val="21"/>
                <w:szCs w:val="21"/>
              </w:rPr>
              <w:t>0.1607</w:t>
            </w:r>
          </w:p>
        </w:tc>
        <w:tc>
          <w:tcPr>
            <w:tcW w:w="1755" w:type="dxa"/>
            <w:vAlign w:val="center"/>
          </w:tcPr>
          <w:p>
            <w:pPr>
              <w:jc w:val="center"/>
              <w:rPr>
                <w:rFonts w:ascii="宋体" w:hAnsi="宋体" w:cs="宋体"/>
                <w:sz w:val="21"/>
                <w:szCs w:val="21"/>
              </w:rPr>
            </w:pPr>
            <w:r>
              <w:rPr>
                <w:rFonts w:hint="eastAsia"/>
                <w:sz w:val="21"/>
                <w:szCs w:val="21"/>
              </w:rPr>
              <w:t>0.0039</w:t>
            </w:r>
          </w:p>
        </w:tc>
        <w:tc>
          <w:tcPr>
            <w:tcW w:w="1753" w:type="dxa"/>
            <w:tcBorders>
              <w:left w:val="single" w:color="auto" w:sz="4" w:space="0"/>
            </w:tcBorders>
            <w:vAlign w:val="center"/>
          </w:tcPr>
          <w:p>
            <w:pPr>
              <w:jc w:val="center"/>
              <w:rPr>
                <w:rFonts w:ascii="宋体" w:hAnsi="宋体" w:cs="宋体"/>
                <w:sz w:val="21"/>
                <w:szCs w:val="21"/>
              </w:rPr>
            </w:pPr>
            <w:r>
              <w:rPr>
                <w:rFonts w:hint="eastAsia"/>
                <w:sz w:val="21"/>
                <w:szCs w:val="21"/>
              </w:rPr>
              <w:t>+0.1568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gridAfter w:val="1"/>
          <w:wAfter w:w="48" w:type="dxa"/>
          <w:trHeight w:val="310" w:hRule="atLeast"/>
          <w:jc w:val="center"/>
        </w:trPr>
        <w:tc>
          <w:tcPr>
            <w:tcW w:w="3496" w:type="dxa"/>
            <w:vAlign w:val="center"/>
          </w:tcPr>
          <w:p>
            <w:pPr>
              <w:jc w:val="center"/>
              <w:rPr>
                <w:sz w:val="21"/>
                <w:szCs w:val="21"/>
              </w:rPr>
            </w:pPr>
            <w:r>
              <w:rPr>
                <w:rFonts w:hAnsi="宋体"/>
                <w:sz w:val="21"/>
                <w:szCs w:val="21"/>
              </w:rPr>
              <w:t>大学城</w:t>
            </w:r>
          </w:p>
        </w:tc>
        <w:tc>
          <w:tcPr>
            <w:tcW w:w="2234" w:type="dxa"/>
            <w:vAlign w:val="center"/>
          </w:tcPr>
          <w:p>
            <w:pPr>
              <w:jc w:val="center"/>
              <w:rPr>
                <w:rFonts w:ascii="宋体" w:hAnsi="宋体" w:cs="宋体"/>
                <w:sz w:val="21"/>
                <w:szCs w:val="21"/>
              </w:rPr>
            </w:pPr>
            <w:r>
              <w:rPr>
                <w:rFonts w:hint="eastAsia"/>
                <w:sz w:val="21"/>
                <w:szCs w:val="21"/>
              </w:rPr>
              <w:t>0.1665</w:t>
            </w:r>
          </w:p>
        </w:tc>
        <w:tc>
          <w:tcPr>
            <w:tcW w:w="1755" w:type="dxa"/>
            <w:vAlign w:val="center"/>
          </w:tcPr>
          <w:p>
            <w:pPr>
              <w:jc w:val="center"/>
              <w:rPr>
                <w:rFonts w:ascii="宋体" w:hAnsi="宋体" w:cs="宋体"/>
                <w:sz w:val="21"/>
                <w:szCs w:val="21"/>
              </w:rPr>
            </w:pPr>
            <w:r>
              <w:rPr>
                <w:rFonts w:hint="eastAsia"/>
                <w:sz w:val="21"/>
                <w:szCs w:val="21"/>
              </w:rPr>
              <w:t>0.0038</w:t>
            </w:r>
          </w:p>
        </w:tc>
        <w:tc>
          <w:tcPr>
            <w:tcW w:w="1753" w:type="dxa"/>
            <w:tcBorders>
              <w:left w:val="single" w:color="auto" w:sz="4" w:space="0"/>
            </w:tcBorders>
            <w:vAlign w:val="center"/>
          </w:tcPr>
          <w:p>
            <w:pPr>
              <w:jc w:val="center"/>
              <w:rPr>
                <w:rFonts w:ascii="宋体" w:hAnsi="宋体" w:cs="宋体"/>
                <w:sz w:val="21"/>
                <w:szCs w:val="21"/>
              </w:rPr>
            </w:pPr>
            <w:r>
              <w:rPr>
                <w:rFonts w:hint="eastAsia"/>
                <w:sz w:val="21"/>
                <w:szCs w:val="21"/>
              </w:rPr>
              <w:t>+0.1627</w:t>
            </w:r>
          </w:p>
        </w:tc>
      </w:tr>
    </w:tbl>
    <w:p>
      <w:pPr>
        <w:autoSpaceDE w:val="0"/>
        <w:autoSpaceDN w:val="0"/>
        <w:adjustRightInd w:val="0"/>
        <w:spacing w:line="480" w:lineRule="exact"/>
        <w:ind w:firstLine="420" w:firstLineChars="200"/>
        <w:jc w:val="left"/>
        <w:rPr>
          <w:rFonts w:hint="eastAsia"/>
        </w:rPr>
      </w:pPr>
    </w:p>
    <w:p>
      <w:pPr>
        <w:autoSpaceDE w:val="0"/>
        <w:autoSpaceDN w:val="0"/>
        <w:adjustRightInd w:val="0"/>
        <w:spacing w:line="480" w:lineRule="exact"/>
        <w:ind w:firstLine="420" w:firstLineChars="200"/>
        <w:jc w:val="left"/>
        <w:rPr>
          <w:rFonts w:hint="eastAsia"/>
        </w:rPr>
      </w:pPr>
      <w:r>
        <w:t>从表</w:t>
      </w:r>
      <w:r>
        <w:rPr>
          <w:rFonts w:hint="eastAsia"/>
        </w:rPr>
        <w:t>8</w:t>
      </w:r>
      <w:r>
        <w:t>-1</w:t>
      </w:r>
      <w:r>
        <w:rPr>
          <w:rFonts w:hint="eastAsia"/>
        </w:rPr>
        <w:t>9</w:t>
      </w:r>
      <w:r>
        <w:t>可以看出，</w:t>
      </w:r>
      <w:r>
        <w:rPr>
          <w:rFonts w:hint="eastAsia"/>
        </w:rPr>
        <w:t>当四个工段废气处理设备同时出现故障时，排放出的</w:t>
      </w:r>
      <w:r>
        <w:t>PM</w:t>
      </w:r>
      <w:r>
        <w:rPr>
          <w:vertAlign w:val="subscript"/>
        </w:rPr>
        <w:t>10</w:t>
      </w:r>
      <w:r>
        <w:t>对各评价点的小时最大影响值较正常排放时有明显增加，尤其是</w:t>
      </w:r>
      <w:r>
        <w:rPr>
          <w:rFonts w:hint="eastAsia"/>
          <w:kern w:val="0"/>
        </w:rPr>
        <w:t>在福里树村、殷家老院子、青鹏煤业公司和青木关镇</w:t>
      </w:r>
      <w:r>
        <w:rPr>
          <w:kern w:val="0"/>
        </w:rPr>
        <w:t>，</w:t>
      </w:r>
      <w:r>
        <w:rPr>
          <w:rFonts w:hint="eastAsia"/>
          <w:kern w:val="0"/>
        </w:rPr>
        <w:t>增加量最大出现在青鹏煤业公司家属院附近，</w:t>
      </w:r>
      <w:r>
        <w:rPr>
          <w:kern w:val="0"/>
        </w:rPr>
        <w:t>这种</w:t>
      </w:r>
      <w:r>
        <w:t>情况应引起企业的高度重视，尽量减少</w:t>
      </w:r>
      <w:r>
        <w:rPr>
          <w:rFonts w:hint="eastAsia"/>
        </w:rPr>
        <w:t>布袋除尘系统故障</w:t>
      </w:r>
      <w:r>
        <w:t>的发生。</w:t>
      </w:r>
      <w:r>
        <w:rPr>
          <w:rFonts w:hint="eastAsia"/>
        </w:rPr>
        <w:t>由于事故排放产生的污染属短时污染，对环境的影响相对较小。</w:t>
      </w:r>
    </w:p>
    <w:p>
      <w:pPr>
        <w:pStyle w:val="26"/>
        <w:spacing w:line="480" w:lineRule="exact"/>
        <w:ind w:firstLine="480"/>
        <w:rPr>
          <w:rFonts w:hint="eastAsia"/>
        </w:rPr>
      </w:pPr>
    </w:p>
    <w:p>
      <w:pPr>
        <w:spacing w:line="480" w:lineRule="exact"/>
        <w:ind w:firstLine="316" w:firstLineChars="150"/>
        <w:jc w:val="center"/>
        <w:rPr>
          <w:b/>
        </w:rPr>
        <w:sectPr>
          <w:pgSz w:w="11906" w:h="16838"/>
          <w:pgMar w:top="1440" w:right="1418" w:bottom="1440" w:left="1418" w:header="851" w:footer="992" w:gutter="0"/>
          <w:paperSrc w:first="20070" w:other="20070"/>
          <w:cols w:space="425" w:num="1"/>
          <w:docGrid w:linePitch="312" w:charSpace="0"/>
        </w:sectPr>
      </w:pPr>
    </w:p>
    <w:p>
      <w:pPr>
        <w:spacing w:line="480" w:lineRule="exact"/>
        <w:ind w:firstLine="316" w:firstLineChars="150"/>
        <w:jc w:val="center"/>
        <w:rPr>
          <w:rFonts w:hint="eastAsia"/>
          <w:b/>
          <w:szCs w:val="21"/>
          <w:vertAlign w:val="superscript"/>
        </w:rPr>
      </w:pPr>
      <w:r>
        <w:rPr>
          <w:b/>
        </w:rPr>
        <w:t>表</w:t>
      </w:r>
      <w:r>
        <w:rPr>
          <w:rFonts w:hint="eastAsia"/>
          <w:b/>
        </w:rPr>
        <w:t>8</w:t>
      </w:r>
      <w:r>
        <w:rPr>
          <w:b/>
        </w:rPr>
        <w:t>-</w:t>
      </w:r>
      <w:r>
        <w:rPr>
          <w:rFonts w:hint="eastAsia"/>
          <w:b/>
        </w:rPr>
        <w:t>16</w:t>
      </w:r>
      <w:r>
        <w:rPr>
          <w:b/>
        </w:rPr>
        <w:t xml:space="preserve">  </w:t>
      </w:r>
      <w:r>
        <w:rPr>
          <w:rFonts w:hint="eastAsia"/>
          <w:b/>
        </w:rPr>
        <w:t>技改前后小时最大预测值对敏感点影响对比分析</w:t>
      </w:r>
      <w:r>
        <w:rPr>
          <w:b/>
        </w:rPr>
        <w:t xml:space="preserve">    单位：</w:t>
      </w:r>
      <w:r>
        <w:rPr>
          <w:b/>
          <w:szCs w:val="21"/>
        </w:rPr>
        <w:t>µg/m</w:t>
      </w:r>
      <w:r>
        <w:rPr>
          <w:b/>
          <w:szCs w:val="21"/>
          <w:vertAlign w:val="superscript"/>
        </w:rPr>
        <w:t>3</w:t>
      </w:r>
    </w:p>
    <w:tbl>
      <w:tblPr>
        <w:tblStyle w:val="21"/>
        <w:tblW w:w="14107"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77"/>
        <w:gridCol w:w="1107"/>
        <w:gridCol w:w="1103"/>
        <w:gridCol w:w="1267"/>
        <w:gridCol w:w="886"/>
        <w:gridCol w:w="1030"/>
        <w:gridCol w:w="1052"/>
        <w:gridCol w:w="1066"/>
        <w:gridCol w:w="886"/>
        <w:gridCol w:w="1052"/>
        <w:gridCol w:w="1052"/>
        <w:gridCol w:w="1052"/>
        <w:gridCol w:w="87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tblHeader/>
          <w:jc w:val="center"/>
        </w:trPr>
        <w:tc>
          <w:tcPr>
            <w:tcW w:w="1677" w:type="dxa"/>
            <w:vMerge w:val="restart"/>
            <w:tcBorders>
              <w:tl2br w:val="single" w:color="auto" w:sz="4" w:space="0"/>
            </w:tcBorders>
            <w:vAlign w:val="center"/>
          </w:tcPr>
          <w:p>
            <w:pPr>
              <w:pStyle w:val="31"/>
              <w:snapToGrid w:val="0"/>
              <w:spacing w:line="480" w:lineRule="exact"/>
              <w:ind w:left="0" w:leftChars="0" w:right="-122" w:firstLine="525" w:firstLineChars="250"/>
              <w:jc w:val="both"/>
              <w:rPr>
                <w:color w:val="auto"/>
              </w:rPr>
            </w:pPr>
            <w:r>
              <w:rPr>
                <w:color w:val="auto"/>
              </w:rPr>
              <w:t>预测因子</w:t>
            </w:r>
          </w:p>
          <w:p>
            <w:pPr>
              <w:pStyle w:val="31"/>
              <w:snapToGrid w:val="0"/>
              <w:spacing w:line="480" w:lineRule="exact"/>
              <w:ind w:right="-122"/>
              <w:jc w:val="both"/>
              <w:rPr>
                <w:color w:val="auto"/>
              </w:rPr>
            </w:pPr>
            <w:r>
              <w:rPr>
                <w:color w:val="auto"/>
              </w:rPr>
              <w:t>关心点</w:t>
            </w:r>
          </w:p>
        </w:tc>
        <w:tc>
          <w:tcPr>
            <w:tcW w:w="4363" w:type="dxa"/>
            <w:gridSpan w:val="4"/>
            <w:tcBorders>
              <w:right w:val="single" w:color="auto" w:sz="4" w:space="0"/>
            </w:tcBorders>
            <w:vAlign w:val="center"/>
          </w:tcPr>
          <w:p>
            <w:pPr>
              <w:adjustRightInd w:val="0"/>
              <w:snapToGrid w:val="0"/>
              <w:spacing w:line="480" w:lineRule="exact"/>
              <w:jc w:val="center"/>
              <w:rPr>
                <w:kern w:val="0"/>
                <w:sz w:val="21"/>
                <w:szCs w:val="21"/>
              </w:rPr>
            </w:pPr>
            <w:r>
              <w:rPr>
                <w:sz w:val="21"/>
                <w:szCs w:val="21"/>
              </w:rPr>
              <w:t>PM</w:t>
            </w:r>
            <w:r>
              <w:rPr>
                <w:sz w:val="21"/>
                <w:szCs w:val="21"/>
                <w:vertAlign w:val="subscript"/>
              </w:rPr>
              <w:t>10</w:t>
            </w:r>
          </w:p>
        </w:tc>
        <w:tc>
          <w:tcPr>
            <w:tcW w:w="4034" w:type="dxa"/>
            <w:gridSpan w:val="4"/>
            <w:tcBorders>
              <w:left w:val="single" w:color="auto" w:sz="4" w:space="0"/>
              <w:right w:val="single" w:color="auto" w:sz="4" w:space="0"/>
            </w:tcBorders>
            <w:vAlign w:val="center"/>
          </w:tcPr>
          <w:p>
            <w:pPr>
              <w:widowControl/>
              <w:adjustRightInd w:val="0"/>
              <w:snapToGrid w:val="0"/>
              <w:spacing w:line="480" w:lineRule="exact"/>
              <w:jc w:val="center"/>
              <w:rPr>
                <w:kern w:val="0"/>
                <w:sz w:val="21"/>
                <w:szCs w:val="21"/>
              </w:rPr>
            </w:pPr>
            <w:r>
              <w:rPr>
                <w:sz w:val="21"/>
                <w:szCs w:val="21"/>
              </w:rPr>
              <w:t>SO</w:t>
            </w:r>
            <w:r>
              <w:rPr>
                <w:sz w:val="21"/>
                <w:szCs w:val="21"/>
                <w:vertAlign w:val="subscript"/>
              </w:rPr>
              <w:t>2</w:t>
            </w:r>
          </w:p>
        </w:tc>
        <w:tc>
          <w:tcPr>
            <w:tcW w:w="4033" w:type="dxa"/>
            <w:gridSpan w:val="4"/>
            <w:tcBorders>
              <w:left w:val="single" w:color="auto" w:sz="4" w:space="0"/>
            </w:tcBorders>
            <w:vAlign w:val="center"/>
          </w:tcPr>
          <w:p>
            <w:pPr>
              <w:widowControl/>
              <w:adjustRightInd w:val="0"/>
              <w:snapToGrid w:val="0"/>
              <w:spacing w:line="480" w:lineRule="exact"/>
              <w:jc w:val="center"/>
              <w:rPr>
                <w:rFonts w:hint="eastAsia"/>
                <w:kern w:val="0"/>
                <w:sz w:val="21"/>
                <w:szCs w:val="21"/>
              </w:rPr>
            </w:pPr>
            <w:r>
              <w:rPr>
                <w:rFonts w:hint="eastAsia"/>
                <w:kern w:val="0"/>
                <w:sz w:val="21"/>
                <w:szCs w:val="21"/>
              </w:rPr>
              <w:t>NO</w:t>
            </w:r>
            <w:r>
              <w:rPr>
                <w:rFonts w:hint="eastAsia"/>
                <w:kern w:val="0"/>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jc w:val="center"/>
        </w:trPr>
        <w:tc>
          <w:tcPr>
            <w:tcW w:w="1677" w:type="dxa"/>
            <w:vMerge w:val="continue"/>
            <w:vAlign w:val="center"/>
          </w:tcPr>
          <w:p>
            <w:pPr>
              <w:pStyle w:val="31"/>
              <w:snapToGrid w:val="0"/>
              <w:spacing w:line="480" w:lineRule="exact"/>
              <w:ind w:right="-122"/>
              <w:rPr>
                <w:color w:val="auto"/>
              </w:rPr>
            </w:pPr>
          </w:p>
        </w:tc>
        <w:tc>
          <w:tcPr>
            <w:tcW w:w="1107" w:type="dxa"/>
            <w:tcBorders>
              <w:right w:val="single" w:color="auto" w:sz="4" w:space="0"/>
            </w:tcBorders>
            <w:vAlign w:val="center"/>
          </w:tcPr>
          <w:p>
            <w:pPr>
              <w:pStyle w:val="31"/>
              <w:snapToGrid w:val="0"/>
              <w:spacing w:line="480" w:lineRule="exact"/>
              <w:ind w:right="-122"/>
              <w:rPr>
                <w:rFonts w:hint="eastAsia"/>
                <w:color w:val="auto"/>
              </w:rPr>
            </w:pPr>
            <w:r>
              <w:rPr>
                <w:rFonts w:hint="eastAsia"/>
                <w:color w:val="auto"/>
              </w:rPr>
              <w:t>技改项目</w:t>
            </w:r>
          </w:p>
        </w:tc>
        <w:tc>
          <w:tcPr>
            <w:tcW w:w="1103" w:type="dxa"/>
            <w:tcBorders>
              <w:left w:val="single" w:color="auto" w:sz="4" w:space="0"/>
            </w:tcBorders>
            <w:vAlign w:val="center"/>
          </w:tcPr>
          <w:p>
            <w:pPr>
              <w:pStyle w:val="31"/>
              <w:snapToGrid w:val="0"/>
              <w:spacing w:line="480" w:lineRule="exact"/>
              <w:ind w:right="-122"/>
              <w:rPr>
                <w:rFonts w:hint="eastAsia"/>
                <w:color w:val="auto"/>
              </w:rPr>
            </w:pPr>
            <w:r>
              <w:rPr>
                <w:rFonts w:hint="eastAsia"/>
                <w:color w:val="auto"/>
              </w:rPr>
              <w:t>原有工程</w:t>
            </w:r>
          </w:p>
        </w:tc>
        <w:tc>
          <w:tcPr>
            <w:tcW w:w="1267" w:type="dxa"/>
            <w:tcBorders>
              <w:right w:val="single" w:color="auto" w:sz="4" w:space="0"/>
            </w:tcBorders>
            <w:vAlign w:val="center"/>
          </w:tcPr>
          <w:p>
            <w:pPr>
              <w:pStyle w:val="31"/>
              <w:snapToGrid w:val="0"/>
              <w:spacing w:line="480" w:lineRule="exact"/>
              <w:ind w:right="-122"/>
              <w:rPr>
                <w:rFonts w:hint="eastAsia"/>
                <w:color w:val="auto"/>
              </w:rPr>
            </w:pPr>
            <w:r>
              <w:rPr>
                <w:rFonts w:hint="eastAsia"/>
                <w:color w:val="auto"/>
              </w:rPr>
              <w:t>增减减量</w:t>
            </w:r>
          </w:p>
        </w:tc>
        <w:tc>
          <w:tcPr>
            <w:tcW w:w="886" w:type="dxa"/>
            <w:tcBorders>
              <w:left w:val="single" w:color="auto" w:sz="4" w:space="0"/>
              <w:right w:val="single" w:color="auto" w:sz="4" w:space="0"/>
            </w:tcBorders>
            <w:vAlign w:val="center"/>
          </w:tcPr>
          <w:p>
            <w:pPr>
              <w:pStyle w:val="31"/>
              <w:snapToGrid w:val="0"/>
              <w:spacing w:line="480" w:lineRule="exact"/>
              <w:ind w:right="-122"/>
              <w:rPr>
                <w:rFonts w:hint="eastAsia"/>
                <w:color w:val="auto"/>
              </w:rPr>
            </w:pPr>
            <w:r>
              <w:rPr>
                <w:rFonts w:hint="eastAsia"/>
                <w:color w:val="auto"/>
              </w:rPr>
              <w:t>增减率</w:t>
            </w:r>
          </w:p>
          <w:p>
            <w:pPr>
              <w:pStyle w:val="31"/>
              <w:snapToGrid w:val="0"/>
              <w:spacing w:line="480" w:lineRule="exact"/>
              <w:ind w:left="-17" w:leftChars="-93" w:right="-122" w:hanging="178" w:hangingChars="85"/>
              <w:rPr>
                <w:rFonts w:hint="eastAsia"/>
                <w:color w:val="auto"/>
              </w:rPr>
            </w:pPr>
            <w:r>
              <w:rPr>
                <w:rFonts w:hint="eastAsia"/>
                <w:color w:val="auto"/>
              </w:rPr>
              <w:t>（%）</w:t>
            </w:r>
          </w:p>
        </w:tc>
        <w:tc>
          <w:tcPr>
            <w:tcW w:w="1030" w:type="dxa"/>
            <w:tcBorders>
              <w:left w:val="single" w:color="auto" w:sz="4" w:space="0"/>
              <w:right w:val="single" w:color="auto" w:sz="4" w:space="0"/>
            </w:tcBorders>
            <w:vAlign w:val="center"/>
          </w:tcPr>
          <w:p>
            <w:pPr>
              <w:pStyle w:val="31"/>
              <w:snapToGrid w:val="0"/>
              <w:spacing w:line="480" w:lineRule="exact"/>
              <w:ind w:right="-122"/>
              <w:rPr>
                <w:rFonts w:hint="eastAsia"/>
                <w:color w:val="auto"/>
              </w:rPr>
            </w:pPr>
            <w:r>
              <w:rPr>
                <w:rFonts w:hint="eastAsia"/>
                <w:color w:val="auto"/>
              </w:rPr>
              <w:t>技改项目</w:t>
            </w:r>
          </w:p>
        </w:tc>
        <w:tc>
          <w:tcPr>
            <w:tcW w:w="1052" w:type="dxa"/>
            <w:tcBorders>
              <w:left w:val="single" w:color="auto" w:sz="4" w:space="0"/>
              <w:right w:val="single" w:color="auto" w:sz="4" w:space="0"/>
            </w:tcBorders>
            <w:vAlign w:val="center"/>
          </w:tcPr>
          <w:p>
            <w:pPr>
              <w:pStyle w:val="31"/>
              <w:snapToGrid w:val="0"/>
              <w:spacing w:line="480" w:lineRule="exact"/>
              <w:ind w:right="-122"/>
              <w:rPr>
                <w:rFonts w:hint="eastAsia"/>
                <w:color w:val="auto"/>
              </w:rPr>
            </w:pPr>
            <w:r>
              <w:rPr>
                <w:rFonts w:hint="eastAsia"/>
                <w:color w:val="auto"/>
              </w:rPr>
              <w:t>原有工程</w:t>
            </w:r>
          </w:p>
        </w:tc>
        <w:tc>
          <w:tcPr>
            <w:tcW w:w="1066" w:type="dxa"/>
            <w:tcBorders>
              <w:right w:val="single" w:color="auto" w:sz="4" w:space="0"/>
            </w:tcBorders>
            <w:vAlign w:val="center"/>
          </w:tcPr>
          <w:p>
            <w:pPr>
              <w:pStyle w:val="31"/>
              <w:snapToGrid w:val="0"/>
              <w:spacing w:line="480" w:lineRule="exact"/>
              <w:ind w:right="-122"/>
              <w:rPr>
                <w:rFonts w:hint="eastAsia"/>
                <w:color w:val="auto"/>
              </w:rPr>
            </w:pPr>
            <w:r>
              <w:rPr>
                <w:rFonts w:hint="eastAsia"/>
                <w:color w:val="auto"/>
              </w:rPr>
              <w:t>增减减量</w:t>
            </w:r>
          </w:p>
        </w:tc>
        <w:tc>
          <w:tcPr>
            <w:tcW w:w="886" w:type="dxa"/>
            <w:tcBorders>
              <w:left w:val="single" w:color="auto" w:sz="4" w:space="0"/>
              <w:right w:val="single" w:color="auto" w:sz="4" w:space="0"/>
            </w:tcBorders>
            <w:vAlign w:val="center"/>
          </w:tcPr>
          <w:p>
            <w:pPr>
              <w:pStyle w:val="31"/>
              <w:snapToGrid w:val="0"/>
              <w:spacing w:line="480" w:lineRule="exact"/>
              <w:ind w:right="-122"/>
              <w:rPr>
                <w:rFonts w:hint="eastAsia"/>
                <w:color w:val="auto"/>
              </w:rPr>
            </w:pPr>
            <w:r>
              <w:rPr>
                <w:rFonts w:hint="eastAsia"/>
                <w:color w:val="auto"/>
              </w:rPr>
              <w:t>增减率</w:t>
            </w:r>
          </w:p>
          <w:p>
            <w:pPr>
              <w:pStyle w:val="31"/>
              <w:snapToGrid w:val="0"/>
              <w:spacing w:line="480" w:lineRule="exact"/>
              <w:ind w:right="-122"/>
              <w:rPr>
                <w:rFonts w:hint="eastAsia"/>
                <w:color w:val="auto"/>
              </w:rPr>
            </w:pPr>
            <w:r>
              <w:rPr>
                <w:rFonts w:hint="eastAsia"/>
                <w:color w:val="auto"/>
              </w:rPr>
              <w:t>（%）</w:t>
            </w:r>
          </w:p>
        </w:tc>
        <w:tc>
          <w:tcPr>
            <w:tcW w:w="1052" w:type="dxa"/>
            <w:tcBorders>
              <w:right w:val="single" w:color="auto" w:sz="4" w:space="0"/>
            </w:tcBorders>
            <w:vAlign w:val="center"/>
          </w:tcPr>
          <w:p>
            <w:pPr>
              <w:pStyle w:val="31"/>
              <w:snapToGrid w:val="0"/>
              <w:spacing w:line="480" w:lineRule="exact"/>
              <w:ind w:right="-122"/>
              <w:rPr>
                <w:rFonts w:hint="eastAsia"/>
                <w:color w:val="auto"/>
              </w:rPr>
            </w:pPr>
            <w:r>
              <w:rPr>
                <w:rFonts w:hint="eastAsia"/>
                <w:color w:val="auto"/>
              </w:rPr>
              <w:t>技改项目</w:t>
            </w:r>
          </w:p>
        </w:tc>
        <w:tc>
          <w:tcPr>
            <w:tcW w:w="1052" w:type="dxa"/>
            <w:tcBorders>
              <w:left w:val="single" w:color="auto" w:sz="4" w:space="0"/>
              <w:right w:val="single" w:color="auto" w:sz="4" w:space="0"/>
            </w:tcBorders>
            <w:vAlign w:val="center"/>
          </w:tcPr>
          <w:p>
            <w:pPr>
              <w:pStyle w:val="31"/>
              <w:snapToGrid w:val="0"/>
              <w:spacing w:line="480" w:lineRule="exact"/>
              <w:ind w:right="-122"/>
              <w:rPr>
                <w:rFonts w:hint="eastAsia"/>
                <w:color w:val="auto"/>
              </w:rPr>
            </w:pPr>
            <w:r>
              <w:rPr>
                <w:rFonts w:hint="eastAsia"/>
                <w:color w:val="auto"/>
              </w:rPr>
              <w:t>原有工程</w:t>
            </w:r>
          </w:p>
        </w:tc>
        <w:tc>
          <w:tcPr>
            <w:tcW w:w="1052" w:type="dxa"/>
            <w:tcBorders>
              <w:left w:val="single" w:color="auto" w:sz="4" w:space="0"/>
              <w:right w:val="single" w:color="auto" w:sz="4" w:space="0"/>
            </w:tcBorders>
            <w:vAlign w:val="center"/>
          </w:tcPr>
          <w:p>
            <w:pPr>
              <w:pStyle w:val="31"/>
              <w:snapToGrid w:val="0"/>
              <w:spacing w:line="480" w:lineRule="exact"/>
              <w:ind w:right="-122"/>
              <w:rPr>
                <w:rFonts w:hint="eastAsia"/>
                <w:color w:val="auto"/>
              </w:rPr>
            </w:pPr>
            <w:r>
              <w:rPr>
                <w:rFonts w:hint="eastAsia"/>
                <w:color w:val="auto"/>
              </w:rPr>
              <w:t>增减减量</w:t>
            </w:r>
          </w:p>
        </w:tc>
        <w:tc>
          <w:tcPr>
            <w:tcW w:w="877" w:type="dxa"/>
            <w:tcBorders>
              <w:left w:val="single" w:color="auto" w:sz="4" w:space="0"/>
              <w:right w:val="single" w:color="auto" w:sz="4" w:space="0"/>
            </w:tcBorders>
            <w:vAlign w:val="center"/>
          </w:tcPr>
          <w:p>
            <w:pPr>
              <w:pStyle w:val="31"/>
              <w:snapToGrid w:val="0"/>
              <w:spacing w:line="480" w:lineRule="exact"/>
              <w:ind w:right="-122"/>
              <w:rPr>
                <w:rFonts w:hint="eastAsia"/>
                <w:color w:val="auto"/>
              </w:rPr>
            </w:pPr>
            <w:r>
              <w:rPr>
                <w:rFonts w:hint="eastAsia"/>
                <w:color w:val="auto"/>
              </w:rPr>
              <w:t>增减率</w:t>
            </w:r>
          </w:p>
          <w:p>
            <w:pPr>
              <w:pStyle w:val="31"/>
              <w:snapToGrid w:val="0"/>
              <w:spacing w:line="480" w:lineRule="exact"/>
              <w:ind w:right="-122"/>
              <w:rPr>
                <w:rFonts w:hint="eastAsia"/>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7" w:hRule="atLeast"/>
          <w:jc w:val="center"/>
        </w:trPr>
        <w:tc>
          <w:tcPr>
            <w:tcW w:w="1677" w:type="dxa"/>
            <w:shd w:val="clear" w:color="auto" w:fill="auto"/>
            <w:vAlign w:val="center"/>
          </w:tcPr>
          <w:p>
            <w:pPr>
              <w:spacing w:line="480" w:lineRule="exact"/>
              <w:jc w:val="center"/>
              <w:rPr>
                <w:sz w:val="21"/>
                <w:szCs w:val="21"/>
              </w:rPr>
            </w:pPr>
            <w:r>
              <w:rPr>
                <w:sz w:val="21"/>
                <w:szCs w:val="21"/>
              </w:rPr>
              <w:t>大路镇</w:t>
            </w:r>
          </w:p>
        </w:tc>
        <w:tc>
          <w:tcPr>
            <w:tcW w:w="1107" w:type="dxa"/>
            <w:tcBorders>
              <w:right w:val="single" w:color="auto" w:sz="4" w:space="0"/>
            </w:tcBorders>
            <w:shd w:val="clear" w:color="auto" w:fill="F3F3F3"/>
            <w:vAlign w:val="center"/>
          </w:tcPr>
          <w:p>
            <w:pPr>
              <w:jc w:val="center"/>
              <w:rPr>
                <w:sz w:val="21"/>
                <w:szCs w:val="21"/>
              </w:rPr>
            </w:pPr>
            <w:r>
              <w:rPr>
                <w:sz w:val="21"/>
                <w:szCs w:val="21"/>
              </w:rPr>
              <w:t>2.75</w:t>
            </w:r>
          </w:p>
        </w:tc>
        <w:tc>
          <w:tcPr>
            <w:tcW w:w="1103" w:type="dxa"/>
            <w:tcBorders>
              <w:left w:val="single" w:color="auto" w:sz="4" w:space="0"/>
            </w:tcBorders>
            <w:shd w:val="clear" w:color="auto" w:fill="F3F3F3"/>
            <w:vAlign w:val="center"/>
          </w:tcPr>
          <w:p>
            <w:pPr>
              <w:jc w:val="center"/>
              <w:rPr>
                <w:sz w:val="21"/>
                <w:szCs w:val="21"/>
              </w:rPr>
            </w:pPr>
            <w:r>
              <w:rPr>
                <w:sz w:val="21"/>
                <w:szCs w:val="21"/>
              </w:rPr>
              <w:t>7.03</w:t>
            </w:r>
          </w:p>
        </w:tc>
        <w:tc>
          <w:tcPr>
            <w:tcW w:w="1267" w:type="dxa"/>
            <w:tcBorders>
              <w:right w:val="single" w:color="auto" w:sz="4" w:space="0"/>
            </w:tcBorders>
            <w:shd w:val="clear" w:color="auto" w:fill="F3F3F3"/>
            <w:vAlign w:val="center"/>
          </w:tcPr>
          <w:p>
            <w:pPr>
              <w:jc w:val="center"/>
              <w:rPr>
                <w:rFonts w:ascii="宋体" w:hAnsi="宋体" w:cs="宋体"/>
                <w:sz w:val="21"/>
                <w:szCs w:val="21"/>
              </w:rPr>
            </w:pPr>
            <w:r>
              <w:rPr>
                <w:rFonts w:hint="eastAsia"/>
                <w:sz w:val="21"/>
                <w:szCs w:val="21"/>
              </w:rPr>
              <w:t>-4.28</w:t>
            </w:r>
          </w:p>
        </w:tc>
        <w:tc>
          <w:tcPr>
            <w:tcW w:w="886" w:type="dxa"/>
            <w:tcBorders>
              <w:left w:val="single" w:color="auto" w:sz="4" w:space="0"/>
              <w:right w:val="single" w:color="auto" w:sz="4" w:space="0"/>
            </w:tcBorders>
            <w:shd w:val="clear" w:color="auto" w:fill="F3F3F3"/>
            <w:vAlign w:val="center"/>
          </w:tcPr>
          <w:p>
            <w:pPr>
              <w:jc w:val="center"/>
              <w:rPr>
                <w:rFonts w:ascii="宋体" w:hAnsi="宋体" w:cs="宋体"/>
                <w:sz w:val="21"/>
                <w:szCs w:val="21"/>
              </w:rPr>
            </w:pPr>
            <w:r>
              <w:rPr>
                <w:rFonts w:hint="eastAsia"/>
                <w:sz w:val="21"/>
                <w:szCs w:val="21"/>
              </w:rPr>
              <w:t>-60.88</w:t>
            </w:r>
          </w:p>
        </w:tc>
        <w:tc>
          <w:tcPr>
            <w:tcW w:w="1030" w:type="dxa"/>
            <w:tcBorders>
              <w:left w:val="single" w:color="auto" w:sz="4" w:space="0"/>
              <w:right w:val="single" w:color="auto" w:sz="4" w:space="0"/>
            </w:tcBorders>
            <w:shd w:val="clear" w:color="auto" w:fill="F3F3F3"/>
            <w:vAlign w:val="center"/>
          </w:tcPr>
          <w:p>
            <w:pPr>
              <w:jc w:val="center"/>
              <w:rPr>
                <w:sz w:val="21"/>
                <w:szCs w:val="21"/>
              </w:rPr>
            </w:pPr>
            <w:r>
              <w:rPr>
                <w:sz w:val="21"/>
                <w:szCs w:val="21"/>
              </w:rPr>
              <w:t>3.2</w:t>
            </w:r>
          </w:p>
        </w:tc>
        <w:tc>
          <w:tcPr>
            <w:tcW w:w="1052" w:type="dxa"/>
            <w:tcBorders>
              <w:left w:val="single" w:color="auto" w:sz="4" w:space="0"/>
            </w:tcBorders>
            <w:shd w:val="clear" w:color="auto" w:fill="F3F3F3"/>
            <w:vAlign w:val="center"/>
          </w:tcPr>
          <w:p>
            <w:pPr>
              <w:jc w:val="center"/>
              <w:rPr>
                <w:sz w:val="21"/>
                <w:szCs w:val="21"/>
              </w:rPr>
            </w:pPr>
            <w:r>
              <w:rPr>
                <w:sz w:val="21"/>
                <w:szCs w:val="21"/>
              </w:rPr>
              <w:t>16.29</w:t>
            </w:r>
          </w:p>
        </w:tc>
        <w:tc>
          <w:tcPr>
            <w:tcW w:w="1066" w:type="dxa"/>
            <w:tcBorders>
              <w:right w:val="single" w:color="auto" w:sz="4" w:space="0"/>
            </w:tcBorders>
            <w:shd w:val="clear" w:color="auto" w:fill="F3F3F3"/>
            <w:vAlign w:val="center"/>
          </w:tcPr>
          <w:p>
            <w:pPr>
              <w:jc w:val="center"/>
              <w:rPr>
                <w:rFonts w:ascii="宋体" w:hAnsi="宋体" w:cs="宋体"/>
                <w:sz w:val="21"/>
                <w:szCs w:val="21"/>
              </w:rPr>
            </w:pPr>
            <w:r>
              <w:rPr>
                <w:rFonts w:hint="eastAsia"/>
                <w:sz w:val="21"/>
                <w:szCs w:val="21"/>
              </w:rPr>
              <w:t>-13.09</w:t>
            </w:r>
          </w:p>
        </w:tc>
        <w:tc>
          <w:tcPr>
            <w:tcW w:w="886" w:type="dxa"/>
            <w:tcBorders>
              <w:left w:val="single" w:color="auto" w:sz="4" w:space="0"/>
            </w:tcBorders>
            <w:shd w:val="clear" w:color="auto" w:fill="F3F3F3"/>
            <w:vAlign w:val="center"/>
          </w:tcPr>
          <w:p>
            <w:pPr>
              <w:jc w:val="center"/>
              <w:rPr>
                <w:rFonts w:ascii="宋体" w:hAnsi="宋体" w:cs="宋体"/>
                <w:sz w:val="21"/>
                <w:szCs w:val="21"/>
              </w:rPr>
            </w:pPr>
            <w:r>
              <w:rPr>
                <w:rFonts w:hint="eastAsia"/>
                <w:sz w:val="21"/>
                <w:szCs w:val="21"/>
              </w:rPr>
              <w:t>-80.36</w:t>
            </w:r>
          </w:p>
        </w:tc>
        <w:tc>
          <w:tcPr>
            <w:tcW w:w="1052" w:type="dxa"/>
            <w:tcBorders>
              <w:right w:val="single" w:color="auto" w:sz="4" w:space="0"/>
            </w:tcBorders>
            <w:shd w:val="clear" w:color="auto" w:fill="F3F3F3"/>
            <w:vAlign w:val="center"/>
          </w:tcPr>
          <w:p>
            <w:pPr>
              <w:jc w:val="center"/>
              <w:rPr>
                <w:sz w:val="21"/>
                <w:szCs w:val="21"/>
              </w:rPr>
            </w:pPr>
            <w:r>
              <w:rPr>
                <w:sz w:val="21"/>
                <w:szCs w:val="21"/>
              </w:rPr>
              <w:t>21.65</w:t>
            </w:r>
          </w:p>
        </w:tc>
        <w:tc>
          <w:tcPr>
            <w:tcW w:w="1052" w:type="dxa"/>
            <w:tcBorders>
              <w:left w:val="single" w:color="auto" w:sz="4" w:space="0"/>
              <w:right w:val="single" w:color="auto" w:sz="4" w:space="0"/>
            </w:tcBorders>
            <w:shd w:val="clear" w:color="auto" w:fill="F3F3F3"/>
            <w:vAlign w:val="center"/>
          </w:tcPr>
          <w:p>
            <w:pPr>
              <w:jc w:val="center"/>
              <w:rPr>
                <w:sz w:val="21"/>
                <w:szCs w:val="21"/>
              </w:rPr>
            </w:pPr>
            <w:r>
              <w:rPr>
                <w:sz w:val="21"/>
                <w:szCs w:val="21"/>
              </w:rPr>
              <w:t>13.78</w:t>
            </w:r>
          </w:p>
        </w:tc>
        <w:tc>
          <w:tcPr>
            <w:tcW w:w="1052" w:type="dxa"/>
            <w:tcBorders>
              <w:left w:val="single" w:color="auto" w:sz="4" w:space="0"/>
              <w:right w:val="single" w:color="auto" w:sz="4" w:space="0"/>
            </w:tcBorders>
            <w:shd w:val="clear" w:color="auto" w:fill="F3F3F3"/>
            <w:vAlign w:val="center"/>
          </w:tcPr>
          <w:p>
            <w:pPr>
              <w:jc w:val="center"/>
              <w:rPr>
                <w:rFonts w:ascii="宋体" w:hAnsi="宋体" w:cs="宋体"/>
                <w:sz w:val="21"/>
                <w:szCs w:val="21"/>
              </w:rPr>
            </w:pPr>
            <w:r>
              <w:rPr>
                <w:rFonts w:hint="eastAsia"/>
                <w:sz w:val="21"/>
                <w:szCs w:val="21"/>
              </w:rPr>
              <w:t>7.87</w:t>
            </w:r>
          </w:p>
        </w:tc>
        <w:tc>
          <w:tcPr>
            <w:tcW w:w="877" w:type="dxa"/>
            <w:tcBorders>
              <w:left w:val="single" w:color="auto" w:sz="4" w:space="0"/>
            </w:tcBorders>
            <w:shd w:val="clear" w:color="auto" w:fill="F3F3F3"/>
            <w:vAlign w:val="center"/>
          </w:tcPr>
          <w:p>
            <w:pPr>
              <w:jc w:val="center"/>
              <w:rPr>
                <w:rFonts w:ascii="宋体" w:hAnsi="宋体" w:cs="宋体"/>
                <w:sz w:val="21"/>
                <w:szCs w:val="21"/>
              </w:rPr>
            </w:pPr>
            <w:r>
              <w:rPr>
                <w:rFonts w:hint="eastAsia"/>
                <w:sz w:val="21"/>
                <w:szCs w:val="21"/>
              </w:rPr>
              <w:t>57.11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1677" w:type="dxa"/>
            <w:vAlign w:val="center"/>
          </w:tcPr>
          <w:p>
            <w:pPr>
              <w:spacing w:line="480" w:lineRule="exact"/>
              <w:jc w:val="center"/>
              <w:rPr>
                <w:sz w:val="21"/>
                <w:szCs w:val="21"/>
              </w:rPr>
            </w:pPr>
            <w:r>
              <w:rPr>
                <w:rFonts w:hAnsi="宋体"/>
                <w:sz w:val="21"/>
                <w:szCs w:val="21"/>
              </w:rPr>
              <w:t>六塘镇</w:t>
            </w:r>
          </w:p>
        </w:tc>
        <w:tc>
          <w:tcPr>
            <w:tcW w:w="1107" w:type="dxa"/>
            <w:tcBorders>
              <w:right w:val="single" w:color="auto" w:sz="4" w:space="0"/>
            </w:tcBorders>
            <w:vAlign w:val="center"/>
          </w:tcPr>
          <w:p>
            <w:pPr>
              <w:jc w:val="center"/>
              <w:rPr>
                <w:sz w:val="21"/>
                <w:szCs w:val="21"/>
              </w:rPr>
            </w:pPr>
            <w:r>
              <w:rPr>
                <w:sz w:val="21"/>
                <w:szCs w:val="21"/>
              </w:rPr>
              <w:t>3.81</w:t>
            </w:r>
          </w:p>
        </w:tc>
        <w:tc>
          <w:tcPr>
            <w:tcW w:w="1103" w:type="dxa"/>
            <w:tcBorders>
              <w:left w:val="single" w:color="auto" w:sz="4" w:space="0"/>
            </w:tcBorders>
            <w:vAlign w:val="center"/>
          </w:tcPr>
          <w:p>
            <w:pPr>
              <w:jc w:val="center"/>
              <w:rPr>
                <w:sz w:val="21"/>
                <w:szCs w:val="21"/>
              </w:rPr>
            </w:pPr>
            <w:r>
              <w:rPr>
                <w:sz w:val="21"/>
                <w:szCs w:val="21"/>
              </w:rPr>
              <w:t>12.29</w:t>
            </w:r>
          </w:p>
        </w:tc>
        <w:tc>
          <w:tcPr>
            <w:tcW w:w="1267" w:type="dxa"/>
            <w:tcBorders>
              <w:right w:val="single" w:color="auto" w:sz="4" w:space="0"/>
            </w:tcBorders>
            <w:vAlign w:val="center"/>
          </w:tcPr>
          <w:p>
            <w:pPr>
              <w:jc w:val="center"/>
              <w:rPr>
                <w:rFonts w:ascii="宋体" w:hAnsi="宋体" w:cs="宋体"/>
                <w:sz w:val="21"/>
                <w:szCs w:val="21"/>
              </w:rPr>
            </w:pPr>
            <w:r>
              <w:rPr>
                <w:rFonts w:hint="eastAsia"/>
                <w:sz w:val="21"/>
                <w:szCs w:val="21"/>
              </w:rPr>
              <w:t>-8.48</w:t>
            </w:r>
          </w:p>
        </w:tc>
        <w:tc>
          <w:tcPr>
            <w:tcW w:w="886" w:type="dxa"/>
            <w:tcBorders>
              <w:left w:val="single" w:color="auto" w:sz="4" w:space="0"/>
              <w:right w:val="single" w:color="auto" w:sz="4" w:space="0"/>
            </w:tcBorders>
            <w:vAlign w:val="center"/>
          </w:tcPr>
          <w:p>
            <w:pPr>
              <w:jc w:val="center"/>
              <w:rPr>
                <w:rFonts w:ascii="宋体" w:hAnsi="宋体" w:cs="宋体"/>
                <w:sz w:val="21"/>
                <w:szCs w:val="21"/>
              </w:rPr>
            </w:pPr>
            <w:r>
              <w:rPr>
                <w:rFonts w:hint="eastAsia"/>
                <w:sz w:val="21"/>
                <w:szCs w:val="21"/>
              </w:rPr>
              <w:t>-69.00</w:t>
            </w:r>
          </w:p>
        </w:tc>
        <w:tc>
          <w:tcPr>
            <w:tcW w:w="1030" w:type="dxa"/>
            <w:tcBorders>
              <w:left w:val="single" w:color="auto" w:sz="4" w:space="0"/>
              <w:right w:val="single" w:color="auto" w:sz="4" w:space="0"/>
            </w:tcBorders>
            <w:vAlign w:val="center"/>
          </w:tcPr>
          <w:p>
            <w:pPr>
              <w:jc w:val="center"/>
              <w:rPr>
                <w:sz w:val="21"/>
                <w:szCs w:val="21"/>
              </w:rPr>
            </w:pPr>
            <w:r>
              <w:rPr>
                <w:sz w:val="21"/>
                <w:szCs w:val="21"/>
              </w:rPr>
              <w:t>3.66</w:t>
            </w:r>
          </w:p>
        </w:tc>
        <w:tc>
          <w:tcPr>
            <w:tcW w:w="1052" w:type="dxa"/>
            <w:tcBorders>
              <w:left w:val="single" w:color="auto" w:sz="4" w:space="0"/>
            </w:tcBorders>
            <w:vAlign w:val="center"/>
          </w:tcPr>
          <w:p>
            <w:pPr>
              <w:jc w:val="center"/>
              <w:rPr>
                <w:sz w:val="21"/>
                <w:szCs w:val="21"/>
              </w:rPr>
            </w:pPr>
            <w:r>
              <w:rPr>
                <w:sz w:val="21"/>
                <w:szCs w:val="21"/>
              </w:rPr>
              <w:t>24.06</w:t>
            </w:r>
          </w:p>
        </w:tc>
        <w:tc>
          <w:tcPr>
            <w:tcW w:w="1066" w:type="dxa"/>
            <w:tcBorders>
              <w:right w:val="single" w:color="auto" w:sz="4" w:space="0"/>
            </w:tcBorders>
            <w:vAlign w:val="center"/>
          </w:tcPr>
          <w:p>
            <w:pPr>
              <w:jc w:val="center"/>
              <w:rPr>
                <w:rFonts w:ascii="宋体" w:hAnsi="宋体" w:cs="宋体"/>
                <w:sz w:val="21"/>
                <w:szCs w:val="21"/>
              </w:rPr>
            </w:pPr>
            <w:r>
              <w:rPr>
                <w:rFonts w:hint="eastAsia"/>
                <w:sz w:val="21"/>
                <w:szCs w:val="21"/>
              </w:rPr>
              <w:t>-20.4</w:t>
            </w:r>
          </w:p>
        </w:tc>
        <w:tc>
          <w:tcPr>
            <w:tcW w:w="886" w:type="dxa"/>
            <w:tcBorders>
              <w:left w:val="single" w:color="auto" w:sz="4" w:space="0"/>
            </w:tcBorders>
            <w:vAlign w:val="center"/>
          </w:tcPr>
          <w:p>
            <w:pPr>
              <w:jc w:val="center"/>
              <w:rPr>
                <w:rFonts w:ascii="宋体" w:hAnsi="宋体" w:cs="宋体"/>
                <w:sz w:val="21"/>
                <w:szCs w:val="21"/>
              </w:rPr>
            </w:pPr>
            <w:r>
              <w:rPr>
                <w:rFonts w:hint="eastAsia"/>
                <w:sz w:val="21"/>
                <w:szCs w:val="21"/>
              </w:rPr>
              <w:t>-84.79</w:t>
            </w:r>
          </w:p>
        </w:tc>
        <w:tc>
          <w:tcPr>
            <w:tcW w:w="1052" w:type="dxa"/>
            <w:tcBorders>
              <w:right w:val="single" w:color="auto" w:sz="4" w:space="0"/>
            </w:tcBorders>
            <w:vAlign w:val="center"/>
          </w:tcPr>
          <w:p>
            <w:pPr>
              <w:jc w:val="center"/>
              <w:rPr>
                <w:sz w:val="21"/>
                <w:szCs w:val="21"/>
              </w:rPr>
            </w:pPr>
            <w:r>
              <w:rPr>
                <w:sz w:val="21"/>
                <w:szCs w:val="21"/>
              </w:rPr>
              <w:t>24.76</w:t>
            </w:r>
          </w:p>
        </w:tc>
        <w:tc>
          <w:tcPr>
            <w:tcW w:w="1052" w:type="dxa"/>
            <w:tcBorders>
              <w:left w:val="single" w:color="auto" w:sz="4" w:space="0"/>
              <w:right w:val="single" w:color="auto" w:sz="4" w:space="0"/>
            </w:tcBorders>
            <w:vAlign w:val="center"/>
          </w:tcPr>
          <w:p>
            <w:pPr>
              <w:jc w:val="center"/>
              <w:rPr>
                <w:sz w:val="21"/>
                <w:szCs w:val="21"/>
              </w:rPr>
            </w:pPr>
            <w:r>
              <w:rPr>
                <w:sz w:val="21"/>
                <w:szCs w:val="21"/>
              </w:rPr>
              <w:t>20.34</w:t>
            </w:r>
          </w:p>
        </w:tc>
        <w:tc>
          <w:tcPr>
            <w:tcW w:w="1052" w:type="dxa"/>
            <w:tcBorders>
              <w:left w:val="single" w:color="auto" w:sz="4" w:space="0"/>
              <w:right w:val="single" w:color="auto" w:sz="4" w:space="0"/>
            </w:tcBorders>
            <w:vAlign w:val="center"/>
          </w:tcPr>
          <w:p>
            <w:pPr>
              <w:jc w:val="center"/>
              <w:rPr>
                <w:rFonts w:ascii="宋体" w:hAnsi="宋体" w:cs="宋体"/>
                <w:sz w:val="21"/>
                <w:szCs w:val="21"/>
              </w:rPr>
            </w:pPr>
            <w:r>
              <w:rPr>
                <w:rFonts w:hint="eastAsia"/>
                <w:sz w:val="21"/>
                <w:szCs w:val="21"/>
              </w:rPr>
              <w:t>4.42</w:t>
            </w:r>
          </w:p>
        </w:tc>
        <w:tc>
          <w:tcPr>
            <w:tcW w:w="877" w:type="dxa"/>
            <w:tcBorders>
              <w:left w:val="single" w:color="auto" w:sz="4" w:space="0"/>
            </w:tcBorders>
            <w:vAlign w:val="center"/>
          </w:tcPr>
          <w:p>
            <w:pPr>
              <w:jc w:val="center"/>
              <w:rPr>
                <w:rFonts w:ascii="宋体" w:hAnsi="宋体" w:cs="宋体"/>
                <w:sz w:val="21"/>
                <w:szCs w:val="21"/>
              </w:rPr>
            </w:pPr>
            <w:r>
              <w:rPr>
                <w:rFonts w:hint="eastAsia"/>
                <w:sz w:val="21"/>
                <w:szCs w:val="21"/>
              </w:rPr>
              <w:t>21.73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8" w:hRule="atLeast"/>
          <w:jc w:val="center"/>
        </w:trPr>
        <w:tc>
          <w:tcPr>
            <w:tcW w:w="1677" w:type="dxa"/>
            <w:vAlign w:val="center"/>
          </w:tcPr>
          <w:p>
            <w:pPr>
              <w:spacing w:line="480" w:lineRule="exact"/>
              <w:jc w:val="center"/>
              <w:rPr>
                <w:sz w:val="21"/>
                <w:szCs w:val="21"/>
              </w:rPr>
            </w:pPr>
            <w:r>
              <w:rPr>
                <w:rFonts w:hAnsi="宋体"/>
                <w:sz w:val="21"/>
                <w:szCs w:val="21"/>
              </w:rPr>
              <w:t>接龙镇</w:t>
            </w:r>
          </w:p>
        </w:tc>
        <w:tc>
          <w:tcPr>
            <w:tcW w:w="1107" w:type="dxa"/>
            <w:tcBorders>
              <w:right w:val="single" w:color="auto" w:sz="4" w:space="0"/>
            </w:tcBorders>
            <w:vAlign w:val="center"/>
          </w:tcPr>
          <w:p>
            <w:pPr>
              <w:jc w:val="center"/>
              <w:rPr>
                <w:sz w:val="21"/>
                <w:szCs w:val="21"/>
              </w:rPr>
            </w:pPr>
            <w:r>
              <w:rPr>
                <w:sz w:val="21"/>
                <w:szCs w:val="21"/>
              </w:rPr>
              <w:t>6.85</w:t>
            </w:r>
          </w:p>
        </w:tc>
        <w:tc>
          <w:tcPr>
            <w:tcW w:w="1103" w:type="dxa"/>
            <w:tcBorders>
              <w:left w:val="single" w:color="auto" w:sz="4" w:space="0"/>
            </w:tcBorders>
            <w:vAlign w:val="center"/>
          </w:tcPr>
          <w:p>
            <w:pPr>
              <w:jc w:val="center"/>
              <w:rPr>
                <w:sz w:val="21"/>
                <w:szCs w:val="21"/>
              </w:rPr>
            </w:pPr>
            <w:r>
              <w:rPr>
                <w:sz w:val="21"/>
                <w:szCs w:val="21"/>
              </w:rPr>
              <w:t>15.15</w:t>
            </w:r>
          </w:p>
        </w:tc>
        <w:tc>
          <w:tcPr>
            <w:tcW w:w="1267" w:type="dxa"/>
            <w:tcBorders>
              <w:right w:val="single" w:color="auto" w:sz="4" w:space="0"/>
            </w:tcBorders>
            <w:vAlign w:val="center"/>
          </w:tcPr>
          <w:p>
            <w:pPr>
              <w:jc w:val="center"/>
              <w:rPr>
                <w:rFonts w:ascii="宋体" w:hAnsi="宋体" w:cs="宋体"/>
                <w:sz w:val="21"/>
                <w:szCs w:val="21"/>
              </w:rPr>
            </w:pPr>
            <w:r>
              <w:rPr>
                <w:rFonts w:hint="eastAsia"/>
                <w:sz w:val="21"/>
                <w:szCs w:val="21"/>
              </w:rPr>
              <w:t>-8.3</w:t>
            </w:r>
          </w:p>
        </w:tc>
        <w:tc>
          <w:tcPr>
            <w:tcW w:w="886" w:type="dxa"/>
            <w:tcBorders>
              <w:left w:val="single" w:color="auto" w:sz="4" w:space="0"/>
            </w:tcBorders>
            <w:vAlign w:val="center"/>
          </w:tcPr>
          <w:p>
            <w:pPr>
              <w:jc w:val="center"/>
              <w:rPr>
                <w:rFonts w:ascii="宋体" w:hAnsi="宋体" w:cs="宋体"/>
                <w:sz w:val="21"/>
                <w:szCs w:val="21"/>
              </w:rPr>
            </w:pPr>
            <w:r>
              <w:rPr>
                <w:rFonts w:hint="eastAsia"/>
                <w:sz w:val="21"/>
                <w:szCs w:val="21"/>
              </w:rPr>
              <w:t>-54.79</w:t>
            </w:r>
          </w:p>
        </w:tc>
        <w:tc>
          <w:tcPr>
            <w:tcW w:w="1030" w:type="dxa"/>
            <w:tcBorders>
              <w:right w:val="single" w:color="auto" w:sz="4" w:space="0"/>
            </w:tcBorders>
            <w:vAlign w:val="center"/>
          </w:tcPr>
          <w:p>
            <w:pPr>
              <w:jc w:val="center"/>
              <w:rPr>
                <w:sz w:val="21"/>
                <w:szCs w:val="21"/>
              </w:rPr>
            </w:pPr>
            <w:r>
              <w:rPr>
                <w:sz w:val="21"/>
                <w:szCs w:val="21"/>
              </w:rPr>
              <w:t>15.31</w:t>
            </w:r>
          </w:p>
        </w:tc>
        <w:tc>
          <w:tcPr>
            <w:tcW w:w="1052" w:type="dxa"/>
            <w:tcBorders>
              <w:left w:val="single" w:color="auto" w:sz="4" w:space="0"/>
            </w:tcBorders>
            <w:vAlign w:val="center"/>
          </w:tcPr>
          <w:p>
            <w:pPr>
              <w:jc w:val="center"/>
              <w:rPr>
                <w:sz w:val="21"/>
                <w:szCs w:val="21"/>
              </w:rPr>
            </w:pPr>
            <w:r>
              <w:rPr>
                <w:sz w:val="21"/>
                <w:szCs w:val="21"/>
              </w:rPr>
              <w:t>30.05</w:t>
            </w:r>
          </w:p>
        </w:tc>
        <w:tc>
          <w:tcPr>
            <w:tcW w:w="1066" w:type="dxa"/>
            <w:tcBorders>
              <w:right w:val="single" w:color="auto" w:sz="4" w:space="0"/>
            </w:tcBorders>
            <w:vAlign w:val="center"/>
          </w:tcPr>
          <w:p>
            <w:pPr>
              <w:jc w:val="center"/>
              <w:rPr>
                <w:rFonts w:ascii="宋体" w:hAnsi="宋体" w:cs="宋体"/>
                <w:sz w:val="21"/>
                <w:szCs w:val="21"/>
              </w:rPr>
            </w:pPr>
            <w:r>
              <w:rPr>
                <w:rFonts w:hint="eastAsia"/>
                <w:sz w:val="21"/>
                <w:szCs w:val="21"/>
              </w:rPr>
              <w:t>-14.74</w:t>
            </w:r>
          </w:p>
        </w:tc>
        <w:tc>
          <w:tcPr>
            <w:tcW w:w="886" w:type="dxa"/>
            <w:tcBorders>
              <w:left w:val="single" w:color="auto" w:sz="4" w:space="0"/>
            </w:tcBorders>
            <w:vAlign w:val="center"/>
          </w:tcPr>
          <w:p>
            <w:pPr>
              <w:jc w:val="center"/>
              <w:rPr>
                <w:rFonts w:ascii="宋体" w:hAnsi="宋体" w:cs="宋体"/>
                <w:sz w:val="21"/>
                <w:szCs w:val="21"/>
              </w:rPr>
            </w:pPr>
            <w:r>
              <w:rPr>
                <w:rFonts w:hint="eastAsia"/>
                <w:sz w:val="21"/>
                <w:szCs w:val="21"/>
              </w:rPr>
              <w:t>-49.05</w:t>
            </w:r>
          </w:p>
        </w:tc>
        <w:tc>
          <w:tcPr>
            <w:tcW w:w="1052" w:type="dxa"/>
            <w:tcBorders>
              <w:right w:val="single" w:color="auto" w:sz="4" w:space="0"/>
            </w:tcBorders>
            <w:vAlign w:val="center"/>
          </w:tcPr>
          <w:p>
            <w:pPr>
              <w:jc w:val="center"/>
              <w:rPr>
                <w:sz w:val="21"/>
                <w:szCs w:val="21"/>
              </w:rPr>
            </w:pPr>
            <w:r>
              <w:rPr>
                <w:sz w:val="21"/>
                <w:szCs w:val="21"/>
              </w:rPr>
              <w:t>103.53</w:t>
            </w:r>
          </w:p>
        </w:tc>
        <w:tc>
          <w:tcPr>
            <w:tcW w:w="1052" w:type="dxa"/>
            <w:tcBorders>
              <w:left w:val="single" w:color="auto" w:sz="4" w:space="0"/>
              <w:right w:val="single" w:color="auto" w:sz="4" w:space="0"/>
            </w:tcBorders>
            <w:vAlign w:val="center"/>
          </w:tcPr>
          <w:p>
            <w:pPr>
              <w:jc w:val="center"/>
              <w:rPr>
                <w:sz w:val="21"/>
                <w:szCs w:val="21"/>
              </w:rPr>
            </w:pPr>
            <w:r>
              <w:rPr>
                <w:sz w:val="21"/>
                <w:szCs w:val="21"/>
              </w:rPr>
              <w:t>25.43</w:t>
            </w:r>
          </w:p>
        </w:tc>
        <w:tc>
          <w:tcPr>
            <w:tcW w:w="1052" w:type="dxa"/>
            <w:tcBorders>
              <w:left w:val="single" w:color="auto" w:sz="4" w:space="0"/>
              <w:right w:val="single" w:color="auto" w:sz="4" w:space="0"/>
            </w:tcBorders>
            <w:vAlign w:val="center"/>
          </w:tcPr>
          <w:p>
            <w:pPr>
              <w:jc w:val="center"/>
              <w:rPr>
                <w:rFonts w:ascii="宋体" w:hAnsi="宋体" w:cs="宋体"/>
                <w:sz w:val="21"/>
                <w:szCs w:val="21"/>
              </w:rPr>
            </w:pPr>
            <w:r>
              <w:rPr>
                <w:rFonts w:hint="eastAsia"/>
                <w:sz w:val="21"/>
                <w:szCs w:val="21"/>
              </w:rPr>
              <w:t>78.1</w:t>
            </w:r>
          </w:p>
        </w:tc>
        <w:tc>
          <w:tcPr>
            <w:tcW w:w="877" w:type="dxa"/>
            <w:tcBorders>
              <w:left w:val="single" w:color="auto" w:sz="4" w:space="0"/>
            </w:tcBorders>
            <w:vAlign w:val="center"/>
          </w:tcPr>
          <w:p>
            <w:pPr>
              <w:jc w:val="center"/>
              <w:rPr>
                <w:rFonts w:ascii="宋体" w:hAnsi="宋体" w:cs="宋体"/>
                <w:sz w:val="21"/>
                <w:szCs w:val="21"/>
              </w:rPr>
            </w:pPr>
            <w:r>
              <w:rPr>
                <w:rFonts w:hint="eastAsia"/>
                <w:sz w:val="21"/>
                <w:szCs w:val="21"/>
              </w:rPr>
              <w:t>307.12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2" w:hRule="atLeast"/>
          <w:jc w:val="center"/>
        </w:trPr>
        <w:tc>
          <w:tcPr>
            <w:tcW w:w="1677" w:type="dxa"/>
            <w:shd w:val="clear" w:color="auto" w:fill="auto"/>
            <w:vAlign w:val="center"/>
          </w:tcPr>
          <w:p>
            <w:pPr>
              <w:spacing w:line="480" w:lineRule="exact"/>
              <w:jc w:val="center"/>
              <w:rPr>
                <w:sz w:val="21"/>
                <w:szCs w:val="21"/>
              </w:rPr>
            </w:pPr>
            <w:r>
              <w:rPr>
                <w:rFonts w:hAnsi="宋体"/>
                <w:sz w:val="21"/>
                <w:szCs w:val="21"/>
              </w:rPr>
              <w:t>福里树村</w:t>
            </w:r>
          </w:p>
        </w:tc>
        <w:tc>
          <w:tcPr>
            <w:tcW w:w="1107" w:type="dxa"/>
            <w:tcBorders>
              <w:right w:val="single" w:color="auto" w:sz="4" w:space="0"/>
            </w:tcBorders>
            <w:shd w:val="clear" w:color="auto" w:fill="auto"/>
            <w:vAlign w:val="center"/>
          </w:tcPr>
          <w:p>
            <w:pPr>
              <w:jc w:val="center"/>
              <w:rPr>
                <w:sz w:val="21"/>
                <w:szCs w:val="21"/>
              </w:rPr>
            </w:pPr>
            <w:r>
              <w:rPr>
                <w:sz w:val="21"/>
                <w:szCs w:val="21"/>
              </w:rPr>
              <w:t>22.74</w:t>
            </w:r>
          </w:p>
        </w:tc>
        <w:tc>
          <w:tcPr>
            <w:tcW w:w="1103" w:type="dxa"/>
            <w:tcBorders>
              <w:left w:val="single" w:color="auto" w:sz="4" w:space="0"/>
            </w:tcBorders>
            <w:shd w:val="clear" w:color="auto" w:fill="auto"/>
            <w:vAlign w:val="center"/>
          </w:tcPr>
          <w:p>
            <w:pPr>
              <w:jc w:val="center"/>
              <w:rPr>
                <w:sz w:val="21"/>
                <w:szCs w:val="21"/>
              </w:rPr>
            </w:pPr>
            <w:r>
              <w:rPr>
                <w:sz w:val="21"/>
                <w:szCs w:val="21"/>
              </w:rPr>
              <w:t>75.43</w:t>
            </w:r>
          </w:p>
        </w:tc>
        <w:tc>
          <w:tcPr>
            <w:tcW w:w="1267" w:type="dxa"/>
            <w:tcBorders>
              <w:right w:val="single" w:color="auto" w:sz="4" w:space="0"/>
            </w:tcBorders>
            <w:shd w:val="clear" w:color="auto" w:fill="auto"/>
            <w:vAlign w:val="center"/>
          </w:tcPr>
          <w:p>
            <w:pPr>
              <w:jc w:val="center"/>
              <w:rPr>
                <w:rFonts w:ascii="宋体" w:hAnsi="宋体" w:cs="宋体"/>
                <w:sz w:val="21"/>
                <w:szCs w:val="21"/>
              </w:rPr>
            </w:pPr>
            <w:r>
              <w:rPr>
                <w:rFonts w:hint="eastAsia"/>
                <w:sz w:val="21"/>
                <w:szCs w:val="21"/>
              </w:rPr>
              <w:t>-52.69</w:t>
            </w:r>
          </w:p>
        </w:tc>
        <w:tc>
          <w:tcPr>
            <w:tcW w:w="886" w:type="dxa"/>
            <w:tcBorders>
              <w:left w:val="single" w:color="auto" w:sz="4" w:space="0"/>
            </w:tcBorders>
            <w:shd w:val="clear" w:color="auto" w:fill="auto"/>
            <w:vAlign w:val="center"/>
          </w:tcPr>
          <w:p>
            <w:pPr>
              <w:jc w:val="center"/>
              <w:rPr>
                <w:rFonts w:ascii="宋体" w:hAnsi="宋体" w:cs="宋体"/>
                <w:sz w:val="21"/>
                <w:szCs w:val="21"/>
              </w:rPr>
            </w:pPr>
            <w:r>
              <w:rPr>
                <w:rFonts w:hint="eastAsia"/>
                <w:sz w:val="21"/>
                <w:szCs w:val="21"/>
              </w:rPr>
              <w:t>-69.85</w:t>
            </w:r>
          </w:p>
        </w:tc>
        <w:tc>
          <w:tcPr>
            <w:tcW w:w="1030" w:type="dxa"/>
            <w:tcBorders>
              <w:right w:val="single" w:color="auto" w:sz="4" w:space="0"/>
            </w:tcBorders>
            <w:vAlign w:val="center"/>
          </w:tcPr>
          <w:p>
            <w:pPr>
              <w:jc w:val="center"/>
              <w:rPr>
                <w:sz w:val="21"/>
                <w:szCs w:val="21"/>
              </w:rPr>
            </w:pPr>
            <w:r>
              <w:rPr>
                <w:sz w:val="21"/>
                <w:szCs w:val="21"/>
              </w:rPr>
              <w:t>45.68</w:t>
            </w:r>
          </w:p>
        </w:tc>
        <w:tc>
          <w:tcPr>
            <w:tcW w:w="1052" w:type="dxa"/>
            <w:tcBorders>
              <w:left w:val="single" w:color="auto" w:sz="4" w:space="0"/>
            </w:tcBorders>
            <w:vAlign w:val="center"/>
          </w:tcPr>
          <w:p>
            <w:pPr>
              <w:jc w:val="center"/>
              <w:rPr>
                <w:sz w:val="21"/>
                <w:szCs w:val="21"/>
              </w:rPr>
            </w:pPr>
            <w:r>
              <w:rPr>
                <w:sz w:val="21"/>
                <w:szCs w:val="21"/>
              </w:rPr>
              <w:t>118.58</w:t>
            </w:r>
          </w:p>
        </w:tc>
        <w:tc>
          <w:tcPr>
            <w:tcW w:w="1066" w:type="dxa"/>
            <w:tcBorders>
              <w:right w:val="single" w:color="auto" w:sz="4" w:space="0"/>
            </w:tcBorders>
            <w:vAlign w:val="center"/>
          </w:tcPr>
          <w:p>
            <w:pPr>
              <w:jc w:val="center"/>
              <w:rPr>
                <w:rFonts w:ascii="宋体" w:hAnsi="宋体" w:cs="宋体"/>
                <w:sz w:val="21"/>
                <w:szCs w:val="21"/>
              </w:rPr>
            </w:pPr>
            <w:r>
              <w:rPr>
                <w:rFonts w:hint="eastAsia"/>
                <w:sz w:val="21"/>
                <w:szCs w:val="21"/>
              </w:rPr>
              <w:t>-72.9</w:t>
            </w:r>
          </w:p>
        </w:tc>
        <w:tc>
          <w:tcPr>
            <w:tcW w:w="886" w:type="dxa"/>
            <w:tcBorders>
              <w:left w:val="single" w:color="auto" w:sz="4" w:space="0"/>
            </w:tcBorders>
            <w:vAlign w:val="center"/>
          </w:tcPr>
          <w:p>
            <w:pPr>
              <w:jc w:val="center"/>
              <w:rPr>
                <w:rFonts w:ascii="宋体" w:hAnsi="宋体" w:cs="宋体"/>
                <w:sz w:val="21"/>
                <w:szCs w:val="21"/>
              </w:rPr>
            </w:pPr>
            <w:r>
              <w:rPr>
                <w:rFonts w:hint="eastAsia"/>
                <w:sz w:val="21"/>
                <w:szCs w:val="21"/>
              </w:rPr>
              <w:t>-61.48</w:t>
            </w:r>
          </w:p>
        </w:tc>
        <w:tc>
          <w:tcPr>
            <w:tcW w:w="1052" w:type="dxa"/>
            <w:tcBorders>
              <w:right w:val="single" w:color="auto" w:sz="4" w:space="0"/>
            </w:tcBorders>
            <w:vAlign w:val="center"/>
          </w:tcPr>
          <w:p>
            <w:pPr>
              <w:jc w:val="center"/>
              <w:rPr>
                <w:sz w:val="21"/>
                <w:szCs w:val="21"/>
              </w:rPr>
            </w:pPr>
            <w:r>
              <w:rPr>
                <w:sz w:val="21"/>
                <w:szCs w:val="21"/>
              </w:rPr>
              <w:t>274.52</w:t>
            </w:r>
          </w:p>
        </w:tc>
        <w:tc>
          <w:tcPr>
            <w:tcW w:w="1052" w:type="dxa"/>
            <w:tcBorders>
              <w:left w:val="single" w:color="auto" w:sz="4" w:space="0"/>
              <w:right w:val="single" w:color="auto" w:sz="4" w:space="0"/>
            </w:tcBorders>
            <w:vAlign w:val="center"/>
          </w:tcPr>
          <w:p>
            <w:pPr>
              <w:jc w:val="center"/>
              <w:rPr>
                <w:sz w:val="21"/>
                <w:szCs w:val="21"/>
              </w:rPr>
            </w:pPr>
            <w:r>
              <w:rPr>
                <w:sz w:val="21"/>
                <w:szCs w:val="21"/>
              </w:rPr>
              <w:t>100.73</w:t>
            </w:r>
          </w:p>
        </w:tc>
        <w:tc>
          <w:tcPr>
            <w:tcW w:w="1052" w:type="dxa"/>
            <w:tcBorders>
              <w:left w:val="single" w:color="auto" w:sz="4" w:space="0"/>
              <w:right w:val="single" w:color="auto" w:sz="4" w:space="0"/>
            </w:tcBorders>
            <w:vAlign w:val="center"/>
          </w:tcPr>
          <w:p>
            <w:pPr>
              <w:jc w:val="center"/>
              <w:rPr>
                <w:rFonts w:ascii="宋体" w:hAnsi="宋体" w:cs="宋体"/>
                <w:sz w:val="21"/>
                <w:szCs w:val="21"/>
              </w:rPr>
            </w:pPr>
            <w:r>
              <w:rPr>
                <w:rFonts w:hint="eastAsia"/>
                <w:sz w:val="21"/>
                <w:szCs w:val="21"/>
              </w:rPr>
              <w:t>173.79</w:t>
            </w:r>
          </w:p>
        </w:tc>
        <w:tc>
          <w:tcPr>
            <w:tcW w:w="877" w:type="dxa"/>
            <w:tcBorders>
              <w:left w:val="single" w:color="auto" w:sz="4" w:space="0"/>
            </w:tcBorders>
            <w:vAlign w:val="center"/>
          </w:tcPr>
          <w:p>
            <w:pPr>
              <w:jc w:val="center"/>
              <w:rPr>
                <w:rFonts w:ascii="宋体" w:hAnsi="宋体" w:cs="宋体"/>
                <w:sz w:val="21"/>
                <w:szCs w:val="21"/>
              </w:rPr>
            </w:pPr>
            <w:r>
              <w:rPr>
                <w:rFonts w:hint="eastAsia"/>
                <w:sz w:val="21"/>
                <w:szCs w:val="21"/>
              </w:rPr>
              <w:t>172.53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2" w:hRule="atLeast"/>
          <w:jc w:val="center"/>
        </w:trPr>
        <w:tc>
          <w:tcPr>
            <w:tcW w:w="1677" w:type="dxa"/>
            <w:shd w:val="clear" w:color="auto" w:fill="auto"/>
            <w:vAlign w:val="center"/>
          </w:tcPr>
          <w:p>
            <w:pPr>
              <w:spacing w:line="480" w:lineRule="exact"/>
              <w:jc w:val="center"/>
              <w:rPr>
                <w:sz w:val="21"/>
                <w:szCs w:val="21"/>
              </w:rPr>
            </w:pPr>
            <w:r>
              <w:rPr>
                <w:rFonts w:hAnsi="宋体"/>
                <w:sz w:val="21"/>
                <w:szCs w:val="21"/>
              </w:rPr>
              <w:t>殷家老院子</w:t>
            </w:r>
          </w:p>
        </w:tc>
        <w:tc>
          <w:tcPr>
            <w:tcW w:w="1107" w:type="dxa"/>
            <w:tcBorders>
              <w:right w:val="single" w:color="auto" w:sz="4" w:space="0"/>
            </w:tcBorders>
            <w:shd w:val="clear" w:color="auto" w:fill="auto"/>
            <w:vAlign w:val="center"/>
          </w:tcPr>
          <w:p>
            <w:pPr>
              <w:jc w:val="center"/>
              <w:rPr>
                <w:sz w:val="21"/>
                <w:szCs w:val="21"/>
              </w:rPr>
            </w:pPr>
            <w:r>
              <w:rPr>
                <w:sz w:val="21"/>
                <w:szCs w:val="21"/>
              </w:rPr>
              <w:t>12.61</w:t>
            </w:r>
          </w:p>
        </w:tc>
        <w:tc>
          <w:tcPr>
            <w:tcW w:w="1103" w:type="dxa"/>
            <w:tcBorders>
              <w:left w:val="single" w:color="auto" w:sz="4" w:space="0"/>
            </w:tcBorders>
            <w:shd w:val="clear" w:color="auto" w:fill="auto"/>
            <w:vAlign w:val="center"/>
          </w:tcPr>
          <w:p>
            <w:pPr>
              <w:jc w:val="center"/>
              <w:rPr>
                <w:sz w:val="21"/>
                <w:szCs w:val="21"/>
              </w:rPr>
            </w:pPr>
            <w:r>
              <w:rPr>
                <w:sz w:val="21"/>
                <w:szCs w:val="21"/>
              </w:rPr>
              <w:t>30.99</w:t>
            </w:r>
          </w:p>
        </w:tc>
        <w:tc>
          <w:tcPr>
            <w:tcW w:w="1267" w:type="dxa"/>
            <w:tcBorders>
              <w:right w:val="single" w:color="auto" w:sz="4" w:space="0"/>
            </w:tcBorders>
            <w:shd w:val="clear" w:color="auto" w:fill="auto"/>
            <w:vAlign w:val="center"/>
          </w:tcPr>
          <w:p>
            <w:pPr>
              <w:jc w:val="center"/>
              <w:rPr>
                <w:rFonts w:ascii="宋体" w:hAnsi="宋体" w:cs="宋体"/>
                <w:sz w:val="21"/>
                <w:szCs w:val="21"/>
              </w:rPr>
            </w:pPr>
            <w:r>
              <w:rPr>
                <w:rFonts w:hint="eastAsia"/>
                <w:sz w:val="21"/>
                <w:szCs w:val="21"/>
              </w:rPr>
              <w:t>-18.38</w:t>
            </w:r>
          </w:p>
        </w:tc>
        <w:tc>
          <w:tcPr>
            <w:tcW w:w="886" w:type="dxa"/>
            <w:tcBorders>
              <w:left w:val="single" w:color="auto" w:sz="4" w:space="0"/>
            </w:tcBorders>
            <w:shd w:val="clear" w:color="auto" w:fill="auto"/>
            <w:vAlign w:val="center"/>
          </w:tcPr>
          <w:p>
            <w:pPr>
              <w:jc w:val="center"/>
              <w:rPr>
                <w:rFonts w:ascii="宋体" w:hAnsi="宋体" w:cs="宋体"/>
                <w:sz w:val="21"/>
                <w:szCs w:val="21"/>
              </w:rPr>
            </w:pPr>
            <w:r>
              <w:rPr>
                <w:rFonts w:hint="eastAsia"/>
                <w:sz w:val="21"/>
                <w:szCs w:val="21"/>
              </w:rPr>
              <w:t>-59.31</w:t>
            </w:r>
          </w:p>
        </w:tc>
        <w:tc>
          <w:tcPr>
            <w:tcW w:w="1030" w:type="dxa"/>
            <w:tcBorders>
              <w:right w:val="single" w:color="auto" w:sz="4" w:space="0"/>
            </w:tcBorders>
            <w:shd w:val="clear" w:color="auto" w:fill="auto"/>
            <w:vAlign w:val="center"/>
          </w:tcPr>
          <w:p>
            <w:pPr>
              <w:jc w:val="center"/>
              <w:rPr>
                <w:sz w:val="21"/>
                <w:szCs w:val="21"/>
              </w:rPr>
            </w:pPr>
            <w:r>
              <w:rPr>
                <w:sz w:val="21"/>
                <w:szCs w:val="21"/>
              </w:rPr>
              <w:t>20.86</w:t>
            </w:r>
          </w:p>
        </w:tc>
        <w:tc>
          <w:tcPr>
            <w:tcW w:w="1052" w:type="dxa"/>
            <w:tcBorders>
              <w:left w:val="single" w:color="auto" w:sz="4" w:space="0"/>
            </w:tcBorders>
            <w:shd w:val="clear" w:color="auto" w:fill="auto"/>
            <w:vAlign w:val="center"/>
          </w:tcPr>
          <w:p>
            <w:pPr>
              <w:jc w:val="center"/>
              <w:rPr>
                <w:sz w:val="21"/>
                <w:szCs w:val="21"/>
              </w:rPr>
            </w:pPr>
            <w:r>
              <w:rPr>
                <w:sz w:val="21"/>
                <w:szCs w:val="21"/>
              </w:rPr>
              <w:t>53.11</w:t>
            </w:r>
          </w:p>
        </w:tc>
        <w:tc>
          <w:tcPr>
            <w:tcW w:w="1066" w:type="dxa"/>
            <w:tcBorders>
              <w:right w:val="single" w:color="auto" w:sz="4" w:space="0"/>
            </w:tcBorders>
            <w:vAlign w:val="center"/>
          </w:tcPr>
          <w:p>
            <w:pPr>
              <w:jc w:val="center"/>
              <w:rPr>
                <w:rFonts w:ascii="宋体" w:hAnsi="宋体" w:cs="宋体"/>
                <w:sz w:val="21"/>
                <w:szCs w:val="21"/>
              </w:rPr>
            </w:pPr>
            <w:r>
              <w:rPr>
                <w:rFonts w:hint="eastAsia"/>
                <w:sz w:val="21"/>
                <w:szCs w:val="21"/>
              </w:rPr>
              <w:t>-32.25</w:t>
            </w:r>
          </w:p>
        </w:tc>
        <w:tc>
          <w:tcPr>
            <w:tcW w:w="886" w:type="dxa"/>
            <w:tcBorders>
              <w:left w:val="single" w:color="auto" w:sz="4" w:space="0"/>
            </w:tcBorders>
            <w:vAlign w:val="center"/>
          </w:tcPr>
          <w:p>
            <w:pPr>
              <w:jc w:val="center"/>
              <w:rPr>
                <w:rFonts w:ascii="宋体" w:hAnsi="宋体" w:cs="宋体"/>
                <w:sz w:val="21"/>
                <w:szCs w:val="21"/>
              </w:rPr>
            </w:pPr>
            <w:r>
              <w:rPr>
                <w:rFonts w:hint="eastAsia"/>
                <w:sz w:val="21"/>
                <w:szCs w:val="21"/>
              </w:rPr>
              <w:t>-60.72</w:t>
            </w:r>
          </w:p>
        </w:tc>
        <w:tc>
          <w:tcPr>
            <w:tcW w:w="1052" w:type="dxa"/>
            <w:tcBorders>
              <w:right w:val="single" w:color="auto" w:sz="4" w:space="0"/>
            </w:tcBorders>
            <w:vAlign w:val="center"/>
          </w:tcPr>
          <w:p>
            <w:pPr>
              <w:jc w:val="center"/>
              <w:rPr>
                <w:sz w:val="21"/>
                <w:szCs w:val="21"/>
              </w:rPr>
            </w:pPr>
            <w:r>
              <w:rPr>
                <w:sz w:val="21"/>
                <w:szCs w:val="21"/>
              </w:rPr>
              <w:t>141.09</w:t>
            </w:r>
          </w:p>
        </w:tc>
        <w:tc>
          <w:tcPr>
            <w:tcW w:w="1052" w:type="dxa"/>
            <w:tcBorders>
              <w:left w:val="single" w:color="auto" w:sz="4" w:space="0"/>
              <w:right w:val="single" w:color="auto" w:sz="4" w:space="0"/>
            </w:tcBorders>
            <w:vAlign w:val="center"/>
          </w:tcPr>
          <w:p>
            <w:pPr>
              <w:jc w:val="center"/>
              <w:rPr>
                <w:sz w:val="21"/>
                <w:szCs w:val="21"/>
              </w:rPr>
            </w:pPr>
            <w:r>
              <w:rPr>
                <w:sz w:val="21"/>
                <w:szCs w:val="21"/>
              </w:rPr>
              <w:t>44.91</w:t>
            </w:r>
          </w:p>
        </w:tc>
        <w:tc>
          <w:tcPr>
            <w:tcW w:w="1052" w:type="dxa"/>
            <w:tcBorders>
              <w:left w:val="single" w:color="auto" w:sz="4" w:space="0"/>
              <w:right w:val="single" w:color="auto" w:sz="4" w:space="0"/>
            </w:tcBorders>
            <w:vAlign w:val="center"/>
          </w:tcPr>
          <w:p>
            <w:pPr>
              <w:jc w:val="center"/>
              <w:rPr>
                <w:rFonts w:ascii="宋体" w:hAnsi="宋体" w:cs="宋体"/>
                <w:sz w:val="21"/>
                <w:szCs w:val="21"/>
              </w:rPr>
            </w:pPr>
            <w:r>
              <w:rPr>
                <w:rFonts w:hint="eastAsia"/>
                <w:sz w:val="21"/>
                <w:szCs w:val="21"/>
              </w:rPr>
              <w:t>96.18</w:t>
            </w:r>
          </w:p>
        </w:tc>
        <w:tc>
          <w:tcPr>
            <w:tcW w:w="877" w:type="dxa"/>
            <w:tcBorders>
              <w:left w:val="single" w:color="auto" w:sz="4" w:space="0"/>
            </w:tcBorders>
            <w:vAlign w:val="center"/>
          </w:tcPr>
          <w:p>
            <w:pPr>
              <w:jc w:val="center"/>
              <w:rPr>
                <w:rFonts w:ascii="宋体" w:hAnsi="宋体" w:cs="宋体"/>
                <w:sz w:val="21"/>
                <w:szCs w:val="21"/>
              </w:rPr>
            </w:pPr>
            <w:r>
              <w:rPr>
                <w:rFonts w:hint="eastAsia"/>
                <w:sz w:val="21"/>
                <w:szCs w:val="21"/>
              </w:rPr>
              <w:t>214.16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6" w:hRule="atLeast"/>
          <w:jc w:val="center"/>
        </w:trPr>
        <w:tc>
          <w:tcPr>
            <w:tcW w:w="1677" w:type="dxa"/>
            <w:vAlign w:val="center"/>
          </w:tcPr>
          <w:p>
            <w:pPr>
              <w:spacing w:line="480" w:lineRule="exact"/>
              <w:jc w:val="center"/>
              <w:rPr>
                <w:sz w:val="21"/>
                <w:szCs w:val="21"/>
              </w:rPr>
            </w:pPr>
            <w:r>
              <w:rPr>
                <w:rFonts w:hAnsi="宋体"/>
                <w:sz w:val="21"/>
                <w:szCs w:val="21"/>
              </w:rPr>
              <w:t>璧山县</w:t>
            </w:r>
          </w:p>
        </w:tc>
        <w:tc>
          <w:tcPr>
            <w:tcW w:w="1107" w:type="dxa"/>
            <w:tcBorders>
              <w:right w:val="single" w:color="auto" w:sz="4" w:space="0"/>
            </w:tcBorders>
            <w:vAlign w:val="center"/>
          </w:tcPr>
          <w:p>
            <w:pPr>
              <w:jc w:val="center"/>
              <w:rPr>
                <w:sz w:val="21"/>
                <w:szCs w:val="21"/>
              </w:rPr>
            </w:pPr>
            <w:r>
              <w:rPr>
                <w:sz w:val="21"/>
                <w:szCs w:val="21"/>
              </w:rPr>
              <w:t>3.22</w:t>
            </w:r>
          </w:p>
        </w:tc>
        <w:tc>
          <w:tcPr>
            <w:tcW w:w="1103" w:type="dxa"/>
            <w:tcBorders>
              <w:left w:val="single" w:color="auto" w:sz="4" w:space="0"/>
            </w:tcBorders>
            <w:vAlign w:val="center"/>
          </w:tcPr>
          <w:p>
            <w:pPr>
              <w:jc w:val="center"/>
              <w:rPr>
                <w:sz w:val="21"/>
                <w:szCs w:val="21"/>
              </w:rPr>
            </w:pPr>
            <w:r>
              <w:rPr>
                <w:sz w:val="21"/>
                <w:szCs w:val="21"/>
              </w:rPr>
              <w:t>7.29</w:t>
            </w:r>
          </w:p>
        </w:tc>
        <w:tc>
          <w:tcPr>
            <w:tcW w:w="1267" w:type="dxa"/>
            <w:tcBorders>
              <w:right w:val="single" w:color="auto" w:sz="4" w:space="0"/>
            </w:tcBorders>
            <w:vAlign w:val="center"/>
          </w:tcPr>
          <w:p>
            <w:pPr>
              <w:jc w:val="center"/>
              <w:rPr>
                <w:rFonts w:ascii="宋体" w:hAnsi="宋体" w:cs="宋体"/>
                <w:sz w:val="21"/>
                <w:szCs w:val="21"/>
              </w:rPr>
            </w:pPr>
            <w:r>
              <w:rPr>
                <w:rFonts w:hint="eastAsia"/>
                <w:sz w:val="21"/>
                <w:szCs w:val="21"/>
              </w:rPr>
              <w:t>-4.07</w:t>
            </w:r>
          </w:p>
        </w:tc>
        <w:tc>
          <w:tcPr>
            <w:tcW w:w="886" w:type="dxa"/>
            <w:tcBorders>
              <w:left w:val="single" w:color="auto" w:sz="4" w:space="0"/>
            </w:tcBorders>
            <w:vAlign w:val="center"/>
          </w:tcPr>
          <w:p>
            <w:pPr>
              <w:jc w:val="center"/>
              <w:rPr>
                <w:rFonts w:ascii="宋体" w:hAnsi="宋体" w:cs="宋体"/>
                <w:sz w:val="21"/>
                <w:szCs w:val="21"/>
              </w:rPr>
            </w:pPr>
            <w:r>
              <w:rPr>
                <w:rFonts w:hint="eastAsia"/>
                <w:sz w:val="21"/>
                <w:szCs w:val="21"/>
              </w:rPr>
              <w:t>-55.83</w:t>
            </w:r>
          </w:p>
        </w:tc>
        <w:tc>
          <w:tcPr>
            <w:tcW w:w="1030" w:type="dxa"/>
            <w:tcBorders>
              <w:right w:val="single" w:color="auto" w:sz="4" w:space="0"/>
            </w:tcBorders>
            <w:vAlign w:val="center"/>
          </w:tcPr>
          <w:p>
            <w:pPr>
              <w:jc w:val="center"/>
              <w:rPr>
                <w:sz w:val="21"/>
                <w:szCs w:val="21"/>
              </w:rPr>
            </w:pPr>
            <w:r>
              <w:rPr>
                <w:sz w:val="21"/>
                <w:szCs w:val="21"/>
              </w:rPr>
              <w:t>2.6</w:t>
            </w:r>
          </w:p>
        </w:tc>
        <w:tc>
          <w:tcPr>
            <w:tcW w:w="1052" w:type="dxa"/>
            <w:tcBorders>
              <w:left w:val="single" w:color="auto" w:sz="4" w:space="0"/>
            </w:tcBorders>
            <w:vAlign w:val="center"/>
          </w:tcPr>
          <w:p>
            <w:pPr>
              <w:jc w:val="center"/>
              <w:rPr>
                <w:sz w:val="21"/>
                <w:szCs w:val="21"/>
              </w:rPr>
            </w:pPr>
            <w:r>
              <w:rPr>
                <w:sz w:val="21"/>
                <w:szCs w:val="21"/>
              </w:rPr>
              <w:t>15.08</w:t>
            </w:r>
          </w:p>
        </w:tc>
        <w:tc>
          <w:tcPr>
            <w:tcW w:w="1066" w:type="dxa"/>
            <w:tcBorders>
              <w:right w:val="single" w:color="auto" w:sz="4" w:space="0"/>
            </w:tcBorders>
            <w:vAlign w:val="center"/>
          </w:tcPr>
          <w:p>
            <w:pPr>
              <w:jc w:val="center"/>
              <w:rPr>
                <w:rFonts w:ascii="宋体" w:hAnsi="宋体" w:cs="宋体"/>
                <w:sz w:val="21"/>
                <w:szCs w:val="21"/>
              </w:rPr>
            </w:pPr>
            <w:r>
              <w:rPr>
                <w:rFonts w:hint="eastAsia"/>
                <w:sz w:val="21"/>
                <w:szCs w:val="21"/>
              </w:rPr>
              <w:t>-12.48</w:t>
            </w:r>
          </w:p>
        </w:tc>
        <w:tc>
          <w:tcPr>
            <w:tcW w:w="886" w:type="dxa"/>
            <w:tcBorders>
              <w:left w:val="single" w:color="auto" w:sz="4" w:space="0"/>
            </w:tcBorders>
            <w:vAlign w:val="center"/>
          </w:tcPr>
          <w:p>
            <w:pPr>
              <w:jc w:val="center"/>
              <w:rPr>
                <w:rFonts w:ascii="宋体" w:hAnsi="宋体" w:cs="宋体"/>
                <w:sz w:val="21"/>
                <w:szCs w:val="21"/>
              </w:rPr>
            </w:pPr>
            <w:r>
              <w:rPr>
                <w:rFonts w:hint="eastAsia"/>
                <w:sz w:val="21"/>
                <w:szCs w:val="21"/>
              </w:rPr>
              <w:t>-82.76</w:t>
            </w:r>
          </w:p>
        </w:tc>
        <w:tc>
          <w:tcPr>
            <w:tcW w:w="1052" w:type="dxa"/>
            <w:tcBorders>
              <w:right w:val="single" w:color="auto" w:sz="4" w:space="0"/>
            </w:tcBorders>
            <w:vAlign w:val="center"/>
          </w:tcPr>
          <w:p>
            <w:pPr>
              <w:jc w:val="center"/>
              <w:rPr>
                <w:sz w:val="21"/>
                <w:szCs w:val="21"/>
              </w:rPr>
            </w:pPr>
            <w:r>
              <w:rPr>
                <w:sz w:val="21"/>
                <w:szCs w:val="21"/>
              </w:rPr>
              <w:t>17.61</w:t>
            </w:r>
          </w:p>
        </w:tc>
        <w:tc>
          <w:tcPr>
            <w:tcW w:w="1052" w:type="dxa"/>
            <w:tcBorders>
              <w:left w:val="single" w:color="auto" w:sz="4" w:space="0"/>
              <w:right w:val="single" w:color="auto" w:sz="4" w:space="0"/>
            </w:tcBorders>
            <w:vAlign w:val="center"/>
          </w:tcPr>
          <w:p>
            <w:pPr>
              <w:jc w:val="center"/>
              <w:rPr>
                <w:sz w:val="21"/>
                <w:szCs w:val="21"/>
              </w:rPr>
            </w:pPr>
            <w:r>
              <w:rPr>
                <w:sz w:val="21"/>
                <w:szCs w:val="21"/>
              </w:rPr>
              <w:t>12.9</w:t>
            </w:r>
          </w:p>
        </w:tc>
        <w:tc>
          <w:tcPr>
            <w:tcW w:w="1052" w:type="dxa"/>
            <w:tcBorders>
              <w:left w:val="single" w:color="auto" w:sz="4" w:space="0"/>
              <w:right w:val="single" w:color="auto" w:sz="4" w:space="0"/>
            </w:tcBorders>
            <w:vAlign w:val="center"/>
          </w:tcPr>
          <w:p>
            <w:pPr>
              <w:jc w:val="center"/>
              <w:rPr>
                <w:rFonts w:ascii="宋体" w:hAnsi="宋体" w:cs="宋体"/>
                <w:sz w:val="21"/>
                <w:szCs w:val="21"/>
              </w:rPr>
            </w:pPr>
            <w:r>
              <w:rPr>
                <w:rFonts w:hint="eastAsia"/>
                <w:sz w:val="21"/>
                <w:szCs w:val="21"/>
              </w:rPr>
              <w:t>4.71</w:t>
            </w:r>
          </w:p>
        </w:tc>
        <w:tc>
          <w:tcPr>
            <w:tcW w:w="877" w:type="dxa"/>
            <w:tcBorders>
              <w:left w:val="single" w:color="auto" w:sz="4" w:space="0"/>
            </w:tcBorders>
            <w:vAlign w:val="center"/>
          </w:tcPr>
          <w:p>
            <w:pPr>
              <w:jc w:val="center"/>
              <w:rPr>
                <w:rFonts w:ascii="宋体" w:hAnsi="宋体" w:cs="宋体"/>
                <w:sz w:val="21"/>
                <w:szCs w:val="21"/>
              </w:rPr>
            </w:pPr>
            <w:r>
              <w:rPr>
                <w:rFonts w:hint="eastAsia"/>
                <w:sz w:val="21"/>
                <w:szCs w:val="21"/>
              </w:rPr>
              <w:t>36.51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1677" w:type="dxa"/>
            <w:vAlign w:val="center"/>
          </w:tcPr>
          <w:p>
            <w:pPr>
              <w:spacing w:line="480" w:lineRule="exact"/>
              <w:jc w:val="center"/>
              <w:rPr>
                <w:rFonts w:hint="eastAsia"/>
                <w:sz w:val="21"/>
                <w:szCs w:val="21"/>
              </w:rPr>
            </w:pPr>
            <w:r>
              <w:rPr>
                <w:rFonts w:hAnsi="宋体"/>
                <w:sz w:val="21"/>
                <w:szCs w:val="21"/>
              </w:rPr>
              <w:t>青鹏煤业公司</w:t>
            </w:r>
            <w:r>
              <w:rPr>
                <w:rFonts w:hint="eastAsia" w:hAnsi="宋体"/>
                <w:sz w:val="21"/>
                <w:szCs w:val="21"/>
              </w:rPr>
              <w:t>家属院</w:t>
            </w:r>
          </w:p>
        </w:tc>
        <w:tc>
          <w:tcPr>
            <w:tcW w:w="1107" w:type="dxa"/>
            <w:tcBorders>
              <w:right w:val="single" w:color="auto" w:sz="4" w:space="0"/>
            </w:tcBorders>
            <w:vAlign w:val="center"/>
          </w:tcPr>
          <w:p>
            <w:pPr>
              <w:jc w:val="center"/>
              <w:rPr>
                <w:sz w:val="21"/>
                <w:szCs w:val="21"/>
              </w:rPr>
            </w:pPr>
            <w:r>
              <w:rPr>
                <w:sz w:val="21"/>
                <w:szCs w:val="21"/>
              </w:rPr>
              <w:t>56.55</w:t>
            </w:r>
          </w:p>
        </w:tc>
        <w:tc>
          <w:tcPr>
            <w:tcW w:w="1103" w:type="dxa"/>
            <w:tcBorders>
              <w:left w:val="single" w:color="auto" w:sz="4" w:space="0"/>
            </w:tcBorders>
            <w:vAlign w:val="center"/>
          </w:tcPr>
          <w:p>
            <w:pPr>
              <w:jc w:val="center"/>
              <w:rPr>
                <w:sz w:val="21"/>
                <w:szCs w:val="21"/>
              </w:rPr>
            </w:pPr>
            <w:r>
              <w:rPr>
                <w:sz w:val="21"/>
                <w:szCs w:val="21"/>
              </w:rPr>
              <w:t>100.65</w:t>
            </w:r>
          </w:p>
        </w:tc>
        <w:tc>
          <w:tcPr>
            <w:tcW w:w="1267" w:type="dxa"/>
            <w:tcBorders>
              <w:right w:val="single" w:color="auto" w:sz="4" w:space="0"/>
            </w:tcBorders>
            <w:vAlign w:val="center"/>
          </w:tcPr>
          <w:p>
            <w:pPr>
              <w:jc w:val="center"/>
              <w:rPr>
                <w:rFonts w:ascii="宋体" w:hAnsi="宋体" w:cs="宋体"/>
                <w:sz w:val="21"/>
                <w:szCs w:val="21"/>
              </w:rPr>
            </w:pPr>
            <w:r>
              <w:rPr>
                <w:rFonts w:hint="eastAsia"/>
                <w:sz w:val="21"/>
                <w:szCs w:val="21"/>
              </w:rPr>
              <w:t>-44.1</w:t>
            </w:r>
          </w:p>
        </w:tc>
        <w:tc>
          <w:tcPr>
            <w:tcW w:w="886" w:type="dxa"/>
            <w:tcBorders>
              <w:left w:val="single" w:color="auto" w:sz="4" w:space="0"/>
            </w:tcBorders>
            <w:vAlign w:val="center"/>
          </w:tcPr>
          <w:p>
            <w:pPr>
              <w:jc w:val="center"/>
              <w:rPr>
                <w:rFonts w:ascii="宋体" w:hAnsi="宋体" w:cs="宋体"/>
                <w:sz w:val="21"/>
                <w:szCs w:val="21"/>
              </w:rPr>
            </w:pPr>
            <w:r>
              <w:rPr>
                <w:rFonts w:hint="eastAsia"/>
                <w:sz w:val="21"/>
                <w:szCs w:val="21"/>
              </w:rPr>
              <w:t>-43.82</w:t>
            </w:r>
          </w:p>
        </w:tc>
        <w:tc>
          <w:tcPr>
            <w:tcW w:w="1030" w:type="dxa"/>
            <w:tcBorders>
              <w:right w:val="single" w:color="auto" w:sz="4" w:space="0"/>
            </w:tcBorders>
            <w:vAlign w:val="center"/>
          </w:tcPr>
          <w:p>
            <w:pPr>
              <w:jc w:val="center"/>
              <w:rPr>
                <w:sz w:val="21"/>
                <w:szCs w:val="21"/>
              </w:rPr>
            </w:pPr>
            <w:r>
              <w:rPr>
                <w:sz w:val="21"/>
                <w:szCs w:val="21"/>
              </w:rPr>
              <w:t>66.93</w:t>
            </w:r>
          </w:p>
        </w:tc>
        <w:tc>
          <w:tcPr>
            <w:tcW w:w="1052" w:type="dxa"/>
            <w:tcBorders>
              <w:left w:val="single" w:color="auto" w:sz="4" w:space="0"/>
            </w:tcBorders>
            <w:vAlign w:val="center"/>
          </w:tcPr>
          <w:p>
            <w:pPr>
              <w:jc w:val="center"/>
              <w:rPr>
                <w:sz w:val="21"/>
                <w:szCs w:val="21"/>
              </w:rPr>
            </w:pPr>
            <w:r>
              <w:rPr>
                <w:sz w:val="21"/>
                <w:szCs w:val="21"/>
              </w:rPr>
              <w:t>219.58</w:t>
            </w:r>
          </w:p>
        </w:tc>
        <w:tc>
          <w:tcPr>
            <w:tcW w:w="1066" w:type="dxa"/>
            <w:tcBorders>
              <w:right w:val="single" w:color="auto" w:sz="4" w:space="0"/>
            </w:tcBorders>
            <w:vAlign w:val="center"/>
          </w:tcPr>
          <w:p>
            <w:pPr>
              <w:jc w:val="center"/>
              <w:rPr>
                <w:rFonts w:ascii="宋体" w:hAnsi="宋体" w:cs="宋体"/>
                <w:sz w:val="21"/>
                <w:szCs w:val="21"/>
              </w:rPr>
            </w:pPr>
            <w:r>
              <w:rPr>
                <w:rFonts w:hint="eastAsia"/>
                <w:sz w:val="21"/>
                <w:szCs w:val="21"/>
              </w:rPr>
              <w:t>-152.65</w:t>
            </w:r>
          </w:p>
        </w:tc>
        <w:tc>
          <w:tcPr>
            <w:tcW w:w="886" w:type="dxa"/>
            <w:tcBorders>
              <w:left w:val="single" w:color="auto" w:sz="4" w:space="0"/>
            </w:tcBorders>
            <w:vAlign w:val="center"/>
          </w:tcPr>
          <w:p>
            <w:pPr>
              <w:jc w:val="center"/>
              <w:rPr>
                <w:rFonts w:ascii="宋体" w:hAnsi="宋体" w:cs="宋体"/>
                <w:sz w:val="21"/>
                <w:szCs w:val="21"/>
              </w:rPr>
            </w:pPr>
            <w:r>
              <w:rPr>
                <w:rFonts w:hint="eastAsia"/>
                <w:sz w:val="21"/>
                <w:szCs w:val="21"/>
              </w:rPr>
              <w:t>-69.52</w:t>
            </w:r>
          </w:p>
        </w:tc>
        <w:tc>
          <w:tcPr>
            <w:tcW w:w="1052" w:type="dxa"/>
            <w:tcBorders>
              <w:right w:val="single" w:color="auto" w:sz="4" w:space="0"/>
            </w:tcBorders>
            <w:vAlign w:val="center"/>
          </w:tcPr>
          <w:p>
            <w:pPr>
              <w:jc w:val="center"/>
              <w:rPr>
                <w:sz w:val="21"/>
                <w:szCs w:val="21"/>
              </w:rPr>
            </w:pPr>
            <w:r>
              <w:rPr>
                <w:sz w:val="21"/>
                <w:szCs w:val="21"/>
              </w:rPr>
              <w:t>425.09</w:t>
            </w:r>
          </w:p>
        </w:tc>
        <w:tc>
          <w:tcPr>
            <w:tcW w:w="1052" w:type="dxa"/>
            <w:tcBorders>
              <w:left w:val="single" w:color="auto" w:sz="4" w:space="0"/>
              <w:right w:val="single" w:color="auto" w:sz="4" w:space="0"/>
            </w:tcBorders>
            <w:vAlign w:val="center"/>
          </w:tcPr>
          <w:p>
            <w:pPr>
              <w:jc w:val="center"/>
              <w:rPr>
                <w:sz w:val="21"/>
                <w:szCs w:val="21"/>
              </w:rPr>
            </w:pPr>
            <w:r>
              <w:rPr>
                <w:sz w:val="21"/>
                <w:szCs w:val="21"/>
              </w:rPr>
              <w:t>186.79</w:t>
            </w:r>
          </w:p>
        </w:tc>
        <w:tc>
          <w:tcPr>
            <w:tcW w:w="1052" w:type="dxa"/>
            <w:tcBorders>
              <w:left w:val="single" w:color="auto" w:sz="4" w:space="0"/>
              <w:right w:val="single" w:color="auto" w:sz="4" w:space="0"/>
            </w:tcBorders>
            <w:vAlign w:val="center"/>
          </w:tcPr>
          <w:p>
            <w:pPr>
              <w:jc w:val="center"/>
              <w:rPr>
                <w:rFonts w:ascii="宋体" w:hAnsi="宋体" w:cs="宋体"/>
                <w:sz w:val="21"/>
                <w:szCs w:val="21"/>
              </w:rPr>
            </w:pPr>
            <w:r>
              <w:rPr>
                <w:rFonts w:hint="eastAsia"/>
                <w:sz w:val="21"/>
                <w:szCs w:val="21"/>
              </w:rPr>
              <w:t>238.3</w:t>
            </w:r>
          </w:p>
        </w:tc>
        <w:tc>
          <w:tcPr>
            <w:tcW w:w="877" w:type="dxa"/>
            <w:tcBorders>
              <w:left w:val="single" w:color="auto" w:sz="4" w:space="0"/>
            </w:tcBorders>
            <w:vAlign w:val="center"/>
          </w:tcPr>
          <w:p>
            <w:pPr>
              <w:jc w:val="center"/>
              <w:rPr>
                <w:rFonts w:ascii="宋体" w:hAnsi="宋体" w:cs="宋体"/>
                <w:sz w:val="21"/>
                <w:szCs w:val="21"/>
              </w:rPr>
            </w:pPr>
            <w:r>
              <w:rPr>
                <w:rFonts w:hint="eastAsia"/>
                <w:sz w:val="21"/>
                <w:szCs w:val="21"/>
              </w:rPr>
              <w:t>127.58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4" w:hRule="atLeast"/>
          <w:jc w:val="center"/>
        </w:trPr>
        <w:tc>
          <w:tcPr>
            <w:tcW w:w="1677" w:type="dxa"/>
            <w:vAlign w:val="center"/>
          </w:tcPr>
          <w:p>
            <w:pPr>
              <w:spacing w:line="480" w:lineRule="exact"/>
              <w:jc w:val="center"/>
              <w:rPr>
                <w:sz w:val="21"/>
                <w:szCs w:val="21"/>
              </w:rPr>
            </w:pPr>
            <w:r>
              <w:rPr>
                <w:rFonts w:hAnsi="宋体"/>
                <w:sz w:val="21"/>
                <w:szCs w:val="21"/>
              </w:rPr>
              <w:t>青木关镇</w:t>
            </w:r>
          </w:p>
        </w:tc>
        <w:tc>
          <w:tcPr>
            <w:tcW w:w="1107" w:type="dxa"/>
            <w:tcBorders>
              <w:right w:val="single" w:color="auto" w:sz="4" w:space="0"/>
            </w:tcBorders>
            <w:vAlign w:val="center"/>
          </w:tcPr>
          <w:p>
            <w:pPr>
              <w:jc w:val="center"/>
              <w:rPr>
                <w:sz w:val="21"/>
                <w:szCs w:val="21"/>
              </w:rPr>
            </w:pPr>
            <w:r>
              <w:rPr>
                <w:sz w:val="21"/>
                <w:szCs w:val="21"/>
              </w:rPr>
              <w:t>18.32</w:t>
            </w:r>
          </w:p>
        </w:tc>
        <w:tc>
          <w:tcPr>
            <w:tcW w:w="1103" w:type="dxa"/>
            <w:tcBorders>
              <w:left w:val="single" w:color="auto" w:sz="4" w:space="0"/>
            </w:tcBorders>
            <w:vAlign w:val="center"/>
          </w:tcPr>
          <w:p>
            <w:pPr>
              <w:jc w:val="center"/>
              <w:rPr>
                <w:sz w:val="21"/>
                <w:szCs w:val="21"/>
              </w:rPr>
            </w:pPr>
            <w:r>
              <w:rPr>
                <w:sz w:val="21"/>
                <w:szCs w:val="21"/>
              </w:rPr>
              <w:t>49.03</w:t>
            </w:r>
          </w:p>
        </w:tc>
        <w:tc>
          <w:tcPr>
            <w:tcW w:w="1267" w:type="dxa"/>
            <w:tcBorders>
              <w:right w:val="single" w:color="auto" w:sz="4" w:space="0"/>
            </w:tcBorders>
            <w:vAlign w:val="center"/>
          </w:tcPr>
          <w:p>
            <w:pPr>
              <w:jc w:val="center"/>
              <w:rPr>
                <w:rFonts w:ascii="宋体" w:hAnsi="宋体" w:cs="宋体"/>
                <w:sz w:val="21"/>
                <w:szCs w:val="21"/>
              </w:rPr>
            </w:pPr>
            <w:r>
              <w:rPr>
                <w:rFonts w:hint="eastAsia"/>
                <w:sz w:val="21"/>
                <w:szCs w:val="21"/>
              </w:rPr>
              <w:t>-30.71</w:t>
            </w:r>
          </w:p>
        </w:tc>
        <w:tc>
          <w:tcPr>
            <w:tcW w:w="886" w:type="dxa"/>
            <w:tcBorders>
              <w:left w:val="single" w:color="auto" w:sz="4" w:space="0"/>
            </w:tcBorders>
            <w:vAlign w:val="center"/>
          </w:tcPr>
          <w:p>
            <w:pPr>
              <w:jc w:val="center"/>
              <w:rPr>
                <w:rFonts w:ascii="宋体" w:hAnsi="宋体" w:cs="宋体"/>
                <w:sz w:val="21"/>
                <w:szCs w:val="21"/>
              </w:rPr>
            </w:pPr>
            <w:r>
              <w:rPr>
                <w:rFonts w:hint="eastAsia"/>
                <w:sz w:val="21"/>
                <w:szCs w:val="21"/>
              </w:rPr>
              <w:t>-62.64</w:t>
            </w:r>
          </w:p>
        </w:tc>
        <w:tc>
          <w:tcPr>
            <w:tcW w:w="1030" w:type="dxa"/>
            <w:tcBorders>
              <w:right w:val="single" w:color="auto" w:sz="4" w:space="0"/>
            </w:tcBorders>
            <w:vAlign w:val="center"/>
          </w:tcPr>
          <w:p>
            <w:pPr>
              <w:jc w:val="center"/>
              <w:rPr>
                <w:sz w:val="21"/>
                <w:szCs w:val="21"/>
              </w:rPr>
            </w:pPr>
            <w:r>
              <w:rPr>
                <w:sz w:val="21"/>
                <w:szCs w:val="21"/>
              </w:rPr>
              <w:t>28.33</w:t>
            </w:r>
          </w:p>
        </w:tc>
        <w:tc>
          <w:tcPr>
            <w:tcW w:w="1052" w:type="dxa"/>
            <w:tcBorders>
              <w:left w:val="single" w:color="auto" w:sz="4" w:space="0"/>
            </w:tcBorders>
            <w:vAlign w:val="center"/>
          </w:tcPr>
          <w:p>
            <w:pPr>
              <w:jc w:val="center"/>
              <w:rPr>
                <w:sz w:val="21"/>
                <w:szCs w:val="21"/>
              </w:rPr>
            </w:pPr>
            <w:r>
              <w:rPr>
                <w:sz w:val="21"/>
                <w:szCs w:val="21"/>
              </w:rPr>
              <w:t>136.75</w:t>
            </w:r>
          </w:p>
        </w:tc>
        <w:tc>
          <w:tcPr>
            <w:tcW w:w="1066" w:type="dxa"/>
            <w:tcBorders>
              <w:right w:val="single" w:color="auto" w:sz="4" w:space="0"/>
            </w:tcBorders>
            <w:vAlign w:val="center"/>
          </w:tcPr>
          <w:p>
            <w:pPr>
              <w:jc w:val="center"/>
              <w:rPr>
                <w:rFonts w:ascii="宋体" w:hAnsi="宋体" w:cs="宋体"/>
                <w:sz w:val="21"/>
                <w:szCs w:val="21"/>
              </w:rPr>
            </w:pPr>
            <w:r>
              <w:rPr>
                <w:rFonts w:hint="eastAsia"/>
                <w:sz w:val="21"/>
                <w:szCs w:val="21"/>
              </w:rPr>
              <w:t>-108.42</w:t>
            </w:r>
          </w:p>
        </w:tc>
        <w:tc>
          <w:tcPr>
            <w:tcW w:w="886" w:type="dxa"/>
            <w:tcBorders>
              <w:left w:val="single" w:color="auto" w:sz="4" w:space="0"/>
            </w:tcBorders>
            <w:vAlign w:val="center"/>
          </w:tcPr>
          <w:p>
            <w:pPr>
              <w:jc w:val="center"/>
              <w:rPr>
                <w:rFonts w:ascii="宋体" w:hAnsi="宋体" w:cs="宋体"/>
                <w:sz w:val="21"/>
                <w:szCs w:val="21"/>
              </w:rPr>
            </w:pPr>
            <w:r>
              <w:rPr>
                <w:rFonts w:hint="eastAsia"/>
                <w:sz w:val="21"/>
                <w:szCs w:val="21"/>
              </w:rPr>
              <w:t>-79.28</w:t>
            </w:r>
          </w:p>
        </w:tc>
        <w:tc>
          <w:tcPr>
            <w:tcW w:w="1052" w:type="dxa"/>
            <w:tcBorders>
              <w:right w:val="single" w:color="auto" w:sz="4" w:space="0"/>
            </w:tcBorders>
            <w:vAlign w:val="center"/>
          </w:tcPr>
          <w:p>
            <w:pPr>
              <w:jc w:val="center"/>
              <w:rPr>
                <w:sz w:val="21"/>
                <w:szCs w:val="21"/>
              </w:rPr>
            </w:pPr>
            <w:r>
              <w:rPr>
                <w:sz w:val="21"/>
                <w:szCs w:val="21"/>
              </w:rPr>
              <w:t>191.58</w:t>
            </w:r>
          </w:p>
        </w:tc>
        <w:tc>
          <w:tcPr>
            <w:tcW w:w="1052" w:type="dxa"/>
            <w:tcBorders>
              <w:left w:val="single" w:color="auto" w:sz="4" w:space="0"/>
              <w:right w:val="single" w:color="auto" w:sz="4" w:space="0"/>
            </w:tcBorders>
            <w:vAlign w:val="center"/>
          </w:tcPr>
          <w:p>
            <w:pPr>
              <w:jc w:val="center"/>
              <w:rPr>
                <w:sz w:val="21"/>
                <w:szCs w:val="21"/>
              </w:rPr>
            </w:pPr>
            <w:r>
              <w:rPr>
                <w:sz w:val="21"/>
                <w:szCs w:val="21"/>
              </w:rPr>
              <w:t>116.59</w:t>
            </w:r>
          </w:p>
        </w:tc>
        <w:tc>
          <w:tcPr>
            <w:tcW w:w="1052" w:type="dxa"/>
            <w:tcBorders>
              <w:left w:val="single" w:color="auto" w:sz="4" w:space="0"/>
              <w:right w:val="single" w:color="auto" w:sz="4" w:space="0"/>
            </w:tcBorders>
            <w:vAlign w:val="center"/>
          </w:tcPr>
          <w:p>
            <w:pPr>
              <w:jc w:val="center"/>
              <w:rPr>
                <w:rFonts w:ascii="宋体" w:hAnsi="宋体" w:cs="宋体"/>
                <w:sz w:val="21"/>
                <w:szCs w:val="21"/>
              </w:rPr>
            </w:pPr>
            <w:r>
              <w:rPr>
                <w:rFonts w:hint="eastAsia"/>
                <w:sz w:val="21"/>
                <w:szCs w:val="21"/>
              </w:rPr>
              <w:t>74.99</w:t>
            </w:r>
          </w:p>
        </w:tc>
        <w:tc>
          <w:tcPr>
            <w:tcW w:w="877" w:type="dxa"/>
            <w:tcBorders>
              <w:left w:val="single" w:color="auto" w:sz="4" w:space="0"/>
            </w:tcBorders>
            <w:vAlign w:val="center"/>
          </w:tcPr>
          <w:p>
            <w:pPr>
              <w:jc w:val="center"/>
              <w:rPr>
                <w:rFonts w:ascii="宋体" w:hAnsi="宋体" w:cs="宋体"/>
                <w:sz w:val="21"/>
                <w:szCs w:val="21"/>
              </w:rPr>
            </w:pPr>
            <w:r>
              <w:rPr>
                <w:rFonts w:hint="eastAsia"/>
                <w:sz w:val="21"/>
                <w:szCs w:val="21"/>
              </w:rPr>
              <w:t>64.32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0" w:hRule="atLeast"/>
          <w:jc w:val="center"/>
        </w:trPr>
        <w:tc>
          <w:tcPr>
            <w:tcW w:w="1677" w:type="dxa"/>
            <w:vAlign w:val="center"/>
          </w:tcPr>
          <w:p>
            <w:pPr>
              <w:spacing w:line="480" w:lineRule="exact"/>
              <w:jc w:val="center"/>
              <w:rPr>
                <w:sz w:val="21"/>
                <w:szCs w:val="21"/>
              </w:rPr>
            </w:pPr>
            <w:r>
              <w:rPr>
                <w:rFonts w:hAnsi="宋体"/>
                <w:sz w:val="21"/>
                <w:szCs w:val="21"/>
              </w:rPr>
              <w:t>凤凰镇</w:t>
            </w:r>
          </w:p>
        </w:tc>
        <w:tc>
          <w:tcPr>
            <w:tcW w:w="1107" w:type="dxa"/>
            <w:tcBorders>
              <w:right w:val="single" w:color="auto" w:sz="4" w:space="0"/>
            </w:tcBorders>
            <w:vAlign w:val="center"/>
          </w:tcPr>
          <w:p>
            <w:pPr>
              <w:jc w:val="center"/>
              <w:rPr>
                <w:sz w:val="21"/>
                <w:szCs w:val="21"/>
              </w:rPr>
            </w:pPr>
            <w:r>
              <w:rPr>
                <w:sz w:val="21"/>
                <w:szCs w:val="21"/>
              </w:rPr>
              <w:t>4.58</w:t>
            </w:r>
          </w:p>
        </w:tc>
        <w:tc>
          <w:tcPr>
            <w:tcW w:w="1103" w:type="dxa"/>
            <w:tcBorders>
              <w:left w:val="single" w:color="auto" w:sz="4" w:space="0"/>
            </w:tcBorders>
            <w:vAlign w:val="center"/>
          </w:tcPr>
          <w:p>
            <w:pPr>
              <w:jc w:val="center"/>
              <w:rPr>
                <w:sz w:val="21"/>
                <w:szCs w:val="21"/>
              </w:rPr>
            </w:pPr>
            <w:r>
              <w:rPr>
                <w:sz w:val="21"/>
                <w:szCs w:val="21"/>
              </w:rPr>
              <w:t>11.5</w:t>
            </w:r>
          </w:p>
        </w:tc>
        <w:tc>
          <w:tcPr>
            <w:tcW w:w="1267" w:type="dxa"/>
            <w:tcBorders>
              <w:right w:val="single" w:color="auto" w:sz="4" w:space="0"/>
            </w:tcBorders>
            <w:vAlign w:val="center"/>
          </w:tcPr>
          <w:p>
            <w:pPr>
              <w:jc w:val="center"/>
              <w:rPr>
                <w:rFonts w:ascii="宋体" w:hAnsi="宋体" w:cs="宋体"/>
                <w:sz w:val="21"/>
                <w:szCs w:val="21"/>
              </w:rPr>
            </w:pPr>
            <w:r>
              <w:rPr>
                <w:rFonts w:hint="eastAsia"/>
                <w:sz w:val="21"/>
                <w:szCs w:val="21"/>
              </w:rPr>
              <w:t>-6.92</w:t>
            </w:r>
          </w:p>
        </w:tc>
        <w:tc>
          <w:tcPr>
            <w:tcW w:w="886" w:type="dxa"/>
            <w:tcBorders>
              <w:left w:val="single" w:color="auto" w:sz="4" w:space="0"/>
            </w:tcBorders>
            <w:vAlign w:val="center"/>
          </w:tcPr>
          <w:p>
            <w:pPr>
              <w:jc w:val="center"/>
              <w:rPr>
                <w:rFonts w:ascii="宋体" w:hAnsi="宋体" w:cs="宋体"/>
                <w:sz w:val="21"/>
                <w:szCs w:val="21"/>
              </w:rPr>
            </w:pPr>
            <w:r>
              <w:rPr>
                <w:rFonts w:hint="eastAsia"/>
                <w:sz w:val="21"/>
                <w:szCs w:val="21"/>
              </w:rPr>
              <w:t>-60.17</w:t>
            </w:r>
          </w:p>
        </w:tc>
        <w:tc>
          <w:tcPr>
            <w:tcW w:w="1030" w:type="dxa"/>
            <w:tcBorders>
              <w:right w:val="single" w:color="auto" w:sz="4" w:space="0"/>
            </w:tcBorders>
            <w:vAlign w:val="center"/>
          </w:tcPr>
          <w:p>
            <w:pPr>
              <w:jc w:val="center"/>
              <w:rPr>
                <w:sz w:val="21"/>
                <w:szCs w:val="21"/>
              </w:rPr>
            </w:pPr>
            <w:r>
              <w:rPr>
                <w:sz w:val="21"/>
                <w:szCs w:val="21"/>
              </w:rPr>
              <w:t>8.39</w:t>
            </w:r>
          </w:p>
        </w:tc>
        <w:tc>
          <w:tcPr>
            <w:tcW w:w="1052" w:type="dxa"/>
            <w:tcBorders>
              <w:left w:val="single" w:color="auto" w:sz="4" w:space="0"/>
            </w:tcBorders>
            <w:vAlign w:val="center"/>
          </w:tcPr>
          <w:p>
            <w:pPr>
              <w:jc w:val="center"/>
              <w:rPr>
                <w:sz w:val="21"/>
                <w:szCs w:val="21"/>
              </w:rPr>
            </w:pPr>
            <w:r>
              <w:rPr>
                <w:sz w:val="21"/>
                <w:szCs w:val="21"/>
              </w:rPr>
              <w:t>17.27</w:t>
            </w:r>
          </w:p>
        </w:tc>
        <w:tc>
          <w:tcPr>
            <w:tcW w:w="1066" w:type="dxa"/>
            <w:tcBorders>
              <w:right w:val="single" w:color="auto" w:sz="4" w:space="0"/>
            </w:tcBorders>
            <w:vAlign w:val="center"/>
          </w:tcPr>
          <w:p>
            <w:pPr>
              <w:jc w:val="center"/>
              <w:rPr>
                <w:rFonts w:ascii="宋体" w:hAnsi="宋体" w:cs="宋体"/>
                <w:sz w:val="21"/>
                <w:szCs w:val="21"/>
              </w:rPr>
            </w:pPr>
            <w:r>
              <w:rPr>
                <w:rFonts w:hint="eastAsia"/>
                <w:sz w:val="21"/>
                <w:szCs w:val="21"/>
              </w:rPr>
              <w:t>-8.88</w:t>
            </w:r>
          </w:p>
        </w:tc>
        <w:tc>
          <w:tcPr>
            <w:tcW w:w="886" w:type="dxa"/>
            <w:tcBorders>
              <w:left w:val="single" w:color="auto" w:sz="4" w:space="0"/>
            </w:tcBorders>
            <w:vAlign w:val="center"/>
          </w:tcPr>
          <w:p>
            <w:pPr>
              <w:jc w:val="center"/>
              <w:rPr>
                <w:rFonts w:ascii="宋体" w:hAnsi="宋体" w:cs="宋体"/>
                <w:sz w:val="21"/>
                <w:szCs w:val="21"/>
              </w:rPr>
            </w:pPr>
            <w:r>
              <w:rPr>
                <w:rFonts w:hint="eastAsia"/>
                <w:sz w:val="21"/>
                <w:szCs w:val="21"/>
              </w:rPr>
              <w:t>-51.42</w:t>
            </w:r>
          </w:p>
        </w:tc>
        <w:tc>
          <w:tcPr>
            <w:tcW w:w="1052" w:type="dxa"/>
            <w:tcBorders>
              <w:right w:val="single" w:color="auto" w:sz="4" w:space="0"/>
            </w:tcBorders>
            <w:vAlign w:val="center"/>
          </w:tcPr>
          <w:p>
            <w:pPr>
              <w:jc w:val="center"/>
              <w:rPr>
                <w:sz w:val="21"/>
                <w:szCs w:val="21"/>
              </w:rPr>
            </w:pPr>
            <w:r>
              <w:rPr>
                <w:sz w:val="21"/>
                <w:szCs w:val="21"/>
              </w:rPr>
              <w:t>56.74</w:t>
            </w:r>
          </w:p>
        </w:tc>
        <w:tc>
          <w:tcPr>
            <w:tcW w:w="1052" w:type="dxa"/>
            <w:tcBorders>
              <w:left w:val="single" w:color="auto" w:sz="4" w:space="0"/>
              <w:right w:val="single" w:color="auto" w:sz="4" w:space="0"/>
            </w:tcBorders>
            <w:vAlign w:val="center"/>
          </w:tcPr>
          <w:p>
            <w:pPr>
              <w:jc w:val="center"/>
              <w:rPr>
                <w:sz w:val="21"/>
                <w:szCs w:val="21"/>
              </w:rPr>
            </w:pPr>
            <w:r>
              <w:rPr>
                <w:sz w:val="21"/>
                <w:szCs w:val="21"/>
              </w:rPr>
              <w:t>14.61</w:t>
            </w:r>
          </w:p>
        </w:tc>
        <w:tc>
          <w:tcPr>
            <w:tcW w:w="1052" w:type="dxa"/>
            <w:tcBorders>
              <w:left w:val="single" w:color="auto" w:sz="4" w:space="0"/>
              <w:right w:val="single" w:color="auto" w:sz="4" w:space="0"/>
            </w:tcBorders>
            <w:vAlign w:val="center"/>
          </w:tcPr>
          <w:p>
            <w:pPr>
              <w:jc w:val="center"/>
              <w:rPr>
                <w:rFonts w:ascii="宋体" w:hAnsi="宋体" w:cs="宋体"/>
                <w:sz w:val="21"/>
                <w:szCs w:val="21"/>
              </w:rPr>
            </w:pPr>
            <w:r>
              <w:rPr>
                <w:rFonts w:hint="eastAsia"/>
                <w:sz w:val="21"/>
                <w:szCs w:val="21"/>
              </w:rPr>
              <w:t>42.13</w:t>
            </w:r>
          </w:p>
        </w:tc>
        <w:tc>
          <w:tcPr>
            <w:tcW w:w="877" w:type="dxa"/>
            <w:tcBorders>
              <w:left w:val="single" w:color="auto" w:sz="4" w:space="0"/>
            </w:tcBorders>
            <w:vAlign w:val="center"/>
          </w:tcPr>
          <w:p>
            <w:pPr>
              <w:jc w:val="center"/>
              <w:rPr>
                <w:rFonts w:ascii="宋体" w:hAnsi="宋体" w:cs="宋体"/>
                <w:sz w:val="21"/>
                <w:szCs w:val="21"/>
              </w:rPr>
            </w:pPr>
            <w:r>
              <w:rPr>
                <w:rFonts w:hint="eastAsia"/>
                <w:sz w:val="21"/>
                <w:szCs w:val="21"/>
              </w:rPr>
              <w:t>288.36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8" w:hRule="atLeast"/>
          <w:jc w:val="center"/>
        </w:trPr>
        <w:tc>
          <w:tcPr>
            <w:tcW w:w="1677" w:type="dxa"/>
            <w:vAlign w:val="center"/>
          </w:tcPr>
          <w:p>
            <w:pPr>
              <w:spacing w:line="480" w:lineRule="exact"/>
              <w:jc w:val="center"/>
              <w:rPr>
                <w:sz w:val="21"/>
                <w:szCs w:val="21"/>
              </w:rPr>
            </w:pPr>
            <w:r>
              <w:rPr>
                <w:rFonts w:hAnsi="宋体"/>
                <w:sz w:val="21"/>
                <w:szCs w:val="21"/>
              </w:rPr>
              <w:t>管家桥村</w:t>
            </w:r>
          </w:p>
        </w:tc>
        <w:tc>
          <w:tcPr>
            <w:tcW w:w="1107" w:type="dxa"/>
            <w:tcBorders>
              <w:right w:val="single" w:color="auto" w:sz="4" w:space="0"/>
            </w:tcBorders>
            <w:vAlign w:val="center"/>
          </w:tcPr>
          <w:p>
            <w:pPr>
              <w:jc w:val="center"/>
              <w:rPr>
                <w:sz w:val="21"/>
                <w:szCs w:val="21"/>
              </w:rPr>
            </w:pPr>
            <w:r>
              <w:rPr>
                <w:sz w:val="21"/>
                <w:szCs w:val="21"/>
              </w:rPr>
              <w:t>7.89</w:t>
            </w:r>
          </w:p>
        </w:tc>
        <w:tc>
          <w:tcPr>
            <w:tcW w:w="1103" w:type="dxa"/>
            <w:tcBorders>
              <w:left w:val="single" w:color="auto" w:sz="4" w:space="0"/>
            </w:tcBorders>
            <w:vAlign w:val="center"/>
          </w:tcPr>
          <w:p>
            <w:pPr>
              <w:jc w:val="center"/>
              <w:rPr>
                <w:sz w:val="21"/>
                <w:szCs w:val="21"/>
              </w:rPr>
            </w:pPr>
            <w:r>
              <w:rPr>
                <w:sz w:val="21"/>
                <w:szCs w:val="21"/>
              </w:rPr>
              <w:t>21.83</w:t>
            </w:r>
          </w:p>
        </w:tc>
        <w:tc>
          <w:tcPr>
            <w:tcW w:w="1267" w:type="dxa"/>
            <w:tcBorders>
              <w:right w:val="single" w:color="auto" w:sz="4" w:space="0"/>
            </w:tcBorders>
            <w:vAlign w:val="center"/>
          </w:tcPr>
          <w:p>
            <w:pPr>
              <w:jc w:val="center"/>
              <w:rPr>
                <w:rFonts w:ascii="宋体" w:hAnsi="宋体" w:cs="宋体"/>
                <w:sz w:val="21"/>
                <w:szCs w:val="21"/>
              </w:rPr>
            </w:pPr>
            <w:r>
              <w:rPr>
                <w:rFonts w:hint="eastAsia"/>
                <w:sz w:val="21"/>
                <w:szCs w:val="21"/>
              </w:rPr>
              <w:t>-13.94</w:t>
            </w:r>
          </w:p>
        </w:tc>
        <w:tc>
          <w:tcPr>
            <w:tcW w:w="886" w:type="dxa"/>
            <w:tcBorders>
              <w:left w:val="single" w:color="auto" w:sz="4" w:space="0"/>
            </w:tcBorders>
            <w:vAlign w:val="center"/>
          </w:tcPr>
          <w:p>
            <w:pPr>
              <w:jc w:val="center"/>
              <w:rPr>
                <w:rFonts w:ascii="宋体" w:hAnsi="宋体" w:cs="宋体"/>
                <w:sz w:val="21"/>
                <w:szCs w:val="21"/>
              </w:rPr>
            </w:pPr>
            <w:r>
              <w:rPr>
                <w:rFonts w:hint="eastAsia"/>
                <w:sz w:val="21"/>
                <w:szCs w:val="21"/>
              </w:rPr>
              <w:t>-63.86</w:t>
            </w:r>
          </w:p>
        </w:tc>
        <w:tc>
          <w:tcPr>
            <w:tcW w:w="1030" w:type="dxa"/>
            <w:tcBorders>
              <w:right w:val="single" w:color="auto" w:sz="4" w:space="0"/>
            </w:tcBorders>
            <w:vAlign w:val="center"/>
          </w:tcPr>
          <w:p>
            <w:pPr>
              <w:jc w:val="center"/>
              <w:rPr>
                <w:sz w:val="21"/>
                <w:szCs w:val="21"/>
              </w:rPr>
            </w:pPr>
            <w:r>
              <w:rPr>
                <w:sz w:val="21"/>
                <w:szCs w:val="21"/>
              </w:rPr>
              <w:t>15.11</w:t>
            </w:r>
          </w:p>
        </w:tc>
        <w:tc>
          <w:tcPr>
            <w:tcW w:w="1052" w:type="dxa"/>
            <w:tcBorders>
              <w:left w:val="single" w:color="auto" w:sz="4" w:space="0"/>
            </w:tcBorders>
            <w:vAlign w:val="center"/>
          </w:tcPr>
          <w:p>
            <w:pPr>
              <w:jc w:val="center"/>
              <w:rPr>
                <w:sz w:val="21"/>
                <w:szCs w:val="21"/>
              </w:rPr>
            </w:pPr>
            <w:r>
              <w:rPr>
                <w:sz w:val="21"/>
                <w:szCs w:val="21"/>
              </w:rPr>
              <w:t>42.53</w:t>
            </w:r>
          </w:p>
        </w:tc>
        <w:tc>
          <w:tcPr>
            <w:tcW w:w="1066" w:type="dxa"/>
            <w:tcBorders>
              <w:right w:val="single" w:color="auto" w:sz="4" w:space="0"/>
            </w:tcBorders>
            <w:vAlign w:val="center"/>
          </w:tcPr>
          <w:p>
            <w:pPr>
              <w:jc w:val="center"/>
              <w:rPr>
                <w:rFonts w:ascii="宋体" w:hAnsi="宋体" w:cs="宋体"/>
                <w:sz w:val="21"/>
                <w:szCs w:val="21"/>
              </w:rPr>
            </w:pPr>
            <w:r>
              <w:rPr>
                <w:rFonts w:hint="eastAsia"/>
                <w:sz w:val="21"/>
                <w:szCs w:val="21"/>
              </w:rPr>
              <w:t>-27.42</w:t>
            </w:r>
          </w:p>
        </w:tc>
        <w:tc>
          <w:tcPr>
            <w:tcW w:w="886" w:type="dxa"/>
            <w:tcBorders>
              <w:left w:val="single" w:color="auto" w:sz="4" w:space="0"/>
            </w:tcBorders>
            <w:vAlign w:val="center"/>
          </w:tcPr>
          <w:p>
            <w:pPr>
              <w:jc w:val="center"/>
              <w:rPr>
                <w:rFonts w:ascii="宋体" w:hAnsi="宋体" w:cs="宋体"/>
                <w:sz w:val="21"/>
                <w:szCs w:val="21"/>
              </w:rPr>
            </w:pPr>
            <w:r>
              <w:rPr>
                <w:rFonts w:hint="eastAsia"/>
                <w:sz w:val="21"/>
                <w:szCs w:val="21"/>
              </w:rPr>
              <w:t>-64.47</w:t>
            </w:r>
          </w:p>
        </w:tc>
        <w:tc>
          <w:tcPr>
            <w:tcW w:w="1052" w:type="dxa"/>
            <w:tcBorders>
              <w:right w:val="single" w:color="auto" w:sz="4" w:space="0"/>
            </w:tcBorders>
            <w:vAlign w:val="center"/>
          </w:tcPr>
          <w:p>
            <w:pPr>
              <w:jc w:val="center"/>
              <w:rPr>
                <w:sz w:val="21"/>
                <w:szCs w:val="21"/>
              </w:rPr>
            </w:pPr>
            <w:r>
              <w:rPr>
                <w:sz w:val="21"/>
                <w:szCs w:val="21"/>
              </w:rPr>
              <w:t>102.21</w:t>
            </w:r>
          </w:p>
        </w:tc>
        <w:tc>
          <w:tcPr>
            <w:tcW w:w="1052" w:type="dxa"/>
            <w:tcBorders>
              <w:left w:val="single" w:color="auto" w:sz="4" w:space="0"/>
              <w:right w:val="single" w:color="auto" w:sz="4" w:space="0"/>
            </w:tcBorders>
            <w:vAlign w:val="center"/>
          </w:tcPr>
          <w:p>
            <w:pPr>
              <w:jc w:val="center"/>
              <w:rPr>
                <w:sz w:val="21"/>
                <w:szCs w:val="21"/>
              </w:rPr>
            </w:pPr>
            <w:r>
              <w:rPr>
                <w:sz w:val="21"/>
                <w:szCs w:val="21"/>
              </w:rPr>
              <w:t>36.49</w:t>
            </w:r>
          </w:p>
        </w:tc>
        <w:tc>
          <w:tcPr>
            <w:tcW w:w="1052" w:type="dxa"/>
            <w:tcBorders>
              <w:left w:val="single" w:color="auto" w:sz="4" w:space="0"/>
              <w:right w:val="single" w:color="auto" w:sz="4" w:space="0"/>
            </w:tcBorders>
            <w:vAlign w:val="center"/>
          </w:tcPr>
          <w:p>
            <w:pPr>
              <w:jc w:val="center"/>
              <w:rPr>
                <w:rFonts w:ascii="宋体" w:hAnsi="宋体" w:cs="宋体"/>
                <w:sz w:val="21"/>
                <w:szCs w:val="21"/>
              </w:rPr>
            </w:pPr>
            <w:r>
              <w:rPr>
                <w:rFonts w:hint="eastAsia"/>
                <w:sz w:val="21"/>
                <w:szCs w:val="21"/>
              </w:rPr>
              <w:t>65.72</w:t>
            </w:r>
          </w:p>
        </w:tc>
        <w:tc>
          <w:tcPr>
            <w:tcW w:w="877" w:type="dxa"/>
            <w:tcBorders>
              <w:left w:val="single" w:color="auto" w:sz="4" w:space="0"/>
            </w:tcBorders>
            <w:vAlign w:val="center"/>
          </w:tcPr>
          <w:p>
            <w:pPr>
              <w:jc w:val="center"/>
              <w:rPr>
                <w:rFonts w:ascii="宋体" w:hAnsi="宋体" w:cs="宋体"/>
                <w:sz w:val="21"/>
                <w:szCs w:val="21"/>
              </w:rPr>
            </w:pPr>
            <w:r>
              <w:rPr>
                <w:rFonts w:hint="eastAsia"/>
                <w:sz w:val="21"/>
                <w:szCs w:val="21"/>
              </w:rPr>
              <w:t>180.10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2" w:hRule="atLeast"/>
          <w:jc w:val="center"/>
        </w:trPr>
        <w:tc>
          <w:tcPr>
            <w:tcW w:w="1677" w:type="dxa"/>
            <w:vAlign w:val="center"/>
          </w:tcPr>
          <w:p>
            <w:pPr>
              <w:spacing w:line="480" w:lineRule="exact"/>
              <w:jc w:val="center"/>
              <w:rPr>
                <w:sz w:val="21"/>
                <w:szCs w:val="21"/>
              </w:rPr>
            </w:pPr>
            <w:r>
              <w:rPr>
                <w:rFonts w:hAnsi="宋体"/>
                <w:sz w:val="21"/>
                <w:szCs w:val="21"/>
              </w:rPr>
              <w:t>陈家桥镇</w:t>
            </w:r>
          </w:p>
        </w:tc>
        <w:tc>
          <w:tcPr>
            <w:tcW w:w="1107" w:type="dxa"/>
            <w:tcBorders>
              <w:right w:val="single" w:color="auto" w:sz="4" w:space="0"/>
            </w:tcBorders>
            <w:vAlign w:val="center"/>
          </w:tcPr>
          <w:p>
            <w:pPr>
              <w:jc w:val="center"/>
              <w:rPr>
                <w:sz w:val="21"/>
                <w:szCs w:val="21"/>
              </w:rPr>
            </w:pPr>
            <w:r>
              <w:rPr>
                <w:sz w:val="21"/>
                <w:szCs w:val="21"/>
              </w:rPr>
              <w:t>3.91</w:t>
            </w:r>
          </w:p>
        </w:tc>
        <w:tc>
          <w:tcPr>
            <w:tcW w:w="1103" w:type="dxa"/>
            <w:tcBorders>
              <w:left w:val="single" w:color="auto" w:sz="4" w:space="0"/>
            </w:tcBorders>
            <w:vAlign w:val="center"/>
          </w:tcPr>
          <w:p>
            <w:pPr>
              <w:jc w:val="center"/>
              <w:rPr>
                <w:sz w:val="21"/>
                <w:szCs w:val="21"/>
              </w:rPr>
            </w:pPr>
            <w:r>
              <w:rPr>
                <w:sz w:val="21"/>
                <w:szCs w:val="21"/>
              </w:rPr>
              <w:t>10.57</w:t>
            </w:r>
          </w:p>
        </w:tc>
        <w:tc>
          <w:tcPr>
            <w:tcW w:w="1267" w:type="dxa"/>
            <w:tcBorders>
              <w:right w:val="single" w:color="auto" w:sz="4" w:space="0"/>
            </w:tcBorders>
            <w:vAlign w:val="center"/>
          </w:tcPr>
          <w:p>
            <w:pPr>
              <w:jc w:val="center"/>
              <w:rPr>
                <w:rFonts w:ascii="宋体" w:hAnsi="宋体" w:cs="宋体"/>
                <w:sz w:val="21"/>
                <w:szCs w:val="21"/>
              </w:rPr>
            </w:pPr>
            <w:r>
              <w:rPr>
                <w:rFonts w:hint="eastAsia"/>
                <w:sz w:val="21"/>
                <w:szCs w:val="21"/>
              </w:rPr>
              <w:t>-6.66</w:t>
            </w:r>
          </w:p>
        </w:tc>
        <w:tc>
          <w:tcPr>
            <w:tcW w:w="886" w:type="dxa"/>
            <w:tcBorders>
              <w:left w:val="single" w:color="auto" w:sz="4" w:space="0"/>
            </w:tcBorders>
            <w:vAlign w:val="center"/>
          </w:tcPr>
          <w:p>
            <w:pPr>
              <w:jc w:val="center"/>
              <w:rPr>
                <w:rFonts w:ascii="宋体" w:hAnsi="宋体" w:cs="宋体"/>
                <w:sz w:val="21"/>
                <w:szCs w:val="21"/>
              </w:rPr>
            </w:pPr>
            <w:r>
              <w:rPr>
                <w:rFonts w:hint="eastAsia"/>
                <w:sz w:val="21"/>
                <w:szCs w:val="21"/>
              </w:rPr>
              <w:t>-63.01</w:t>
            </w:r>
          </w:p>
        </w:tc>
        <w:tc>
          <w:tcPr>
            <w:tcW w:w="1030" w:type="dxa"/>
            <w:tcBorders>
              <w:right w:val="single" w:color="auto" w:sz="4" w:space="0"/>
            </w:tcBorders>
            <w:vAlign w:val="center"/>
          </w:tcPr>
          <w:p>
            <w:pPr>
              <w:jc w:val="center"/>
              <w:rPr>
                <w:sz w:val="21"/>
                <w:szCs w:val="21"/>
              </w:rPr>
            </w:pPr>
            <w:r>
              <w:rPr>
                <w:sz w:val="21"/>
                <w:szCs w:val="21"/>
              </w:rPr>
              <w:t>4.89</w:t>
            </w:r>
          </w:p>
        </w:tc>
        <w:tc>
          <w:tcPr>
            <w:tcW w:w="1052" w:type="dxa"/>
            <w:tcBorders>
              <w:left w:val="single" w:color="auto" w:sz="4" w:space="0"/>
            </w:tcBorders>
            <w:vAlign w:val="center"/>
          </w:tcPr>
          <w:p>
            <w:pPr>
              <w:jc w:val="center"/>
              <w:rPr>
                <w:sz w:val="21"/>
                <w:szCs w:val="21"/>
              </w:rPr>
            </w:pPr>
            <w:r>
              <w:rPr>
                <w:sz w:val="21"/>
                <w:szCs w:val="21"/>
              </w:rPr>
              <w:t>20.83</w:t>
            </w:r>
          </w:p>
        </w:tc>
        <w:tc>
          <w:tcPr>
            <w:tcW w:w="1066" w:type="dxa"/>
            <w:tcBorders>
              <w:right w:val="single" w:color="auto" w:sz="4" w:space="0"/>
            </w:tcBorders>
            <w:vAlign w:val="center"/>
          </w:tcPr>
          <w:p>
            <w:pPr>
              <w:jc w:val="center"/>
              <w:rPr>
                <w:rFonts w:ascii="宋体" w:hAnsi="宋体" w:cs="宋体"/>
                <w:sz w:val="21"/>
                <w:szCs w:val="21"/>
              </w:rPr>
            </w:pPr>
            <w:r>
              <w:rPr>
                <w:rFonts w:hint="eastAsia"/>
                <w:sz w:val="21"/>
                <w:szCs w:val="21"/>
              </w:rPr>
              <w:t>-15.94</w:t>
            </w:r>
          </w:p>
        </w:tc>
        <w:tc>
          <w:tcPr>
            <w:tcW w:w="886" w:type="dxa"/>
            <w:tcBorders>
              <w:left w:val="single" w:color="auto" w:sz="4" w:space="0"/>
            </w:tcBorders>
            <w:vAlign w:val="center"/>
          </w:tcPr>
          <w:p>
            <w:pPr>
              <w:jc w:val="center"/>
              <w:rPr>
                <w:rFonts w:ascii="宋体" w:hAnsi="宋体" w:cs="宋体"/>
                <w:sz w:val="21"/>
                <w:szCs w:val="21"/>
              </w:rPr>
            </w:pPr>
            <w:r>
              <w:rPr>
                <w:rFonts w:hint="eastAsia"/>
                <w:sz w:val="21"/>
                <w:szCs w:val="21"/>
              </w:rPr>
              <w:t>-76.52</w:t>
            </w:r>
          </w:p>
        </w:tc>
        <w:tc>
          <w:tcPr>
            <w:tcW w:w="1052" w:type="dxa"/>
            <w:tcBorders>
              <w:right w:val="single" w:color="auto" w:sz="4" w:space="0"/>
            </w:tcBorders>
            <w:vAlign w:val="center"/>
          </w:tcPr>
          <w:p>
            <w:pPr>
              <w:jc w:val="center"/>
              <w:rPr>
                <w:sz w:val="21"/>
                <w:szCs w:val="21"/>
              </w:rPr>
            </w:pPr>
            <w:r>
              <w:rPr>
                <w:sz w:val="21"/>
                <w:szCs w:val="21"/>
              </w:rPr>
              <w:t>33.06</w:t>
            </w:r>
          </w:p>
        </w:tc>
        <w:tc>
          <w:tcPr>
            <w:tcW w:w="1052" w:type="dxa"/>
            <w:tcBorders>
              <w:left w:val="single" w:color="auto" w:sz="4" w:space="0"/>
              <w:right w:val="single" w:color="auto" w:sz="4" w:space="0"/>
            </w:tcBorders>
            <w:vAlign w:val="center"/>
          </w:tcPr>
          <w:p>
            <w:pPr>
              <w:jc w:val="center"/>
              <w:rPr>
                <w:sz w:val="21"/>
                <w:szCs w:val="21"/>
              </w:rPr>
            </w:pPr>
            <w:r>
              <w:rPr>
                <w:sz w:val="21"/>
                <w:szCs w:val="21"/>
              </w:rPr>
              <w:t>17.87</w:t>
            </w:r>
          </w:p>
        </w:tc>
        <w:tc>
          <w:tcPr>
            <w:tcW w:w="1052" w:type="dxa"/>
            <w:tcBorders>
              <w:left w:val="single" w:color="auto" w:sz="4" w:space="0"/>
              <w:right w:val="single" w:color="auto" w:sz="4" w:space="0"/>
            </w:tcBorders>
            <w:vAlign w:val="center"/>
          </w:tcPr>
          <w:p>
            <w:pPr>
              <w:jc w:val="center"/>
              <w:rPr>
                <w:rFonts w:ascii="宋体" w:hAnsi="宋体" w:cs="宋体"/>
                <w:sz w:val="21"/>
                <w:szCs w:val="21"/>
              </w:rPr>
            </w:pPr>
            <w:r>
              <w:rPr>
                <w:rFonts w:hint="eastAsia"/>
                <w:sz w:val="21"/>
                <w:szCs w:val="21"/>
              </w:rPr>
              <w:t>15.19</w:t>
            </w:r>
          </w:p>
        </w:tc>
        <w:tc>
          <w:tcPr>
            <w:tcW w:w="877" w:type="dxa"/>
            <w:tcBorders>
              <w:left w:val="single" w:color="auto" w:sz="4" w:space="0"/>
            </w:tcBorders>
            <w:vAlign w:val="center"/>
          </w:tcPr>
          <w:p>
            <w:pPr>
              <w:jc w:val="center"/>
              <w:rPr>
                <w:rFonts w:ascii="宋体" w:hAnsi="宋体" w:cs="宋体"/>
                <w:sz w:val="21"/>
                <w:szCs w:val="21"/>
              </w:rPr>
            </w:pPr>
            <w:r>
              <w:rPr>
                <w:rFonts w:hint="eastAsia"/>
                <w:sz w:val="21"/>
                <w:szCs w:val="21"/>
              </w:rPr>
              <w:t>85.00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2" w:hRule="atLeast"/>
          <w:jc w:val="center"/>
        </w:trPr>
        <w:tc>
          <w:tcPr>
            <w:tcW w:w="1677" w:type="dxa"/>
            <w:vAlign w:val="center"/>
          </w:tcPr>
          <w:p>
            <w:pPr>
              <w:spacing w:line="480" w:lineRule="exact"/>
              <w:jc w:val="center"/>
              <w:rPr>
                <w:sz w:val="21"/>
                <w:szCs w:val="21"/>
              </w:rPr>
            </w:pPr>
            <w:r>
              <w:rPr>
                <w:rFonts w:hAnsi="宋体"/>
                <w:sz w:val="21"/>
                <w:szCs w:val="21"/>
              </w:rPr>
              <w:t>大学城</w:t>
            </w:r>
          </w:p>
        </w:tc>
        <w:tc>
          <w:tcPr>
            <w:tcW w:w="1107" w:type="dxa"/>
            <w:tcBorders>
              <w:right w:val="single" w:color="auto" w:sz="4" w:space="0"/>
            </w:tcBorders>
            <w:vAlign w:val="center"/>
          </w:tcPr>
          <w:p>
            <w:pPr>
              <w:jc w:val="center"/>
              <w:rPr>
                <w:sz w:val="21"/>
                <w:szCs w:val="21"/>
              </w:rPr>
            </w:pPr>
            <w:r>
              <w:rPr>
                <w:sz w:val="21"/>
                <w:szCs w:val="21"/>
              </w:rPr>
              <w:t>3.76</w:t>
            </w:r>
          </w:p>
        </w:tc>
        <w:tc>
          <w:tcPr>
            <w:tcW w:w="1103" w:type="dxa"/>
            <w:tcBorders>
              <w:left w:val="single" w:color="auto" w:sz="4" w:space="0"/>
            </w:tcBorders>
            <w:vAlign w:val="center"/>
          </w:tcPr>
          <w:p>
            <w:pPr>
              <w:jc w:val="center"/>
              <w:rPr>
                <w:sz w:val="21"/>
                <w:szCs w:val="21"/>
              </w:rPr>
            </w:pPr>
            <w:r>
              <w:rPr>
                <w:sz w:val="21"/>
                <w:szCs w:val="21"/>
              </w:rPr>
              <w:t>9.23</w:t>
            </w:r>
          </w:p>
        </w:tc>
        <w:tc>
          <w:tcPr>
            <w:tcW w:w="1267" w:type="dxa"/>
            <w:tcBorders>
              <w:right w:val="single" w:color="auto" w:sz="4" w:space="0"/>
            </w:tcBorders>
            <w:vAlign w:val="center"/>
          </w:tcPr>
          <w:p>
            <w:pPr>
              <w:jc w:val="center"/>
              <w:rPr>
                <w:rFonts w:ascii="宋体" w:hAnsi="宋体" w:cs="宋体"/>
                <w:sz w:val="21"/>
                <w:szCs w:val="21"/>
              </w:rPr>
            </w:pPr>
            <w:r>
              <w:rPr>
                <w:rFonts w:hint="eastAsia"/>
                <w:sz w:val="21"/>
                <w:szCs w:val="21"/>
              </w:rPr>
              <w:t>-5.47</w:t>
            </w:r>
          </w:p>
        </w:tc>
        <w:tc>
          <w:tcPr>
            <w:tcW w:w="886" w:type="dxa"/>
            <w:tcBorders>
              <w:left w:val="single" w:color="auto" w:sz="4" w:space="0"/>
            </w:tcBorders>
            <w:vAlign w:val="center"/>
          </w:tcPr>
          <w:p>
            <w:pPr>
              <w:jc w:val="center"/>
              <w:rPr>
                <w:rFonts w:ascii="宋体" w:hAnsi="宋体" w:cs="宋体"/>
                <w:sz w:val="21"/>
                <w:szCs w:val="21"/>
              </w:rPr>
            </w:pPr>
            <w:r>
              <w:rPr>
                <w:rFonts w:hint="eastAsia"/>
                <w:sz w:val="21"/>
                <w:szCs w:val="21"/>
              </w:rPr>
              <w:t>-59.26</w:t>
            </w:r>
          </w:p>
        </w:tc>
        <w:tc>
          <w:tcPr>
            <w:tcW w:w="1030" w:type="dxa"/>
            <w:tcBorders>
              <w:right w:val="single" w:color="auto" w:sz="4" w:space="0"/>
            </w:tcBorders>
            <w:vAlign w:val="center"/>
          </w:tcPr>
          <w:p>
            <w:pPr>
              <w:jc w:val="center"/>
              <w:rPr>
                <w:sz w:val="21"/>
                <w:szCs w:val="21"/>
              </w:rPr>
            </w:pPr>
            <w:r>
              <w:rPr>
                <w:sz w:val="21"/>
                <w:szCs w:val="21"/>
              </w:rPr>
              <w:t>4.15</w:t>
            </w:r>
          </w:p>
        </w:tc>
        <w:tc>
          <w:tcPr>
            <w:tcW w:w="1052" w:type="dxa"/>
            <w:tcBorders>
              <w:left w:val="single" w:color="auto" w:sz="4" w:space="0"/>
            </w:tcBorders>
            <w:vAlign w:val="center"/>
          </w:tcPr>
          <w:p>
            <w:pPr>
              <w:jc w:val="center"/>
              <w:rPr>
                <w:sz w:val="21"/>
                <w:szCs w:val="21"/>
              </w:rPr>
            </w:pPr>
            <w:r>
              <w:rPr>
                <w:sz w:val="21"/>
                <w:szCs w:val="21"/>
              </w:rPr>
              <w:t>18.45</w:t>
            </w:r>
          </w:p>
        </w:tc>
        <w:tc>
          <w:tcPr>
            <w:tcW w:w="1066" w:type="dxa"/>
            <w:tcBorders>
              <w:right w:val="single" w:color="auto" w:sz="4" w:space="0"/>
            </w:tcBorders>
            <w:vAlign w:val="center"/>
          </w:tcPr>
          <w:p>
            <w:pPr>
              <w:jc w:val="center"/>
              <w:rPr>
                <w:rFonts w:ascii="宋体" w:hAnsi="宋体" w:cs="宋体"/>
                <w:sz w:val="21"/>
                <w:szCs w:val="21"/>
              </w:rPr>
            </w:pPr>
            <w:r>
              <w:rPr>
                <w:rFonts w:hint="eastAsia"/>
                <w:sz w:val="21"/>
                <w:szCs w:val="21"/>
              </w:rPr>
              <w:t>-14.3</w:t>
            </w:r>
          </w:p>
        </w:tc>
        <w:tc>
          <w:tcPr>
            <w:tcW w:w="886" w:type="dxa"/>
            <w:tcBorders>
              <w:left w:val="single" w:color="auto" w:sz="4" w:space="0"/>
            </w:tcBorders>
            <w:vAlign w:val="center"/>
          </w:tcPr>
          <w:p>
            <w:pPr>
              <w:jc w:val="center"/>
              <w:rPr>
                <w:rFonts w:ascii="宋体" w:hAnsi="宋体" w:cs="宋体"/>
                <w:sz w:val="21"/>
                <w:szCs w:val="21"/>
              </w:rPr>
            </w:pPr>
            <w:r>
              <w:rPr>
                <w:rFonts w:hint="eastAsia"/>
                <w:sz w:val="21"/>
                <w:szCs w:val="21"/>
              </w:rPr>
              <w:t>-77.51</w:t>
            </w:r>
          </w:p>
        </w:tc>
        <w:tc>
          <w:tcPr>
            <w:tcW w:w="1052" w:type="dxa"/>
            <w:tcBorders>
              <w:right w:val="single" w:color="auto" w:sz="4" w:space="0"/>
            </w:tcBorders>
            <w:vAlign w:val="center"/>
          </w:tcPr>
          <w:p>
            <w:pPr>
              <w:jc w:val="center"/>
              <w:rPr>
                <w:sz w:val="21"/>
                <w:szCs w:val="21"/>
              </w:rPr>
            </w:pPr>
            <w:r>
              <w:rPr>
                <w:sz w:val="21"/>
                <w:szCs w:val="21"/>
              </w:rPr>
              <w:t>28.05</w:t>
            </w:r>
          </w:p>
        </w:tc>
        <w:tc>
          <w:tcPr>
            <w:tcW w:w="1052" w:type="dxa"/>
            <w:tcBorders>
              <w:left w:val="single" w:color="auto" w:sz="4" w:space="0"/>
              <w:right w:val="single" w:color="auto" w:sz="4" w:space="0"/>
            </w:tcBorders>
            <w:vAlign w:val="center"/>
          </w:tcPr>
          <w:p>
            <w:pPr>
              <w:jc w:val="center"/>
              <w:rPr>
                <w:sz w:val="21"/>
                <w:szCs w:val="21"/>
              </w:rPr>
            </w:pPr>
            <w:r>
              <w:rPr>
                <w:sz w:val="21"/>
                <w:szCs w:val="21"/>
              </w:rPr>
              <w:t>15.62</w:t>
            </w:r>
          </w:p>
        </w:tc>
        <w:tc>
          <w:tcPr>
            <w:tcW w:w="1052" w:type="dxa"/>
            <w:tcBorders>
              <w:left w:val="single" w:color="auto" w:sz="4" w:space="0"/>
              <w:right w:val="single" w:color="auto" w:sz="4" w:space="0"/>
            </w:tcBorders>
            <w:vAlign w:val="center"/>
          </w:tcPr>
          <w:p>
            <w:pPr>
              <w:jc w:val="center"/>
              <w:rPr>
                <w:rFonts w:ascii="宋体" w:hAnsi="宋体" w:cs="宋体"/>
                <w:sz w:val="21"/>
                <w:szCs w:val="21"/>
              </w:rPr>
            </w:pPr>
            <w:r>
              <w:rPr>
                <w:rFonts w:hint="eastAsia"/>
                <w:sz w:val="21"/>
                <w:szCs w:val="21"/>
              </w:rPr>
              <w:t>12.43</w:t>
            </w:r>
          </w:p>
        </w:tc>
        <w:tc>
          <w:tcPr>
            <w:tcW w:w="877" w:type="dxa"/>
            <w:tcBorders>
              <w:left w:val="single" w:color="auto" w:sz="4" w:space="0"/>
            </w:tcBorders>
            <w:vAlign w:val="center"/>
          </w:tcPr>
          <w:p>
            <w:pPr>
              <w:jc w:val="center"/>
              <w:rPr>
                <w:rFonts w:ascii="宋体" w:hAnsi="宋体" w:cs="宋体"/>
                <w:sz w:val="21"/>
                <w:szCs w:val="21"/>
              </w:rPr>
            </w:pPr>
            <w:r>
              <w:rPr>
                <w:rFonts w:hint="eastAsia"/>
                <w:sz w:val="21"/>
                <w:szCs w:val="21"/>
              </w:rPr>
              <w:t>79.58</w:t>
            </w:r>
          </w:p>
        </w:tc>
      </w:tr>
    </w:tbl>
    <w:p>
      <w:pPr>
        <w:pStyle w:val="26"/>
        <w:spacing w:line="480" w:lineRule="exact"/>
        <w:ind w:firstLine="480"/>
        <w:sectPr>
          <w:pgSz w:w="16838" w:h="11906" w:orient="landscape"/>
          <w:pgMar w:top="1418" w:right="1418" w:bottom="1418" w:left="1418" w:header="851" w:footer="992" w:gutter="0"/>
          <w:paperSrc w:first="20070" w:other="20070"/>
          <w:cols w:space="425" w:num="1"/>
          <w:docGrid w:linePitch="312" w:charSpace="0"/>
        </w:sectPr>
      </w:pPr>
    </w:p>
    <w:p>
      <w:pPr>
        <w:spacing w:line="480" w:lineRule="exact"/>
        <w:ind w:firstLine="316" w:firstLineChars="150"/>
        <w:jc w:val="center"/>
        <w:rPr>
          <w:rFonts w:hint="eastAsia"/>
          <w:b/>
          <w:szCs w:val="21"/>
          <w:vertAlign w:val="superscript"/>
        </w:rPr>
      </w:pPr>
      <w:r>
        <w:rPr>
          <w:b/>
        </w:rPr>
        <w:t>表</w:t>
      </w:r>
      <w:r>
        <w:rPr>
          <w:rFonts w:hint="eastAsia"/>
          <w:b/>
        </w:rPr>
        <w:t>8</w:t>
      </w:r>
      <w:r>
        <w:rPr>
          <w:b/>
        </w:rPr>
        <w:t>-</w:t>
      </w:r>
      <w:r>
        <w:rPr>
          <w:rFonts w:hint="eastAsia"/>
          <w:b/>
        </w:rPr>
        <w:t>17</w:t>
      </w:r>
      <w:r>
        <w:rPr>
          <w:b/>
        </w:rPr>
        <w:t xml:space="preserve">  </w:t>
      </w:r>
      <w:r>
        <w:rPr>
          <w:rFonts w:hint="eastAsia"/>
          <w:b/>
        </w:rPr>
        <w:t>技改前后日均最大预测值对敏感点影响对比分析</w:t>
      </w:r>
      <w:r>
        <w:rPr>
          <w:b/>
        </w:rPr>
        <w:t xml:space="preserve">    单位：</w:t>
      </w:r>
      <w:r>
        <w:rPr>
          <w:b/>
          <w:szCs w:val="21"/>
        </w:rPr>
        <w:t>µg/m</w:t>
      </w:r>
      <w:r>
        <w:rPr>
          <w:b/>
          <w:szCs w:val="21"/>
          <w:vertAlign w:val="superscript"/>
        </w:rPr>
        <w:t>3</w:t>
      </w:r>
    </w:p>
    <w:tbl>
      <w:tblPr>
        <w:tblStyle w:val="21"/>
        <w:tblW w:w="12806" w:type="dxa"/>
        <w:jc w:val="center"/>
        <w:tblInd w:w="-919"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06"/>
        <w:gridCol w:w="932"/>
        <w:gridCol w:w="932"/>
        <w:gridCol w:w="932"/>
        <w:gridCol w:w="759"/>
        <w:gridCol w:w="932"/>
        <w:gridCol w:w="932"/>
        <w:gridCol w:w="932"/>
        <w:gridCol w:w="759"/>
        <w:gridCol w:w="932"/>
        <w:gridCol w:w="932"/>
        <w:gridCol w:w="932"/>
        <w:gridCol w:w="79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tblHeader/>
          <w:jc w:val="center"/>
        </w:trPr>
        <w:tc>
          <w:tcPr>
            <w:tcW w:w="2106" w:type="dxa"/>
            <w:vMerge w:val="restart"/>
            <w:tcBorders>
              <w:tl2br w:val="single" w:color="auto" w:sz="4" w:space="0"/>
            </w:tcBorders>
            <w:vAlign w:val="center"/>
          </w:tcPr>
          <w:p>
            <w:pPr>
              <w:pStyle w:val="31"/>
              <w:snapToGrid w:val="0"/>
              <w:spacing w:line="480" w:lineRule="exact"/>
              <w:ind w:right="-122" w:firstLine="420" w:firstLineChars="200"/>
              <w:jc w:val="both"/>
              <w:rPr>
                <w:color w:val="auto"/>
              </w:rPr>
            </w:pPr>
            <w:r>
              <w:rPr>
                <w:color w:val="auto"/>
              </w:rPr>
              <w:t>预测因子</w:t>
            </w:r>
          </w:p>
          <w:p>
            <w:pPr>
              <w:pStyle w:val="31"/>
              <w:snapToGrid w:val="0"/>
              <w:spacing w:line="480" w:lineRule="exact"/>
              <w:ind w:right="-122"/>
              <w:jc w:val="both"/>
              <w:rPr>
                <w:color w:val="auto"/>
              </w:rPr>
            </w:pPr>
            <w:r>
              <w:rPr>
                <w:color w:val="auto"/>
              </w:rPr>
              <w:t>关心点</w:t>
            </w:r>
          </w:p>
        </w:tc>
        <w:tc>
          <w:tcPr>
            <w:tcW w:w="3555" w:type="dxa"/>
            <w:gridSpan w:val="4"/>
            <w:tcBorders>
              <w:right w:val="single" w:color="auto" w:sz="4" w:space="0"/>
            </w:tcBorders>
            <w:vAlign w:val="center"/>
          </w:tcPr>
          <w:p>
            <w:pPr>
              <w:adjustRightInd w:val="0"/>
              <w:snapToGrid w:val="0"/>
              <w:spacing w:line="480" w:lineRule="exact"/>
              <w:jc w:val="center"/>
              <w:rPr>
                <w:kern w:val="0"/>
                <w:sz w:val="21"/>
                <w:szCs w:val="21"/>
              </w:rPr>
            </w:pPr>
            <w:r>
              <w:rPr>
                <w:sz w:val="21"/>
                <w:szCs w:val="21"/>
              </w:rPr>
              <w:t>PM</w:t>
            </w:r>
            <w:r>
              <w:rPr>
                <w:sz w:val="21"/>
                <w:szCs w:val="21"/>
                <w:vertAlign w:val="subscript"/>
              </w:rPr>
              <w:t>10</w:t>
            </w:r>
          </w:p>
        </w:tc>
        <w:tc>
          <w:tcPr>
            <w:tcW w:w="3555" w:type="dxa"/>
            <w:gridSpan w:val="4"/>
            <w:tcBorders>
              <w:left w:val="single" w:color="auto" w:sz="4" w:space="0"/>
              <w:right w:val="single" w:color="auto" w:sz="4" w:space="0"/>
            </w:tcBorders>
            <w:vAlign w:val="center"/>
          </w:tcPr>
          <w:p>
            <w:pPr>
              <w:widowControl/>
              <w:adjustRightInd w:val="0"/>
              <w:snapToGrid w:val="0"/>
              <w:spacing w:line="480" w:lineRule="exact"/>
              <w:jc w:val="center"/>
              <w:rPr>
                <w:kern w:val="0"/>
                <w:sz w:val="21"/>
                <w:szCs w:val="21"/>
              </w:rPr>
            </w:pPr>
            <w:r>
              <w:rPr>
                <w:sz w:val="21"/>
                <w:szCs w:val="21"/>
              </w:rPr>
              <w:t>SO</w:t>
            </w:r>
            <w:r>
              <w:rPr>
                <w:sz w:val="21"/>
                <w:szCs w:val="21"/>
                <w:vertAlign w:val="subscript"/>
              </w:rPr>
              <w:t>2</w:t>
            </w:r>
          </w:p>
        </w:tc>
        <w:tc>
          <w:tcPr>
            <w:tcW w:w="3590" w:type="dxa"/>
            <w:gridSpan w:val="4"/>
            <w:tcBorders>
              <w:left w:val="single" w:color="auto" w:sz="4" w:space="0"/>
            </w:tcBorders>
            <w:vAlign w:val="center"/>
          </w:tcPr>
          <w:p>
            <w:pPr>
              <w:widowControl/>
              <w:adjustRightInd w:val="0"/>
              <w:snapToGrid w:val="0"/>
              <w:spacing w:line="480" w:lineRule="exact"/>
              <w:jc w:val="center"/>
              <w:rPr>
                <w:rFonts w:hint="eastAsia"/>
                <w:kern w:val="0"/>
                <w:sz w:val="21"/>
                <w:szCs w:val="21"/>
              </w:rPr>
            </w:pPr>
            <w:r>
              <w:rPr>
                <w:rFonts w:hint="eastAsia"/>
                <w:kern w:val="0"/>
                <w:sz w:val="21"/>
                <w:szCs w:val="21"/>
              </w:rPr>
              <w:t>NO</w:t>
            </w:r>
            <w:r>
              <w:rPr>
                <w:rFonts w:hint="eastAsia"/>
                <w:kern w:val="0"/>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jc w:val="center"/>
        </w:trPr>
        <w:tc>
          <w:tcPr>
            <w:tcW w:w="2106" w:type="dxa"/>
            <w:vMerge w:val="continue"/>
            <w:vAlign w:val="center"/>
          </w:tcPr>
          <w:p>
            <w:pPr>
              <w:pStyle w:val="31"/>
              <w:snapToGrid w:val="0"/>
              <w:spacing w:line="480" w:lineRule="exact"/>
              <w:ind w:right="-122"/>
              <w:rPr>
                <w:color w:val="auto"/>
              </w:rPr>
            </w:pPr>
          </w:p>
        </w:tc>
        <w:tc>
          <w:tcPr>
            <w:tcW w:w="932" w:type="dxa"/>
            <w:tcBorders>
              <w:right w:val="single" w:color="auto" w:sz="4" w:space="0"/>
            </w:tcBorders>
            <w:vAlign w:val="center"/>
          </w:tcPr>
          <w:p>
            <w:pPr>
              <w:pStyle w:val="31"/>
              <w:snapToGrid w:val="0"/>
              <w:spacing w:line="480" w:lineRule="exact"/>
              <w:ind w:right="-122"/>
              <w:rPr>
                <w:rFonts w:hint="eastAsia"/>
                <w:color w:val="auto"/>
              </w:rPr>
            </w:pPr>
            <w:r>
              <w:rPr>
                <w:rFonts w:hint="eastAsia"/>
                <w:color w:val="auto"/>
              </w:rPr>
              <w:t>技改项目</w:t>
            </w:r>
          </w:p>
        </w:tc>
        <w:tc>
          <w:tcPr>
            <w:tcW w:w="932" w:type="dxa"/>
            <w:tcBorders>
              <w:left w:val="single" w:color="auto" w:sz="4" w:space="0"/>
            </w:tcBorders>
            <w:vAlign w:val="center"/>
          </w:tcPr>
          <w:p>
            <w:pPr>
              <w:pStyle w:val="31"/>
              <w:snapToGrid w:val="0"/>
              <w:spacing w:line="480" w:lineRule="exact"/>
              <w:ind w:right="-122"/>
              <w:rPr>
                <w:rFonts w:hint="eastAsia"/>
                <w:color w:val="auto"/>
              </w:rPr>
            </w:pPr>
            <w:r>
              <w:rPr>
                <w:rFonts w:hint="eastAsia"/>
                <w:color w:val="auto"/>
              </w:rPr>
              <w:t>原有工程</w:t>
            </w:r>
          </w:p>
        </w:tc>
        <w:tc>
          <w:tcPr>
            <w:tcW w:w="932" w:type="dxa"/>
            <w:tcBorders>
              <w:right w:val="single" w:color="auto" w:sz="4" w:space="0"/>
            </w:tcBorders>
            <w:vAlign w:val="center"/>
          </w:tcPr>
          <w:p>
            <w:pPr>
              <w:pStyle w:val="31"/>
              <w:snapToGrid w:val="0"/>
              <w:spacing w:line="480" w:lineRule="exact"/>
              <w:ind w:right="-122"/>
              <w:rPr>
                <w:rFonts w:hint="eastAsia"/>
                <w:color w:val="auto"/>
              </w:rPr>
            </w:pPr>
            <w:r>
              <w:rPr>
                <w:rFonts w:hint="eastAsia"/>
                <w:color w:val="auto"/>
              </w:rPr>
              <w:t>增减减量</w:t>
            </w:r>
          </w:p>
        </w:tc>
        <w:tc>
          <w:tcPr>
            <w:tcW w:w="759" w:type="dxa"/>
            <w:tcBorders>
              <w:left w:val="single" w:color="auto" w:sz="4" w:space="0"/>
              <w:right w:val="single" w:color="auto" w:sz="4" w:space="0"/>
            </w:tcBorders>
            <w:vAlign w:val="center"/>
          </w:tcPr>
          <w:p>
            <w:pPr>
              <w:pStyle w:val="31"/>
              <w:snapToGrid w:val="0"/>
              <w:spacing w:line="480" w:lineRule="exact"/>
              <w:ind w:right="-122"/>
              <w:rPr>
                <w:rFonts w:hint="eastAsia"/>
                <w:color w:val="auto"/>
              </w:rPr>
            </w:pPr>
            <w:r>
              <w:rPr>
                <w:rFonts w:hint="eastAsia"/>
                <w:color w:val="auto"/>
              </w:rPr>
              <w:t>增减率</w:t>
            </w:r>
          </w:p>
          <w:p>
            <w:pPr>
              <w:pStyle w:val="31"/>
              <w:snapToGrid w:val="0"/>
              <w:spacing w:line="480" w:lineRule="exact"/>
              <w:ind w:right="-122"/>
              <w:rPr>
                <w:rFonts w:hint="eastAsia"/>
                <w:color w:val="auto"/>
              </w:rPr>
            </w:pPr>
            <w:r>
              <w:rPr>
                <w:rFonts w:hint="eastAsia"/>
                <w:color w:val="auto"/>
              </w:rPr>
              <w:t>（%）</w:t>
            </w:r>
          </w:p>
        </w:tc>
        <w:tc>
          <w:tcPr>
            <w:tcW w:w="932" w:type="dxa"/>
            <w:tcBorders>
              <w:left w:val="single" w:color="auto" w:sz="4" w:space="0"/>
              <w:right w:val="single" w:color="auto" w:sz="4" w:space="0"/>
            </w:tcBorders>
            <w:vAlign w:val="center"/>
          </w:tcPr>
          <w:p>
            <w:pPr>
              <w:pStyle w:val="31"/>
              <w:snapToGrid w:val="0"/>
              <w:spacing w:line="480" w:lineRule="exact"/>
              <w:ind w:right="-122"/>
              <w:rPr>
                <w:rFonts w:hint="eastAsia"/>
                <w:color w:val="auto"/>
              </w:rPr>
            </w:pPr>
            <w:r>
              <w:rPr>
                <w:rFonts w:hint="eastAsia"/>
                <w:color w:val="auto"/>
              </w:rPr>
              <w:t>技改项目</w:t>
            </w:r>
          </w:p>
        </w:tc>
        <w:tc>
          <w:tcPr>
            <w:tcW w:w="932" w:type="dxa"/>
            <w:tcBorders>
              <w:left w:val="single" w:color="auto" w:sz="4" w:space="0"/>
              <w:right w:val="single" w:color="auto" w:sz="4" w:space="0"/>
            </w:tcBorders>
            <w:vAlign w:val="center"/>
          </w:tcPr>
          <w:p>
            <w:pPr>
              <w:pStyle w:val="31"/>
              <w:snapToGrid w:val="0"/>
              <w:spacing w:line="480" w:lineRule="exact"/>
              <w:ind w:right="-122"/>
              <w:rPr>
                <w:rFonts w:hint="eastAsia"/>
                <w:color w:val="auto"/>
              </w:rPr>
            </w:pPr>
            <w:r>
              <w:rPr>
                <w:rFonts w:hint="eastAsia"/>
                <w:color w:val="auto"/>
              </w:rPr>
              <w:t>原有工程</w:t>
            </w:r>
          </w:p>
        </w:tc>
        <w:tc>
          <w:tcPr>
            <w:tcW w:w="932" w:type="dxa"/>
            <w:tcBorders>
              <w:right w:val="single" w:color="auto" w:sz="4" w:space="0"/>
            </w:tcBorders>
            <w:vAlign w:val="center"/>
          </w:tcPr>
          <w:p>
            <w:pPr>
              <w:pStyle w:val="31"/>
              <w:snapToGrid w:val="0"/>
              <w:spacing w:line="480" w:lineRule="exact"/>
              <w:ind w:right="-122"/>
              <w:rPr>
                <w:rFonts w:hint="eastAsia"/>
                <w:color w:val="auto"/>
              </w:rPr>
            </w:pPr>
            <w:r>
              <w:rPr>
                <w:rFonts w:hint="eastAsia"/>
                <w:color w:val="auto"/>
              </w:rPr>
              <w:t>增减减量</w:t>
            </w:r>
          </w:p>
        </w:tc>
        <w:tc>
          <w:tcPr>
            <w:tcW w:w="759" w:type="dxa"/>
            <w:tcBorders>
              <w:left w:val="single" w:color="auto" w:sz="4" w:space="0"/>
              <w:right w:val="single" w:color="auto" w:sz="4" w:space="0"/>
            </w:tcBorders>
            <w:vAlign w:val="center"/>
          </w:tcPr>
          <w:p>
            <w:pPr>
              <w:pStyle w:val="31"/>
              <w:snapToGrid w:val="0"/>
              <w:spacing w:line="480" w:lineRule="exact"/>
              <w:ind w:right="-122"/>
              <w:rPr>
                <w:rFonts w:hint="eastAsia"/>
                <w:color w:val="auto"/>
              </w:rPr>
            </w:pPr>
            <w:r>
              <w:rPr>
                <w:rFonts w:hint="eastAsia"/>
                <w:color w:val="auto"/>
              </w:rPr>
              <w:t>增减率</w:t>
            </w:r>
          </w:p>
          <w:p>
            <w:pPr>
              <w:pStyle w:val="31"/>
              <w:snapToGrid w:val="0"/>
              <w:spacing w:line="480" w:lineRule="exact"/>
              <w:ind w:right="-122"/>
              <w:rPr>
                <w:rFonts w:hint="eastAsia"/>
                <w:color w:val="auto"/>
              </w:rPr>
            </w:pPr>
            <w:r>
              <w:rPr>
                <w:rFonts w:hint="eastAsia"/>
                <w:color w:val="auto"/>
              </w:rPr>
              <w:t>（%）</w:t>
            </w:r>
          </w:p>
        </w:tc>
        <w:tc>
          <w:tcPr>
            <w:tcW w:w="932" w:type="dxa"/>
            <w:tcBorders>
              <w:right w:val="single" w:color="auto" w:sz="4" w:space="0"/>
            </w:tcBorders>
            <w:vAlign w:val="center"/>
          </w:tcPr>
          <w:p>
            <w:pPr>
              <w:pStyle w:val="31"/>
              <w:snapToGrid w:val="0"/>
              <w:spacing w:line="480" w:lineRule="exact"/>
              <w:ind w:right="-122"/>
              <w:rPr>
                <w:rFonts w:hint="eastAsia"/>
                <w:color w:val="auto"/>
              </w:rPr>
            </w:pPr>
            <w:r>
              <w:rPr>
                <w:rFonts w:hint="eastAsia"/>
                <w:color w:val="auto"/>
              </w:rPr>
              <w:t>技改项目</w:t>
            </w:r>
          </w:p>
        </w:tc>
        <w:tc>
          <w:tcPr>
            <w:tcW w:w="932" w:type="dxa"/>
            <w:tcBorders>
              <w:left w:val="single" w:color="auto" w:sz="4" w:space="0"/>
              <w:right w:val="single" w:color="auto" w:sz="4" w:space="0"/>
            </w:tcBorders>
            <w:vAlign w:val="center"/>
          </w:tcPr>
          <w:p>
            <w:pPr>
              <w:pStyle w:val="31"/>
              <w:snapToGrid w:val="0"/>
              <w:spacing w:line="480" w:lineRule="exact"/>
              <w:ind w:right="-122"/>
              <w:rPr>
                <w:rFonts w:hint="eastAsia"/>
                <w:color w:val="auto"/>
              </w:rPr>
            </w:pPr>
            <w:r>
              <w:rPr>
                <w:rFonts w:hint="eastAsia"/>
                <w:color w:val="auto"/>
              </w:rPr>
              <w:t>原有工程</w:t>
            </w:r>
          </w:p>
        </w:tc>
        <w:tc>
          <w:tcPr>
            <w:tcW w:w="932" w:type="dxa"/>
            <w:tcBorders>
              <w:left w:val="single" w:color="auto" w:sz="4" w:space="0"/>
              <w:right w:val="single" w:color="auto" w:sz="4" w:space="0"/>
            </w:tcBorders>
            <w:vAlign w:val="center"/>
          </w:tcPr>
          <w:p>
            <w:pPr>
              <w:pStyle w:val="31"/>
              <w:snapToGrid w:val="0"/>
              <w:spacing w:line="480" w:lineRule="exact"/>
              <w:ind w:right="-122"/>
              <w:rPr>
                <w:rFonts w:hint="eastAsia"/>
                <w:color w:val="auto"/>
              </w:rPr>
            </w:pPr>
            <w:r>
              <w:rPr>
                <w:rFonts w:hint="eastAsia"/>
                <w:color w:val="auto"/>
              </w:rPr>
              <w:t>增减减量</w:t>
            </w:r>
          </w:p>
        </w:tc>
        <w:tc>
          <w:tcPr>
            <w:tcW w:w="794" w:type="dxa"/>
            <w:tcBorders>
              <w:left w:val="single" w:color="auto" w:sz="4" w:space="0"/>
              <w:right w:val="single" w:color="auto" w:sz="4" w:space="0"/>
            </w:tcBorders>
            <w:vAlign w:val="center"/>
          </w:tcPr>
          <w:p>
            <w:pPr>
              <w:pStyle w:val="31"/>
              <w:snapToGrid w:val="0"/>
              <w:spacing w:line="480" w:lineRule="exact"/>
              <w:ind w:right="-122"/>
              <w:rPr>
                <w:rFonts w:hint="eastAsia"/>
                <w:color w:val="auto"/>
              </w:rPr>
            </w:pPr>
            <w:r>
              <w:rPr>
                <w:rFonts w:hint="eastAsia"/>
                <w:color w:val="auto"/>
              </w:rPr>
              <w:t>增减率</w:t>
            </w:r>
          </w:p>
          <w:p>
            <w:pPr>
              <w:pStyle w:val="31"/>
              <w:snapToGrid w:val="0"/>
              <w:spacing w:line="480" w:lineRule="exact"/>
              <w:ind w:right="-122"/>
              <w:rPr>
                <w:rFonts w:hint="eastAsia"/>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7" w:hRule="atLeast"/>
          <w:jc w:val="center"/>
        </w:trPr>
        <w:tc>
          <w:tcPr>
            <w:tcW w:w="2106" w:type="dxa"/>
            <w:shd w:val="clear" w:color="auto" w:fill="auto"/>
            <w:vAlign w:val="center"/>
          </w:tcPr>
          <w:p>
            <w:pPr>
              <w:spacing w:line="480" w:lineRule="exact"/>
              <w:jc w:val="center"/>
              <w:rPr>
                <w:sz w:val="21"/>
                <w:szCs w:val="21"/>
              </w:rPr>
            </w:pPr>
            <w:r>
              <w:rPr>
                <w:sz w:val="21"/>
                <w:szCs w:val="21"/>
              </w:rPr>
              <w:t>大路镇</w:t>
            </w:r>
          </w:p>
        </w:tc>
        <w:tc>
          <w:tcPr>
            <w:tcW w:w="932" w:type="dxa"/>
            <w:tcBorders>
              <w:right w:val="single" w:color="auto" w:sz="4" w:space="0"/>
            </w:tcBorders>
            <w:shd w:val="clear" w:color="auto" w:fill="F3F3F3"/>
            <w:vAlign w:val="center"/>
          </w:tcPr>
          <w:p>
            <w:pPr>
              <w:jc w:val="center"/>
              <w:rPr>
                <w:rFonts w:ascii="宋体" w:hAnsi="宋体" w:cs="宋体"/>
                <w:sz w:val="21"/>
                <w:szCs w:val="21"/>
              </w:rPr>
            </w:pPr>
            <w:r>
              <w:rPr>
                <w:rFonts w:hint="eastAsia"/>
                <w:sz w:val="21"/>
                <w:szCs w:val="21"/>
              </w:rPr>
              <w:t>0.39</w:t>
            </w:r>
          </w:p>
        </w:tc>
        <w:tc>
          <w:tcPr>
            <w:tcW w:w="932" w:type="dxa"/>
            <w:tcBorders>
              <w:left w:val="single" w:color="auto" w:sz="4" w:space="0"/>
            </w:tcBorders>
            <w:shd w:val="clear" w:color="auto" w:fill="F3F3F3"/>
            <w:vAlign w:val="center"/>
          </w:tcPr>
          <w:p>
            <w:pPr>
              <w:jc w:val="center"/>
              <w:rPr>
                <w:rFonts w:ascii="宋体" w:hAnsi="宋体" w:cs="宋体"/>
                <w:sz w:val="21"/>
                <w:szCs w:val="21"/>
              </w:rPr>
            </w:pPr>
            <w:r>
              <w:rPr>
                <w:rFonts w:hint="eastAsia"/>
                <w:sz w:val="21"/>
                <w:szCs w:val="21"/>
              </w:rPr>
              <w:t>0.62</w:t>
            </w:r>
          </w:p>
        </w:tc>
        <w:tc>
          <w:tcPr>
            <w:tcW w:w="932" w:type="dxa"/>
            <w:tcBorders>
              <w:right w:val="single" w:color="auto" w:sz="4" w:space="0"/>
            </w:tcBorders>
            <w:shd w:val="clear" w:color="auto" w:fill="F3F3F3"/>
            <w:vAlign w:val="center"/>
          </w:tcPr>
          <w:p>
            <w:pPr>
              <w:jc w:val="right"/>
              <w:rPr>
                <w:rFonts w:ascii="宋体" w:hAnsi="宋体" w:cs="宋体"/>
                <w:sz w:val="21"/>
                <w:szCs w:val="21"/>
              </w:rPr>
            </w:pPr>
            <w:r>
              <w:rPr>
                <w:rFonts w:hint="eastAsia"/>
                <w:sz w:val="21"/>
                <w:szCs w:val="21"/>
              </w:rPr>
              <w:t>-0.23</w:t>
            </w:r>
          </w:p>
        </w:tc>
        <w:tc>
          <w:tcPr>
            <w:tcW w:w="759" w:type="dxa"/>
            <w:tcBorders>
              <w:left w:val="single" w:color="auto" w:sz="4" w:space="0"/>
              <w:right w:val="single" w:color="auto" w:sz="4" w:space="0"/>
            </w:tcBorders>
            <w:shd w:val="clear" w:color="auto" w:fill="F3F3F3"/>
            <w:vAlign w:val="center"/>
          </w:tcPr>
          <w:p>
            <w:pPr>
              <w:jc w:val="right"/>
              <w:rPr>
                <w:rFonts w:ascii="宋体" w:hAnsi="宋体" w:cs="宋体"/>
                <w:sz w:val="21"/>
                <w:szCs w:val="21"/>
              </w:rPr>
            </w:pPr>
            <w:r>
              <w:rPr>
                <w:rFonts w:hint="eastAsia"/>
                <w:sz w:val="21"/>
                <w:szCs w:val="21"/>
              </w:rPr>
              <w:t xml:space="preserve">-37.10 </w:t>
            </w:r>
          </w:p>
        </w:tc>
        <w:tc>
          <w:tcPr>
            <w:tcW w:w="932" w:type="dxa"/>
            <w:tcBorders>
              <w:left w:val="single" w:color="auto" w:sz="4" w:space="0"/>
              <w:right w:val="single" w:color="auto" w:sz="4" w:space="0"/>
            </w:tcBorders>
            <w:shd w:val="clear" w:color="auto" w:fill="F3F3F3"/>
            <w:vAlign w:val="center"/>
          </w:tcPr>
          <w:p>
            <w:pPr>
              <w:jc w:val="center"/>
              <w:rPr>
                <w:rFonts w:ascii="宋体" w:hAnsi="宋体" w:cs="宋体"/>
                <w:sz w:val="21"/>
                <w:szCs w:val="21"/>
              </w:rPr>
            </w:pPr>
            <w:r>
              <w:rPr>
                <w:rFonts w:hint="eastAsia"/>
                <w:sz w:val="21"/>
                <w:szCs w:val="21"/>
              </w:rPr>
              <w:t>0.33</w:t>
            </w:r>
          </w:p>
        </w:tc>
        <w:tc>
          <w:tcPr>
            <w:tcW w:w="932" w:type="dxa"/>
            <w:tcBorders>
              <w:left w:val="single" w:color="auto" w:sz="4" w:space="0"/>
            </w:tcBorders>
            <w:shd w:val="clear" w:color="auto" w:fill="F3F3F3"/>
            <w:vAlign w:val="center"/>
          </w:tcPr>
          <w:p>
            <w:pPr>
              <w:jc w:val="center"/>
              <w:rPr>
                <w:rFonts w:ascii="宋体" w:hAnsi="宋体" w:cs="宋体"/>
                <w:sz w:val="21"/>
                <w:szCs w:val="21"/>
              </w:rPr>
            </w:pPr>
            <w:r>
              <w:rPr>
                <w:rFonts w:hint="eastAsia"/>
                <w:sz w:val="21"/>
                <w:szCs w:val="21"/>
              </w:rPr>
              <w:t>0.96</w:t>
            </w:r>
          </w:p>
        </w:tc>
        <w:tc>
          <w:tcPr>
            <w:tcW w:w="932" w:type="dxa"/>
            <w:tcBorders>
              <w:right w:val="single" w:color="auto" w:sz="4" w:space="0"/>
            </w:tcBorders>
            <w:shd w:val="clear" w:color="auto" w:fill="F3F3F3"/>
            <w:vAlign w:val="center"/>
          </w:tcPr>
          <w:p>
            <w:pPr>
              <w:jc w:val="right"/>
              <w:rPr>
                <w:rFonts w:ascii="宋体" w:hAnsi="宋体" w:cs="宋体"/>
                <w:sz w:val="21"/>
                <w:szCs w:val="21"/>
              </w:rPr>
            </w:pPr>
            <w:r>
              <w:rPr>
                <w:rFonts w:hint="eastAsia"/>
                <w:sz w:val="21"/>
                <w:szCs w:val="21"/>
              </w:rPr>
              <w:t>-0.63</w:t>
            </w:r>
          </w:p>
        </w:tc>
        <w:tc>
          <w:tcPr>
            <w:tcW w:w="759" w:type="dxa"/>
            <w:tcBorders>
              <w:left w:val="single" w:color="auto" w:sz="4" w:space="0"/>
            </w:tcBorders>
            <w:shd w:val="clear" w:color="auto" w:fill="F3F3F3"/>
            <w:vAlign w:val="center"/>
          </w:tcPr>
          <w:p>
            <w:pPr>
              <w:jc w:val="right"/>
              <w:rPr>
                <w:rFonts w:ascii="宋体" w:hAnsi="宋体" w:cs="宋体"/>
                <w:sz w:val="21"/>
                <w:szCs w:val="21"/>
              </w:rPr>
            </w:pPr>
            <w:r>
              <w:rPr>
                <w:rFonts w:hint="eastAsia"/>
                <w:sz w:val="21"/>
                <w:szCs w:val="21"/>
              </w:rPr>
              <w:t xml:space="preserve">-65.63 </w:t>
            </w:r>
          </w:p>
        </w:tc>
        <w:tc>
          <w:tcPr>
            <w:tcW w:w="932" w:type="dxa"/>
            <w:tcBorders>
              <w:right w:val="single" w:color="auto" w:sz="4" w:space="0"/>
            </w:tcBorders>
            <w:shd w:val="clear" w:color="auto" w:fill="F3F3F3"/>
            <w:vAlign w:val="center"/>
          </w:tcPr>
          <w:p>
            <w:pPr>
              <w:jc w:val="center"/>
              <w:rPr>
                <w:rFonts w:ascii="宋体" w:hAnsi="宋体" w:cs="宋体"/>
                <w:sz w:val="21"/>
                <w:szCs w:val="21"/>
              </w:rPr>
            </w:pPr>
            <w:r>
              <w:rPr>
                <w:rFonts w:hint="eastAsia"/>
                <w:sz w:val="21"/>
                <w:szCs w:val="21"/>
              </w:rPr>
              <w:t>2.26</w:t>
            </w:r>
          </w:p>
        </w:tc>
        <w:tc>
          <w:tcPr>
            <w:tcW w:w="932" w:type="dxa"/>
            <w:tcBorders>
              <w:left w:val="single" w:color="auto" w:sz="4" w:space="0"/>
              <w:right w:val="single" w:color="auto" w:sz="4" w:space="0"/>
            </w:tcBorders>
            <w:shd w:val="clear" w:color="auto" w:fill="F3F3F3"/>
            <w:vAlign w:val="center"/>
          </w:tcPr>
          <w:p>
            <w:pPr>
              <w:jc w:val="center"/>
              <w:rPr>
                <w:rFonts w:ascii="宋体" w:hAnsi="宋体" w:cs="宋体"/>
                <w:sz w:val="21"/>
                <w:szCs w:val="21"/>
              </w:rPr>
            </w:pPr>
            <w:r>
              <w:rPr>
                <w:rFonts w:hint="eastAsia"/>
                <w:sz w:val="21"/>
                <w:szCs w:val="21"/>
              </w:rPr>
              <w:t>0.82</w:t>
            </w:r>
          </w:p>
        </w:tc>
        <w:tc>
          <w:tcPr>
            <w:tcW w:w="932" w:type="dxa"/>
            <w:tcBorders>
              <w:left w:val="single" w:color="auto" w:sz="4" w:space="0"/>
              <w:right w:val="single" w:color="auto" w:sz="4" w:space="0"/>
            </w:tcBorders>
            <w:shd w:val="clear" w:color="auto" w:fill="F3F3F3"/>
            <w:vAlign w:val="center"/>
          </w:tcPr>
          <w:p>
            <w:pPr>
              <w:jc w:val="right"/>
              <w:rPr>
                <w:rFonts w:ascii="宋体" w:hAnsi="宋体" w:cs="宋体"/>
                <w:sz w:val="21"/>
                <w:szCs w:val="21"/>
              </w:rPr>
            </w:pPr>
            <w:r>
              <w:rPr>
                <w:rFonts w:hint="eastAsia"/>
                <w:sz w:val="21"/>
                <w:szCs w:val="21"/>
              </w:rPr>
              <w:t>1.44</w:t>
            </w:r>
          </w:p>
        </w:tc>
        <w:tc>
          <w:tcPr>
            <w:tcW w:w="794" w:type="dxa"/>
            <w:tcBorders>
              <w:left w:val="single" w:color="auto" w:sz="4" w:space="0"/>
            </w:tcBorders>
            <w:shd w:val="clear" w:color="auto" w:fill="F3F3F3"/>
            <w:vAlign w:val="center"/>
          </w:tcPr>
          <w:p>
            <w:pPr>
              <w:jc w:val="right"/>
              <w:rPr>
                <w:rFonts w:ascii="宋体" w:hAnsi="宋体" w:cs="宋体"/>
                <w:sz w:val="21"/>
                <w:szCs w:val="21"/>
              </w:rPr>
            </w:pPr>
            <w:r>
              <w:rPr>
                <w:rFonts w:hint="eastAsia"/>
                <w:sz w:val="21"/>
                <w:szCs w:val="21"/>
              </w:rPr>
              <w:t xml:space="preserve">175.61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2106" w:type="dxa"/>
            <w:vAlign w:val="center"/>
          </w:tcPr>
          <w:p>
            <w:pPr>
              <w:spacing w:line="480" w:lineRule="exact"/>
              <w:jc w:val="center"/>
              <w:rPr>
                <w:sz w:val="21"/>
                <w:szCs w:val="21"/>
              </w:rPr>
            </w:pPr>
            <w:r>
              <w:rPr>
                <w:rFonts w:hAnsi="宋体"/>
                <w:sz w:val="21"/>
                <w:szCs w:val="21"/>
              </w:rPr>
              <w:t>六塘镇</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0.72</w:t>
            </w:r>
          </w:p>
        </w:tc>
        <w:tc>
          <w:tcPr>
            <w:tcW w:w="932" w:type="dxa"/>
            <w:tcBorders>
              <w:left w:val="single" w:color="auto" w:sz="4" w:space="0"/>
            </w:tcBorders>
            <w:vAlign w:val="center"/>
          </w:tcPr>
          <w:p>
            <w:pPr>
              <w:jc w:val="center"/>
              <w:rPr>
                <w:rFonts w:ascii="宋体" w:hAnsi="宋体" w:cs="宋体"/>
                <w:sz w:val="21"/>
                <w:szCs w:val="21"/>
              </w:rPr>
            </w:pPr>
            <w:r>
              <w:rPr>
                <w:rFonts w:hint="eastAsia"/>
                <w:sz w:val="21"/>
                <w:szCs w:val="21"/>
              </w:rPr>
              <w:t>1.37</w:t>
            </w:r>
          </w:p>
        </w:tc>
        <w:tc>
          <w:tcPr>
            <w:tcW w:w="932" w:type="dxa"/>
            <w:tcBorders>
              <w:right w:val="single" w:color="auto" w:sz="4" w:space="0"/>
            </w:tcBorders>
            <w:vAlign w:val="center"/>
          </w:tcPr>
          <w:p>
            <w:pPr>
              <w:jc w:val="right"/>
              <w:rPr>
                <w:rFonts w:ascii="宋体" w:hAnsi="宋体" w:cs="宋体"/>
                <w:sz w:val="21"/>
                <w:szCs w:val="21"/>
              </w:rPr>
            </w:pPr>
            <w:r>
              <w:rPr>
                <w:rFonts w:hint="eastAsia"/>
                <w:sz w:val="21"/>
                <w:szCs w:val="21"/>
              </w:rPr>
              <w:t>-0.65</w:t>
            </w:r>
          </w:p>
        </w:tc>
        <w:tc>
          <w:tcPr>
            <w:tcW w:w="759" w:type="dxa"/>
            <w:tcBorders>
              <w:left w:val="single" w:color="auto" w:sz="4" w:space="0"/>
              <w:right w:val="single" w:color="auto" w:sz="4" w:space="0"/>
            </w:tcBorders>
            <w:vAlign w:val="center"/>
          </w:tcPr>
          <w:p>
            <w:pPr>
              <w:jc w:val="right"/>
              <w:rPr>
                <w:rFonts w:ascii="宋体" w:hAnsi="宋体" w:cs="宋体"/>
                <w:sz w:val="21"/>
                <w:szCs w:val="21"/>
              </w:rPr>
            </w:pPr>
            <w:r>
              <w:rPr>
                <w:rFonts w:hint="eastAsia"/>
                <w:sz w:val="21"/>
                <w:szCs w:val="21"/>
              </w:rPr>
              <w:t xml:space="preserve">-47.45 </w:t>
            </w:r>
          </w:p>
        </w:tc>
        <w:tc>
          <w:tcPr>
            <w:tcW w:w="932" w:type="dxa"/>
            <w:tcBorders>
              <w:left w:val="single" w:color="auto" w:sz="4" w:space="0"/>
              <w:right w:val="single" w:color="auto" w:sz="4" w:space="0"/>
            </w:tcBorders>
            <w:vAlign w:val="center"/>
          </w:tcPr>
          <w:p>
            <w:pPr>
              <w:jc w:val="center"/>
              <w:rPr>
                <w:rFonts w:ascii="宋体" w:hAnsi="宋体" w:cs="宋体"/>
                <w:sz w:val="21"/>
                <w:szCs w:val="21"/>
              </w:rPr>
            </w:pPr>
            <w:r>
              <w:rPr>
                <w:rFonts w:hint="eastAsia"/>
                <w:sz w:val="21"/>
                <w:szCs w:val="21"/>
              </w:rPr>
              <w:t>0.80</w:t>
            </w:r>
          </w:p>
        </w:tc>
        <w:tc>
          <w:tcPr>
            <w:tcW w:w="932" w:type="dxa"/>
            <w:tcBorders>
              <w:left w:val="single" w:color="auto" w:sz="4" w:space="0"/>
            </w:tcBorders>
            <w:vAlign w:val="center"/>
          </w:tcPr>
          <w:p>
            <w:pPr>
              <w:jc w:val="center"/>
              <w:rPr>
                <w:rFonts w:ascii="宋体" w:hAnsi="宋体" w:cs="宋体"/>
                <w:sz w:val="21"/>
                <w:szCs w:val="21"/>
              </w:rPr>
            </w:pPr>
            <w:r>
              <w:rPr>
                <w:rFonts w:hint="eastAsia"/>
                <w:sz w:val="21"/>
                <w:szCs w:val="21"/>
              </w:rPr>
              <w:t>2.09</w:t>
            </w:r>
          </w:p>
        </w:tc>
        <w:tc>
          <w:tcPr>
            <w:tcW w:w="932" w:type="dxa"/>
            <w:tcBorders>
              <w:right w:val="single" w:color="auto" w:sz="4" w:space="0"/>
            </w:tcBorders>
            <w:vAlign w:val="center"/>
          </w:tcPr>
          <w:p>
            <w:pPr>
              <w:jc w:val="right"/>
              <w:rPr>
                <w:rFonts w:ascii="宋体" w:hAnsi="宋体" w:cs="宋体"/>
                <w:sz w:val="21"/>
                <w:szCs w:val="21"/>
              </w:rPr>
            </w:pPr>
            <w:r>
              <w:rPr>
                <w:rFonts w:hint="eastAsia"/>
                <w:sz w:val="21"/>
                <w:szCs w:val="21"/>
              </w:rPr>
              <w:t>-1.29</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-61.72 </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5.39</w:t>
            </w:r>
          </w:p>
        </w:tc>
        <w:tc>
          <w:tcPr>
            <w:tcW w:w="932" w:type="dxa"/>
            <w:tcBorders>
              <w:left w:val="single" w:color="auto" w:sz="4" w:space="0"/>
              <w:right w:val="single" w:color="auto" w:sz="4" w:space="0"/>
            </w:tcBorders>
            <w:vAlign w:val="center"/>
          </w:tcPr>
          <w:p>
            <w:pPr>
              <w:jc w:val="center"/>
              <w:rPr>
                <w:rFonts w:ascii="宋体" w:hAnsi="宋体" w:cs="宋体"/>
                <w:sz w:val="21"/>
                <w:szCs w:val="21"/>
              </w:rPr>
            </w:pPr>
            <w:r>
              <w:rPr>
                <w:rFonts w:hint="eastAsia"/>
                <w:sz w:val="21"/>
                <w:szCs w:val="21"/>
              </w:rPr>
              <w:t>1.78</w:t>
            </w:r>
          </w:p>
        </w:tc>
        <w:tc>
          <w:tcPr>
            <w:tcW w:w="932" w:type="dxa"/>
            <w:tcBorders>
              <w:left w:val="single" w:color="auto" w:sz="4" w:space="0"/>
              <w:right w:val="single" w:color="auto" w:sz="4" w:space="0"/>
            </w:tcBorders>
            <w:vAlign w:val="center"/>
          </w:tcPr>
          <w:p>
            <w:pPr>
              <w:jc w:val="right"/>
              <w:rPr>
                <w:rFonts w:ascii="宋体" w:hAnsi="宋体" w:cs="宋体"/>
                <w:sz w:val="21"/>
                <w:szCs w:val="21"/>
              </w:rPr>
            </w:pPr>
            <w:r>
              <w:rPr>
                <w:rFonts w:hint="eastAsia"/>
                <w:sz w:val="21"/>
                <w:szCs w:val="21"/>
              </w:rPr>
              <w:t>3.61</w:t>
            </w:r>
          </w:p>
        </w:tc>
        <w:tc>
          <w:tcPr>
            <w:tcW w:w="794"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202.81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8" w:hRule="atLeast"/>
          <w:jc w:val="center"/>
        </w:trPr>
        <w:tc>
          <w:tcPr>
            <w:tcW w:w="2106" w:type="dxa"/>
            <w:vAlign w:val="center"/>
          </w:tcPr>
          <w:p>
            <w:pPr>
              <w:spacing w:line="480" w:lineRule="exact"/>
              <w:jc w:val="center"/>
              <w:rPr>
                <w:sz w:val="21"/>
                <w:szCs w:val="21"/>
              </w:rPr>
            </w:pPr>
            <w:r>
              <w:rPr>
                <w:rFonts w:hAnsi="宋体"/>
                <w:sz w:val="21"/>
                <w:szCs w:val="21"/>
              </w:rPr>
              <w:t>接龙镇</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0.73</w:t>
            </w:r>
          </w:p>
        </w:tc>
        <w:tc>
          <w:tcPr>
            <w:tcW w:w="932" w:type="dxa"/>
            <w:tcBorders>
              <w:left w:val="single" w:color="auto" w:sz="4" w:space="0"/>
            </w:tcBorders>
            <w:vAlign w:val="center"/>
          </w:tcPr>
          <w:p>
            <w:pPr>
              <w:jc w:val="center"/>
              <w:rPr>
                <w:rFonts w:ascii="宋体" w:hAnsi="宋体" w:cs="宋体"/>
                <w:sz w:val="21"/>
                <w:szCs w:val="21"/>
              </w:rPr>
            </w:pPr>
            <w:r>
              <w:rPr>
                <w:rFonts w:hint="eastAsia"/>
                <w:sz w:val="21"/>
                <w:szCs w:val="21"/>
              </w:rPr>
              <w:t>1.55</w:t>
            </w:r>
          </w:p>
        </w:tc>
        <w:tc>
          <w:tcPr>
            <w:tcW w:w="932" w:type="dxa"/>
            <w:tcBorders>
              <w:right w:val="single" w:color="auto" w:sz="4" w:space="0"/>
            </w:tcBorders>
            <w:vAlign w:val="center"/>
          </w:tcPr>
          <w:p>
            <w:pPr>
              <w:jc w:val="right"/>
              <w:rPr>
                <w:rFonts w:ascii="宋体" w:hAnsi="宋体" w:cs="宋体"/>
                <w:sz w:val="21"/>
                <w:szCs w:val="21"/>
              </w:rPr>
            </w:pPr>
            <w:r>
              <w:rPr>
                <w:rFonts w:hint="eastAsia"/>
                <w:sz w:val="21"/>
                <w:szCs w:val="21"/>
              </w:rPr>
              <w:t>-0.82</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-52.90 </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1.22</w:t>
            </w:r>
          </w:p>
        </w:tc>
        <w:tc>
          <w:tcPr>
            <w:tcW w:w="932" w:type="dxa"/>
            <w:tcBorders>
              <w:left w:val="single" w:color="auto" w:sz="4" w:space="0"/>
            </w:tcBorders>
            <w:vAlign w:val="center"/>
          </w:tcPr>
          <w:p>
            <w:pPr>
              <w:jc w:val="center"/>
              <w:rPr>
                <w:rFonts w:ascii="宋体" w:hAnsi="宋体" w:cs="宋体"/>
                <w:sz w:val="21"/>
                <w:szCs w:val="21"/>
              </w:rPr>
            </w:pPr>
            <w:r>
              <w:rPr>
                <w:rFonts w:hint="eastAsia"/>
                <w:sz w:val="21"/>
                <w:szCs w:val="21"/>
              </w:rPr>
              <w:t>2.36</w:t>
            </w:r>
          </w:p>
        </w:tc>
        <w:tc>
          <w:tcPr>
            <w:tcW w:w="932" w:type="dxa"/>
            <w:tcBorders>
              <w:right w:val="single" w:color="auto" w:sz="4" w:space="0"/>
            </w:tcBorders>
            <w:vAlign w:val="center"/>
          </w:tcPr>
          <w:p>
            <w:pPr>
              <w:jc w:val="right"/>
              <w:rPr>
                <w:rFonts w:ascii="宋体" w:hAnsi="宋体" w:cs="宋体"/>
                <w:sz w:val="21"/>
                <w:szCs w:val="21"/>
              </w:rPr>
            </w:pPr>
            <w:r>
              <w:rPr>
                <w:rFonts w:hint="eastAsia"/>
                <w:sz w:val="21"/>
                <w:szCs w:val="21"/>
              </w:rPr>
              <w:t>-1.14</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-48.31 </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8.24</w:t>
            </w:r>
          </w:p>
        </w:tc>
        <w:tc>
          <w:tcPr>
            <w:tcW w:w="932" w:type="dxa"/>
            <w:tcBorders>
              <w:left w:val="single" w:color="auto" w:sz="4" w:space="0"/>
              <w:right w:val="single" w:color="auto" w:sz="4" w:space="0"/>
            </w:tcBorders>
            <w:vAlign w:val="center"/>
          </w:tcPr>
          <w:p>
            <w:pPr>
              <w:jc w:val="center"/>
              <w:rPr>
                <w:rFonts w:ascii="宋体" w:hAnsi="宋体" w:cs="宋体"/>
                <w:sz w:val="21"/>
                <w:szCs w:val="21"/>
              </w:rPr>
            </w:pPr>
            <w:r>
              <w:rPr>
                <w:rFonts w:hint="eastAsia"/>
                <w:sz w:val="21"/>
                <w:szCs w:val="21"/>
              </w:rPr>
              <w:t>1.99</w:t>
            </w:r>
          </w:p>
        </w:tc>
        <w:tc>
          <w:tcPr>
            <w:tcW w:w="932" w:type="dxa"/>
            <w:tcBorders>
              <w:left w:val="single" w:color="auto" w:sz="4" w:space="0"/>
              <w:right w:val="single" w:color="auto" w:sz="4" w:space="0"/>
            </w:tcBorders>
            <w:vAlign w:val="center"/>
          </w:tcPr>
          <w:p>
            <w:pPr>
              <w:jc w:val="right"/>
              <w:rPr>
                <w:rFonts w:ascii="宋体" w:hAnsi="宋体" w:cs="宋体"/>
                <w:sz w:val="21"/>
                <w:szCs w:val="21"/>
              </w:rPr>
            </w:pPr>
            <w:r>
              <w:rPr>
                <w:rFonts w:hint="eastAsia"/>
                <w:sz w:val="21"/>
                <w:szCs w:val="21"/>
              </w:rPr>
              <w:t>6.25</w:t>
            </w:r>
          </w:p>
        </w:tc>
        <w:tc>
          <w:tcPr>
            <w:tcW w:w="794"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314.07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2" w:hRule="atLeast"/>
          <w:jc w:val="center"/>
        </w:trPr>
        <w:tc>
          <w:tcPr>
            <w:tcW w:w="2106" w:type="dxa"/>
            <w:shd w:val="clear" w:color="auto" w:fill="auto"/>
            <w:vAlign w:val="center"/>
          </w:tcPr>
          <w:p>
            <w:pPr>
              <w:spacing w:line="480" w:lineRule="exact"/>
              <w:jc w:val="center"/>
              <w:rPr>
                <w:sz w:val="21"/>
                <w:szCs w:val="21"/>
              </w:rPr>
            </w:pPr>
            <w:r>
              <w:rPr>
                <w:rFonts w:hAnsi="宋体"/>
                <w:sz w:val="21"/>
                <w:szCs w:val="21"/>
              </w:rPr>
              <w:t>福里树村</w:t>
            </w:r>
          </w:p>
        </w:tc>
        <w:tc>
          <w:tcPr>
            <w:tcW w:w="932" w:type="dxa"/>
            <w:tcBorders>
              <w:right w:val="single" w:color="auto" w:sz="4" w:space="0"/>
            </w:tcBorders>
            <w:shd w:val="clear" w:color="auto" w:fill="auto"/>
            <w:vAlign w:val="center"/>
          </w:tcPr>
          <w:p>
            <w:pPr>
              <w:jc w:val="center"/>
              <w:rPr>
                <w:rFonts w:ascii="宋体" w:hAnsi="宋体" w:cs="宋体"/>
                <w:sz w:val="21"/>
                <w:szCs w:val="21"/>
              </w:rPr>
            </w:pPr>
            <w:r>
              <w:rPr>
                <w:rFonts w:hint="eastAsia"/>
                <w:sz w:val="21"/>
                <w:szCs w:val="21"/>
              </w:rPr>
              <w:t>2.82</w:t>
            </w:r>
          </w:p>
        </w:tc>
        <w:tc>
          <w:tcPr>
            <w:tcW w:w="932" w:type="dxa"/>
            <w:tcBorders>
              <w:left w:val="single" w:color="auto" w:sz="4" w:space="0"/>
            </w:tcBorders>
            <w:shd w:val="clear" w:color="auto" w:fill="auto"/>
            <w:vAlign w:val="center"/>
          </w:tcPr>
          <w:p>
            <w:pPr>
              <w:jc w:val="center"/>
              <w:rPr>
                <w:rFonts w:ascii="宋体" w:hAnsi="宋体" w:cs="宋体"/>
                <w:sz w:val="21"/>
                <w:szCs w:val="21"/>
              </w:rPr>
            </w:pPr>
            <w:r>
              <w:rPr>
                <w:rFonts w:hint="eastAsia"/>
                <w:sz w:val="21"/>
                <w:szCs w:val="21"/>
              </w:rPr>
              <w:t>8.05</w:t>
            </w:r>
          </w:p>
        </w:tc>
        <w:tc>
          <w:tcPr>
            <w:tcW w:w="932" w:type="dxa"/>
            <w:tcBorders>
              <w:right w:val="single" w:color="auto" w:sz="4" w:space="0"/>
            </w:tcBorders>
            <w:shd w:val="clear" w:color="auto" w:fill="auto"/>
            <w:vAlign w:val="center"/>
          </w:tcPr>
          <w:p>
            <w:pPr>
              <w:jc w:val="right"/>
              <w:rPr>
                <w:rFonts w:ascii="宋体" w:hAnsi="宋体" w:cs="宋体"/>
                <w:sz w:val="21"/>
                <w:szCs w:val="21"/>
              </w:rPr>
            </w:pPr>
            <w:r>
              <w:rPr>
                <w:rFonts w:hint="eastAsia"/>
                <w:sz w:val="21"/>
                <w:szCs w:val="21"/>
              </w:rPr>
              <w:t>-5.23</w:t>
            </w:r>
          </w:p>
        </w:tc>
        <w:tc>
          <w:tcPr>
            <w:tcW w:w="759" w:type="dxa"/>
            <w:tcBorders>
              <w:left w:val="single" w:color="auto" w:sz="4" w:space="0"/>
            </w:tcBorders>
            <w:shd w:val="clear" w:color="auto" w:fill="auto"/>
            <w:vAlign w:val="center"/>
          </w:tcPr>
          <w:p>
            <w:pPr>
              <w:jc w:val="right"/>
              <w:rPr>
                <w:rFonts w:ascii="宋体" w:hAnsi="宋体" w:cs="宋体"/>
                <w:sz w:val="21"/>
                <w:szCs w:val="21"/>
              </w:rPr>
            </w:pPr>
            <w:r>
              <w:rPr>
                <w:rFonts w:hint="eastAsia"/>
                <w:sz w:val="21"/>
                <w:szCs w:val="21"/>
              </w:rPr>
              <w:t xml:space="preserve">-64.97 </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2.49</w:t>
            </w:r>
          </w:p>
        </w:tc>
        <w:tc>
          <w:tcPr>
            <w:tcW w:w="932" w:type="dxa"/>
            <w:tcBorders>
              <w:left w:val="single" w:color="auto" w:sz="4" w:space="0"/>
            </w:tcBorders>
            <w:vAlign w:val="center"/>
          </w:tcPr>
          <w:p>
            <w:pPr>
              <w:jc w:val="center"/>
              <w:rPr>
                <w:rFonts w:ascii="宋体" w:hAnsi="宋体" w:cs="宋体"/>
                <w:sz w:val="21"/>
                <w:szCs w:val="21"/>
              </w:rPr>
            </w:pPr>
            <w:r>
              <w:rPr>
                <w:rFonts w:hint="eastAsia"/>
                <w:sz w:val="21"/>
                <w:szCs w:val="21"/>
              </w:rPr>
              <w:t>12.03</w:t>
            </w:r>
          </w:p>
        </w:tc>
        <w:tc>
          <w:tcPr>
            <w:tcW w:w="932" w:type="dxa"/>
            <w:tcBorders>
              <w:right w:val="single" w:color="auto" w:sz="4" w:space="0"/>
            </w:tcBorders>
            <w:vAlign w:val="center"/>
          </w:tcPr>
          <w:p>
            <w:pPr>
              <w:jc w:val="right"/>
              <w:rPr>
                <w:rFonts w:ascii="宋体" w:hAnsi="宋体" w:cs="宋体"/>
                <w:sz w:val="21"/>
                <w:szCs w:val="21"/>
              </w:rPr>
            </w:pPr>
            <w:r>
              <w:rPr>
                <w:rFonts w:hint="eastAsia"/>
                <w:sz w:val="21"/>
                <w:szCs w:val="21"/>
              </w:rPr>
              <w:t>-9.54</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-79.30 </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16.83</w:t>
            </w:r>
          </w:p>
        </w:tc>
        <w:tc>
          <w:tcPr>
            <w:tcW w:w="932" w:type="dxa"/>
            <w:tcBorders>
              <w:left w:val="single" w:color="auto" w:sz="4" w:space="0"/>
              <w:right w:val="single" w:color="auto" w:sz="4" w:space="0"/>
            </w:tcBorders>
            <w:vAlign w:val="center"/>
          </w:tcPr>
          <w:p>
            <w:pPr>
              <w:jc w:val="center"/>
              <w:rPr>
                <w:rFonts w:ascii="宋体" w:hAnsi="宋体" w:cs="宋体"/>
                <w:sz w:val="21"/>
                <w:szCs w:val="21"/>
              </w:rPr>
            </w:pPr>
            <w:r>
              <w:rPr>
                <w:rFonts w:hint="eastAsia"/>
                <w:sz w:val="21"/>
                <w:szCs w:val="21"/>
              </w:rPr>
              <w:t>10.23</w:t>
            </w:r>
          </w:p>
        </w:tc>
        <w:tc>
          <w:tcPr>
            <w:tcW w:w="932" w:type="dxa"/>
            <w:tcBorders>
              <w:left w:val="single" w:color="auto" w:sz="4" w:space="0"/>
              <w:right w:val="single" w:color="auto" w:sz="4" w:space="0"/>
            </w:tcBorders>
            <w:vAlign w:val="center"/>
          </w:tcPr>
          <w:p>
            <w:pPr>
              <w:jc w:val="right"/>
              <w:rPr>
                <w:rFonts w:ascii="宋体" w:hAnsi="宋体" w:cs="宋体"/>
                <w:sz w:val="21"/>
                <w:szCs w:val="21"/>
              </w:rPr>
            </w:pPr>
            <w:r>
              <w:rPr>
                <w:rFonts w:hint="eastAsia"/>
                <w:sz w:val="21"/>
                <w:szCs w:val="21"/>
              </w:rPr>
              <w:t>6.6</w:t>
            </w:r>
          </w:p>
        </w:tc>
        <w:tc>
          <w:tcPr>
            <w:tcW w:w="794"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64.52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2" w:hRule="atLeast"/>
          <w:jc w:val="center"/>
        </w:trPr>
        <w:tc>
          <w:tcPr>
            <w:tcW w:w="2106" w:type="dxa"/>
            <w:shd w:val="clear" w:color="auto" w:fill="auto"/>
            <w:vAlign w:val="center"/>
          </w:tcPr>
          <w:p>
            <w:pPr>
              <w:spacing w:line="480" w:lineRule="exact"/>
              <w:jc w:val="center"/>
              <w:rPr>
                <w:sz w:val="21"/>
                <w:szCs w:val="21"/>
              </w:rPr>
            </w:pPr>
            <w:r>
              <w:rPr>
                <w:rFonts w:hAnsi="宋体"/>
                <w:sz w:val="21"/>
                <w:szCs w:val="21"/>
              </w:rPr>
              <w:t>殷家老院子</w:t>
            </w:r>
          </w:p>
        </w:tc>
        <w:tc>
          <w:tcPr>
            <w:tcW w:w="932" w:type="dxa"/>
            <w:tcBorders>
              <w:right w:val="single" w:color="auto" w:sz="4" w:space="0"/>
            </w:tcBorders>
            <w:shd w:val="clear" w:color="auto" w:fill="auto"/>
            <w:vAlign w:val="center"/>
          </w:tcPr>
          <w:p>
            <w:pPr>
              <w:jc w:val="center"/>
              <w:rPr>
                <w:rFonts w:ascii="宋体" w:hAnsi="宋体" w:cs="宋体"/>
                <w:sz w:val="21"/>
                <w:szCs w:val="21"/>
              </w:rPr>
            </w:pPr>
            <w:r>
              <w:rPr>
                <w:rFonts w:hint="eastAsia"/>
                <w:sz w:val="21"/>
                <w:szCs w:val="21"/>
              </w:rPr>
              <w:t>1.67</w:t>
            </w:r>
          </w:p>
        </w:tc>
        <w:tc>
          <w:tcPr>
            <w:tcW w:w="932" w:type="dxa"/>
            <w:tcBorders>
              <w:left w:val="single" w:color="auto" w:sz="4" w:space="0"/>
            </w:tcBorders>
            <w:shd w:val="clear" w:color="auto" w:fill="auto"/>
            <w:vAlign w:val="center"/>
          </w:tcPr>
          <w:p>
            <w:pPr>
              <w:jc w:val="center"/>
              <w:rPr>
                <w:rFonts w:ascii="宋体" w:hAnsi="宋体" w:cs="宋体"/>
                <w:sz w:val="21"/>
                <w:szCs w:val="21"/>
              </w:rPr>
            </w:pPr>
            <w:r>
              <w:rPr>
                <w:rFonts w:hint="eastAsia"/>
                <w:sz w:val="21"/>
                <w:szCs w:val="21"/>
              </w:rPr>
              <w:t>3.47</w:t>
            </w:r>
          </w:p>
        </w:tc>
        <w:tc>
          <w:tcPr>
            <w:tcW w:w="932" w:type="dxa"/>
            <w:tcBorders>
              <w:right w:val="single" w:color="auto" w:sz="4" w:space="0"/>
            </w:tcBorders>
            <w:shd w:val="clear" w:color="auto" w:fill="auto"/>
            <w:vAlign w:val="center"/>
          </w:tcPr>
          <w:p>
            <w:pPr>
              <w:jc w:val="right"/>
              <w:rPr>
                <w:rFonts w:ascii="宋体" w:hAnsi="宋体" w:cs="宋体"/>
                <w:sz w:val="21"/>
                <w:szCs w:val="21"/>
              </w:rPr>
            </w:pPr>
            <w:r>
              <w:rPr>
                <w:rFonts w:hint="eastAsia"/>
                <w:sz w:val="21"/>
                <w:szCs w:val="21"/>
              </w:rPr>
              <w:t>-1.8</w:t>
            </w:r>
          </w:p>
        </w:tc>
        <w:tc>
          <w:tcPr>
            <w:tcW w:w="759" w:type="dxa"/>
            <w:tcBorders>
              <w:left w:val="single" w:color="auto" w:sz="4" w:space="0"/>
            </w:tcBorders>
            <w:shd w:val="clear" w:color="auto" w:fill="auto"/>
            <w:vAlign w:val="center"/>
          </w:tcPr>
          <w:p>
            <w:pPr>
              <w:jc w:val="right"/>
              <w:rPr>
                <w:rFonts w:ascii="宋体" w:hAnsi="宋体" w:cs="宋体"/>
                <w:sz w:val="21"/>
                <w:szCs w:val="21"/>
              </w:rPr>
            </w:pPr>
            <w:r>
              <w:rPr>
                <w:rFonts w:hint="eastAsia"/>
                <w:sz w:val="21"/>
                <w:szCs w:val="21"/>
              </w:rPr>
              <w:t xml:space="preserve">-51.87 </w:t>
            </w:r>
          </w:p>
        </w:tc>
        <w:tc>
          <w:tcPr>
            <w:tcW w:w="932" w:type="dxa"/>
            <w:tcBorders>
              <w:right w:val="single" w:color="auto" w:sz="4" w:space="0"/>
            </w:tcBorders>
            <w:shd w:val="clear" w:color="auto" w:fill="auto"/>
            <w:vAlign w:val="center"/>
          </w:tcPr>
          <w:p>
            <w:pPr>
              <w:jc w:val="center"/>
              <w:rPr>
                <w:rFonts w:ascii="宋体" w:hAnsi="宋体" w:cs="宋体"/>
                <w:sz w:val="21"/>
                <w:szCs w:val="21"/>
              </w:rPr>
            </w:pPr>
            <w:r>
              <w:rPr>
                <w:rFonts w:hint="eastAsia"/>
                <w:sz w:val="21"/>
                <w:szCs w:val="21"/>
              </w:rPr>
              <w:t>1.76</w:t>
            </w:r>
          </w:p>
        </w:tc>
        <w:tc>
          <w:tcPr>
            <w:tcW w:w="932" w:type="dxa"/>
            <w:tcBorders>
              <w:left w:val="single" w:color="auto" w:sz="4" w:space="0"/>
            </w:tcBorders>
            <w:shd w:val="clear" w:color="auto" w:fill="auto"/>
            <w:vAlign w:val="center"/>
          </w:tcPr>
          <w:p>
            <w:pPr>
              <w:jc w:val="center"/>
              <w:rPr>
                <w:rFonts w:ascii="宋体" w:hAnsi="宋体" w:cs="宋体"/>
                <w:sz w:val="21"/>
                <w:szCs w:val="21"/>
              </w:rPr>
            </w:pPr>
            <w:r>
              <w:rPr>
                <w:rFonts w:hint="eastAsia"/>
                <w:sz w:val="21"/>
                <w:szCs w:val="21"/>
              </w:rPr>
              <w:t>5.61</w:t>
            </w:r>
          </w:p>
        </w:tc>
        <w:tc>
          <w:tcPr>
            <w:tcW w:w="932" w:type="dxa"/>
            <w:tcBorders>
              <w:right w:val="single" w:color="auto" w:sz="4" w:space="0"/>
            </w:tcBorders>
            <w:vAlign w:val="center"/>
          </w:tcPr>
          <w:p>
            <w:pPr>
              <w:jc w:val="right"/>
              <w:rPr>
                <w:rFonts w:ascii="宋体" w:hAnsi="宋体" w:cs="宋体"/>
                <w:sz w:val="21"/>
                <w:szCs w:val="21"/>
              </w:rPr>
            </w:pPr>
            <w:r>
              <w:rPr>
                <w:rFonts w:hint="eastAsia"/>
                <w:sz w:val="21"/>
                <w:szCs w:val="21"/>
              </w:rPr>
              <w:t>-3.85</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-68.63 </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11.87</w:t>
            </w:r>
          </w:p>
        </w:tc>
        <w:tc>
          <w:tcPr>
            <w:tcW w:w="932" w:type="dxa"/>
            <w:tcBorders>
              <w:left w:val="single" w:color="auto" w:sz="4" w:space="0"/>
              <w:right w:val="single" w:color="auto" w:sz="4" w:space="0"/>
            </w:tcBorders>
            <w:vAlign w:val="center"/>
          </w:tcPr>
          <w:p>
            <w:pPr>
              <w:jc w:val="center"/>
              <w:rPr>
                <w:rFonts w:ascii="宋体" w:hAnsi="宋体" w:cs="宋体"/>
                <w:sz w:val="21"/>
                <w:szCs w:val="21"/>
              </w:rPr>
            </w:pPr>
            <w:r>
              <w:rPr>
                <w:rFonts w:hint="eastAsia"/>
                <w:sz w:val="21"/>
                <w:szCs w:val="21"/>
              </w:rPr>
              <w:t>4.75</w:t>
            </w:r>
          </w:p>
        </w:tc>
        <w:tc>
          <w:tcPr>
            <w:tcW w:w="932" w:type="dxa"/>
            <w:tcBorders>
              <w:left w:val="single" w:color="auto" w:sz="4" w:space="0"/>
              <w:right w:val="single" w:color="auto" w:sz="4" w:space="0"/>
            </w:tcBorders>
            <w:vAlign w:val="center"/>
          </w:tcPr>
          <w:p>
            <w:pPr>
              <w:jc w:val="right"/>
              <w:rPr>
                <w:rFonts w:ascii="宋体" w:hAnsi="宋体" w:cs="宋体"/>
                <w:sz w:val="21"/>
                <w:szCs w:val="21"/>
              </w:rPr>
            </w:pPr>
            <w:r>
              <w:rPr>
                <w:rFonts w:hint="eastAsia"/>
                <w:sz w:val="21"/>
                <w:szCs w:val="21"/>
              </w:rPr>
              <w:t>7.12</w:t>
            </w:r>
          </w:p>
        </w:tc>
        <w:tc>
          <w:tcPr>
            <w:tcW w:w="794"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149.89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6" w:hRule="atLeast"/>
          <w:jc w:val="center"/>
        </w:trPr>
        <w:tc>
          <w:tcPr>
            <w:tcW w:w="2106" w:type="dxa"/>
            <w:vAlign w:val="center"/>
          </w:tcPr>
          <w:p>
            <w:pPr>
              <w:spacing w:line="480" w:lineRule="exact"/>
              <w:jc w:val="center"/>
              <w:rPr>
                <w:sz w:val="21"/>
                <w:szCs w:val="21"/>
              </w:rPr>
            </w:pPr>
            <w:r>
              <w:rPr>
                <w:rFonts w:hAnsi="宋体"/>
                <w:sz w:val="21"/>
                <w:szCs w:val="21"/>
              </w:rPr>
              <w:t>璧山县</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0.29</w:t>
            </w:r>
          </w:p>
        </w:tc>
        <w:tc>
          <w:tcPr>
            <w:tcW w:w="932" w:type="dxa"/>
            <w:tcBorders>
              <w:left w:val="single" w:color="auto" w:sz="4" w:space="0"/>
            </w:tcBorders>
            <w:vAlign w:val="center"/>
          </w:tcPr>
          <w:p>
            <w:pPr>
              <w:jc w:val="center"/>
              <w:rPr>
                <w:rFonts w:ascii="宋体" w:hAnsi="宋体" w:cs="宋体"/>
                <w:sz w:val="21"/>
                <w:szCs w:val="21"/>
              </w:rPr>
            </w:pPr>
            <w:r>
              <w:rPr>
                <w:rFonts w:hint="eastAsia"/>
                <w:sz w:val="21"/>
                <w:szCs w:val="21"/>
              </w:rPr>
              <w:t>0.66</w:t>
            </w:r>
          </w:p>
        </w:tc>
        <w:tc>
          <w:tcPr>
            <w:tcW w:w="932" w:type="dxa"/>
            <w:tcBorders>
              <w:right w:val="single" w:color="auto" w:sz="4" w:space="0"/>
            </w:tcBorders>
            <w:vAlign w:val="center"/>
          </w:tcPr>
          <w:p>
            <w:pPr>
              <w:jc w:val="right"/>
              <w:rPr>
                <w:rFonts w:ascii="宋体" w:hAnsi="宋体" w:cs="宋体"/>
                <w:sz w:val="21"/>
                <w:szCs w:val="21"/>
              </w:rPr>
            </w:pPr>
            <w:r>
              <w:rPr>
                <w:rFonts w:hint="eastAsia"/>
                <w:sz w:val="21"/>
                <w:szCs w:val="21"/>
              </w:rPr>
              <w:t>-0.37</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-56.06 </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0.27</w:t>
            </w:r>
          </w:p>
        </w:tc>
        <w:tc>
          <w:tcPr>
            <w:tcW w:w="932" w:type="dxa"/>
            <w:tcBorders>
              <w:left w:val="single" w:color="auto" w:sz="4" w:space="0"/>
            </w:tcBorders>
            <w:vAlign w:val="center"/>
          </w:tcPr>
          <w:p>
            <w:pPr>
              <w:jc w:val="center"/>
              <w:rPr>
                <w:rFonts w:ascii="宋体" w:hAnsi="宋体" w:cs="宋体"/>
                <w:sz w:val="21"/>
                <w:szCs w:val="21"/>
              </w:rPr>
            </w:pPr>
            <w:r>
              <w:rPr>
                <w:rFonts w:hint="eastAsia"/>
                <w:sz w:val="21"/>
                <w:szCs w:val="21"/>
              </w:rPr>
              <w:t>0.96</w:t>
            </w:r>
          </w:p>
        </w:tc>
        <w:tc>
          <w:tcPr>
            <w:tcW w:w="932" w:type="dxa"/>
            <w:tcBorders>
              <w:right w:val="single" w:color="auto" w:sz="4" w:space="0"/>
            </w:tcBorders>
            <w:vAlign w:val="center"/>
          </w:tcPr>
          <w:p>
            <w:pPr>
              <w:jc w:val="right"/>
              <w:rPr>
                <w:rFonts w:ascii="宋体" w:hAnsi="宋体" w:cs="宋体"/>
                <w:sz w:val="21"/>
                <w:szCs w:val="21"/>
              </w:rPr>
            </w:pPr>
            <w:r>
              <w:rPr>
                <w:rFonts w:hint="eastAsia"/>
                <w:sz w:val="21"/>
                <w:szCs w:val="21"/>
              </w:rPr>
              <w:t>-0.69</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-71.88 </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1.80</w:t>
            </w:r>
          </w:p>
        </w:tc>
        <w:tc>
          <w:tcPr>
            <w:tcW w:w="932" w:type="dxa"/>
            <w:tcBorders>
              <w:left w:val="single" w:color="auto" w:sz="4" w:space="0"/>
              <w:right w:val="single" w:color="auto" w:sz="4" w:space="0"/>
            </w:tcBorders>
            <w:vAlign w:val="center"/>
          </w:tcPr>
          <w:p>
            <w:pPr>
              <w:jc w:val="center"/>
              <w:rPr>
                <w:rFonts w:ascii="宋体" w:hAnsi="宋体" w:cs="宋体"/>
                <w:sz w:val="21"/>
                <w:szCs w:val="21"/>
              </w:rPr>
            </w:pPr>
            <w:r>
              <w:rPr>
                <w:rFonts w:hint="eastAsia"/>
                <w:sz w:val="21"/>
                <w:szCs w:val="21"/>
              </w:rPr>
              <w:t>0.81</w:t>
            </w:r>
          </w:p>
        </w:tc>
        <w:tc>
          <w:tcPr>
            <w:tcW w:w="932" w:type="dxa"/>
            <w:tcBorders>
              <w:left w:val="single" w:color="auto" w:sz="4" w:space="0"/>
              <w:right w:val="single" w:color="auto" w:sz="4" w:space="0"/>
            </w:tcBorders>
            <w:vAlign w:val="center"/>
          </w:tcPr>
          <w:p>
            <w:pPr>
              <w:jc w:val="right"/>
              <w:rPr>
                <w:rFonts w:ascii="宋体" w:hAnsi="宋体" w:cs="宋体"/>
                <w:sz w:val="21"/>
                <w:szCs w:val="21"/>
              </w:rPr>
            </w:pPr>
            <w:r>
              <w:rPr>
                <w:rFonts w:hint="eastAsia"/>
                <w:sz w:val="21"/>
                <w:szCs w:val="21"/>
              </w:rPr>
              <w:t>0.99</w:t>
            </w:r>
          </w:p>
        </w:tc>
        <w:tc>
          <w:tcPr>
            <w:tcW w:w="794"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122.22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2106" w:type="dxa"/>
            <w:vAlign w:val="center"/>
          </w:tcPr>
          <w:p>
            <w:pPr>
              <w:spacing w:line="480" w:lineRule="exact"/>
              <w:jc w:val="center"/>
              <w:rPr>
                <w:sz w:val="21"/>
                <w:szCs w:val="21"/>
              </w:rPr>
            </w:pPr>
            <w:r>
              <w:rPr>
                <w:rFonts w:hAnsi="宋体"/>
                <w:sz w:val="21"/>
                <w:szCs w:val="21"/>
              </w:rPr>
              <w:t>青鹏煤业公司</w:t>
            </w:r>
            <w:r>
              <w:rPr>
                <w:rFonts w:hint="eastAsia" w:hAnsi="宋体"/>
                <w:sz w:val="21"/>
                <w:szCs w:val="21"/>
              </w:rPr>
              <w:t>家属院</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3.34</w:t>
            </w:r>
          </w:p>
        </w:tc>
        <w:tc>
          <w:tcPr>
            <w:tcW w:w="932" w:type="dxa"/>
            <w:tcBorders>
              <w:left w:val="single" w:color="auto" w:sz="4" w:space="0"/>
            </w:tcBorders>
            <w:vAlign w:val="center"/>
          </w:tcPr>
          <w:p>
            <w:pPr>
              <w:jc w:val="center"/>
              <w:rPr>
                <w:rFonts w:ascii="宋体" w:hAnsi="宋体" w:cs="宋体"/>
                <w:sz w:val="21"/>
                <w:szCs w:val="21"/>
              </w:rPr>
            </w:pPr>
            <w:r>
              <w:rPr>
                <w:rFonts w:hint="eastAsia"/>
                <w:sz w:val="21"/>
                <w:szCs w:val="21"/>
              </w:rPr>
              <w:t>5.59</w:t>
            </w:r>
          </w:p>
        </w:tc>
        <w:tc>
          <w:tcPr>
            <w:tcW w:w="932" w:type="dxa"/>
            <w:tcBorders>
              <w:right w:val="single" w:color="auto" w:sz="4" w:space="0"/>
            </w:tcBorders>
            <w:vAlign w:val="center"/>
          </w:tcPr>
          <w:p>
            <w:pPr>
              <w:jc w:val="right"/>
              <w:rPr>
                <w:rFonts w:ascii="宋体" w:hAnsi="宋体" w:cs="宋体"/>
                <w:sz w:val="21"/>
                <w:szCs w:val="21"/>
              </w:rPr>
            </w:pPr>
            <w:r>
              <w:rPr>
                <w:rFonts w:hint="eastAsia"/>
                <w:sz w:val="21"/>
                <w:szCs w:val="21"/>
              </w:rPr>
              <w:t>-2.25</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-40.25 </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4.59</w:t>
            </w:r>
          </w:p>
        </w:tc>
        <w:tc>
          <w:tcPr>
            <w:tcW w:w="932" w:type="dxa"/>
            <w:tcBorders>
              <w:left w:val="single" w:color="auto" w:sz="4" w:space="0"/>
            </w:tcBorders>
            <w:vAlign w:val="center"/>
          </w:tcPr>
          <w:p>
            <w:pPr>
              <w:jc w:val="center"/>
              <w:rPr>
                <w:rFonts w:ascii="宋体" w:hAnsi="宋体" w:cs="宋体"/>
                <w:sz w:val="21"/>
                <w:szCs w:val="21"/>
              </w:rPr>
            </w:pPr>
            <w:r>
              <w:rPr>
                <w:rFonts w:hint="eastAsia"/>
                <w:sz w:val="21"/>
                <w:szCs w:val="21"/>
              </w:rPr>
              <w:t>12.70</w:t>
            </w:r>
          </w:p>
        </w:tc>
        <w:tc>
          <w:tcPr>
            <w:tcW w:w="932" w:type="dxa"/>
            <w:tcBorders>
              <w:right w:val="single" w:color="auto" w:sz="4" w:space="0"/>
            </w:tcBorders>
            <w:vAlign w:val="center"/>
          </w:tcPr>
          <w:p>
            <w:pPr>
              <w:jc w:val="right"/>
              <w:rPr>
                <w:rFonts w:ascii="宋体" w:hAnsi="宋体" w:cs="宋体"/>
                <w:sz w:val="21"/>
                <w:szCs w:val="21"/>
              </w:rPr>
            </w:pPr>
            <w:r>
              <w:rPr>
                <w:rFonts w:hint="eastAsia"/>
                <w:sz w:val="21"/>
                <w:szCs w:val="21"/>
              </w:rPr>
              <w:t>-8.11</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-63.86 </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31.03</w:t>
            </w:r>
          </w:p>
        </w:tc>
        <w:tc>
          <w:tcPr>
            <w:tcW w:w="932" w:type="dxa"/>
            <w:tcBorders>
              <w:left w:val="single" w:color="auto" w:sz="4" w:space="0"/>
              <w:right w:val="single" w:color="auto" w:sz="4" w:space="0"/>
            </w:tcBorders>
            <w:vAlign w:val="center"/>
          </w:tcPr>
          <w:p>
            <w:pPr>
              <w:jc w:val="center"/>
              <w:rPr>
                <w:rFonts w:ascii="宋体" w:hAnsi="宋体" w:cs="宋体"/>
                <w:sz w:val="21"/>
                <w:szCs w:val="21"/>
              </w:rPr>
            </w:pPr>
            <w:r>
              <w:rPr>
                <w:rFonts w:hint="eastAsia"/>
                <w:sz w:val="21"/>
                <w:szCs w:val="21"/>
              </w:rPr>
              <w:t>10.79</w:t>
            </w:r>
          </w:p>
        </w:tc>
        <w:tc>
          <w:tcPr>
            <w:tcW w:w="932" w:type="dxa"/>
            <w:tcBorders>
              <w:left w:val="single" w:color="auto" w:sz="4" w:space="0"/>
              <w:right w:val="single" w:color="auto" w:sz="4" w:space="0"/>
            </w:tcBorders>
            <w:vAlign w:val="center"/>
          </w:tcPr>
          <w:p>
            <w:pPr>
              <w:jc w:val="right"/>
              <w:rPr>
                <w:rFonts w:ascii="宋体" w:hAnsi="宋体" w:cs="宋体"/>
                <w:sz w:val="21"/>
                <w:szCs w:val="21"/>
              </w:rPr>
            </w:pPr>
            <w:r>
              <w:rPr>
                <w:rFonts w:hint="eastAsia"/>
                <w:sz w:val="21"/>
                <w:szCs w:val="21"/>
              </w:rPr>
              <w:t>20.24</w:t>
            </w:r>
          </w:p>
        </w:tc>
        <w:tc>
          <w:tcPr>
            <w:tcW w:w="794"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187.58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4" w:hRule="atLeast"/>
          <w:jc w:val="center"/>
        </w:trPr>
        <w:tc>
          <w:tcPr>
            <w:tcW w:w="2106" w:type="dxa"/>
            <w:vAlign w:val="center"/>
          </w:tcPr>
          <w:p>
            <w:pPr>
              <w:spacing w:line="480" w:lineRule="exact"/>
              <w:jc w:val="center"/>
              <w:rPr>
                <w:sz w:val="21"/>
                <w:szCs w:val="21"/>
              </w:rPr>
            </w:pPr>
            <w:r>
              <w:rPr>
                <w:rFonts w:hAnsi="宋体"/>
                <w:sz w:val="21"/>
                <w:szCs w:val="21"/>
              </w:rPr>
              <w:t>青木关镇</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1.65</w:t>
            </w:r>
          </w:p>
        </w:tc>
        <w:tc>
          <w:tcPr>
            <w:tcW w:w="932" w:type="dxa"/>
            <w:tcBorders>
              <w:left w:val="single" w:color="auto" w:sz="4" w:space="0"/>
            </w:tcBorders>
            <w:vAlign w:val="center"/>
          </w:tcPr>
          <w:p>
            <w:pPr>
              <w:jc w:val="center"/>
              <w:rPr>
                <w:rFonts w:ascii="宋体" w:hAnsi="宋体" w:cs="宋体"/>
                <w:sz w:val="21"/>
                <w:szCs w:val="21"/>
              </w:rPr>
            </w:pPr>
            <w:r>
              <w:rPr>
                <w:rFonts w:hint="eastAsia"/>
                <w:sz w:val="21"/>
                <w:szCs w:val="21"/>
              </w:rPr>
              <w:t>4.06</w:t>
            </w:r>
          </w:p>
        </w:tc>
        <w:tc>
          <w:tcPr>
            <w:tcW w:w="932" w:type="dxa"/>
            <w:tcBorders>
              <w:right w:val="single" w:color="auto" w:sz="4" w:space="0"/>
            </w:tcBorders>
            <w:vAlign w:val="center"/>
          </w:tcPr>
          <w:p>
            <w:pPr>
              <w:jc w:val="right"/>
              <w:rPr>
                <w:rFonts w:ascii="宋体" w:hAnsi="宋体" w:cs="宋体"/>
                <w:sz w:val="21"/>
                <w:szCs w:val="21"/>
              </w:rPr>
            </w:pPr>
            <w:r>
              <w:rPr>
                <w:rFonts w:hint="eastAsia"/>
                <w:sz w:val="21"/>
                <w:szCs w:val="21"/>
              </w:rPr>
              <w:t>-2.41</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-59.36 </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1.97</w:t>
            </w:r>
          </w:p>
        </w:tc>
        <w:tc>
          <w:tcPr>
            <w:tcW w:w="932" w:type="dxa"/>
            <w:tcBorders>
              <w:left w:val="single" w:color="auto" w:sz="4" w:space="0"/>
            </w:tcBorders>
            <w:vAlign w:val="center"/>
          </w:tcPr>
          <w:p>
            <w:pPr>
              <w:jc w:val="center"/>
              <w:rPr>
                <w:rFonts w:ascii="宋体" w:hAnsi="宋体" w:cs="宋体"/>
                <w:sz w:val="21"/>
                <w:szCs w:val="21"/>
              </w:rPr>
            </w:pPr>
            <w:r>
              <w:rPr>
                <w:rFonts w:hint="eastAsia"/>
                <w:sz w:val="21"/>
                <w:szCs w:val="21"/>
              </w:rPr>
              <w:t>8.39</w:t>
            </w:r>
          </w:p>
        </w:tc>
        <w:tc>
          <w:tcPr>
            <w:tcW w:w="932" w:type="dxa"/>
            <w:tcBorders>
              <w:right w:val="single" w:color="auto" w:sz="4" w:space="0"/>
            </w:tcBorders>
            <w:vAlign w:val="center"/>
          </w:tcPr>
          <w:p>
            <w:pPr>
              <w:jc w:val="right"/>
              <w:rPr>
                <w:rFonts w:ascii="宋体" w:hAnsi="宋体" w:cs="宋体"/>
                <w:sz w:val="21"/>
                <w:szCs w:val="21"/>
              </w:rPr>
            </w:pPr>
            <w:r>
              <w:rPr>
                <w:rFonts w:hint="eastAsia"/>
                <w:sz w:val="21"/>
                <w:szCs w:val="21"/>
              </w:rPr>
              <w:t>-6.42</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-76.52 </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13.33</w:t>
            </w:r>
          </w:p>
        </w:tc>
        <w:tc>
          <w:tcPr>
            <w:tcW w:w="932" w:type="dxa"/>
            <w:tcBorders>
              <w:left w:val="single" w:color="auto" w:sz="4" w:space="0"/>
              <w:right w:val="single" w:color="auto" w:sz="4" w:space="0"/>
            </w:tcBorders>
            <w:vAlign w:val="center"/>
          </w:tcPr>
          <w:p>
            <w:pPr>
              <w:jc w:val="center"/>
              <w:rPr>
                <w:rFonts w:ascii="宋体" w:hAnsi="宋体" w:cs="宋体"/>
                <w:sz w:val="21"/>
                <w:szCs w:val="21"/>
              </w:rPr>
            </w:pPr>
            <w:r>
              <w:rPr>
                <w:rFonts w:hint="eastAsia"/>
                <w:sz w:val="21"/>
                <w:szCs w:val="21"/>
              </w:rPr>
              <w:t>7.13</w:t>
            </w:r>
          </w:p>
        </w:tc>
        <w:tc>
          <w:tcPr>
            <w:tcW w:w="932" w:type="dxa"/>
            <w:tcBorders>
              <w:left w:val="single" w:color="auto" w:sz="4" w:space="0"/>
              <w:right w:val="single" w:color="auto" w:sz="4" w:space="0"/>
            </w:tcBorders>
            <w:vAlign w:val="center"/>
          </w:tcPr>
          <w:p>
            <w:pPr>
              <w:jc w:val="right"/>
              <w:rPr>
                <w:rFonts w:ascii="宋体" w:hAnsi="宋体" w:cs="宋体"/>
                <w:sz w:val="21"/>
                <w:szCs w:val="21"/>
              </w:rPr>
            </w:pPr>
            <w:r>
              <w:rPr>
                <w:rFonts w:hint="eastAsia"/>
                <w:sz w:val="21"/>
                <w:szCs w:val="21"/>
              </w:rPr>
              <w:t>6.2</w:t>
            </w:r>
          </w:p>
        </w:tc>
        <w:tc>
          <w:tcPr>
            <w:tcW w:w="794"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86.96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0" w:hRule="atLeast"/>
          <w:jc w:val="center"/>
        </w:trPr>
        <w:tc>
          <w:tcPr>
            <w:tcW w:w="2106" w:type="dxa"/>
            <w:vAlign w:val="center"/>
          </w:tcPr>
          <w:p>
            <w:pPr>
              <w:spacing w:line="480" w:lineRule="exact"/>
              <w:jc w:val="center"/>
              <w:rPr>
                <w:sz w:val="21"/>
                <w:szCs w:val="21"/>
              </w:rPr>
            </w:pPr>
            <w:r>
              <w:rPr>
                <w:rFonts w:hAnsi="宋体"/>
                <w:sz w:val="21"/>
                <w:szCs w:val="21"/>
              </w:rPr>
              <w:t>凤凰镇</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0.46</w:t>
            </w:r>
          </w:p>
        </w:tc>
        <w:tc>
          <w:tcPr>
            <w:tcW w:w="932" w:type="dxa"/>
            <w:tcBorders>
              <w:left w:val="single" w:color="auto" w:sz="4" w:space="0"/>
            </w:tcBorders>
            <w:vAlign w:val="center"/>
          </w:tcPr>
          <w:p>
            <w:pPr>
              <w:jc w:val="center"/>
              <w:rPr>
                <w:rFonts w:ascii="宋体" w:hAnsi="宋体" w:cs="宋体"/>
                <w:sz w:val="21"/>
                <w:szCs w:val="21"/>
              </w:rPr>
            </w:pPr>
            <w:r>
              <w:rPr>
                <w:rFonts w:hint="eastAsia"/>
                <w:sz w:val="21"/>
                <w:szCs w:val="21"/>
              </w:rPr>
              <w:t>0.97</w:t>
            </w:r>
          </w:p>
        </w:tc>
        <w:tc>
          <w:tcPr>
            <w:tcW w:w="932" w:type="dxa"/>
            <w:tcBorders>
              <w:right w:val="single" w:color="auto" w:sz="4" w:space="0"/>
            </w:tcBorders>
            <w:vAlign w:val="center"/>
          </w:tcPr>
          <w:p>
            <w:pPr>
              <w:jc w:val="right"/>
              <w:rPr>
                <w:rFonts w:ascii="宋体" w:hAnsi="宋体" w:cs="宋体"/>
                <w:sz w:val="21"/>
                <w:szCs w:val="21"/>
              </w:rPr>
            </w:pPr>
            <w:r>
              <w:rPr>
                <w:rFonts w:hint="eastAsia"/>
                <w:sz w:val="21"/>
                <w:szCs w:val="21"/>
              </w:rPr>
              <w:t>-0.51</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-52.58 </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0.57</w:t>
            </w:r>
          </w:p>
        </w:tc>
        <w:tc>
          <w:tcPr>
            <w:tcW w:w="932" w:type="dxa"/>
            <w:tcBorders>
              <w:left w:val="single" w:color="auto" w:sz="4" w:space="0"/>
            </w:tcBorders>
            <w:vAlign w:val="center"/>
          </w:tcPr>
          <w:p>
            <w:pPr>
              <w:jc w:val="center"/>
              <w:rPr>
                <w:rFonts w:ascii="宋体" w:hAnsi="宋体" w:cs="宋体"/>
                <w:sz w:val="21"/>
                <w:szCs w:val="21"/>
              </w:rPr>
            </w:pPr>
            <w:r>
              <w:rPr>
                <w:rFonts w:hint="eastAsia"/>
                <w:sz w:val="21"/>
                <w:szCs w:val="21"/>
              </w:rPr>
              <w:t>1.40</w:t>
            </w:r>
          </w:p>
        </w:tc>
        <w:tc>
          <w:tcPr>
            <w:tcW w:w="932" w:type="dxa"/>
            <w:tcBorders>
              <w:right w:val="single" w:color="auto" w:sz="4" w:space="0"/>
            </w:tcBorders>
            <w:vAlign w:val="center"/>
          </w:tcPr>
          <w:p>
            <w:pPr>
              <w:jc w:val="right"/>
              <w:rPr>
                <w:rFonts w:ascii="宋体" w:hAnsi="宋体" w:cs="宋体"/>
                <w:sz w:val="21"/>
                <w:szCs w:val="21"/>
              </w:rPr>
            </w:pPr>
            <w:r>
              <w:rPr>
                <w:rFonts w:hint="eastAsia"/>
                <w:sz w:val="21"/>
                <w:szCs w:val="21"/>
              </w:rPr>
              <w:t>-0.83</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-59.29 </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3.85</w:t>
            </w:r>
          </w:p>
        </w:tc>
        <w:tc>
          <w:tcPr>
            <w:tcW w:w="932" w:type="dxa"/>
            <w:tcBorders>
              <w:left w:val="single" w:color="auto" w:sz="4" w:space="0"/>
              <w:right w:val="single" w:color="auto" w:sz="4" w:space="0"/>
            </w:tcBorders>
            <w:vAlign w:val="center"/>
          </w:tcPr>
          <w:p>
            <w:pPr>
              <w:jc w:val="center"/>
              <w:rPr>
                <w:rFonts w:ascii="宋体" w:hAnsi="宋体" w:cs="宋体"/>
                <w:sz w:val="21"/>
                <w:szCs w:val="21"/>
              </w:rPr>
            </w:pPr>
            <w:r>
              <w:rPr>
                <w:rFonts w:hint="eastAsia"/>
                <w:sz w:val="21"/>
                <w:szCs w:val="21"/>
              </w:rPr>
              <w:t>1.18</w:t>
            </w:r>
          </w:p>
        </w:tc>
        <w:tc>
          <w:tcPr>
            <w:tcW w:w="932" w:type="dxa"/>
            <w:tcBorders>
              <w:left w:val="single" w:color="auto" w:sz="4" w:space="0"/>
              <w:right w:val="single" w:color="auto" w:sz="4" w:space="0"/>
            </w:tcBorders>
            <w:vAlign w:val="center"/>
          </w:tcPr>
          <w:p>
            <w:pPr>
              <w:jc w:val="right"/>
              <w:rPr>
                <w:rFonts w:ascii="宋体" w:hAnsi="宋体" w:cs="宋体"/>
                <w:sz w:val="21"/>
                <w:szCs w:val="21"/>
              </w:rPr>
            </w:pPr>
            <w:r>
              <w:rPr>
                <w:rFonts w:hint="eastAsia"/>
                <w:sz w:val="21"/>
                <w:szCs w:val="21"/>
              </w:rPr>
              <w:t>2.67</w:t>
            </w:r>
          </w:p>
        </w:tc>
        <w:tc>
          <w:tcPr>
            <w:tcW w:w="794"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226.27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8" w:hRule="atLeast"/>
          <w:jc w:val="center"/>
        </w:trPr>
        <w:tc>
          <w:tcPr>
            <w:tcW w:w="2106" w:type="dxa"/>
            <w:vAlign w:val="center"/>
          </w:tcPr>
          <w:p>
            <w:pPr>
              <w:spacing w:line="480" w:lineRule="exact"/>
              <w:jc w:val="center"/>
              <w:rPr>
                <w:sz w:val="21"/>
                <w:szCs w:val="21"/>
              </w:rPr>
            </w:pPr>
            <w:r>
              <w:rPr>
                <w:rFonts w:hAnsi="宋体"/>
                <w:sz w:val="21"/>
                <w:szCs w:val="21"/>
              </w:rPr>
              <w:t>管家桥村</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1.95</w:t>
            </w:r>
          </w:p>
        </w:tc>
        <w:tc>
          <w:tcPr>
            <w:tcW w:w="932" w:type="dxa"/>
            <w:tcBorders>
              <w:left w:val="single" w:color="auto" w:sz="4" w:space="0"/>
            </w:tcBorders>
            <w:vAlign w:val="center"/>
          </w:tcPr>
          <w:p>
            <w:pPr>
              <w:jc w:val="center"/>
              <w:rPr>
                <w:rFonts w:ascii="宋体" w:hAnsi="宋体" w:cs="宋体"/>
                <w:sz w:val="21"/>
                <w:szCs w:val="21"/>
              </w:rPr>
            </w:pPr>
            <w:r>
              <w:rPr>
                <w:rFonts w:hint="eastAsia"/>
                <w:sz w:val="21"/>
                <w:szCs w:val="21"/>
              </w:rPr>
              <w:t>3.20</w:t>
            </w:r>
          </w:p>
        </w:tc>
        <w:tc>
          <w:tcPr>
            <w:tcW w:w="932" w:type="dxa"/>
            <w:tcBorders>
              <w:right w:val="single" w:color="auto" w:sz="4" w:space="0"/>
            </w:tcBorders>
            <w:vAlign w:val="center"/>
          </w:tcPr>
          <w:p>
            <w:pPr>
              <w:jc w:val="right"/>
              <w:rPr>
                <w:rFonts w:ascii="宋体" w:hAnsi="宋体" w:cs="宋体"/>
                <w:sz w:val="21"/>
                <w:szCs w:val="21"/>
              </w:rPr>
            </w:pPr>
            <w:r>
              <w:rPr>
                <w:rFonts w:hint="eastAsia"/>
                <w:sz w:val="21"/>
                <w:szCs w:val="21"/>
              </w:rPr>
              <w:t>-1.25</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-39.06 </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3.38</w:t>
            </w:r>
          </w:p>
        </w:tc>
        <w:tc>
          <w:tcPr>
            <w:tcW w:w="932" w:type="dxa"/>
            <w:tcBorders>
              <w:left w:val="single" w:color="auto" w:sz="4" w:space="0"/>
            </w:tcBorders>
            <w:vAlign w:val="center"/>
          </w:tcPr>
          <w:p>
            <w:pPr>
              <w:jc w:val="center"/>
              <w:rPr>
                <w:rFonts w:ascii="宋体" w:hAnsi="宋体" w:cs="宋体"/>
                <w:sz w:val="21"/>
                <w:szCs w:val="21"/>
              </w:rPr>
            </w:pPr>
            <w:r>
              <w:rPr>
                <w:rFonts w:hint="eastAsia"/>
                <w:sz w:val="21"/>
                <w:szCs w:val="21"/>
              </w:rPr>
              <w:t>4.64</w:t>
            </w:r>
          </w:p>
        </w:tc>
        <w:tc>
          <w:tcPr>
            <w:tcW w:w="932" w:type="dxa"/>
            <w:tcBorders>
              <w:right w:val="single" w:color="auto" w:sz="4" w:space="0"/>
            </w:tcBorders>
            <w:vAlign w:val="center"/>
          </w:tcPr>
          <w:p>
            <w:pPr>
              <w:jc w:val="right"/>
              <w:rPr>
                <w:rFonts w:ascii="宋体" w:hAnsi="宋体" w:cs="宋体"/>
                <w:sz w:val="21"/>
                <w:szCs w:val="21"/>
              </w:rPr>
            </w:pPr>
            <w:r>
              <w:rPr>
                <w:rFonts w:hint="eastAsia"/>
                <w:sz w:val="21"/>
                <w:szCs w:val="21"/>
              </w:rPr>
              <w:t>-1.26</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-27.16 </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22.89</w:t>
            </w:r>
          </w:p>
        </w:tc>
        <w:tc>
          <w:tcPr>
            <w:tcW w:w="932" w:type="dxa"/>
            <w:tcBorders>
              <w:left w:val="single" w:color="auto" w:sz="4" w:space="0"/>
              <w:right w:val="single" w:color="auto" w:sz="4" w:space="0"/>
            </w:tcBorders>
            <w:vAlign w:val="center"/>
          </w:tcPr>
          <w:p>
            <w:pPr>
              <w:jc w:val="center"/>
              <w:rPr>
                <w:rFonts w:ascii="宋体" w:hAnsi="宋体" w:cs="宋体"/>
                <w:sz w:val="21"/>
                <w:szCs w:val="21"/>
              </w:rPr>
            </w:pPr>
            <w:r>
              <w:rPr>
                <w:rFonts w:hint="eastAsia"/>
                <w:sz w:val="21"/>
                <w:szCs w:val="21"/>
              </w:rPr>
              <w:t>3.96</w:t>
            </w:r>
          </w:p>
        </w:tc>
        <w:tc>
          <w:tcPr>
            <w:tcW w:w="932" w:type="dxa"/>
            <w:tcBorders>
              <w:left w:val="single" w:color="auto" w:sz="4" w:space="0"/>
              <w:right w:val="single" w:color="auto" w:sz="4" w:space="0"/>
            </w:tcBorders>
            <w:vAlign w:val="center"/>
          </w:tcPr>
          <w:p>
            <w:pPr>
              <w:jc w:val="right"/>
              <w:rPr>
                <w:rFonts w:ascii="宋体" w:hAnsi="宋体" w:cs="宋体"/>
                <w:sz w:val="21"/>
                <w:szCs w:val="21"/>
              </w:rPr>
            </w:pPr>
            <w:r>
              <w:rPr>
                <w:rFonts w:hint="eastAsia"/>
                <w:sz w:val="21"/>
                <w:szCs w:val="21"/>
              </w:rPr>
              <w:t>18.93</w:t>
            </w:r>
          </w:p>
        </w:tc>
        <w:tc>
          <w:tcPr>
            <w:tcW w:w="794"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478.03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2" w:hRule="atLeast"/>
          <w:jc w:val="center"/>
        </w:trPr>
        <w:tc>
          <w:tcPr>
            <w:tcW w:w="2106" w:type="dxa"/>
            <w:vAlign w:val="center"/>
          </w:tcPr>
          <w:p>
            <w:pPr>
              <w:spacing w:line="480" w:lineRule="exact"/>
              <w:jc w:val="center"/>
              <w:rPr>
                <w:sz w:val="21"/>
                <w:szCs w:val="21"/>
              </w:rPr>
            </w:pPr>
            <w:r>
              <w:rPr>
                <w:rFonts w:hAnsi="宋体"/>
                <w:sz w:val="21"/>
                <w:szCs w:val="21"/>
              </w:rPr>
              <w:t>陈家桥镇</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0.85</w:t>
            </w:r>
          </w:p>
        </w:tc>
        <w:tc>
          <w:tcPr>
            <w:tcW w:w="932" w:type="dxa"/>
            <w:tcBorders>
              <w:left w:val="single" w:color="auto" w:sz="4" w:space="0"/>
            </w:tcBorders>
            <w:vAlign w:val="center"/>
          </w:tcPr>
          <w:p>
            <w:pPr>
              <w:jc w:val="center"/>
              <w:rPr>
                <w:rFonts w:ascii="宋体" w:hAnsi="宋体" w:cs="宋体"/>
                <w:sz w:val="21"/>
                <w:szCs w:val="21"/>
              </w:rPr>
            </w:pPr>
            <w:r>
              <w:rPr>
                <w:rFonts w:hint="eastAsia"/>
                <w:sz w:val="21"/>
                <w:szCs w:val="21"/>
              </w:rPr>
              <w:t>1.57</w:t>
            </w:r>
          </w:p>
        </w:tc>
        <w:tc>
          <w:tcPr>
            <w:tcW w:w="932" w:type="dxa"/>
            <w:tcBorders>
              <w:right w:val="single" w:color="auto" w:sz="4" w:space="0"/>
            </w:tcBorders>
            <w:vAlign w:val="center"/>
          </w:tcPr>
          <w:p>
            <w:pPr>
              <w:jc w:val="right"/>
              <w:rPr>
                <w:rFonts w:ascii="宋体" w:hAnsi="宋体" w:cs="宋体"/>
                <w:sz w:val="21"/>
                <w:szCs w:val="21"/>
              </w:rPr>
            </w:pPr>
            <w:r>
              <w:rPr>
                <w:rFonts w:hint="eastAsia"/>
                <w:sz w:val="21"/>
                <w:szCs w:val="21"/>
              </w:rPr>
              <w:t>-0.72</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-45.86 </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1.03</w:t>
            </w:r>
          </w:p>
        </w:tc>
        <w:tc>
          <w:tcPr>
            <w:tcW w:w="932" w:type="dxa"/>
            <w:tcBorders>
              <w:left w:val="single" w:color="auto" w:sz="4" w:space="0"/>
            </w:tcBorders>
            <w:vAlign w:val="center"/>
          </w:tcPr>
          <w:p>
            <w:pPr>
              <w:jc w:val="center"/>
              <w:rPr>
                <w:rFonts w:ascii="宋体" w:hAnsi="宋体" w:cs="宋体"/>
                <w:sz w:val="21"/>
                <w:szCs w:val="21"/>
              </w:rPr>
            </w:pPr>
            <w:r>
              <w:rPr>
                <w:rFonts w:hint="eastAsia"/>
                <w:sz w:val="21"/>
                <w:szCs w:val="21"/>
              </w:rPr>
              <w:t>2.76</w:t>
            </w:r>
          </w:p>
        </w:tc>
        <w:tc>
          <w:tcPr>
            <w:tcW w:w="932" w:type="dxa"/>
            <w:tcBorders>
              <w:right w:val="single" w:color="auto" w:sz="4" w:space="0"/>
            </w:tcBorders>
            <w:vAlign w:val="center"/>
          </w:tcPr>
          <w:p>
            <w:pPr>
              <w:jc w:val="right"/>
              <w:rPr>
                <w:rFonts w:ascii="宋体" w:hAnsi="宋体" w:cs="宋体"/>
                <w:sz w:val="21"/>
                <w:szCs w:val="21"/>
              </w:rPr>
            </w:pPr>
            <w:r>
              <w:rPr>
                <w:rFonts w:hint="eastAsia"/>
                <w:sz w:val="21"/>
                <w:szCs w:val="21"/>
              </w:rPr>
              <w:t>-1.73</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-62.68 </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6.99</w:t>
            </w:r>
          </w:p>
        </w:tc>
        <w:tc>
          <w:tcPr>
            <w:tcW w:w="932" w:type="dxa"/>
            <w:tcBorders>
              <w:left w:val="single" w:color="auto" w:sz="4" w:space="0"/>
              <w:right w:val="single" w:color="auto" w:sz="4" w:space="0"/>
            </w:tcBorders>
            <w:vAlign w:val="center"/>
          </w:tcPr>
          <w:p>
            <w:pPr>
              <w:jc w:val="center"/>
              <w:rPr>
                <w:rFonts w:ascii="宋体" w:hAnsi="宋体" w:cs="宋体"/>
                <w:sz w:val="21"/>
                <w:szCs w:val="21"/>
              </w:rPr>
            </w:pPr>
            <w:r>
              <w:rPr>
                <w:rFonts w:hint="eastAsia"/>
                <w:sz w:val="21"/>
                <w:szCs w:val="21"/>
              </w:rPr>
              <w:t>2.35</w:t>
            </w:r>
          </w:p>
        </w:tc>
        <w:tc>
          <w:tcPr>
            <w:tcW w:w="932" w:type="dxa"/>
            <w:tcBorders>
              <w:left w:val="single" w:color="auto" w:sz="4" w:space="0"/>
              <w:right w:val="single" w:color="auto" w:sz="4" w:space="0"/>
            </w:tcBorders>
            <w:vAlign w:val="center"/>
          </w:tcPr>
          <w:p>
            <w:pPr>
              <w:jc w:val="right"/>
              <w:rPr>
                <w:rFonts w:ascii="宋体" w:hAnsi="宋体" w:cs="宋体"/>
                <w:sz w:val="21"/>
                <w:szCs w:val="21"/>
              </w:rPr>
            </w:pPr>
            <w:r>
              <w:rPr>
                <w:rFonts w:hint="eastAsia"/>
                <w:sz w:val="21"/>
                <w:szCs w:val="21"/>
              </w:rPr>
              <w:t>4.64</w:t>
            </w:r>
          </w:p>
        </w:tc>
        <w:tc>
          <w:tcPr>
            <w:tcW w:w="794"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197.45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2" w:hRule="atLeast"/>
          <w:jc w:val="center"/>
        </w:trPr>
        <w:tc>
          <w:tcPr>
            <w:tcW w:w="2106" w:type="dxa"/>
            <w:vAlign w:val="center"/>
          </w:tcPr>
          <w:p>
            <w:pPr>
              <w:spacing w:line="480" w:lineRule="exact"/>
              <w:jc w:val="center"/>
              <w:rPr>
                <w:sz w:val="21"/>
                <w:szCs w:val="21"/>
              </w:rPr>
            </w:pPr>
            <w:r>
              <w:rPr>
                <w:rFonts w:hAnsi="宋体"/>
                <w:sz w:val="21"/>
                <w:szCs w:val="21"/>
              </w:rPr>
              <w:t>大学城</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0.84</w:t>
            </w:r>
          </w:p>
        </w:tc>
        <w:tc>
          <w:tcPr>
            <w:tcW w:w="932" w:type="dxa"/>
            <w:tcBorders>
              <w:left w:val="single" w:color="auto" w:sz="4" w:space="0"/>
            </w:tcBorders>
            <w:vAlign w:val="center"/>
          </w:tcPr>
          <w:p>
            <w:pPr>
              <w:jc w:val="center"/>
              <w:rPr>
                <w:rFonts w:ascii="宋体" w:hAnsi="宋体" w:cs="宋体"/>
                <w:sz w:val="21"/>
                <w:szCs w:val="21"/>
              </w:rPr>
            </w:pPr>
            <w:r>
              <w:rPr>
                <w:rFonts w:hint="eastAsia"/>
                <w:sz w:val="21"/>
                <w:szCs w:val="21"/>
              </w:rPr>
              <w:t>1.53</w:t>
            </w:r>
          </w:p>
        </w:tc>
        <w:tc>
          <w:tcPr>
            <w:tcW w:w="932" w:type="dxa"/>
            <w:tcBorders>
              <w:right w:val="single" w:color="auto" w:sz="4" w:space="0"/>
            </w:tcBorders>
            <w:vAlign w:val="center"/>
          </w:tcPr>
          <w:p>
            <w:pPr>
              <w:jc w:val="right"/>
              <w:rPr>
                <w:rFonts w:ascii="宋体" w:hAnsi="宋体" w:cs="宋体"/>
                <w:sz w:val="21"/>
                <w:szCs w:val="21"/>
              </w:rPr>
            </w:pPr>
            <w:r>
              <w:rPr>
                <w:rFonts w:hint="eastAsia"/>
                <w:sz w:val="21"/>
                <w:szCs w:val="21"/>
              </w:rPr>
              <w:t>-0.69</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-45.10 </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0.90</w:t>
            </w:r>
          </w:p>
        </w:tc>
        <w:tc>
          <w:tcPr>
            <w:tcW w:w="932" w:type="dxa"/>
            <w:tcBorders>
              <w:left w:val="single" w:color="auto" w:sz="4" w:space="0"/>
            </w:tcBorders>
            <w:vAlign w:val="center"/>
          </w:tcPr>
          <w:p>
            <w:pPr>
              <w:jc w:val="center"/>
              <w:rPr>
                <w:rFonts w:ascii="宋体" w:hAnsi="宋体" w:cs="宋体"/>
                <w:sz w:val="21"/>
                <w:szCs w:val="21"/>
              </w:rPr>
            </w:pPr>
            <w:r>
              <w:rPr>
                <w:rFonts w:hint="eastAsia"/>
                <w:sz w:val="21"/>
                <w:szCs w:val="21"/>
              </w:rPr>
              <w:t>2.50</w:t>
            </w:r>
          </w:p>
        </w:tc>
        <w:tc>
          <w:tcPr>
            <w:tcW w:w="932" w:type="dxa"/>
            <w:tcBorders>
              <w:right w:val="single" w:color="auto" w:sz="4" w:space="0"/>
            </w:tcBorders>
            <w:vAlign w:val="center"/>
          </w:tcPr>
          <w:p>
            <w:pPr>
              <w:jc w:val="right"/>
              <w:rPr>
                <w:rFonts w:ascii="宋体" w:hAnsi="宋体" w:cs="宋体"/>
                <w:sz w:val="21"/>
                <w:szCs w:val="21"/>
              </w:rPr>
            </w:pPr>
            <w:r>
              <w:rPr>
                <w:rFonts w:hint="eastAsia"/>
                <w:sz w:val="21"/>
                <w:szCs w:val="21"/>
              </w:rPr>
              <w:t>-1.6</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-64.00 </w:t>
            </w:r>
          </w:p>
        </w:tc>
        <w:tc>
          <w:tcPr>
            <w:tcW w:w="932" w:type="dxa"/>
            <w:tcBorders>
              <w:right w:val="single" w:color="auto" w:sz="4" w:space="0"/>
            </w:tcBorders>
            <w:vAlign w:val="center"/>
          </w:tcPr>
          <w:p>
            <w:pPr>
              <w:jc w:val="center"/>
              <w:rPr>
                <w:rFonts w:ascii="宋体" w:hAnsi="宋体" w:cs="宋体"/>
                <w:sz w:val="21"/>
                <w:szCs w:val="21"/>
              </w:rPr>
            </w:pPr>
            <w:r>
              <w:rPr>
                <w:rFonts w:hint="eastAsia"/>
                <w:sz w:val="21"/>
                <w:szCs w:val="21"/>
              </w:rPr>
              <w:t>6.11</w:t>
            </w:r>
          </w:p>
        </w:tc>
        <w:tc>
          <w:tcPr>
            <w:tcW w:w="932" w:type="dxa"/>
            <w:tcBorders>
              <w:left w:val="single" w:color="auto" w:sz="4" w:space="0"/>
              <w:right w:val="single" w:color="auto" w:sz="4" w:space="0"/>
            </w:tcBorders>
            <w:vAlign w:val="center"/>
          </w:tcPr>
          <w:p>
            <w:pPr>
              <w:jc w:val="center"/>
              <w:rPr>
                <w:rFonts w:ascii="宋体" w:hAnsi="宋体" w:cs="宋体"/>
                <w:sz w:val="21"/>
                <w:szCs w:val="21"/>
              </w:rPr>
            </w:pPr>
            <w:r>
              <w:rPr>
                <w:rFonts w:hint="eastAsia"/>
                <w:sz w:val="21"/>
                <w:szCs w:val="21"/>
              </w:rPr>
              <w:t>2.12</w:t>
            </w:r>
          </w:p>
        </w:tc>
        <w:tc>
          <w:tcPr>
            <w:tcW w:w="932" w:type="dxa"/>
            <w:tcBorders>
              <w:left w:val="single" w:color="auto" w:sz="4" w:space="0"/>
              <w:right w:val="single" w:color="auto" w:sz="4" w:space="0"/>
            </w:tcBorders>
            <w:vAlign w:val="center"/>
          </w:tcPr>
          <w:p>
            <w:pPr>
              <w:jc w:val="right"/>
              <w:rPr>
                <w:rFonts w:ascii="宋体" w:hAnsi="宋体" w:cs="宋体"/>
                <w:sz w:val="21"/>
                <w:szCs w:val="21"/>
              </w:rPr>
            </w:pPr>
            <w:r>
              <w:rPr>
                <w:rFonts w:hint="eastAsia"/>
                <w:sz w:val="21"/>
                <w:szCs w:val="21"/>
              </w:rPr>
              <w:t>3.99</w:t>
            </w:r>
          </w:p>
        </w:tc>
        <w:tc>
          <w:tcPr>
            <w:tcW w:w="794"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188.21 </w:t>
            </w:r>
          </w:p>
        </w:tc>
      </w:tr>
    </w:tbl>
    <w:p>
      <w:pPr>
        <w:adjustRightInd w:val="0"/>
        <w:snapToGrid w:val="0"/>
        <w:spacing w:line="480" w:lineRule="exact"/>
        <w:ind w:firstLine="480"/>
        <w:rPr>
          <w:rFonts w:hint="eastAsia"/>
        </w:rPr>
      </w:pPr>
    </w:p>
    <w:p>
      <w:pPr>
        <w:adjustRightInd w:val="0"/>
        <w:snapToGrid w:val="0"/>
        <w:spacing w:line="480" w:lineRule="exact"/>
        <w:ind w:firstLine="480"/>
        <w:rPr>
          <w:rFonts w:hint="eastAsia"/>
        </w:rPr>
      </w:pPr>
    </w:p>
    <w:p>
      <w:pPr>
        <w:spacing w:line="480" w:lineRule="exact"/>
        <w:ind w:firstLine="316" w:firstLineChars="150"/>
        <w:jc w:val="center"/>
        <w:rPr>
          <w:rFonts w:hint="eastAsia"/>
          <w:b/>
          <w:szCs w:val="21"/>
          <w:vertAlign w:val="superscript"/>
        </w:rPr>
      </w:pPr>
      <w:r>
        <w:rPr>
          <w:b/>
        </w:rPr>
        <w:t>表</w:t>
      </w:r>
      <w:r>
        <w:rPr>
          <w:rFonts w:hint="eastAsia"/>
          <w:b/>
        </w:rPr>
        <w:t>8</w:t>
      </w:r>
      <w:r>
        <w:rPr>
          <w:b/>
        </w:rPr>
        <w:t>-</w:t>
      </w:r>
      <w:r>
        <w:rPr>
          <w:rFonts w:hint="eastAsia"/>
          <w:b/>
        </w:rPr>
        <w:t>18</w:t>
      </w:r>
      <w:r>
        <w:rPr>
          <w:b/>
        </w:rPr>
        <w:t xml:space="preserve">  </w:t>
      </w:r>
      <w:r>
        <w:rPr>
          <w:rFonts w:hint="eastAsia"/>
          <w:b/>
        </w:rPr>
        <w:t>技改前后年均预测值对敏感点影响对比分析</w:t>
      </w:r>
      <w:r>
        <w:rPr>
          <w:b/>
        </w:rPr>
        <w:t xml:space="preserve">    单位：</w:t>
      </w:r>
      <w:r>
        <w:rPr>
          <w:b/>
          <w:szCs w:val="21"/>
        </w:rPr>
        <w:t>µg/m</w:t>
      </w:r>
      <w:r>
        <w:rPr>
          <w:b/>
          <w:szCs w:val="21"/>
          <w:vertAlign w:val="superscript"/>
        </w:rPr>
        <w:t>3</w:t>
      </w:r>
    </w:p>
    <w:tbl>
      <w:tblPr>
        <w:tblStyle w:val="21"/>
        <w:tblW w:w="12532" w:type="dxa"/>
        <w:jc w:val="center"/>
        <w:tblInd w:w="-919"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06"/>
        <w:gridCol w:w="932"/>
        <w:gridCol w:w="932"/>
        <w:gridCol w:w="864"/>
        <w:gridCol w:w="759"/>
        <w:gridCol w:w="932"/>
        <w:gridCol w:w="932"/>
        <w:gridCol w:w="864"/>
        <w:gridCol w:w="759"/>
        <w:gridCol w:w="932"/>
        <w:gridCol w:w="932"/>
        <w:gridCol w:w="794"/>
        <w:gridCol w:w="79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tblHeader/>
          <w:jc w:val="center"/>
        </w:trPr>
        <w:tc>
          <w:tcPr>
            <w:tcW w:w="2106" w:type="dxa"/>
            <w:vMerge w:val="restart"/>
            <w:tcBorders>
              <w:tl2br w:val="single" w:color="auto" w:sz="4" w:space="0"/>
            </w:tcBorders>
            <w:vAlign w:val="center"/>
          </w:tcPr>
          <w:p>
            <w:pPr>
              <w:pStyle w:val="31"/>
              <w:snapToGrid w:val="0"/>
              <w:spacing w:line="480" w:lineRule="exact"/>
              <w:ind w:right="-122" w:firstLine="630" w:firstLineChars="300"/>
              <w:jc w:val="both"/>
              <w:rPr>
                <w:color w:val="auto"/>
              </w:rPr>
            </w:pPr>
            <w:r>
              <w:rPr>
                <w:color w:val="auto"/>
              </w:rPr>
              <w:t>预测因子</w:t>
            </w:r>
          </w:p>
          <w:p>
            <w:pPr>
              <w:pStyle w:val="31"/>
              <w:snapToGrid w:val="0"/>
              <w:spacing w:line="480" w:lineRule="exact"/>
              <w:ind w:left="0" w:leftChars="0" w:right="-122"/>
              <w:jc w:val="both"/>
              <w:rPr>
                <w:color w:val="auto"/>
              </w:rPr>
            </w:pPr>
            <w:r>
              <w:rPr>
                <w:color w:val="auto"/>
              </w:rPr>
              <w:t>关心点</w:t>
            </w:r>
          </w:p>
        </w:tc>
        <w:tc>
          <w:tcPr>
            <w:tcW w:w="3487" w:type="dxa"/>
            <w:gridSpan w:val="4"/>
            <w:tcBorders>
              <w:right w:val="single" w:color="auto" w:sz="4" w:space="0"/>
            </w:tcBorders>
            <w:vAlign w:val="center"/>
          </w:tcPr>
          <w:p>
            <w:pPr>
              <w:adjustRightInd w:val="0"/>
              <w:snapToGrid w:val="0"/>
              <w:spacing w:line="480" w:lineRule="exact"/>
              <w:jc w:val="center"/>
              <w:rPr>
                <w:kern w:val="0"/>
                <w:sz w:val="21"/>
                <w:szCs w:val="21"/>
              </w:rPr>
            </w:pPr>
            <w:r>
              <w:rPr>
                <w:sz w:val="21"/>
                <w:szCs w:val="21"/>
              </w:rPr>
              <w:t>PM</w:t>
            </w:r>
            <w:r>
              <w:rPr>
                <w:sz w:val="21"/>
                <w:szCs w:val="21"/>
                <w:vertAlign w:val="subscript"/>
              </w:rPr>
              <w:t>10</w:t>
            </w:r>
          </w:p>
        </w:tc>
        <w:tc>
          <w:tcPr>
            <w:tcW w:w="3487" w:type="dxa"/>
            <w:gridSpan w:val="4"/>
            <w:tcBorders>
              <w:left w:val="single" w:color="auto" w:sz="4" w:space="0"/>
              <w:right w:val="single" w:color="auto" w:sz="4" w:space="0"/>
            </w:tcBorders>
            <w:vAlign w:val="center"/>
          </w:tcPr>
          <w:p>
            <w:pPr>
              <w:widowControl/>
              <w:adjustRightInd w:val="0"/>
              <w:snapToGrid w:val="0"/>
              <w:spacing w:line="480" w:lineRule="exact"/>
              <w:jc w:val="center"/>
              <w:rPr>
                <w:kern w:val="0"/>
                <w:sz w:val="21"/>
                <w:szCs w:val="21"/>
              </w:rPr>
            </w:pPr>
            <w:r>
              <w:rPr>
                <w:sz w:val="21"/>
                <w:szCs w:val="21"/>
              </w:rPr>
              <w:t>SO</w:t>
            </w:r>
            <w:r>
              <w:rPr>
                <w:sz w:val="21"/>
                <w:szCs w:val="21"/>
                <w:vertAlign w:val="subscript"/>
              </w:rPr>
              <w:t>2</w:t>
            </w:r>
          </w:p>
        </w:tc>
        <w:tc>
          <w:tcPr>
            <w:tcW w:w="3452" w:type="dxa"/>
            <w:gridSpan w:val="4"/>
            <w:tcBorders>
              <w:left w:val="single" w:color="auto" w:sz="4" w:space="0"/>
            </w:tcBorders>
            <w:vAlign w:val="center"/>
          </w:tcPr>
          <w:p>
            <w:pPr>
              <w:widowControl/>
              <w:adjustRightInd w:val="0"/>
              <w:snapToGrid w:val="0"/>
              <w:spacing w:line="480" w:lineRule="exact"/>
              <w:jc w:val="center"/>
              <w:rPr>
                <w:rFonts w:hint="eastAsia"/>
                <w:kern w:val="0"/>
                <w:sz w:val="21"/>
                <w:szCs w:val="21"/>
              </w:rPr>
            </w:pPr>
            <w:r>
              <w:rPr>
                <w:rFonts w:hint="eastAsia"/>
                <w:kern w:val="0"/>
                <w:sz w:val="21"/>
                <w:szCs w:val="21"/>
              </w:rPr>
              <w:t>NO</w:t>
            </w:r>
            <w:r>
              <w:rPr>
                <w:rFonts w:hint="eastAsia"/>
                <w:kern w:val="0"/>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jc w:val="center"/>
        </w:trPr>
        <w:tc>
          <w:tcPr>
            <w:tcW w:w="2106" w:type="dxa"/>
            <w:vMerge w:val="continue"/>
            <w:vAlign w:val="center"/>
          </w:tcPr>
          <w:p>
            <w:pPr>
              <w:pStyle w:val="31"/>
              <w:snapToGrid w:val="0"/>
              <w:spacing w:line="480" w:lineRule="exact"/>
              <w:ind w:right="-122"/>
              <w:rPr>
                <w:color w:val="auto"/>
              </w:rPr>
            </w:pPr>
          </w:p>
        </w:tc>
        <w:tc>
          <w:tcPr>
            <w:tcW w:w="932" w:type="dxa"/>
            <w:tcBorders>
              <w:right w:val="single" w:color="auto" w:sz="4" w:space="0"/>
            </w:tcBorders>
            <w:vAlign w:val="center"/>
          </w:tcPr>
          <w:p>
            <w:pPr>
              <w:pStyle w:val="31"/>
              <w:snapToGrid w:val="0"/>
              <w:spacing w:line="480" w:lineRule="exact"/>
              <w:ind w:right="-122"/>
              <w:rPr>
                <w:rFonts w:hint="eastAsia"/>
                <w:color w:val="auto"/>
              </w:rPr>
            </w:pPr>
            <w:r>
              <w:rPr>
                <w:rFonts w:hint="eastAsia"/>
                <w:color w:val="auto"/>
              </w:rPr>
              <w:t>技改项目</w:t>
            </w:r>
          </w:p>
        </w:tc>
        <w:tc>
          <w:tcPr>
            <w:tcW w:w="932" w:type="dxa"/>
            <w:tcBorders>
              <w:left w:val="single" w:color="auto" w:sz="4" w:space="0"/>
            </w:tcBorders>
            <w:vAlign w:val="center"/>
          </w:tcPr>
          <w:p>
            <w:pPr>
              <w:pStyle w:val="31"/>
              <w:snapToGrid w:val="0"/>
              <w:spacing w:line="480" w:lineRule="exact"/>
              <w:ind w:right="-122"/>
              <w:rPr>
                <w:rFonts w:hint="eastAsia"/>
                <w:color w:val="auto"/>
              </w:rPr>
            </w:pPr>
            <w:r>
              <w:rPr>
                <w:rFonts w:hint="eastAsia"/>
                <w:color w:val="auto"/>
              </w:rPr>
              <w:t>原有工程</w:t>
            </w:r>
          </w:p>
        </w:tc>
        <w:tc>
          <w:tcPr>
            <w:tcW w:w="864" w:type="dxa"/>
            <w:tcBorders>
              <w:right w:val="single" w:color="auto" w:sz="4" w:space="0"/>
            </w:tcBorders>
            <w:vAlign w:val="center"/>
          </w:tcPr>
          <w:p>
            <w:pPr>
              <w:pStyle w:val="31"/>
              <w:snapToGrid w:val="0"/>
              <w:spacing w:line="480" w:lineRule="exact"/>
              <w:ind w:right="-122"/>
              <w:rPr>
                <w:rFonts w:hint="eastAsia"/>
                <w:color w:val="auto"/>
              </w:rPr>
            </w:pPr>
            <w:r>
              <w:rPr>
                <w:rFonts w:hint="eastAsia"/>
                <w:color w:val="auto"/>
              </w:rPr>
              <w:t>变化量</w:t>
            </w:r>
          </w:p>
        </w:tc>
        <w:tc>
          <w:tcPr>
            <w:tcW w:w="759" w:type="dxa"/>
            <w:tcBorders>
              <w:left w:val="single" w:color="auto" w:sz="4" w:space="0"/>
              <w:right w:val="single" w:color="auto" w:sz="4" w:space="0"/>
            </w:tcBorders>
            <w:vAlign w:val="center"/>
          </w:tcPr>
          <w:p>
            <w:pPr>
              <w:pStyle w:val="31"/>
              <w:snapToGrid w:val="0"/>
              <w:spacing w:line="480" w:lineRule="exact"/>
              <w:ind w:right="-122"/>
              <w:rPr>
                <w:rFonts w:hint="eastAsia"/>
                <w:color w:val="auto"/>
              </w:rPr>
            </w:pPr>
            <w:r>
              <w:rPr>
                <w:rFonts w:hint="eastAsia"/>
                <w:color w:val="auto"/>
              </w:rPr>
              <w:t>增减率</w:t>
            </w:r>
          </w:p>
          <w:p>
            <w:pPr>
              <w:pStyle w:val="31"/>
              <w:snapToGrid w:val="0"/>
              <w:spacing w:line="480" w:lineRule="exact"/>
              <w:ind w:right="-122"/>
              <w:rPr>
                <w:rFonts w:hint="eastAsia"/>
                <w:color w:val="auto"/>
              </w:rPr>
            </w:pPr>
            <w:r>
              <w:rPr>
                <w:rFonts w:hint="eastAsia"/>
                <w:color w:val="auto"/>
              </w:rPr>
              <w:t>（%）</w:t>
            </w:r>
          </w:p>
        </w:tc>
        <w:tc>
          <w:tcPr>
            <w:tcW w:w="932" w:type="dxa"/>
            <w:tcBorders>
              <w:left w:val="single" w:color="auto" w:sz="4" w:space="0"/>
              <w:right w:val="single" w:color="auto" w:sz="4" w:space="0"/>
            </w:tcBorders>
            <w:vAlign w:val="center"/>
          </w:tcPr>
          <w:p>
            <w:pPr>
              <w:pStyle w:val="31"/>
              <w:snapToGrid w:val="0"/>
              <w:spacing w:line="480" w:lineRule="exact"/>
              <w:ind w:right="-122"/>
              <w:rPr>
                <w:rFonts w:hint="eastAsia"/>
                <w:color w:val="auto"/>
              </w:rPr>
            </w:pPr>
            <w:r>
              <w:rPr>
                <w:rFonts w:hint="eastAsia"/>
                <w:color w:val="auto"/>
              </w:rPr>
              <w:t>技改项目</w:t>
            </w:r>
          </w:p>
        </w:tc>
        <w:tc>
          <w:tcPr>
            <w:tcW w:w="932" w:type="dxa"/>
            <w:tcBorders>
              <w:left w:val="single" w:color="auto" w:sz="4" w:space="0"/>
              <w:right w:val="single" w:color="auto" w:sz="4" w:space="0"/>
            </w:tcBorders>
            <w:vAlign w:val="center"/>
          </w:tcPr>
          <w:p>
            <w:pPr>
              <w:pStyle w:val="31"/>
              <w:snapToGrid w:val="0"/>
              <w:spacing w:line="480" w:lineRule="exact"/>
              <w:ind w:right="-122"/>
              <w:rPr>
                <w:rFonts w:hint="eastAsia"/>
                <w:color w:val="auto"/>
              </w:rPr>
            </w:pPr>
            <w:r>
              <w:rPr>
                <w:rFonts w:hint="eastAsia"/>
                <w:color w:val="auto"/>
              </w:rPr>
              <w:t>原有工程</w:t>
            </w:r>
          </w:p>
        </w:tc>
        <w:tc>
          <w:tcPr>
            <w:tcW w:w="864" w:type="dxa"/>
            <w:tcBorders>
              <w:right w:val="single" w:color="auto" w:sz="4" w:space="0"/>
            </w:tcBorders>
            <w:vAlign w:val="center"/>
          </w:tcPr>
          <w:p>
            <w:pPr>
              <w:pStyle w:val="31"/>
              <w:snapToGrid w:val="0"/>
              <w:spacing w:line="480" w:lineRule="exact"/>
              <w:ind w:right="-122"/>
              <w:rPr>
                <w:rFonts w:hint="eastAsia"/>
                <w:color w:val="auto"/>
              </w:rPr>
            </w:pPr>
            <w:r>
              <w:rPr>
                <w:rFonts w:hint="eastAsia"/>
                <w:color w:val="auto"/>
              </w:rPr>
              <w:t>变化量</w:t>
            </w:r>
          </w:p>
        </w:tc>
        <w:tc>
          <w:tcPr>
            <w:tcW w:w="759" w:type="dxa"/>
            <w:tcBorders>
              <w:left w:val="single" w:color="auto" w:sz="4" w:space="0"/>
              <w:right w:val="single" w:color="auto" w:sz="4" w:space="0"/>
            </w:tcBorders>
            <w:vAlign w:val="center"/>
          </w:tcPr>
          <w:p>
            <w:pPr>
              <w:pStyle w:val="31"/>
              <w:snapToGrid w:val="0"/>
              <w:spacing w:line="480" w:lineRule="exact"/>
              <w:ind w:right="-122"/>
              <w:rPr>
                <w:rFonts w:hint="eastAsia"/>
                <w:color w:val="auto"/>
              </w:rPr>
            </w:pPr>
            <w:r>
              <w:rPr>
                <w:rFonts w:hint="eastAsia"/>
                <w:color w:val="auto"/>
              </w:rPr>
              <w:t>增减率</w:t>
            </w:r>
          </w:p>
          <w:p>
            <w:pPr>
              <w:pStyle w:val="31"/>
              <w:snapToGrid w:val="0"/>
              <w:spacing w:line="480" w:lineRule="exact"/>
              <w:ind w:right="-122"/>
              <w:rPr>
                <w:rFonts w:hint="eastAsia"/>
                <w:color w:val="auto"/>
              </w:rPr>
            </w:pPr>
            <w:r>
              <w:rPr>
                <w:rFonts w:hint="eastAsia"/>
                <w:color w:val="auto"/>
              </w:rPr>
              <w:t>（%）</w:t>
            </w:r>
          </w:p>
        </w:tc>
        <w:tc>
          <w:tcPr>
            <w:tcW w:w="932" w:type="dxa"/>
            <w:tcBorders>
              <w:right w:val="single" w:color="auto" w:sz="4" w:space="0"/>
            </w:tcBorders>
            <w:vAlign w:val="center"/>
          </w:tcPr>
          <w:p>
            <w:pPr>
              <w:pStyle w:val="31"/>
              <w:snapToGrid w:val="0"/>
              <w:spacing w:line="480" w:lineRule="exact"/>
              <w:ind w:right="-122"/>
              <w:rPr>
                <w:rFonts w:hint="eastAsia"/>
                <w:color w:val="auto"/>
              </w:rPr>
            </w:pPr>
            <w:r>
              <w:rPr>
                <w:rFonts w:hint="eastAsia"/>
                <w:color w:val="auto"/>
              </w:rPr>
              <w:t>技改项目</w:t>
            </w:r>
          </w:p>
        </w:tc>
        <w:tc>
          <w:tcPr>
            <w:tcW w:w="932" w:type="dxa"/>
            <w:tcBorders>
              <w:left w:val="single" w:color="auto" w:sz="4" w:space="0"/>
              <w:right w:val="single" w:color="auto" w:sz="4" w:space="0"/>
            </w:tcBorders>
            <w:vAlign w:val="center"/>
          </w:tcPr>
          <w:p>
            <w:pPr>
              <w:pStyle w:val="31"/>
              <w:snapToGrid w:val="0"/>
              <w:spacing w:line="480" w:lineRule="exact"/>
              <w:ind w:right="-122"/>
              <w:rPr>
                <w:rFonts w:hint="eastAsia"/>
                <w:color w:val="auto"/>
              </w:rPr>
            </w:pPr>
            <w:r>
              <w:rPr>
                <w:rFonts w:hint="eastAsia"/>
                <w:color w:val="auto"/>
              </w:rPr>
              <w:t>原有工程</w:t>
            </w:r>
          </w:p>
        </w:tc>
        <w:tc>
          <w:tcPr>
            <w:tcW w:w="794" w:type="dxa"/>
            <w:tcBorders>
              <w:left w:val="single" w:color="auto" w:sz="4" w:space="0"/>
              <w:right w:val="single" w:color="auto" w:sz="4" w:space="0"/>
            </w:tcBorders>
            <w:vAlign w:val="center"/>
          </w:tcPr>
          <w:p>
            <w:pPr>
              <w:pStyle w:val="31"/>
              <w:snapToGrid w:val="0"/>
              <w:spacing w:line="480" w:lineRule="exact"/>
              <w:ind w:right="-122"/>
              <w:rPr>
                <w:rFonts w:hint="eastAsia"/>
                <w:color w:val="auto"/>
              </w:rPr>
            </w:pPr>
            <w:r>
              <w:rPr>
                <w:rFonts w:hint="eastAsia"/>
                <w:color w:val="auto"/>
              </w:rPr>
              <w:t>变化量</w:t>
            </w:r>
          </w:p>
        </w:tc>
        <w:tc>
          <w:tcPr>
            <w:tcW w:w="794" w:type="dxa"/>
            <w:tcBorders>
              <w:left w:val="single" w:color="auto" w:sz="4" w:space="0"/>
              <w:right w:val="single" w:color="auto" w:sz="4" w:space="0"/>
            </w:tcBorders>
            <w:vAlign w:val="center"/>
          </w:tcPr>
          <w:p>
            <w:pPr>
              <w:pStyle w:val="31"/>
              <w:snapToGrid w:val="0"/>
              <w:spacing w:line="480" w:lineRule="exact"/>
              <w:ind w:right="-122"/>
              <w:rPr>
                <w:rFonts w:hint="eastAsia"/>
                <w:color w:val="auto"/>
              </w:rPr>
            </w:pPr>
            <w:r>
              <w:rPr>
                <w:rFonts w:hint="eastAsia"/>
                <w:color w:val="auto"/>
              </w:rPr>
              <w:t>增减率</w:t>
            </w:r>
          </w:p>
          <w:p>
            <w:pPr>
              <w:pStyle w:val="31"/>
              <w:snapToGrid w:val="0"/>
              <w:spacing w:line="480" w:lineRule="exact"/>
              <w:ind w:right="-122"/>
              <w:rPr>
                <w:rFonts w:hint="eastAsia"/>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07" w:hRule="atLeast"/>
          <w:jc w:val="center"/>
        </w:trPr>
        <w:tc>
          <w:tcPr>
            <w:tcW w:w="2106" w:type="dxa"/>
            <w:shd w:val="clear" w:color="auto" w:fill="auto"/>
            <w:vAlign w:val="center"/>
          </w:tcPr>
          <w:p>
            <w:pPr>
              <w:spacing w:line="480" w:lineRule="exact"/>
              <w:jc w:val="center"/>
              <w:rPr>
                <w:sz w:val="21"/>
                <w:szCs w:val="21"/>
              </w:rPr>
            </w:pPr>
            <w:r>
              <w:rPr>
                <w:sz w:val="21"/>
                <w:szCs w:val="21"/>
              </w:rPr>
              <w:t>大路镇</w:t>
            </w:r>
          </w:p>
        </w:tc>
        <w:tc>
          <w:tcPr>
            <w:tcW w:w="932" w:type="dxa"/>
            <w:tcBorders>
              <w:right w:val="single" w:color="auto" w:sz="4" w:space="0"/>
            </w:tcBorders>
            <w:shd w:val="clear" w:color="auto" w:fill="F3F3F3"/>
            <w:vAlign w:val="center"/>
          </w:tcPr>
          <w:p>
            <w:pPr>
              <w:jc w:val="center"/>
              <w:rPr>
                <w:sz w:val="21"/>
                <w:szCs w:val="21"/>
              </w:rPr>
            </w:pPr>
            <w:r>
              <w:rPr>
                <w:sz w:val="21"/>
                <w:szCs w:val="21"/>
              </w:rPr>
              <w:t>0.0397</w:t>
            </w:r>
          </w:p>
        </w:tc>
        <w:tc>
          <w:tcPr>
            <w:tcW w:w="932" w:type="dxa"/>
            <w:tcBorders>
              <w:left w:val="single" w:color="auto" w:sz="4" w:space="0"/>
            </w:tcBorders>
            <w:shd w:val="clear" w:color="auto" w:fill="F3F3F3"/>
            <w:vAlign w:val="center"/>
          </w:tcPr>
          <w:p>
            <w:pPr>
              <w:jc w:val="center"/>
              <w:rPr>
                <w:sz w:val="21"/>
                <w:szCs w:val="21"/>
              </w:rPr>
            </w:pPr>
            <w:r>
              <w:rPr>
                <w:sz w:val="21"/>
                <w:szCs w:val="21"/>
              </w:rPr>
              <w:t>0.0694</w:t>
            </w:r>
          </w:p>
        </w:tc>
        <w:tc>
          <w:tcPr>
            <w:tcW w:w="864" w:type="dxa"/>
            <w:tcBorders>
              <w:right w:val="single" w:color="auto" w:sz="4" w:space="0"/>
            </w:tcBorders>
            <w:shd w:val="clear" w:color="auto" w:fill="F3F3F3"/>
            <w:vAlign w:val="center"/>
          </w:tcPr>
          <w:p>
            <w:pPr>
              <w:jc w:val="right"/>
              <w:rPr>
                <w:rFonts w:ascii="宋体" w:hAnsi="宋体" w:cs="宋体"/>
                <w:sz w:val="21"/>
                <w:szCs w:val="21"/>
              </w:rPr>
            </w:pPr>
            <w:r>
              <w:rPr>
                <w:rFonts w:hint="eastAsia"/>
                <w:sz w:val="21"/>
                <w:szCs w:val="21"/>
              </w:rPr>
              <w:t>-0.0297</w:t>
            </w:r>
          </w:p>
        </w:tc>
        <w:tc>
          <w:tcPr>
            <w:tcW w:w="759" w:type="dxa"/>
            <w:tcBorders>
              <w:left w:val="single" w:color="auto" w:sz="4" w:space="0"/>
              <w:right w:val="single" w:color="auto" w:sz="4" w:space="0"/>
            </w:tcBorders>
            <w:shd w:val="clear" w:color="auto" w:fill="F3F3F3"/>
            <w:vAlign w:val="center"/>
          </w:tcPr>
          <w:p>
            <w:pPr>
              <w:jc w:val="right"/>
              <w:rPr>
                <w:rFonts w:ascii="宋体" w:hAnsi="宋体" w:cs="宋体"/>
                <w:sz w:val="21"/>
                <w:szCs w:val="21"/>
              </w:rPr>
            </w:pPr>
            <w:r>
              <w:rPr>
                <w:rFonts w:hint="eastAsia"/>
                <w:sz w:val="21"/>
                <w:szCs w:val="21"/>
              </w:rPr>
              <w:t xml:space="preserve">-42.80 </w:t>
            </w:r>
          </w:p>
        </w:tc>
        <w:tc>
          <w:tcPr>
            <w:tcW w:w="932" w:type="dxa"/>
            <w:tcBorders>
              <w:left w:val="single" w:color="auto" w:sz="4" w:space="0"/>
              <w:right w:val="single" w:color="auto" w:sz="4" w:space="0"/>
            </w:tcBorders>
            <w:shd w:val="clear" w:color="auto" w:fill="F3F3F3"/>
            <w:vAlign w:val="center"/>
          </w:tcPr>
          <w:p>
            <w:pPr>
              <w:jc w:val="center"/>
              <w:rPr>
                <w:sz w:val="21"/>
                <w:szCs w:val="21"/>
              </w:rPr>
            </w:pPr>
            <w:r>
              <w:rPr>
                <w:sz w:val="21"/>
                <w:szCs w:val="21"/>
              </w:rPr>
              <w:t>0.0363</w:t>
            </w:r>
          </w:p>
        </w:tc>
        <w:tc>
          <w:tcPr>
            <w:tcW w:w="932" w:type="dxa"/>
            <w:tcBorders>
              <w:left w:val="single" w:color="auto" w:sz="4" w:space="0"/>
            </w:tcBorders>
            <w:shd w:val="clear" w:color="auto" w:fill="F3F3F3"/>
            <w:vAlign w:val="center"/>
          </w:tcPr>
          <w:p>
            <w:pPr>
              <w:jc w:val="center"/>
              <w:rPr>
                <w:sz w:val="21"/>
                <w:szCs w:val="21"/>
              </w:rPr>
            </w:pPr>
            <w:r>
              <w:rPr>
                <w:sz w:val="21"/>
                <w:szCs w:val="21"/>
              </w:rPr>
              <w:t>0.1109</w:t>
            </w:r>
          </w:p>
        </w:tc>
        <w:tc>
          <w:tcPr>
            <w:tcW w:w="864" w:type="dxa"/>
            <w:tcBorders>
              <w:right w:val="single" w:color="auto" w:sz="4" w:space="0"/>
            </w:tcBorders>
            <w:shd w:val="clear" w:color="auto" w:fill="F3F3F3"/>
            <w:vAlign w:val="center"/>
          </w:tcPr>
          <w:p>
            <w:pPr>
              <w:jc w:val="right"/>
              <w:rPr>
                <w:rFonts w:ascii="宋体" w:hAnsi="宋体" w:cs="宋体"/>
                <w:sz w:val="21"/>
                <w:szCs w:val="21"/>
              </w:rPr>
            </w:pPr>
            <w:r>
              <w:rPr>
                <w:rFonts w:hint="eastAsia"/>
                <w:sz w:val="21"/>
                <w:szCs w:val="21"/>
              </w:rPr>
              <w:t>-0.0746</w:t>
            </w:r>
          </w:p>
        </w:tc>
        <w:tc>
          <w:tcPr>
            <w:tcW w:w="759" w:type="dxa"/>
            <w:tcBorders>
              <w:left w:val="single" w:color="auto" w:sz="4" w:space="0"/>
            </w:tcBorders>
            <w:shd w:val="clear" w:color="auto" w:fill="F3F3F3"/>
            <w:vAlign w:val="center"/>
          </w:tcPr>
          <w:p>
            <w:pPr>
              <w:jc w:val="right"/>
              <w:rPr>
                <w:rFonts w:ascii="宋体" w:hAnsi="宋体" w:cs="宋体"/>
                <w:sz w:val="21"/>
                <w:szCs w:val="21"/>
              </w:rPr>
            </w:pPr>
            <w:r>
              <w:rPr>
                <w:rFonts w:hint="eastAsia"/>
                <w:sz w:val="21"/>
                <w:szCs w:val="21"/>
              </w:rPr>
              <w:t xml:space="preserve">-67.27 </w:t>
            </w:r>
          </w:p>
        </w:tc>
        <w:tc>
          <w:tcPr>
            <w:tcW w:w="932" w:type="dxa"/>
            <w:tcBorders>
              <w:right w:val="single" w:color="auto" w:sz="4" w:space="0"/>
            </w:tcBorders>
            <w:shd w:val="clear" w:color="auto" w:fill="F3F3F3"/>
            <w:vAlign w:val="center"/>
          </w:tcPr>
          <w:p>
            <w:pPr>
              <w:jc w:val="center"/>
              <w:rPr>
                <w:sz w:val="21"/>
                <w:szCs w:val="21"/>
              </w:rPr>
            </w:pPr>
            <w:r>
              <w:rPr>
                <w:sz w:val="21"/>
                <w:szCs w:val="21"/>
              </w:rPr>
              <w:t>0.0789</w:t>
            </w:r>
          </w:p>
        </w:tc>
        <w:tc>
          <w:tcPr>
            <w:tcW w:w="932" w:type="dxa"/>
            <w:tcBorders>
              <w:left w:val="single" w:color="auto" w:sz="4" w:space="0"/>
              <w:right w:val="single" w:color="auto" w:sz="4" w:space="0"/>
            </w:tcBorders>
            <w:shd w:val="clear" w:color="auto" w:fill="F3F3F3"/>
            <w:vAlign w:val="center"/>
          </w:tcPr>
          <w:p>
            <w:pPr>
              <w:jc w:val="center"/>
              <w:rPr>
                <w:sz w:val="21"/>
                <w:szCs w:val="21"/>
              </w:rPr>
            </w:pPr>
            <w:r>
              <w:rPr>
                <w:sz w:val="21"/>
                <w:szCs w:val="21"/>
              </w:rPr>
              <w:t>0.2050</w:t>
            </w:r>
          </w:p>
        </w:tc>
        <w:tc>
          <w:tcPr>
            <w:tcW w:w="794" w:type="dxa"/>
            <w:tcBorders>
              <w:left w:val="single" w:color="auto" w:sz="4" w:space="0"/>
              <w:right w:val="single" w:color="auto" w:sz="4" w:space="0"/>
            </w:tcBorders>
            <w:shd w:val="clear" w:color="auto" w:fill="F3F3F3"/>
            <w:vAlign w:val="center"/>
          </w:tcPr>
          <w:p>
            <w:pPr>
              <w:jc w:val="center"/>
              <w:rPr>
                <w:sz w:val="21"/>
                <w:szCs w:val="21"/>
              </w:rPr>
            </w:pPr>
            <w:r>
              <w:rPr>
                <w:sz w:val="21"/>
                <w:szCs w:val="21"/>
              </w:rPr>
              <w:t>0.1261</w:t>
            </w:r>
          </w:p>
        </w:tc>
        <w:tc>
          <w:tcPr>
            <w:tcW w:w="794" w:type="dxa"/>
            <w:tcBorders>
              <w:left w:val="single" w:color="auto" w:sz="4" w:space="0"/>
            </w:tcBorders>
            <w:shd w:val="clear" w:color="auto" w:fill="F3F3F3"/>
            <w:vAlign w:val="center"/>
          </w:tcPr>
          <w:p>
            <w:pPr>
              <w:jc w:val="center"/>
              <w:rPr>
                <w:sz w:val="21"/>
                <w:szCs w:val="21"/>
              </w:rPr>
            </w:pPr>
            <w:r>
              <w:rPr>
                <w:sz w:val="21"/>
                <w:szCs w:val="21"/>
              </w:rPr>
              <w:t>159.98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2106" w:type="dxa"/>
            <w:vAlign w:val="center"/>
          </w:tcPr>
          <w:p>
            <w:pPr>
              <w:spacing w:line="480" w:lineRule="exact"/>
              <w:jc w:val="center"/>
              <w:rPr>
                <w:sz w:val="21"/>
                <w:szCs w:val="21"/>
              </w:rPr>
            </w:pPr>
            <w:r>
              <w:rPr>
                <w:rFonts w:hAnsi="宋体"/>
                <w:sz w:val="21"/>
                <w:szCs w:val="21"/>
              </w:rPr>
              <w:t>六塘镇</w:t>
            </w:r>
          </w:p>
        </w:tc>
        <w:tc>
          <w:tcPr>
            <w:tcW w:w="932" w:type="dxa"/>
            <w:tcBorders>
              <w:right w:val="single" w:color="auto" w:sz="4" w:space="0"/>
            </w:tcBorders>
            <w:vAlign w:val="center"/>
          </w:tcPr>
          <w:p>
            <w:pPr>
              <w:jc w:val="center"/>
              <w:rPr>
                <w:sz w:val="21"/>
                <w:szCs w:val="21"/>
              </w:rPr>
            </w:pPr>
            <w:r>
              <w:rPr>
                <w:sz w:val="21"/>
                <w:szCs w:val="21"/>
              </w:rPr>
              <w:t>0.0261</w:t>
            </w:r>
          </w:p>
        </w:tc>
        <w:tc>
          <w:tcPr>
            <w:tcW w:w="932" w:type="dxa"/>
            <w:tcBorders>
              <w:left w:val="single" w:color="auto" w:sz="4" w:space="0"/>
            </w:tcBorders>
            <w:vAlign w:val="center"/>
          </w:tcPr>
          <w:p>
            <w:pPr>
              <w:jc w:val="center"/>
              <w:rPr>
                <w:sz w:val="21"/>
                <w:szCs w:val="21"/>
              </w:rPr>
            </w:pPr>
            <w:r>
              <w:rPr>
                <w:sz w:val="21"/>
                <w:szCs w:val="21"/>
              </w:rPr>
              <w:t>0.0452</w:t>
            </w:r>
          </w:p>
        </w:tc>
        <w:tc>
          <w:tcPr>
            <w:tcW w:w="864" w:type="dxa"/>
            <w:tcBorders>
              <w:right w:val="single" w:color="auto" w:sz="4" w:space="0"/>
            </w:tcBorders>
            <w:vAlign w:val="center"/>
          </w:tcPr>
          <w:p>
            <w:pPr>
              <w:jc w:val="right"/>
              <w:rPr>
                <w:rFonts w:ascii="宋体" w:hAnsi="宋体" w:cs="宋体"/>
                <w:sz w:val="21"/>
                <w:szCs w:val="21"/>
              </w:rPr>
            </w:pPr>
            <w:r>
              <w:rPr>
                <w:rFonts w:hint="eastAsia"/>
                <w:sz w:val="21"/>
                <w:szCs w:val="21"/>
              </w:rPr>
              <w:t>-0.0191</w:t>
            </w:r>
          </w:p>
        </w:tc>
        <w:tc>
          <w:tcPr>
            <w:tcW w:w="759" w:type="dxa"/>
            <w:tcBorders>
              <w:left w:val="single" w:color="auto" w:sz="4" w:space="0"/>
              <w:right w:val="single" w:color="auto" w:sz="4" w:space="0"/>
            </w:tcBorders>
            <w:vAlign w:val="center"/>
          </w:tcPr>
          <w:p>
            <w:pPr>
              <w:jc w:val="right"/>
              <w:rPr>
                <w:rFonts w:ascii="宋体" w:hAnsi="宋体" w:cs="宋体"/>
                <w:sz w:val="21"/>
                <w:szCs w:val="21"/>
              </w:rPr>
            </w:pPr>
            <w:r>
              <w:rPr>
                <w:rFonts w:hint="eastAsia"/>
                <w:sz w:val="21"/>
                <w:szCs w:val="21"/>
              </w:rPr>
              <w:t xml:space="preserve">-42.26 </w:t>
            </w:r>
          </w:p>
        </w:tc>
        <w:tc>
          <w:tcPr>
            <w:tcW w:w="932" w:type="dxa"/>
            <w:tcBorders>
              <w:left w:val="single" w:color="auto" w:sz="4" w:space="0"/>
              <w:right w:val="single" w:color="auto" w:sz="4" w:space="0"/>
            </w:tcBorders>
            <w:vAlign w:val="center"/>
          </w:tcPr>
          <w:p>
            <w:pPr>
              <w:jc w:val="center"/>
              <w:rPr>
                <w:sz w:val="21"/>
                <w:szCs w:val="21"/>
              </w:rPr>
            </w:pPr>
            <w:r>
              <w:rPr>
                <w:sz w:val="21"/>
                <w:szCs w:val="21"/>
              </w:rPr>
              <w:t>0.027</w:t>
            </w:r>
          </w:p>
        </w:tc>
        <w:tc>
          <w:tcPr>
            <w:tcW w:w="932" w:type="dxa"/>
            <w:tcBorders>
              <w:left w:val="single" w:color="auto" w:sz="4" w:space="0"/>
            </w:tcBorders>
            <w:vAlign w:val="center"/>
          </w:tcPr>
          <w:p>
            <w:pPr>
              <w:jc w:val="center"/>
              <w:rPr>
                <w:sz w:val="21"/>
                <w:szCs w:val="21"/>
              </w:rPr>
            </w:pPr>
            <w:r>
              <w:rPr>
                <w:sz w:val="21"/>
                <w:szCs w:val="21"/>
              </w:rPr>
              <w:t>0.0742</w:t>
            </w:r>
          </w:p>
        </w:tc>
        <w:tc>
          <w:tcPr>
            <w:tcW w:w="864" w:type="dxa"/>
            <w:tcBorders>
              <w:right w:val="single" w:color="auto" w:sz="4" w:space="0"/>
            </w:tcBorders>
            <w:vAlign w:val="center"/>
          </w:tcPr>
          <w:p>
            <w:pPr>
              <w:jc w:val="right"/>
              <w:rPr>
                <w:rFonts w:ascii="宋体" w:hAnsi="宋体" w:cs="宋体"/>
                <w:sz w:val="21"/>
                <w:szCs w:val="21"/>
              </w:rPr>
            </w:pPr>
            <w:r>
              <w:rPr>
                <w:rFonts w:hint="eastAsia"/>
                <w:sz w:val="21"/>
                <w:szCs w:val="21"/>
              </w:rPr>
              <w:t>-0.0472</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-63.61 </w:t>
            </w:r>
          </w:p>
        </w:tc>
        <w:tc>
          <w:tcPr>
            <w:tcW w:w="932" w:type="dxa"/>
            <w:tcBorders>
              <w:right w:val="single" w:color="auto" w:sz="4" w:space="0"/>
            </w:tcBorders>
            <w:vAlign w:val="center"/>
          </w:tcPr>
          <w:p>
            <w:pPr>
              <w:jc w:val="center"/>
              <w:rPr>
                <w:sz w:val="21"/>
                <w:szCs w:val="21"/>
              </w:rPr>
            </w:pPr>
            <w:r>
              <w:rPr>
                <w:sz w:val="21"/>
                <w:szCs w:val="21"/>
              </w:rPr>
              <w:t>0.0528</w:t>
            </w:r>
          </w:p>
        </w:tc>
        <w:tc>
          <w:tcPr>
            <w:tcW w:w="932" w:type="dxa"/>
            <w:tcBorders>
              <w:left w:val="single" w:color="auto" w:sz="4" w:space="0"/>
              <w:right w:val="single" w:color="auto" w:sz="4" w:space="0"/>
            </w:tcBorders>
            <w:vAlign w:val="center"/>
          </w:tcPr>
          <w:p>
            <w:pPr>
              <w:jc w:val="center"/>
              <w:rPr>
                <w:sz w:val="21"/>
                <w:szCs w:val="21"/>
              </w:rPr>
            </w:pPr>
            <w:r>
              <w:rPr>
                <w:sz w:val="21"/>
                <w:szCs w:val="21"/>
              </w:rPr>
              <w:t>0.1520</w:t>
            </w:r>
          </w:p>
        </w:tc>
        <w:tc>
          <w:tcPr>
            <w:tcW w:w="794" w:type="dxa"/>
            <w:tcBorders>
              <w:left w:val="single" w:color="auto" w:sz="4" w:space="0"/>
              <w:right w:val="single" w:color="auto" w:sz="4" w:space="0"/>
            </w:tcBorders>
            <w:vAlign w:val="center"/>
          </w:tcPr>
          <w:p>
            <w:pPr>
              <w:jc w:val="center"/>
              <w:rPr>
                <w:sz w:val="21"/>
                <w:szCs w:val="21"/>
              </w:rPr>
            </w:pPr>
            <w:r>
              <w:rPr>
                <w:sz w:val="21"/>
                <w:szCs w:val="21"/>
              </w:rPr>
              <w:t>0.0992</w:t>
            </w:r>
          </w:p>
        </w:tc>
        <w:tc>
          <w:tcPr>
            <w:tcW w:w="794" w:type="dxa"/>
            <w:tcBorders>
              <w:left w:val="single" w:color="auto" w:sz="4" w:space="0"/>
            </w:tcBorders>
            <w:vAlign w:val="center"/>
          </w:tcPr>
          <w:p>
            <w:pPr>
              <w:jc w:val="center"/>
              <w:rPr>
                <w:sz w:val="21"/>
                <w:szCs w:val="21"/>
              </w:rPr>
            </w:pPr>
            <w:r>
              <w:rPr>
                <w:sz w:val="21"/>
                <w:szCs w:val="21"/>
              </w:rPr>
              <w:t>187.96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8" w:hRule="atLeast"/>
          <w:jc w:val="center"/>
        </w:trPr>
        <w:tc>
          <w:tcPr>
            <w:tcW w:w="2106" w:type="dxa"/>
            <w:vAlign w:val="center"/>
          </w:tcPr>
          <w:p>
            <w:pPr>
              <w:spacing w:line="480" w:lineRule="exact"/>
              <w:jc w:val="center"/>
              <w:rPr>
                <w:sz w:val="21"/>
                <w:szCs w:val="21"/>
              </w:rPr>
            </w:pPr>
            <w:r>
              <w:rPr>
                <w:rFonts w:hAnsi="宋体"/>
                <w:sz w:val="21"/>
                <w:szCs w:val="21"/>
              </w:rPr>
              <w:t>接龙镇</w:t>
            </w:r>
          </w:p>
        </w:tc>
        <w:tc>
          <w:tcPr>
            <w:tcW w:w="932" w:type="dxa"/>
            <w:tcBorders>
              <w:right w:val="single" w:color="auto" w:sz="4" w:space="0"/>
            </w:tcBorders>
            <w:vAlign w:val="center"/>
          </w:tcPr>
          <w:p>
            <w:pPr>
              <w:jc w:val="center"/>
              <w:rPr>
                <w:sz w:val="21"/>
                <w:szCs w:val="21"/>
              </w:rPr>
            </w:pPr>
            <w:r>
              <w:rPr>
                <w:sz w:val="21"/>
                <w:szCs w:val="21"/>
              </w:rPr>
              <w:t>0.0827</w:t>
            </w:r>
          </w:p>
        </w:tc>
        <w:tc>
          <w:tcPr>
            <w:tcW w:w="932" w:type="dxa"/>
            <w:tcBorders>
              <w:left w:val="single" w:color="auto" w:sz="4" w:space="0"/>
            </w:tcBorders>
            <w:vAlign w:val="center"/>
          </w:tcPr>
          <w:p>
            <w:pPr>
              <w:jc w:val="center"/>
              <w:rPr>
                <w:sz w:val="21"/>
                <w:szCs w:val="21"/>
              </w:rPr>
            </w:pPr>
            <w:r>
              <w:rPr>
                <w:sz w:val="21"/>
                <w:szCs w:val="21"/>
              </w:rPr>
              <w:t>0.1295</w:t>
            </w:r>
          </w:p>
        </w:tc>
        <w:tc>
          <w:tcPr>
            <w:tcW w:w="864" w:type="dxa"/>
            <w:tcBorders>
              <w:right w:val="single" w:color="auto" w:sz="4" w:space="0"/>
            </w:tcBorders>
            <w:vAlign w:val="center"/>
          </w:tcPr>
          <w:p>
            <w:pPr>
              <w:jc w:val="right"/>
              <w:rPr>
                <w:rFonts w:ascii="宋体" w:hAnsi="宋体" w:cs="宋体"/>
                <w:sz w:val="21"/>
                <w:szCs w:val="21"/>
              </w:rPr>
            </w:pPr>
            <w:r>
              <w:rPr>
                <w:rFonts w:hint="eastAsia"/>
                <w:sz w:val="21"/>
                <w:szCs w:val="21"/>
              </w:rPr>
              <w:t>-0.0468</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-36.14 </w:t>
            </w:r>
          </w:p>
        </w:tc>
        <w:tc>
          <w:tcPr>
            <w:tcW w:w="932" w:type="dxa"/>
            <w:tcBorders>
              <w:right w:val="single" w:color="auto" w:sz="4" w:space="0"/>
            </w:tcBorders>
            <w:vAlign w:val="center"/>
          </w:tcPr>
          <w:p>
            <w:pPr>
              <w:jc w:val="center"/>
              <w:rPr>
                <w:sz w:val="21"/>
                <w:szCs w:val="21"/>
              </w:rPr>
            </w:pPr>
            <w:r>
              <w:rPr>
                <w:sz w:val="21"/>
                <w:szCs w:val="21"/>
              </w:rPr>
              <w:t>0.0961</w:t>
            </w:r>
          </w:p>
        </w:tc>
        <w:tc>
          <w:tcPr>
            <w:tcW w:w="932" w:type="dxa"/>
            <w:tcBorders>
              <w:left w:val="single" w:color="auto" w:sz="4" w:space="0"/>
            </w:tcBorders>
            <w:vAlign w:val="center"/>
          </w:tcPr>
          <w:p>
            <w:pPr>
              <w:jc w:val="center"/>
              <w:rPr>
                <w:sz w:val="21"/>
                <w:szCs w:val="21"/>
              </w:rPr>
            </w:pPr>
            <w:r>
              <w:rPr>
                <w:sz w:val="21"/>
                <w:szCs w:val="21"/>
              </w:rPr>
              <w:t>0.2032</w:t>
            </w:r>
          </w:p>
        </w:tc>
        <w:tc>
          <w:tcPr>
            <w:tcW w:w="864" w:type="dxa"/>
            <w:tcBorders>
              <w:right w:val="single" w:color="auto" w:sz="4" w:space="0"/>
            </w:tcBorders>
            <w:vAlign w:val="center"/>
          </w:tcPr>
          <w:p>
            <w:pPr>
              <w:jc w:val="right"/>
              <w:rPr>
                <w:rFonts w:ascii="宋体" w:hAnsi="宋体" w:cs="宋体"/>
                <w:sz w:val="21"/>
                <w:szCs w:val="21"/>
              </w:rPr>
            </w:pPr>
            <w:r>
              <w:rPr>
                <w:rFonts w:hint="eastAsia"/>
                <w:sz w:val="21"/>
                <w:szCs w:val="21"/>
              </w:rPr>
              <w:t>-0.1071</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-52.71 </w:t>
            </w:r>
          </w:p>
        </w:tc>
        <w:tc>
          <w:tcPr>
            <w:tcW w:w="932" w:type="dxa"/>
            <w:tcBorders>
              <w:right w:val="single" w:color="auto" w:sz="4" w:space="0"/>
            </w:tcBorders>
            <w:vAlign w:val="center"/>
          </w:tcPr>
          <w:p>
            <w:pPr>
              <w:jc w:val="center"/>
              <w:rPr>
                <w:sz w:val="21"/>
                <w:szCs w:val="21"/>
              </w:rPr>
            </w:pPr>
            <w:r>
              <w:rPr>
                <w:sz w:val="21"/>
                <w:szCs w:val="21"/>
              </w:rPr>
              <w:t>0.1445</w:t>
            </w:r>
          </w:p>
        </w:tc>
        <w:tc>
          <w:tcPr>
            <w:tcW w:w="932" w:type="dxa"/>
            <w:tcBorders>
              <w:left w:val="single" w:color="auto" w:sz="4" w:space="0"/>
              <w:right w:val="single" w:color="auto" w:sz="4" w:space="0"/>
            </w:tcBorders>
            <w:vAlign w:val="center"/>
          </w:tcPr>
          <w:p>
            <w:pPr>
              <w:jc w:val="center"/>
              <w:rPr>
                <w:sz w:val="21"/>
                <w:szCs w:val="21"/>
              </w:rPr>
            </w:pPr>
            <w:r>
              <w:rPr>
                <w:sz w:val="21"/>
                <w:szCs w:val="21"/>
              </w:rPr>
              <w:t>0.5420</w:t>
            </w:r>
          </w:p>
        </w:tc>
        <w:tc>
          <w:tcPr>
            <w:tcW w:w="794" w:type="dxa"/>
            <w:tcBorders>
              <w:left w:val="single" w:color="auto" w:sz="4" w:space="0"/>
              <w:right w:val="single" w:color="auto" w:sz="4" w:space="0"/>
            </w:tcBorders>
            <w:vAlign w:val="center"/>
          </w:tcPr>
          <w:p>
            <w:pPr>
              <w:jc w:val="center"/>
              <w:rPr>
                <w:sz w:val="21"/>
                <w:szCs w:val="21"/>
              </w:rPr>
            </w:pPr>
            <w:r>
              <w:rPr>
                <w:sz w:val="21"/>
                <w:szCs w:val="21"/>
              </w:rPr>
              <w:t>0.3975</w:t>
            </w:r>
          </w:p>
        </w:tc>
        <w:tc>
          <w:tcPr>
            <w:tcW w:w="794" w:type="dxa"/>
            <w:tcBorders>
              <w:left w:val="single" w:color="auto" w:sz="4" w:space="0"/>
            </w:tcBorders>
            <w:vAlign w:val="center"/>
          </w:tcPr>
          <w:p>
            <w:pPr>
              <w:jc w:val="center"/>
              <w:rPr>
                <w:sz w:val="21"/>
                <w:szCs w:val="21"/>
              </w:rPr>
            </w:pPr>
            <w:r>
              <w:rPr>
                <w:sz w:val="21"/>
                <w:szCs w:val="21"/>
              </w:rPr>
              <w:t>275.04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2" w:hRule="atLeast"/>
          <w:jc w:val="center"/>
        </w:trPr>
        <w:tc>
          <w:tcPr>
            <w:tcW w:w="2106" w:type="dxa"/>
            <w:shd w:val="clear" w:color="auto" w:fill="auto"/>
            <w:vAlign w:val="center"/>
          </w:tcPr>
          <w:p>
            <w:pPr>
              <w:spacing w:line="480" w:lineRule="exact"/>
              <w:jc w:val="center"/>
              <w:rPr>
                <w:sz w:val="21"/>
                <w:szCs w:val="21"/>
              </w:rPr>
            </w:pPr>
            <w:r>
              <w:rPr>
                <w:rFonts w:hAnsi="宋体"/>
                <w:sz w:val="21"/>
                <w:szCs w:val="21"/>
              </w:rPr>
              <w:t>福里树村</w:t>
            </w:r>
          </w:p>
        </w:tc>
        <w:tc>
          <w:tcPr>
            <w:tcW w:w="932" w:type="dxa"/>
            <w:tcBorders>
              <w:right w:val="single" w:color="auto" w:sz="4" w:space="0"/>
            </w:tcBorders>
            <w:shd w:val="clear" w:color="auto" w:fill="auto"/>
            <w:vAlign w:val="center"/>
          </w:tcPr>
          <w:p>
            <w:pPr>
              <w:jc w:val="center"/>
              <w:rPr>
                <w:sz w:val="21"/>
                <w:szCs w:val="21"/>
              </w:rPr>
            </w:pPr>
            <w:r>
              <w:rPr>
                <w:sz w:val="21"/>
                <w:szCs w:val="21"/>
              </w:rPr>
              <w:t>0.322</w:t>
            </w:r>
          </w:p>
        </w:tc>
        <w:tc>
          <w:tcPr>
            <w:tcW w:w="932" w:type="dxa"/>
            <w:tcBorders>
              <w:left w:val="single" w:color="auto" w:sz="4" w:space="0"/>
            </w:tcBorders>
            <w:shd w:val="clear" w:color="auto" w:fill="auto"/>
            <w:vAlign w:val="center"/>
          </w:tcPr>
          <w:p>
            <w:pPr>
              <w:jc w:val="center"/>
              <w:rPr>
                <w:sz w:val="21"/>
                <w:szCs w:val="21"/>
              </w:rPr>
            </w:pPr>
            <w:r>
              <w:rPr>
                <w:sz w:val="21"/>
                <w:szCs w:val="21"/>
              </w:rPr>
              <w:t>0.6615</w:t>
            </w:r>
          </w:p>
        </w:tc>
        <w:tc>
          <w:tcPr>
            <w:tcW w:w="864" w:type="dxa"/>
            <w:tcBorders>
              <w:right w:val="single" w:color="auto" w:sz="4" w:space="0"/>
            </w:tcBorders>
            <w:shd w:val="clear" w:color="auto" w:fill="auto"/>
            <w:vAlign w:val="center"/>
          </w:tcPr>
          <w:p>
            <w:pPr>
              <w:jc w:val="right"/>
              <w:rPr>
                <w:rFonts w:ascii="宋体" w:hAnsi="宋体" w:cs="宋体"/>
                <w:sz w:val="21"/>
                <w:szCs w:val="21"/>
              </w:rPr>
            </w:pPr>
            <w:r>
              <w:rPr>
                <w:rFonts w:hint="eastAsia"/>
                <w:sz w:val="21"/>
                <w:szCs w:val="21"/>
              </w:rPr>
              <w:t>-0.3395</w:t>
            </w:r>
          </w:p>
        </w:tc>
        <w:tc>
          <w:tcPr>
            <w:tcW w:w="759" w:type="dxa"/>
            <w:tcBorders>
              <w:left w:val="single" w:color="auto" w:sz="4" w:space="0"/>
            </w:tcBorders>
            <w:shd w:val="clear" w:color="auto" w:fill="auto"/>
            <w:vAlign w:val="center"/>
          </w:tcPr>
          <w:p>
            <w:pPr>
              <w:jc w:val="right"/>
              <w:rPr>
                <w:rFonts w:ascii="宋体" w:hAnsi="宋体" w:cs="宋体"/>
                <w:sz w:val="21"/>
                <w:szCs w:val="21"/>
              </w:rPr>
            </w:pPr>
            <w:r>
              <w:rPr>
                <w:rFonts w:hint="eastAsia"/>
                <w:sz w:val="21"/>
                <w:szCs w:val="21"/>
              </w:rPr>
              <w:t xml:space="preserve">-51.32 </w:t>
            </w:r>
          </w:p>
        </w:tc>
        <w:tc>
          <w:tcPr>
            <w:tcW w:w="932" w:type="dxa"/>
            <w:tcBorders>
              <w:right w:val="single" w:color="auto" w:sz="4" w:space="0"/>
            </w:tcBorders>
            <w:vAlign w:val="center"/>
          </w:tcPr>
          <w:p>
            <w:pPr>
              <w:jc w:val="center"/>
              <w:rPr>
                <w:sz w:val="21"/>
                <w:szCs w:val="21"/>
              </w:rPr>
            </w:pPr>
            <w:r>
              <w:rPr>
                <w:sz w:val="21"/>
                <w:szCs w:val="21"/>
              </w:rPr>
              <w:t>0.287</w:t>
            </w:r>
          </w:p>
        </w:tc>
        <w:tc>
          <w:tcPr>
            <w:tcW w:w="932" w:type="dxa"/>
            <w:tcBorders>
              <w:left w:val="single" w:color="auto" w:sz="4" w:space="0"/>
            </w:tcBorders>
            <w:vAlign w:val="center"/>
          </w:tcPr>
          <w:p>
            <w:pPr>
              <w:jc w:val="center"/>
              <w:rPr>
                <w:sz w:val="21"/>
                <w:szCs w:val="21"/>
              </w:rPr>
            </w:pPr>
            <w:r>
              <w:rPr>
                <w:sz w:val="21"/>
                <w:szCs w:val="21"/>
              </w:rPr>
              <w:t>1.0503</w:t>
            </w:r>
          </w:p>
        </w:tc>
        <w:tc>
          <w:tcPr>
            <w:tcW w:w="864" w:type="dxa"/>
            <w:tcBorders>
              <w:right w:val="single" w:color="auto" w:sz="4" w:space="0"/>
            </w:tcBorders>
            <w:vAlign w:val="center"/>
          </w:tcPr>
          <w:p>
            <w:pPr>
              <w:jc w:val="right"/>
              <w:rPr>
                <w:rFonts w:ascii="宋体" w:hAnsi="宋体" w:cs="宋体"/>
                <w:sz w:val="21"/>
                <w:szCs w:val="21"/>
              </w:rPr>
            </w:pPr>
            <w:r>
              <w:rPr>
                <w:rFonts w:hint="eastAsia"/>
                <w:sz w:val="21"/>
                <w:szCs w:val="21"/>
              </w:rPr>
              <w:t>-0.7633</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-72.67 </w:t>
            </w:r>
          </w:p>
        </w:tc>
        <w:tc>
          <w:tcPr>
            <w:tcW w:w="932" w:type="dxa"/>
            <w:tcBorders>
              <w:right w:val="single" w:color="auto" w:sz="4" w:space="0"/>
            </w:tcBorders>
            <w:vAlign w:val="center"/>
          </w:tcPr>
          <w:p>
            <w:pPr>
              <w:jc w:val="center"/>
              <w:rPr>
                <w:sz w:val="21"/>
                <w:szCs w:val="21"/>
              </w:rPr>
            </w:pPr>
            <w:r>
              <w:rPr>
                <w:sz w:val="21"/>
                <w:szCs w:val="21"/>
              </w:rPr>
              <w:t>0.7474</w:t>
            </w:r>
          </w:p>
        </w:tc>
        <w:tc>
          <w:tcPr>
            <w:tcW w:w="932" w:type="dxa"/>
            <w:tcBorders>
              <w:left w:val="single" w:color="auto" w:sz="4" w:space="0"/>
              <w:right w:val="single" w:color="auto" w:sz="4" w:space="0"/>
            </w:tcBorders>
            <w:vAlign w:val="center"/>
          </w:tcPr>
          <w:p>
            <w:pPr>
              <w:jc w:val="center"/>
              <w:rPr>
                <w:sz w:val="21"/>
                <w:szCs w:val="21"/>
              </w:rPr>
            </w:pPr>
            <w:r>
              <w:rPr>
                <w:sz w:val="21"/>
                <w:szCs w:val="21"/>
              </w:rPr>
              <w:t>1.6200</w:t>
            </w:r>
          </w:p>
        </w:tc>
        <w:tc>
          <w:tcPr>
            <w:tcW w:w="794" w:type="dxa"/>
            <w:tcBorders>
              <w:left w:val="single" w:color="auto" w:sz="4" w:space="0"/>
              <w:right w:val="single" w:color="auto" w:sz="4" w:space="0"/>
            </w:tcBorders>
            <w:vAlign w:val="center"/>
          </w:tcPr>
          <w:p>
            <w:pPr>
              <w:jc w:val="center"/>
              <w:rPr>
                <w:sz w:val="21"/>
                <w:szCs w:val="21"/>
              </w:rPr>
            </w:pPr>
            <w:r>
              <w:rPr>
                <w:sz w:val="21"/>
                <w:szCs w:val="21"/>
              </w:rPr>
              <w:t>0.8726</w:t>
            </w:r>
          </w:p>
        </w:tc>
        <w:tc>
          <w:tcPr>
            <w:tcW w:w="794" w:type="dxa"/>
            <w:tcBorders>
              <w:left w:val="single" w:color="auto" w:sz="4" w:space="0"/>
            </w:tcBorders>
            <w:vAlign w:val="center"/>
          </w:tcPr>
          <w:p>
            <w:pPr>
              <w:jc w:val="center"/>
              <w:rPr>
                <w:sz w:val="21"/>
                <w:szCs w:val="21"/>
              </w:rPr>
            </w:pPr>
            <w:r>
              <w:rPr>
                <w:sz w:val="21"/>
                <w:szCs w:val="21"/>
              </w:rPr>
              <w:t>116.74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2" w:hRule="atLeast"/>
          <w:jc w:val="center"/>
        </w:trPr>
        <w:tc>
          <w:tcPr>
            <w:tcW w:w="2106" w:type="dxa"/>
            <w:shd w:val="clear" w:color="auto" w:fill="auto"/>
            <w:vAlign w:val="center"/>
          </w:tcPr>
          <w:p>
            <w:pPr>
              <w:spacing w:line="480" w:lineRule="exact"/>
              <w:jc w:val="center"/>
              <w:rPr>
                <w:sz w:val="21"/>
                <w:szCs w:val="21"/>
              </w:rPr>
            </w:pPr>
            <w:r>
              <w:rPr>
                <w:rFonts w:hAnsi="宋体"/>
                <w:sz w:val="21"/>
                <w:szCs w:val="21"/>
              </w:rPr>
              <w:t>殷家老院子</w:t>
            </w:r>
          </w:p>
        </w:tc>
        <w:tc>
          <w:tcPr>
            <w:tcW w:w="932" w:type="dxa"/>
            <w:tcBorders>
              <w:right w:val="single" w:color="auto" w:sz="4" w:space="0"/>
            </w:tcBorders>
            <w:shd w:val="clear" w:color="auto" w:fill="auto"/>
            <w:vAlign w:val="center"/>
          </w:tcPr>
          <w:p>
            <w:pPr>
              <w:jc w:val="center"/>
              <w:rPr>
                <w:sz w:val="21"/>
                <w:szCs w:val="21"/>
              </w:rPr>
            </w:pPr>
            <w:r>
              <w:rPr>
                <w:sz w:val="21"/>
                <w:szCs w:val="21"/>
              </w:rPr>
              <w:t>0.148</w:t>
            </w:r>
          </w:p>
        </w:tc>
        <w:tc>
          <w:tcPr>
            <w:tcW w:w="932" w:type="dxa"/>
            <w:tcBorders>
              <w:left w:val="single" w:color="auto" w:sz="4" w:space="0"/>
            </w:tcBorders>
            <w:shd w:val="clear" w:color="auto" w:fill="auto"/>
            <w:vAlign w:val="center"/>
          </w:tcPr>
          <w:p>
            <w:pPr>
              <w:jc w:val="center"/>
              <w:rPr>
                <w:sz w:val="21"/>
                <w:szCs w:val="21"/>
              </w:rPr>
            </w:pPr>
            <w:r>
              <w:rPr>
                <w:sz w:val="21"/>
                <w:szCs w:val="21"/>
              </w:rPr>
              <w:t>0.2548</w:t>
            </w:r>
          </w:p>
        </w:tc>
        <w:tc>
          <w:tcPr>
            <w:tcW w:w="864" w:type="dxa"/>
            <w:tcBorders>
              <w:right w:val="single" w:color="auto" w:sz="4" w:space="0"/>
            </w:tcBorders>
            <w:shd w:val="clear" w:color="auto" w:fill="auto"/>
            <w:vAlign w:val="center"/>
          </w:tcPr>
          <w:p>
            <w:pPr>
              <w:jc w:val="right"/>
              <w:rPr>
                <w:rFonts w:ascii="宋体" w:hAnsi="宋体" w:cs="宋体"/>
                <w:sz w:val="21"/>
                <w:szCs w:val="21"/>
              </w:rPr>
            </w:pPr>
            <w:r>
              <w:rPr>
                <w:rFonts w:hint="eastAsia"/>
                <w:sz w:val="21"/>
                <w:szCs w:val="21"/>
              </w:rPr>
              <w:t>-0.1068</w:t>
            </w:r>
          </w:p>
        </w:tc>
        <w:tc>
          <w:tcPr>
            <w:tcW w:w="759" w:type="dxa"/>
            <w:tcBorders>
              <w:left w:val="single" w:color="auto" w:sz="4" w:space="0"/>
            </w:tcBorders>
            <w:shd w:val="clear" w:color="auto" w:fill="auto"/>
            <w:vAlign w:val="center"/>
          </w:tcPr>
          <w:p>
            <w:pPr>
              <w:jc w:val="right"/>
              <w:rPr>
                <w:rFonts w:ascii="宋体" w:hAnsi="宋体" w:cs="宋体"/>
                <w:sz w:val="21"/>
                <w:szCs w:val="21"/>
              </w:rPr>
            </w:pPr>
            <w:r>
              <w:rPr>
                <w:rFonts w:hint="eastAsia"/>
                <w:sz w:val="21"/>
                <w:szCs w:val="21"/>
              </w:rPr>
              <w:t xml:space="preserve">-41.92 </w:t>
            </w:r>
          </w:p>
        </w:tc>
        <w:tc>
          <w:tcPr>
            <w:tcW w:w="932" w:type="dxa"/>
            <w:tcBorders>
              <w:right w:val="single" w:color="auto" w:sz="4" w:space="0"/>
            </w:tcBorders>
            <w:shd w:val="clear" w:color="auto" w:fill="auto"/>
            <w:vAlign w:val="center"/>
          </w:tcPr>
          <w:p>
            <w:pPr>
              <w:jc w:val="center"/>
              <w:rPr>
                <w:sz w:val="21"/>
                <w:szCs w:val="21"/>
              </w:rPr>
            </w:pPr>
            <w:r>
              <w:rPr>
                <w:sz w:val="21"/>
                <w:szCs w:val="21"/>
              </w:rPr>
              <w:t>0.165</w:t>
            </w:r>
          </w:p>
        </w:tc>
        <w:tc>
          <w:tcPr>
            <w:tcW w:w="932" w:type="dxa"/>
            <w:tcBorders>
              <w:left w:val="single" w:color="auto" w:sz="4" w:space="0"/>
            </w:tcBorders>
            <w:shd w:val="clear" w:color="auto" w:fill="auto"/>
            <w:vAlign w:val="center"/>
          </w:tcPr>
          <w:p>
            <w:pPr>
              <w:jc w:val="center"/>
              <w:rPr>
                <w:sz w:val="21"/>
                <w:szCs w:val="21"/>
              </w:rPr>
            </w:pPr>
            <w:r>
              <w:rPr>
                <w:sz w:val="21"/>
                <w:szCs w:val="21"/>
              </w:rPr>
              <w:t>0.3916</w:t>
            </w:r>
          </w:p>
        </w:tc>
        <w:tc>
          <w:tcPr>
            <w:tcW w:w="864" w:type="dxa"/>
            <w:tcBorders>
              <w:right w:val="single" w:color="auto" w:sz="4" w:space="0"/>
            </w:tcBorders>
            <w:vAlign w:val="center"/>
          </w:tcPr>
          <w:p>
            <w:pPr>
              <w:jc w:val="right"/>
              <w:rPr>
                <w:rFonts w:ascii="宋体" w:hAnsi="宋体" w:cs="宋体"/>
                <w:sz w:val="21"/>
                <w:szCs w:val="21"/>
              </w:rPr>
            </w:pPr>
            <w:r>
              <w:rPr>
                <w:rFonts w:hint="eastAsia"/>
                <w:sz w:val="21"/>
                <w:szCs w:val="21"/>
              </w:rPr>
              <w:t>-0.2266</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-57.87 </w:t>
            </w:r>
          </w:p>
        </w:tc>
        <w:tc>
          <w:tcPr>
            <w:tcW w:w="932" w:type="dxa"/>
            <w:tcBorders>
              <w:right w:val="single" w:color="auto" w:sz="4" w:space="0"/>
            </w:tcBorders>
            <w:vAlign w:val="center"/>
          </w:tcPr>
          <w:p>
            <w:pPr>
              <w:jc w:val="center"/>
              <w:rPr>
                <w:sz w:val="21"/>
                <w:szCs w:val="21"/>
              </w:rPr>
            </w:pPr>
            <w:r>
              <w:rPr>
                <w:sz w:val="21"/>
                <w:szCs w:val="21"/>
              </w:rPr>
              <w:t>0.2784</w:t>
            </w:r>
          </w:p>
        </w:tc>
        <w:tc>
          <w:tcPr>
            <w:tcW w:w="932" w:type="dxa"/>
            <w:tcBorders>
              <w:left w:val="single" w:color="auto" w:sz="4" w:space="0"/>
              <w:right w:val="single" w:color="auto" w:sz="4" w:space="0"/>
            </w:tcBorders>
            <w:vAlign w:val="center"/>
          </w:tcPr>
          <w:p>
            <w:pPr>
              <w:jc w:val="center"/>
              <w:rPr>
                <w:sz w:val="21"/>
                <w:szCs w:val="21"/>
              </w:rPr>
            </w:pPr>
            <w:r>
              <w:rPr>
                <w:sz w:val="21"/>
                <w:szCs w:val="21"/>
              </w:rPr>
              <w:t>0.9310</w:t>
            </w:r>
          </w:p>
        </w:tc>
        <w:tc>
          <w:tcPr>
            <w:tcW w:w="794" w:type="dxa"/>
            <w:tcBorders>
              <w:left w:val="single" w:color="auto" w:sz="4" w:space="0"/>
              <w:right w:val="single" w:color="auto" w:sz="4" w:space="0"/>
            </w:tcBorders>
            <w:vAlign w:val="center"/>
          </w:tcPr>
          <w:p>
            <w:pPr>
              <w:jc w:val="center"/>
              <w:rPr>
                <w:sz w:val="21"/>
                <w:szCs w:val="21"/>
              </w:rPr>
            </w:pPr>
            <w:r>
              <w:rPr>
                <w:sz w:val="21"/>
                <w:szCs w:val="21"/>
              </w:rPr>
              <w:t>0.6526</w:t>
            </w:r>
          </w:p>
        </w:tc>
        <w:tc>
          <w:tcPr>
            <w:tcW w:w="794" w:type="dxa"/>
            <w:tcBorders>
              <w:left w:val="single" w:color="auto" w:sz="4" w:space="0"/>
            </w:tcBorders>
            <w:vAlign w:val="center"/>
          </w:tcPr>
          <w:p>
            <w:pPr>
              <w:jc w:val="center"/>
              <w:rPr>
                <w:sz w:val="21"/>
                <w:szCs w:val="21"/>
              </w:rPr>
            </w:pPr>
            <w:r>
              <w:rPr>
                <w:sz w:val="21"/>
                <w:szCs w:val="21"/>
              </w:rPr>
              <w:t>234.36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6" w:hRule="atLeast"/>
          <w:jc w:val="center"/>
        </w:trPr>
        <w:tc>
          <w:tcPr>
            <w:tcW w:w="2106" w:type="dxa"/>
            <w:vAlign w:val="center"/>
          </w:tcPr>
          <w:p>
            <w:pPr>
              <w:spacing w:line="480" w:lineRule="exact"/>
              <w:jc w:val="center"/>
              <w:rPr>
                <w:sz w:val="21"/>
                <w:szCs w:val="21"/>
              </w:rPr>
            </w:pPr>
            <w:r>
              <w:rPr>
                <w:rFonts w:hAnsi="宋体"/>
                <w:sz w:val="21"/>
                <w:szCs w:val="21"/>
              </w:rPr>
              <w:t>璧山县</w:t>
            </w:r>
          </w:p>
        </w:tc>
        <w:tc>
          <w:tcPr>
            <w:tcW w:w="932" w:type="dxa"/>
            <w:tcBorders>
              <w:right w:val="single" w:color="auto" w:sz="4" w:space="0"/>
            </w:tcBorders>
            <w:vAlign w:val="center"/>
          </w:tcPr>
          <w:p>
            <w:pPr>
              <w:jc w:val="center"/>
              <w:rPr>
                <w:sz w:val="21"/>
                <w:szCs w:val="21"/>
              </w:rPr>
            </w:pPr>
            <w:r>
              <w:rPr>
                <w:sz w:val="21"/>
                <w:szCs w:val="21"/>
              </w:rPr>
              <w:t>0.0347</w:t>
            </w:r>
          </w:p>
        </w:tc>
        <w:tc>
          <w:tcPr>
            <w:tcW w:w="932" w:type="dxa"/>
            <w:tcBorders>
              <w:left w:val="single" w:color="auto" w:sz="4" w:space="0"/>
            </w:tcBorders>
            <w:vAlign w:val="center"/>
          </w:tcPr>
          <w:p>
            <w:pPr>
              <w:jc w:val="center"/>
              <w:rPr>
                <w:sz w:val="21"/>
                <w:szCs w:val="21"/>
              </w:rPr>
            </w:pPr>
            <w:r>
              <w:rPr>
                <w:sz w:val="21"/>
                <w:szCs w:val="21"/>
              </w:rPr>
              <w:t>0.0694</w:t>
            </w:r>
          </w:p>
        </w:tc>
        <w:tc>
          <w:tcPr>
            <w:tcW w:w="864" w:type="dxa"/>
            <w:tcBorders>
              <w:right w:val="single" w:color="auto" w:sz="4" w:space="0"/>
            </w:tcBorders>
            <w:vAlign w:val="center"/>
          </w:tcPr>
          <w:p>
            <w:pPr>
              <w:jc w:val="right"/>
              <w:rPr>
                <w:rFonts w:ascii="宋体" w:hAnsi="宋体" w:cs="宋体"/>
                <w:sz w:val="21"/>
                <w:szCs w:val="21"/>
              </w:rPr>
            </w:pPr>
            <w:r>
              <w:rPr>
                <w:rFonts w:hint="eastAsia"/>
                <w:sz w:val="21"/>
                <w:szCs w:val="21"/>
              </w:rPr>
              <w:t>-0.0347</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-50.00 </w:t>
            </w:r>
          </w:p>
        </w:tc>
        <w:tc>
          <w:tcPr>
            <w:tcW w:w="932" w:type="dxa"/>
            <w:tcBorders>
              <w:right w:val="single" w:color="auto" w:sz="4" w:space="0"/>
            </w:tcBorders>
            <w:vAlign w:val="center"/>
          </w:tcPr>
          <w:p>
            <w:pPr>
              <w:jc w:val="center"/>
              <w:rPr>
                <w:sz w:val="21"/>
                <w:szCs w:val="21"/>
              </w:rPr>
            </w:pPr>
            <w:r>
              <w:rPr>
                <w:sz w:val="21"/>
                <w:szCs w:val="21"/>
              </w:rPr>
              <w:t>0.0228</w:t>
            </w:r>
          </w:p>
        </w:tc>
        <w:tc>
          <w:tcPr>
            <w:tcW w:w="932" w:type="dxa"/>
            <w:tcBorders>
              <w:left w:val="single" w:color="auto" w:sz="4" w:space="0"/>
            </w:tcBorders>
            <w:vAlign w:val="center"/>
          </w:tcPr>
          <w:p>
            <w:pPr>
              <w:jc w:val="center"/>
              <w:rPr>
                <w:sz w:val="21"/>
                <w:szCs w:val="21"/>
              </w:rPr>
            </w:pPr>
            <w:r>
              <w:rPr>
                <w:sz w:val="21"/>
                <w:szCs w:val="21"/>
              </w:rPr>
              <w:t>0.1063</w:t>
            </w:r>
          </w:p>
        </w:tc>
        <w:tc>
          <w:tcPr>
            <w:tcW w:w="864" w:type="dxa"/>
            <w:tcBorders>
              <w:right w:val="single" w:color="auto" w:sz="4" w:space="0"/>
            </w:tcBorders>
            <w:vAlign w:val="center"/>
          </w:tcPr>
          <w:p>
            <w:pPr>
              <w:jc w:val="right"/>
              <w:rPr>
                <w:rFonts w:ascii="宋体" w:hAnsi="宋体" w:cs="宋体"/>
                <w:sz w:val="21"/>
                <w:szCs w:val="21"/>
              </w:rPr>
            </w:pPr>
            <w:r>
              <w:rPr>
                <w:rFonts w:hint="eastAsia"/>
                <w:sz w:val="21"/>
                <w:szCs w:val="21"/>
              </w:rPr>
              <w:t>-0.0835</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-78.55 </w:t>
            </w:r>
          </w:p>
        </w:tc>
        <w:tc>
          <w:tcPr>
            <w:tcW w:w="932" w:type="dxa"/>
            <w:tcBorders>
              <w:right w:val="single" w:color="auto" w:sz="4" w:space="0"/>
            </w:tcBorders>
            <w:vAlign w:val="center"/>
          </w:tcPr>
          <w:p>
            <w:pPr>
              <w:jc w:val="center"/>
              <w:rPr>
                <w:sz w:val="21"/>
                <w:szCs w:val="21"/>
              </w:rPr>
            </w:pPr>
            <w:r>
              <w:rPr>
                <w:sz w:val="21"/>
                <w:szCs w:val="21"/>
              </w:rPr>
              <w:t>0.0755</w:t>
            </w:r>
          </w:p>
        </w:tc>
        <w:tc>
          <w:tcPr>
            <w:tcW w:w="932" w:type="dxa"/>
            <w:tcBorders>
              <w:left w:val="single" w:color="auto" w:sz="4" w:space="0"/>
              <w:right w:val="single" w:color="auto" w:sz="4" w:space="0"/>
            </w:tcBorders>
            <w:vAlign w:val="center"/>
          </w:tcPr>
          <w:p>
            <w:pPr>
              <w:jc w:val="center"/>
              <w:rPr>
                <w:sz w:val="21"/>
                <w:szCs w:val="21"/>
              </w:rPr>
            </w:pPr>
            <w:r>
              <w:rPr>
                <w:sz w:val="21"/>
                <w:szCs w:val="21"/>
              </w:rPr>
              <w:t>0.1290</w:t>
            </w:r>
          </w:p>
        </w:tc>
        <w:tc>
          <w:tcPr>
            <w:tcW w:w="794" w:type="dxa"/>
            <w:tcBorders>
              <w:left w:val="single" w:color="auto" w:sz="4" w:space="0"/>
              <w:right w:val="single" w:color="auto" w:sz="4" w:space="0"/>
            </w:tcBorders>
            <w:vAlign w:val="center"/>
          </w:tcPr>
          <w:p>
            <w:pPr>
              <w:jc w:val="center"/>
              <w:rPr>
                <w:sz w:val="21"/>
                <w:szCs w:val="21"/>
              </w:rPr>
            </w:pPr>
            <w:r>
              <w:rPr>
                <w:sz w:val="21"/>
                <w:szCs w:val="21"/>
              </w:rPr>
              <w:t>0.0535</w:t>
            </w:r>
          </w:p>
        </w:tc>
        <w:tc>
          <w:tcPr>
            <w:tcW w:w="794" w:type="dxa"/>
            <w:tcBorders>
              <w:left w:val="single" w:color="auto" w:sz="4" w:space="0"/>
            </w:tcBorders>
            <w:vAlign w:val="center"/>
          </w:tcPr>
          <w:p>
            <w:pPr>
              <w:jc w:val="center"/>
              <w:rPr>
                <w:sz w:val="21"/>
                <w:szCs w:val="21"/>
              </w:rPr>
            </w:pPr>
            <w:r>
              <w:rPr>
                <w:sz w:val="21"/>
                <w:szCs w:val="21"/>
              </w:rPr>
              <w:t>70.80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2106" w:type="dxa"/>
            <w:vAlign w:val="center"/>
          </w:tcPr>
          <w:p>
            <w:pPr>
              <w:spacing w:line="480" w:lineRule="exact"/>
              <w:jc w:val="center"/>
              <w:rPr>
                <w:sz w:val="21"/>
                <w:szCs w:val="21"/>
              </w:rPr>
            </w:pPr>
            <w:r>
              <w:rPr>
                <w:rFonts w:hAnsi="宋体"/>
                <w:sz w:val="21"/>
                <w:szCs w:val="21"/>
              </w:rPr>
              <w:t>青鹏煤业公司</w:t>
            </w:r>
            <w:r>
              <w:rPr>
                <w:rFonts w:hint="eastAsia" w:hAnsi="宋体"/>
                <w:sz w:val="21"/>
                <w:szCs w:val="21"/>
              </w:rPr>
              <w:t>家属院</w:t>
            </w:r>
          </w:p>
        </w:tc>
        <w:tc>
          <w:tcPr>
            <w:tcW w:w="932" w:type="dxa"/>
            <w:tcBorders>
              <w:right w:val="single" w:color="auto" w:sz="4" w:space="0"/>
            </w:tcBorders>
            <w:vAlign w:val="center"/>
          </w:tcPr>
          <w:p>
            <w:pPr>
              <w:jc w:val="center"/>
              <w:rPr>
                <w:sz w:val="21"/>
                <w:szCs w:val="21"/>
              </w:rPr>
            </w:pPr>
            <w:r>
              <w:rPr>
                <w:sz w:val="21"/>
                <w:szCs w:val="21"/>
              </w:rPr>
              <w:t>0.167</w:t>
            </w:r>
          </w:p>
        </w:tc>
        <w:tc>
          <w:tcPr>
            <w:tcW w:w="932" w:type="dxa"/>
            <w:tcBorders>
              <w:left w:val="single" w:color="auto" w:sz="4" w:space="0"/>
            </w:tcBorders>
            <w:vAlign w:val="center"/>
          </w:tcPr>
          <w:p>
            <w:pPr>
              <w:jc w:val="center"/>
              <w:rPr>
                <w:sz w:val="21"/>
                <w:szCs w:val="21"/>
              </w:rPr>
            </w:pPr>
            <w:r>
              <w:rPr>
                <w:sz w:val="21"/>
                <w:szCs w:val="21"/>
              </w:rPr>
              <w:t>0.2414</w:t>
            </w:r>
          </w:p>
        </w:tc>
        <w:tc>
          <w:tcPr>
            <w:tcW w:w="864" w:type="dxa"/>
            <w:tcBorders>
              <w:right w:val="single" w:color="auto" w:sz="4" w:space="0"/>
            </w:tcBorders>
            <w:vAlign w:val="center"/>
          </w:tcPr>
          <w:p>
            <w:pPr>
              <w:jc w:val="right"/>
              <w:rPr>
                <w:rFonts w:ascii="宋体" w:hAnsi="宋体" w:cs="宋体"/>
                <w:sz w:val="21"/>
                <w:szCs w:val="21"/>
              </w:rPr>
            </w:pPr>
            <w:r>
              <w:rPr>
                <w:rFonts w:hint="eastAsia"/>
                <w:sz w:val="21"/>
                <w:szCs w:val="21"/>
              </w:rPr>
              <w:t>-0.0744</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-30.82 </w:t>
            </w:r>
          </w:p>
        </w:tc>
        <w:tc>
          <w:tcPr>
            <w:tcW w:w="932" w:type="dxa"/>
            <w:tcBorders>
              <w:right w:val="single" w:color="auto" w:sz="4" w:space="0"/>
            </w:tcBorders>
            <w:vAlign w:val="center"/>
          </w:tcPr>
          <w:p>
            <w:pPr>
              <w:jc w:val="center"/>
              <w:rPr>
                <w:sz w:val="21"/>
                <w:szCs w:val="21"/>
              </w:rPr>
            </w:pPr>
            <w:r>
              <w:rPr>
                <w:sz w:val="21"/>
                <w:szCs w:val="21"/>
              </w:rPr>
              <w:t>0.241</w:t>
            </w:r>
          </w:p>
        </w:tc>
        <w:tc>
          <w:tcPr>
            <w:tcW w:w="932" w:type="dxa"/>
            <w:tcBorders>
              <w:left w:val="single" w:color="auto" w:sz="4" w:space="0"/>
            </w:tcBorders>
            <w:vAlign w:val="center"/>
          </w:tcPr>
          <w:p>
            <w:pPr>
              <w:jc w:val="center"/>
              <w:rPr>
                <w:sz w:val="21"/>
                <w:szCs w:val="21"/>
              </w:rPr>
            </w:pPr>
            <w:r>
              <w:rPr>
                <w:sz w:val="21"/>
                <w:szCs w:val="21"/>
              </w:rPr>
              <w:t>0.453</w:t>
            </w:r>
          </w:p>
        </w:tc>
        <w:tc>
          <w:tcPr>
            <w:tcW w:w="864" w:type="dxa"/>
            <w:tcBorders>
              <w:right w:val="single" w:color="auto" w:sz="4" w:space="0"/>
            </w:tcBorders>
            <w:vAlign w:val="center"/>
          </w:tcPr>
          <w:p>
            <w:pPr>
              <w:jc w:val="right"/>
              <w:rPr>
                <w:rFonts w:ascii="宋体" w:hAnsi="宋体" w:cs="宋体"/>
                <w:sz w:val="21"/>
                <w:szCs w:val="21"/>
              </w:rPr>
            </w:pPr>
            <w:r>
              <w:rPr>
                <w:rFonts w:hint="eastAsia"/>
                <w:sz w:val="21"/>
                <w:szCs w:val="21"/>
              </w:rPr>
              <w:t>-0.212</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-46.80 </w:t>
            </w:r>
          </w:p>
        </w:tc>
        <w:tc>
          <w:tcPr>
            <w:tcW w:w="932" w:type="dxa"/>
            <w:tcBorders>
              <w:right w:val="single" w:color="auto" w:sz="4" w:space="0"/>
            </w:tcBorders>
            <w:vAlign w:val="center"/>
          </w:tcPr>
          <w:p>
            <w:pPr>
              <w:jc w:val="center"/>
              <w:rPr>
                <w:sz w:val="21"/>
                <w:szCs w:val="21"/>
              </w:rPr>
            </w:pPr>
            <w:r>
              <w:rPr>
                <w:sz w:val="21"/>
                <w:szCs w:val="21"/>
              </w:rPr>
              <w:t>0.3227</w:t>
            </w:r>
          </w:p>
        </w:tc>
        <w:tc>
          <w:tcPr>
            <w:tcW w:w="932" w:type="dxa"/>
            <w:tcBorders>
              <w:left w:val="single" w:color="auto" w:sz="4" w:space="0"/>
              <w:right w:val="single" w:color="auto" w:sz="4" w:space="0"/>
            </w:tcBorders>
            <w:vAlign w:val="center"/>
          </w:tcPr>
          <w:p>
            <w:pPr>
              <w:jc w:val="center"/>
              <w:rPr>
                <w:sz w:val="21"/>
                <w:szCs w:val="21"/>
              </w:rPr>
            </w:pPr>
            <w:r>
              <w:rPr>
                <w:sz w:val="21"/>
                <w:szCs w:val="21"/>
              </w:rPr>
              <w:t>1.3600</w:t>
            </w:r>
          </w:p>
        </w:tc>
        <w:tc>
          <w:tcPr>
            <w:tcW w:w="794" w:type="dxa"/>
            <w:tcBorders>
              <w:left w:val="single" w:color="auto" w:sz="4" w:space="0"/>
              <w:right w:val="single" w:color="auto" w:sz="4" w:space="0"/>
            </w:tcBorders>
            <w:vAlign w:val="center"/>
          </w:tcPr>
          <w:p>
            <w:pPr>
              <w:jc w:val="center"/>
              <w:rPr>
                <w:sz w:val="21"/>
                <w:szCs w:val="21"/>
              </w:rPr>
            </w:pPr>
            <w:r>
              <w:rPr>
                <w:sz w:val="21"/>
                <w:szCs w:val="21"/>
              </w:rPr>
              <w:t>1.0373</w:t>
            </w:r>
          </w:p>
        </w:tc>
        <w:tc>
          <w:tcPr>
            <w:tcW w:w="794" w:type="dxa"/>
            <w:tcBorders>
              <w:left w:val="single" w:color="auto" w:sz="4" w:space="0"/>
            </w:tcBorders>
            <w:vAlign w:val="center"/>
          </w:tcPr>
          <w:p>
            <w:pPr>
              <w:jc w:val="center"/>
              <w:rPr>
                <w:sz w:val="21"/>
                <w:szCs w:val="21"/>
              </w:rPr>
            </w:pPr>
            <w:r>
              <w:rPr>
                <w:sz w:val="21"/>
                <w:szCs w:val="21"/>
              </w:rPr>
              <w:t>321.38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4" w:hRule="atLeast"/>
          <w:jc w:val="center"/>
        </w:trPr>
        <w:tc>
          <w:tcPr>
            <w:tcW w:w="2106" w:type="dxa"/>
            <w:vAlign w:val="center"/>
          </w:tcPr>
          <w:p>
            <w:pPr>
              <w:spacing w:line="480" w:lineRule="exact"/>
              <w:jc w:val="center"/>
              <w:rPr>
                <w:sz w:val="21"/>
                <w:szCs w:val="21"/>
              </w:rPr>
            </w:pPr>
            <w:r>
              <w:rPr>
                <w:rFonts w:hAnsi="宋体"/>
                <w:sz w:val="21"/>
                <w:szCs w:val="21"/>
              </w:rPr>
              <w:t>青木关镇</w:t>
            </w:r>
          </w:p>
        </w:tc>
        <w:tc>
          <w:tcPr>
            <w:tcW w:w="932" w:type="dxa"/>
            <w:tcBorders>
              <w:right w:val="single" w:color="auto" w:sz="4" w:space="0"/>
            </w:tcBorders>
            <w:vAlign w:val="center"/>
          </w:tcPr>
          <w:p>
            <w:pPr>
              <w:jc w:val="center"/>
              <w:rPr>
                <w:sz w:val="21"/>
                <w:szCs w:val="21"/>
              </w:rPr>
            </w:pPr>
            <w:r>
              <w:rPr>
                <w:sz w:val="21"/>
                <w:szCs w:val="21"/>
              </w:rPr>
              <w:t>0.16</w:t>
            </w:r>
          </w:p>
        </w:tc>
        <w:tc>
          <w:tcPr>
            <w:tcW w:w="932" w:type="dxa"/>
            <w:tcBorders>
              <w:left w:val="single" w:color="auto" w:sz="4" w:space="0"/>
            </w:tcBorders>
            <w:vAlign w:val="center"/>
          </w:tcPr>
          <w:p>
            <w:pPr>
              <w:jc w:val="center"/>
              <w:rPr>
                <w:sz w:val="21"/>
                <w:szCs w:val="21"/>
              </w:rPr>
            </w:pPr>
            <w:r>
              <w:rPr>
                <w:sz w:val="21"/>
                <w:szCs w:val="21"/>
              </w:rPr>
              <w:t>0.1933</w:t>
            </w:r>
          </w:p>
        </w:tc>
        <w:tc>
          <w:tcPr>
            <w:tcW w:w="864" w:type="dxa"/>
            <w:tcBorders>
              <w:right w:val="single" w:color="auto" w:sz="4" w:space="0"/>
            </w:tcBorders>
            <w:vAlign w:val="center"/>
          </w:tcPr>
          <w:p>
            <w:pPr>
              <w:jc w:val="right"/>
              <w:rPr>
                <w:rFonts w:ascii="宋体" w:hAnsi="宋体" w:cs="宋体"/>
                <w:sz w:val="21"/>
                <w:szCs w:val="21"/>
              </w:rPr>
            </w:pPr>
            <w:r>
              <w:rPr>
                <w:rFonts w:hint="eastAsia"/>
                <w:sz w:val="21"/>
                <w:szCs w:val="21"/>
              </w:rPr>
              <w:t>-0.0333</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-17.23 </w:t>
            </w:r>
          </w:p>
        </w:tc>
        <w:tc>
          <w:tcPr>
            <w:tcW w:w="932" w:type="dxa"/>
            <w:tcBorders>
              <w:right w:val="single" w:color="auto" w:sz="4" w:space="0"/>
            </w:tcBorders>
            <w:vAlign w:val="center"/>
          </w:tcPr>
          <w:p>
            <w:pPr>
              <w:jc w:val="center"/>
              <w:rPr>
                <w:sz w:val="21"/>
                <w:szCs w:val="21"/>
              </w:rPr>
            </w:pPr>
            <w:r>
              <w:rPr>
                <w:sz w:val="21"/>
                <w:szCs w:val="21"/>
              </w:rPr>
              <w:t>0.179</w:t>
            </w:r>
          </w:p>
        </w:tc>
        <w:tc>
          <w:tcPr>
            <w:tcW w:w="932" w:type="dxa"/>
            <w:tcBorders>
              <w:left w:val="single" w:color="auto" w:sz="4" w:space="0"/>
            </w:tcBorders>
            <w:vAlign w:val="center"/>
          </w:tcPr>
          <w:p>
            <w:pPr>
              <w:jc w:val="center"/>
              <w:rPr>
                <w:sz w:val="21"/>
                <w:szCs w:val="21"/>
              </w:rPr>
            </w:pPr>
            <w:r>
              <w:rPr>
                <w:sz w:val="21"/>
                <w:szCs w:val="21"/>
              </w:rPr>
              <w:t>0.3395</w:t>
            </w:r>
          </w:p>
        </w:tc>
        <w:tc>
          <w:tcPr>
            <w:tcW w:w="864" w:type="dxa"/>
            <w:tcBorders>
              <w:right w:val="single" w:color="auto" w:sz="4" w:space="0"/>
            </w:tcBorders>
            <w:vAlign w:val="center"/>
          </w:tcPr>
          <w:p>
            <w:pPr>
              <w:jc w:val="right"/>
              <w:rPr>
                <w:rFonts w:ascii="宋体" w:hAnsi="宋体" w:cs="宋体"/>
                <w:sz w:val="21"/>
                <w:szCs w:val="21"/>
              </w:rPr>
            </w:pPr>
            <w:r>
              <w:rPr>
                <w:rFonts w:hint="eastAsia"/>
                <w:sz w:val="21"/>
                <w:szCs w:val="21"/>
              </w:rPr>
              <w:t>-0.1605</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-47.28 </w:t>
            </w:r>
          </w:p>
        </w:tc>
        <w:tc>
          <w:tcPr>
            <w:tcW w:w="932" w:type="dxa"/>
            <w:tcBorders>
              <w:right w:val="single" w:color="auto" w:sz="4" w:space="0"/>
            </w:tcBorders>
            <w:vAlign w:val="center"/>
          </w:tcPr>
          <w:p>
            <w:pPr>
              <w:jc w:val="center"/>
              <w:rPr>
                <w:sz w:val="21"/>
                <w:szCs w:val="21"/>
              </w:rPr>
            </w:pPr>
            <w:r>
              <w:rPr>
                <w:sz w:val="21"/>
                <w:szCs w:val="21"/>
              </w:rPr>
              <w:t>0.2419</w:t>
            </w:r>
          </w:p>
        </w:tc>
        <w:tc>
          <w:tcPr>
            <w:tcW w:w="932" w:type="dxa"/>
            <w:tcBorders>
              <w:left w:val="single" w:color="auto" w:sz="4" w:space="0"/>
              <w:right w:val="single" w:color="auto" w:sz="4" w:space="0"/>
            </w:tcBorders>
            <w:vAlign w:val="center"/>
          </w:tcPr>
          <w:p>
            <w:pPr>
              <w:jc w:val="center"/>
              <w:rPr>
                <w:sz w:val="21"/>
                <w:szCs w:val="21"/>
              </w:rPr>
            </w:pPr>
            <w:r>
              <w:rPr>
                <w:sz w:val="21"/>
                <w:szCs w:val="21"/>
              </w:rPr>
              <w:t>1.0100</w:t>
            </w:r>
          </w:p>
        </w:tc>
        <w:tc>
          <w:tcPr>
            <w:tcW w:w="794" w:type="dxa"/>
            <w:tcBorders>
              <w:left w:val="single" w:color="auto" w:sz="4" w:space="0"/>
              <w:right w:val="single" w:color="auto" w:sz="4" w:space="0"/>
            </w:tcBorders>
            <w:vAlign w:val="center"/>
          </w:tcPr>
          <w:p>
            <w:pPr>
              <w:jc w:val="center"/>
              <w:rPr>
                <w:sz w:val="21"/>
                <w:szCs w:val="21"/>
              </w:rPr>
            </w:pPr>
            <w:r>
              <w:rPr>
                <w:sz w:val="21"/>
                <w:szCs w:val="21"/>
              </w:rPr>
              <w:t>0.7681</w:t>
            </w:r>
          </w:p>
        </w:tc>
        <w:tc>
          <w:tcPr>
            <w:tcW w:w="794" w:type="dxa"/>
            <w:tcBorders>
              <w:left w:val="single" w:color="auto" w:sz="4" w:space="0"/>
            </w:tcBorders>
            <w:vAlign w:val="center"/>
          </w:tcPr>
          <w:p>
            <w:pPr>
              <w:jc w:val="center"/>
              <w:rPr>
                <w:sz w:val="21"/>
                <w:szCs w:val="21"/>
              </w:rPr>
            </w:pPr>
            <w:r>
              <w:rPr>
                <w:sz w:val="21"/>
                <w:szCs w:val="21"/>
              </w:rPr>
              <w:t>317.61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0" w:hRule="atLeast"/>
          <w:jc w:val="center"/>
        </w:trPr>
        <w:tc>
          <w:tcPr>
            <w:tcW w:w="2106" w:type="dxa"/>
            <w:vAlign w:val="center"/>
          </w:tcPr>
          <w:p>
            <w:pPr>
              <w:spacing w:line="480" w:lineRule="exact"/>
              <w:jc w:val="center"/>
              <w:rPr>
                <w:sz w:val="21"/>
                <w:szCs w:val="21"/>
              </w:rPr>
            </w:pPr>
            <w:r>
              <w:rPr>
                <w:rFonts w:hAnsi="宋体"/>
                <w:sz w:val="21"/>
                <w:szCs w:val="21"/>
              </w:rPr>
              <w:t>凤凰镇</w:t>
            </w:r>
          </w:p>
        </w:tc>
        <w:tc>
          <w:tcPr>
            <w:tcW w:w="932" w:type="dxa"/>
            <w:tcBorders>
              <w:right w:val="single" w:color="auto" w:sz="4" w:space="0"/>
            </w:tcBorders>
            <w:vAlign w:val="center"/>
          </w:tcPr>
          <w:p>
            <w:pPr>
              <w:jc w:val="center"/>
              <w:rPr>
                <w:sz w:val="21"/>
                <w:szCs w:val="21"/>
              </w:rPr>
            </w:pPr>
            <w:r>
              <w:rPr>
                <w:sz w:val="21"/>
                <w:szCs w:val="21"/>
              </w:rPr>
              <w:t>0.0354</w:t>
            </w:r>
          </w:p>
        </w:tc>
        <w:tc>
          <w:tcPr>
            <w:tcW w:w="932" w:type="dxa"/>
            <w:tcBorders>
              <w:left w:val="single" w:color="auto" w:sz="4" w:space="0"/>
            </w:tcBorders>
            <w:vAlign w:val="center"/>
          </w:tcPr>
          <w:p>
            <w:pPr>
              <w:jc w:val="center"/>
              <w:rPr>
                <w:sz w:val="21"/>
                <w:szCs w:val="21"/>
              </w:rPr>
            </w:pPr>
            <w:r>
              <w:rPr>
                <w:sz w:val="21"/>
                <w:szCs w:val="21"/>
              </w:rPr>
              <w:t>0.0547</w:t>
            </w:r>
          </w:p>
        </w:tc>
        <w:tc>
          <w:tcPr>
            <w:tcW w:w="864" w:type="dxa"/>
            <w:tcBorders>
              <w:right w:val="single" w:color="auto" w:sz="4" w:space="0"/>
            </w:tcBorders>
            <w:vAlign w:val="center"/>
          </w:tcPr>
          <w:p>
            <w:pPr>
              <w:jc w:val="right"/>
              <w:rPr>
                <w:rFonts w:ascii="宋体" w:hAnsi="宋体" w:cs="宋体"/>
                <w:sz w:val="21"/>
                <w:szCs w:val="21"/>
              </w:rPr>
            </w:pPr>
            <w:r>
              <w:rPr>
                <w:rFonts w:hint="eastAsia"/>
                <w:sz w:val="21"/>
                <w:szCs w:val="21"/>
              </w:rPr>
              <w:t>-0.0193</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-35.28 </w:t>
            </w:r>
          </w:p>
        </w:tc>
        <w:tc>
          <w:tcPr>
            <w:tcW w:w="932" w:type="dxa"/>
            <w:tcBorders>
              <w:right w:val="single" w:color="auto" w:sz="4" w:space="0"/>
            </w:tcBorders>
            <w:vAlign w:val="center"/>
          </w:tcPr>
          <w:p>
            <w:pPr>
              <w:jc w:val="center"/>
              <w:rPr>
                <w:sz w:val="21"/>
                <w:szCs w:val="21"/>
              </w:rPr>
            </w:pPr>
            <w:r>
              <w:rPr>
                <w:sz w:val="21"/>
                <w:szCs w:val="21"/>
              </w:rPr>
              <w:t>0.0333</w:t>
            </w:r>
          </w:p>
        </w:tc>
        <w:tc>
          <w:tcPr>
            <w:tcW w:w="932" w:type="dxa"/>
            <w:tcBorders>
              <w:left w:val="single" w:color="auto" w:sz="4" w:space="0"/>
            </w:tcBorders>
            <w:vAlign w:val="center"/>
          </w:tcPr>
          <w:p>
            <w:pPr>
              <w:jc w:val="center"/>
              <w:rPr>
                <w:sz w:val="21"/>
                <w:szCs w:val="21"/>
              </w:rPr>
            </w:pPr>
            <w:r>
              <w:rPr>
                <w:sz w:val="21"/>
                <w:szCs w:val="21"/>
              </w:rPr>
              <w:t>0.075</w:t>
            </w:r>
          </w:p>
        </w:tc>
        <w:tc>
          <w:tcPr>
            <w:tcW w:w="864" w:type="dxa"/>
            <w:tcBorders>
              <w:right w:val="single" w:color="auto" w:sz="4" w:space="0"/>
            </w:tcBorders>
            <w:vAlign w:val="center"/>
          </w:tcPr>
          <w:p>
            <w:pPr>
              <w:jc w:val="right"/>
              <w:rPr>
                <w:rFonts w:ascii="宋体" w:hAnsi="宋体" w:cs="宋体"/>
                <w:sz w:val="21"/>
                <w:szCs w:val="21"/>
              </w:rPr>
            </w:pPr>
            <w:r>
              <w:rPr>
                <w:rFonts w:hint="eastAsia"/>
                <w:sz w:val="21"/>
                <w:szCs w:val="21"/>
              </w:rPr>
              <w:t>-0.0417</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-55.60 </w:t>
            </w:r>
          </w:p>
        </w:tc>
        <w:tc>
          <w:tcPr>
            <w:tcW w:w="932" w:type="dxa"/>
            <w:tcBorders>
              <w:right w:val="single" w:color="auto" w:sz="4" w:space="0"/>
            </w:tcBorders>
            <w:vAlign w:val="center"/>
          </w:tcPr>
          <w:p>
            <w:pPr>
              <w:jc w:val="center"/>
              <w:rPr>
                <w:sz w:val="21"/>
                <w:szCs w:val="21"/>
              </w:rPr>
            </w:pPr>
            <w:r>
              <w:rPr>
                <w:sz w:val="21"/>
                <w:szCs w:val="21"/>
              </w:rPr>
              <w:t>0.0534</w:t>
            </w:r>
          </w:p>
        </w:tc>
        <w:tc>
          <w:tcPr>
            <w:tcW w:w="932" w:type="dxa"/>
            <w:tcBorders>
              <w:left w:val="single" w:color="auto" w:sz="4" w:space="0"/>
              <w:right w:val="single" w:color="auto" w:sz="4" w:space="0"/>
            </w:tcBorders>
            <w:vAlign w:val="center"/>
          </w:tcPr>
          <w:p>
            <w:pPr>
              <w:jc w:val="center"/>
              <w:rPr>
                <w:sz w:val="21"/>
                <w:szCs w:val="21"/>
              </w:rPr>
            </w:pPr>
            <w:r>
              <w:rPr>
                <w:sz w:val="21"/>
                <w:szCs w:val="21"/>
              </w:rPr>
              <w:t>0.1880</w:t>
            </w:r>
          </w:p>
        </w:tc>
        <w:tc>
          <w:tcPr>
            <w:tcW w:w="794" w:type="dxa"/>
            <w:tcBorders>
              <w:left w:val="single" w:color="auto" w:sz="4" w:space="0"/>
              <w:right w:val="single" w:color="auto" w:sz="4" w:space="0"/>
            </w:tcBorders>
            <w:vAlign w:val="center"/>
          </w:tcPr>
          <w:p>
            <w:pPr>
              <w:jc w:val="center"/>
              <w:rPr>
                <w:sz w:val="21"/>
                <w:szCs w:val="21"/>
              </w:rPr>
            </w:pPr>
            <w:r>
              <w:rPr>
                <w:sz w:val="21"/>
                <w:szCs w:val="21"/>
              </w:rPr>
              <w:t>0.1346</w:t>
            </w:r>
          </w:p>
        </w:tc>
        <w:tc>
          <w:tcPr>
            <w:tcW w:w="794" w:type="dxa"/>
            <w:tcBorders>
              <w:left w:val="single" w:color="auto" w:sz="4" w:space="0"/>
            </w:tcBorders>
            <w:vAlign w:val="center"/>
          </w:tcPr>
          <w:p>
            <w:pPr>
              <w:jc w:val="center"/>
              <w:rPr>
                <w:sz w:val="21"/>
                <w:szCs w:val="21"/>
              </w:rPr>
            </w:pPr>
            <w:r>
              <w:rPr>
                <w:sz w:val="21"/>
                <w:szCs w:val="21"/>
              </w:rPr>
              <w:t>252.25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8" w:hRule="atLeast"/>
          <w:jc w:val="center"/>
        </w:trPr>
        <w:tc>
          <w:tcPr>
            <w:tcW w:w="2106" w:type="dxa"/>
            <w:vAlign w:val="center"/>
          </w:tcPr>
          <w:p>
            <w:pPr>
              <w:spacing w:line="480" w:lineRule="exact"/>
              <w:jc w:val="center"/>
              <w:rPr>
                <w:sz w:val="21"/>
                <w:szCs w:val="21"/>
              </w:rPr>
            </w:pPr>
            <w:r>
              <w:rPr>
                <w:rFonts w:hAnsi="宋体"/>
                <w:sz w:val="21"/>
                <w:szCs w:val="21"/>
              </w:rPr>
              <w:t>管家桥村</w:t>
            </w:r>
          </w:p>
        </w:tc>
        <w:tc>
          <w:tcPr>
            <w:tcW w:w="932" w:type="dxa"/>
            <w:tcBorders>
              <w:right w:val="single" w:color="auto" w:sz="4" w:space="0"/>
            </w:tcBorders>
            <w:vAlign w:val="center"/>
          </w:tcPr>
          <w:p>
            <w:pPr>
              <w:jc w:val="center"/>
              <w:rPr>
                <w:sz w:val="21"/>
                <w:szCs w:val="21"/>
              </w:rPr>
            </w:pPr>
            <w:r>
              <w:rPr>
                <w:sz w:val="21"/>
                <w:szCs w:val="21"/>
              </w:rPr>
              <w:t>0.626</w:t>
            </w:r>
          </w:p>
        </w:tc>
        <w:tc>
          <w:tcPr>
            <w:tcW w:w="932" w:type="dxa"/>
            <w:tcBorders>
              <w:left w:val="single" w:color="auto" w:sz="4" w:space="0"/>
            </w:tcBorders>
            <w:vAlign w:val="center"/>
          </w:tcPr>
          <w:p>
            <w:pPr>
              <w:jc w:val="center"/>
              <w:rPr>
                <w:sz w:val="21"/>
                <w:szCs w:val="21"/>
              </w:rPr>
            </w:pPr>
            <w:r>
              <w:rPr>
                <w:sz w:val="21"/>
                <w:szCs w:val="21"/>
              </w:rPr>
              <w:t>0.7574</w:t>
            </w:r>
          </w:p>
        </w:tc>
        <w:tc>
          <w:tcPr>
            <w:tcW w:w="864" w:type="dxa"/>
            <w:tcBorders>
              <w:right w:val="single" w:color="auto" w:sz="4" w:space="0"/>
            </w:tcBorders>
            <w:vAlign w:val="center"/>
          </w:tcPr>
          <w:p>
            <w:pPr>
              <w:jc w:val="right"/>
              <w:rPr>
                <w:rFonts w:ascii="宋体" w:hAnsi="宋体" w:cs="宋体"/>
                <w:sz w:val="21"/>
                <w:szCs w:val="21"/>
              </w:rPr>
            </w:pPr>
            <w:r>
              <w:rPr>
                <w:rFonts w:hint="eastAsia"/>
                <w:sz w:val="21"/>
                <w:szCs w:val="21"/>
              </w:rPr>
              <w:t>-0.1314</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-17.35 </w:t>
            </w:r>
          </w:p>
        </w:tc>
        <w:tc>
          <w:tcPr>
            <w:tcW w:w="932" w:type="dxa"/>
            <w:tcBorders>
              <w:right w:val="single" w:color="auto" w:sz="4" w:space="0"/>
            </w:tcBorders>
            <w:vAlign w:val="center"/>
          </w:tcPr>
          <w:p>
            <w:pPr>
              <w:jc w:val="center"/>
              <w:rPr>
                <w:sz w:val="21"/>
                <w:szCs w:val="21"/>
              </w:rPr>
            </w:pPr>
            <w:r>
              <w:rPr>
                <w:sz w:val="21"/>
                <w:szCs w:val="21"/>
              </w:rPr>
              <w:t>0.969</w:t>
            </w:r>
          </w:p>
        </w:tc>
        <w:tc>
          <w:tcPr>
            <w:tcW w:w="932" w:type="dxa"/>
            <w:tcBorders>
              <w:left w:val="single" w:color="auto" w:sz="4" w:space="0"/>
            </w:tcBorders>
            <w:vAlign w:val="center"/>
          </w:tcPr>
          <w:p>
            <w:pPr>
              <w:jc w:val="center"/>
              <w:rPr>
                <w:sz w:val="21"/>
                <w:szCs w:val="21"/>
              </w:rPr>
            </w:pPr>
            <w:r>
              <w:rPr>
                <w:sz w:val="21"/>
                <w:szCs w:val="21"/>
              </w:rPr>
              <w:t>1.0615</w:t>
            </w:r>
          </w:p>
        </w:tc>
        <w:tc>
          <w:tcPr>
            <w:tcW w:w="864" w:type="dxa"/>
            <w:tcBorders>
              <w:right w:val="single" w:color="auto" w:sz="4" w:space="0"/>
            </w:tcBorders>
            <w:vAlign w:val="center"/>
          </w:tcPr>
          <w:p>
            <w:pPr>
              <w:jc w:val="right"/>
              <w:rPr>
                <w:rFonts w:ascii="宋体" w:hAnsi="宋体" w:cs="宋体"/>
                <w:sz w:val="21"/>
                <w:szCs w:val="21"/>
              </w:rPr>
            </w:pPr>
            <w:r>
              <w:rPr>
                <w:rFonts w:hint="eastAsia"/>
                <w:sz w:val="21"/>
                <w:szCs w:val="21"/>
              </w:rPr>
              <w:t>-0.0925</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-8.71 </w:t>
            </w:r>
          </w:p>
        </w:tc>
        <w:tc>
          <w:tcPr>
            <w:tcW w:w="932" w:type="dxa"/>
            <w:tcBorders>
              <w:right w:val="single" w:color="auto" w:sz="4" w:space="0"/>
            </w:tcBorders>
            <w:vAlign w:val="center"/>
          </w:tcPr>
          <w:p>
            <w:pPr>
              <w:jc w:val="center"/>
              <w:rPr>
                <w:sz w:val="21"/>
                <w:szCs w:val="21"/>
              </w:rPr>
            </w:pPr>
            <w:r>
              <w:rPr>
                <w:sz w:val="21"/>
                <w:szCs w:val="21"/>
              </w:rPr>
              <w:t>0.7546</w:t>
            </w:r>
          </w:p>
        </w:tc>
        <w:tc>
          <w:tcPr>
            <w:tcW w:w="932" w:type="dxa"/>
            <w:tcBorders>
              <w:left w:val="single" w:color="auto" w:sz="4" w:space="0"/>
              <w:right w:val="single" w:color="auto" w:sz="4" w:space="0"/>
            </w:tcBorders>
            <w:vAlign w:val="center"/>
          </w:tcPr>
          <w:p>
            <w:pPr>
              <w:jc w:val="center"/>
              <w:rPr>
                <w:sz w:val="21"/>
                <w:szCs w:val="21"/>
              </w:rPr>
            </w:pPr>
            <w:r>
              <w:rPr>
                <w:sz w:val="21"/>
                <w:szCs w:val="21"/>
              </w:rPr>
              <w:t>5.4600</w:t>
            </w:r>
          </w:p>
        </w:tc>
        <w:tc>
          <w:tcPr>
            <w:tcW w:w="794" w:type="dxa"/>
            <w:tcBorders>
              <w:left w:val="single" w:color="auto" w:sz="4" w:space="0"/>
              <w:right w:val="single" w:color="auto" w:sz="4" w:space="0"/>
            </w:tcBorders>
            <w:vAlign w:val="center"/>
          </w:tcPr>
          <w:p>
            <w:pPr>
              <w:jc w:val="center"/>
              <w:rPr>
                <w:sz w:val="21"/>
                <w:szCs w:val="21"/>
              </w:rPr>
            </w:pPr>
            <w:r>
              <w:rPr>
                <w:sz w:val="21"/>
                <w:szCs w:val="21"/>
              </w:rPr>
              <w:t>4.7054</w:t>
            </w:r>
          </w:p>
        </w:tc>
        <w:tc>
          <w:tcPr>
            <w:tcW w:w="794" w:type="dxa"/>
            <w:tcBorders>
              <w:left w:val="single" w:color="auto" w:sz="4" w:space="0"/>
            </w:tcBorders>
            <w:vAlign w:val="center"/>
          </w:tcPr>
          <w:p>
            <w:pPr>
              <w:jc w:val="center"/>
              <w:rPr>
                <w:sz w:val="21"/>
                <w:szCs w:val="21"/>
              </w:rPr>
            </w:pPr>
            <w:r>
              <w:rPr>
                <w:sz w:val="21"/>
                <w:szCs w:val="21"/>
              </w:rPr>
              <w:t>623.59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2" w:hRule="atLeast"/>
          <w:jc w:val="center"/>
        </w:trPr>
        <w:tc>
          <w:tcPr>
            <w:tcW w:w="2106" w:type="dxa"/>
            <w:vAlign w:val="center"/>
          </w:tcPr>
          <w:p>
            <w:pPr>
              <w:spacing w:line="480" w:lineRule="exact"/>
              <w:jc w:val="center"/>
              <w:rPr>
                <w:sz w:val="21"/>
                <w:szCs w:val="21"/>
              </w:rPr>
            </w:pPr>
            <w:r>
              <w:rPr>
                <w:rFonts w:hAnsi="宋体"/>
                <w:sz w:val="21"/>
                <w:szCs w:val="21"/>
              </w:rPr>
              <w:t>陈家桥镇</w:t>
            </w:r>
          </w:p>
        </w:tc>
        <w:tc>
          <w:tcPr>
            <w:tcW w:w="932" w:type="dxa"/>
            <w:tcBorders>
              <w:right w:val="single" w:color="auto" w:sz="4" w:space="0"/>
            </w:tcBorders>
            <w:vAlign w:val="center"/>
          </w:tcPr>
          <w:p>
            <w:pPr>
              <w:jc w:val="center"/>
              <w:rPr>
                <w:sz w:val="21"/>
                <w:szCs w:val="21"/>
              </w:rPr>
            </w:pPr>
            <w:r>
              <w:rPr>
                <w:sz w:val="21"/>
                <w:szCs w:val="21"/>
              </w:rPr>
              <w:t>0.259</w:t>
            </w:r>
          </w:p>
        </w:tc>
        <w:tc>
          <w:tcPr>
            <w:tcW w:w="932" w:type="dxa"/>
            <w:tcBorders>
              <w:left w:val="single" w:color="auto" w:sz="4" w:space="0"/>
            </w:tcBorders>
            <w:vAlign w:val="center"/>
          </w:tcPr>
          <w:p>
            <w:pPr>
              <w:jc w:val="center"/>
              <w:rPr>
                <w:sz w:val="21"/>
                <w:szCs w:val="21"/>
              </w:rPr>
            </w:pPr>
            <w:r>
              <w:rPr>
                <w:sz w:val="21"/>
                <w:szCs w:val="21"/>
              </w:rPr>
              <w:t>0.4666</w:t>
            </w:r>
          </w:p>
        </w:tc>
        <w:tc>
          <w:tcPr>
            <w:tcW w:w="864" w:type="dxa"/>
            <w:tcBorders>
              <w:right w:val="single" w:color="auto" w:sz="4" w:space="0"/>
            </w:tcBorders>
            <w:vAlign w:val="center"/>
          </w:tcPr>
          <w:p>
            <w:pPr>
              <w:jc w:val="right"/>
              <w:rPr>
                <w:rFonts w:ascii="宋体" w:hAnsi="宋体" w:cs="宋体"/>
                <w:sz w:val="21"/>
                <w:szCs w:val="21"/>
              </w:rPr>
            </w:pPr>
            <w:r>
              <w:rPr>
                <w:rFonts w:hint="eastAsia"/>
                <w:sz w:val="21"/>
                <w:szCs w:val="21"/>
              </w:rPr>
              <w:t>-0.2076</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-44.49 </w:t>
            </w:r>
          </w:p>
        </w:tc>
        <w:tc>
          <w:tcPr>
            <w:tcW w:w="932" w:type="dxa"/>
            <w:tcBorders>
              <w:right w:val="single" w:color="auto" w:sz="4" w:space="0"/>
            </w:tcBorders>
            <w:vAlign w:val="center"/>
          </w:tcPr>
          <w:p>
            <w:pPr>
              <w:jc w:val="center"/>
              <w:rPr>
                <w:sz w:val="21"/>
                <w:szCs w:val="21"/>
              </w:rPr>
            </w:pPr>
            <w:r>
              <w:rPr>
                <w:sz w:val="21"/>
                <w:szCs w:val="21"/>
              </w:rPr>
              <w:t>0.272</w:t>
            </w:r>
          </w:p>
        </w:tc>
        <w:tc>
          <w:tcPr>
            <w:tcW w:w="932" w:type="dxa"/>
            <w:tcBorders>
              <w:left w:val="single" w:color="auto" w:sz="4" w:space="0"/>
            </w:tcBorders>
            <w:vAlign w:val="center"/>
          </w:tcPr>
          <w:p>
            <w:pPr>
              <w:jc w:val="center"/>
              <w:rPr>
                <w:sz w:val="21"/>
                <w:szCs w:val="21"/>
              </w:rPr>
            </w:pPr>
            <w:r>
              <w:rPr>
                <w:sz w:val="21"/>
                <w:szCs w:val="21"/>
              </w:rPr>
              <w:t>0.6709</w:t>
            </w:r>
          </w:p>
        </w:tc>
        <w:tc>
          <w:tcPr>
            <w:tcW w:w="864" w:type="dxa"/>
            <w:tcBorders>
              <w:right w:val="single" w:color="auto" w:sz="4" w:space="0"/>
            </w:tcBorders>
            <w:vAlign w:val="center"/>
          </w:tcPr>
          <w:p>
            <w:pPr>
              <w:jc w:val="right"/>
              <w:rPr>
                <w:rFonts w:ascii="宋体" w:hAnsi="宋体" w:cs="宋体"/>
                <w:sz w:val="21"/>
                <w:szCs w:val="21"/>
              </w:rPr>
            </w:pPr>
            <w:r>
              <w:rPr>
                <w:rFonts w:hint="eastAsia"/>
                <w:sz w:val="21"/>
                <w:szCs w:val="21"/>
              </w:rPr>
              <w:t>-0.3989</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-59.46 </w:t>
            </w:r>
          </w:p>
        </w:tc>
        <w:tc>
          <w:tcPr>
            <w:tcW w:w="932" w:type="dxa"/>
            <w:tcBorders>
              <w:right w:val="single" w:color="auto" w:sz="4" w:space="0"/>
            </w:tcBorders>
            <w:vAlign w:val="center"/>
          </w:tcPr>
          <w:p>
            <w:pPr>
              <w:jc w:val="center"/>
              <w:rPr>
                <w:sz w:val="21"/>
                <w:szCs w:val="21"/>
              </w:rPr>
            </w:pPr>
            <w:r>
              <w:rPr>
                <w:sz w:val="21"/>
                <w:szCs w:val="21"/>
              </w:rPr>
              <w:t>0.4772</w:t>
            </w:r>
          </w:p>
        </w:tc>
        <w:tc>
          <w:tcPr>
            <w:tcW w:w="932" w:type="dxa"/>
            <w:tcBorders>
              <w:left w:val="single" w:color="auto" w:sz="4" w:space="0"/>
              <w:right w:val="single" w:color="auto" w:sz="4" w:space="0"/>
            </w:tcBorders>
            <w:vAlign w:val="center"/>
          </w:tcPr>
          <w:p>
            <w:pPr>
              <w:jc w:val="center"/>
              <w:rPr>
                <w:sz w:val="21"/>
                <w:szCs w:val="21"/>
              </w:rPr>
            </w:pPr>
            <w:r>
              <w:rPr>
                <w:sz w:val="21"/>
                <w:szCs w:val="21"/>
              </w:rPr>
              <w:t>1.5300</w:t>
            </w:r>
          </w:p>
        </w:tc>
        <w:tc>
          <w:tcPr>
            <w:tcW w:w="794" w:type="dxa"/>
            <w:tcBorders>
              <w:left w:val="single" w:color="auto" w:sz="4" w:space="0"/>
              <w:right w:val="single" w:color="auto" w:sz="4" w:space="0"/>
            </w:tcBorders>
            <w:vAlign w:val="center"/>
          </w:tcPr>
          <w:p>
            <w:pPr>
              <w:jc w:val="center"/>
              <w:rPr>
                <w:sz w:val="21"/>
                <w:szCs w:val="21"/>
              </w:rPr>
            </w:pPr>
            <w:r>
              <w:rPr>
                <w:sz w:val="21"/>
                <w:szCs w:val="21"/>
              </w:rPr>
              <w:t>1.0528</w:t>
            </w:r>
          </w:p>
        </w:tc>
        <w:tc>
          <w:tcPr>
            <w:tcW w:w="794" w:type="dxa"/>
            <w:tcBorders>
              <w:left w:val="single" w:color="auto" w:sz="4" w:space="0"/>
            </w:tcBorders>
            <w:vAlign w:val="center"/>
          </w:tcPr>
          <w:p>
            <w:pPr>
              <w:jc w:val="center"/>
              <w:rPr>
                <w:sz w:val="21"/>
                <w:szCs w:val="21"/>
              </w:rPr>
            </w:pPr>
            <w:r>
              <w:rPr>
                <w:sz w:val="21"/>
                <w:szCs w:val="21"/>
              </w:rPr>
              <w:t>220.65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2" w:hRule="atLeast"/>
          <w:jc w:val="center"/>
        </w:trPr>
        <w:tc>
          <w:tcPr>
            <w:tcW w:w="2106" w:type="dxa"/>
            <w:vAlign w:val="center"/>
          </w:tcPr>
          <w:p>
            <w:pPr>
              <w:spacing w:line="480" w:lineRule="exact"/>
              <w:jc w:val="center"/>
              <w:rPr>
                <w:sz w:val="21"/>
                <w:szCs w:val="21"/>
              </w:rPr>
            </w:pPr>
            <w:r>
              <w:rPr>
                <w:rFonts w:hAnsi="宋体"/>
                <w:sz w:val="21"/>
                <w:szCs w:val="21"/>
              </w:rPr>
              <w:t>大学城</w:t>
            </w:r>
          </w:p>
        </w:tc>
        <w:tc>
          <w:tcPr>
            <w:tcW w:w="932" w:type="dxa"/>
            <w:tcBorders>
              <w:right w:val="single" w:color="auto" w:sz="4" w:space="0"/>
            </w:tcBorders>
            <w:vAlign w:val="center"/>
          </w:tcPr>
          <w:p>
            <w:pPr>
              <w:jc w:val="center"/>
              <w:rPr>
                <w:sz w:val="21"/>
                <w:szCs w:val="21"/>
              </w:rPr>
            </w:pPr>
            <w:r>
              <w:rPr>
                <w:sz w:val="21"/>
                <w:szCs w:val="21"/>
              </w:rPr>
              <w:t>0.151</w:t>
            </w:r>
          </w:p>
        </w:tc>
        <w:tc>
          <w:tcPr>
            <w:tcW w:w="932" w:type="dxa"/>
            <w:tcBorders>
              <w:left w:val="single" w:color="auto" w:sz="4" w:space="0"/>
            </w:tcBorders>
            <w:vAlign w:val="center"/>
          </w:tcPr>
          <w:p>
            <w:pPr>
              <w:jc w:val="center"/>
              <w:rPr>
                <w:sz w:val="21"/>
                <w:szCs w:val="21"/>
              </w:rPr>
            </w:pPr>
            <w:r>
              <w:rPr>
                <w:sz w:val="21"/>
                <w:szCs w:val="21"/>
              </w:rPr>
              <w:t>0.2854</w:t>
            </w:r>
          </w:p>
        </w:tc>
        <w:tc>
          <w:tcPr>
            <w:tcW w:w="864" w:type="dxa"/>
            <w:tcBorders>
              <w:right w:val="single" w:color="auto" w:sz="4" w:space="0"/>
            </w:tcBorders>
            <w:vAlign w:val="center"/>
          </w:tcPr>
          <w:p>
            <w:pPr>
              <w:jc w:val="right"/>
              <w:rPr>
                <w:rFonts w:ascii="宋体" w:hAnsi="宋体" w:cs="宋体"/>
                <w:sz w:val="21"/>
                <w:szCs w:val="21"/>
              </w:rPr>
            </w:pPr>
            <w:r>
              <w:rPr>
                <w:rFonts w:hint="eastAsia"/>
                <w:sz w:val="21"/>
                <w:szCs w:val="21"/>
              </w:rPr>
              <w:t>-0.1344</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-47.09 </w:t>
            </w:r>
          </w:p>
        </w:tc>
        <w:tc>
          <w:tcPr>
            <w:tcW w:w="932" w:type="dxa"/>
            <w:tcBorders>
              <w:right w:val="single" w:color="auto" w:sz="4" w:space="0"/>
            </w:tcBorders>
            <w:vAlign w:val="center"/>
          </w:tcPr>
          <w:p>
            <w:pPr>
              <w:jc w:val="center"/>
              <w:rPr>
                <w:sz w:val="21"/>
                <w:szCs w:val="21"/>
              </w:rPr>
            </w:pPr>
            <w:r>
              <w:rPr>
                <w:sz w:val="21"/>
                <w:szCs w:val="21"/>
              </w:rPr>
              <w:t>0.133</w:t>
            </w:r>
          </w:p>
        </w:tc>
        <w:tc>
          <w:tcPr>
            <w:tcW w:w="932" w:type="dxa"/>
            <w:tcBorders>
              <w:left w:val="single" w:color="auto" w:sz="4" w:space="0"/>
            </w:tcBorders>
            <w:vAlign w:val="center"/>
          </w:tcPr>
          <w:p>
            <w:pPr>
              <w:jc w:val="center"/>
              <w:rPr>
                <w:sz w:val="21"/>
                <w:szCs w:val="21"/>
              </w:rPr>
            </w:pPr>
            <w:r>
              <w:rPr>
                <w:sz w:val="21"/>
                <w:szCs w:val="21"/>
              </w:rPr>
              <w:t>0.4149</w:t>
            </w:r>
          </w:p>
        </w:tc>
        <w:tc>
          <w:tcPr>
            <w:tcW w:w="864" w:type="dxa"/>
            <w:tcBorders>
              <w:right w:val="single" w:color="auto" w:sz="4" w:space="0"/>
            </w:tcBorders>
            <w:vAlign w:val="center"/>
          </w:tcPr>
          <w:p>
            <w:pPr>
              <w:jc w:val="right"/>
              <w:rPr>
                <w:rFonts w:ascii="宋体" w:hAnsi="宋体" w:cs="宋体"/>
                <w:sz w:val="21"/>
                <w:szCs w:val="21"/>
              </w:rPr>
            </w:pPr>
            <w:r>
              <w:rPr>
                <w:rFonts w:hint="eastAsia"/>
                <w:sz w:val="21"/>
                <w:szCs w:val="21"/>
              </w:rPr>
              <w:t>-0.2819</w:t>
            </w:r>
          </w:p>
        </w:tc>
        <w:tc>
          <w:tcPr>
            <w:tcW w:w="759" w:type="dxa"/>
            <w:tcBorders>
              <w:left w:val="single" w:color="auto" w:sz="4" w:space="0"/>
            </w:tcBorders>
            <w:vAlign w:val="center"/>
          </w:tcPr>
          <w:p>
            <w:pPr>
              <w:jc w:val="right"/>
              <w:rPr>
                <w:rFonts w:ascii="宋体" w:hAnsi="宋体" w:cs="宋体"/>
                <w:sz w:val="21"/>
                <w:szCs w:val="21"/>
              </w:rPr>
            </w:pPr>
            <w:r>
              <w:rPr>
                <w:rFonts w:hint="eastAsia"/>
                <w:sz w:val="21"/>
                <w:szCs w:val="21"/>
              </w:rPr>
              <w:t xml:space="preserve">-67.94 </w:t>
            </w:r>
          </w:p>
        </w:tc>
        <w:tc>
          <w:tcPr>
            <w:tcW w:w="932" w:type="dxa"/>
            <w:tcBorders>
              <w:right w:val="single" w:color="auto" w:sz="4" w:space="0"/>
            </w:tcBorders>
            <w:vAlign w:val="center"/>
          </w:tcPr>
          <w:p>
            <w:pPr>
              <w:jc w:val="center"/>
              <w:rPr>
                <w:sz w:val="21"/>
                <w:szCs w:val="21"/>
              </w:rPr>
            </w:pPr>
            <w:r>
              <w:rPr>
                <w:sz w:val="21"/>
                <w:szCs w:val="21"/>
              </w:rPr>
              <w:t>0.2950</w:t>
            </w:r>
          </w:p>
        </w:tc>
        <w:tc>
          <w:tcPr>
            <w:tcW w:w="932" w:type="dxa"/>
            <w:tcBorders>
              <w:left w:val="single" w:color="auto" w:sz="4" w:space="0"/>
              <w:right w:val="single" w:color="auto" w:sz="4" w:space="0"/>
            </w:tcBorders>
            <w:vAlign w:val="center"/>
          </w:tcPr>
          <w:p>
            <w:pPr>
              <w:jc w:val="center"/>
              <w:rPr>
                <w:sz w:val="21"/>
                <w:szCs w:val="21"/>
              </w:rPr>
            </w:pPr>
            <w:r>
              <w:rPr>
                <w:sz w:val="21"/>
                <w:szCs w:val="21"/>
              </w:rPr>
              <w:t>0.7480</w:t>
            </w:r>
          </w:p>
        </w:tc>
        <w:tc>
          <w:tcPr>
            <w:tcW w:w="794" w:type="dxa"/>
            <w:tcBorders>
              <w:left w:val="single" w:color="auto" w:sz="4" w:space="0"/>
              <w:right w:val="single" w:color="auto" w:sz="4" w:space="0"/>
            </w:tcBorders>
            <w:vAlign w:val="center"/>
          </w:tcPr>
          <w:p>
            <w:pPr>
              <w:jc w:val="center"/>
              <w:rPr>
                <w:sz w:val="21"/>
                <w:szCs w:val="21"/>
              </w:rPr>
            </w:pPr>
            <w:r>
              <w:rPr>
                <w:sz w:val="21"/>
                <w:szCs w:val="21"/>
              </w:rPr>
              <w:t>0.4530</w:t>
            </w:r>
          </w:p>
        </w:tc>
        <w:tc>
          <w:tcPr>
            <w:tcW w:w="794" w:type="dxa"/>
            <w:tcBorders>
              <w:left w:val="single" w:color="auto" w:sz="4" w:space="0"/>
            </w:tcBorders>
            <w:vAlign w:val="center"/>
          </w:tcPr>
          <w:p>
            <w:pPr>
              <w:jc w:val="center"/>
              <w:rPr>
                <w:sz w:val="21"/>
                <w:szCs w:val="21"/>
              </w:rPr>
            </w:pPr>
            <w:r>
              <w:rPr>
                <w:sz w:val="21"/>
                <w:szCs w:val="21"/>
              </w:rPr>
              <w:t>153.54</w:t>
            </w:r>
          </w:p>
        </w:tc>
      </w:tr>
    </w:tbl>
    <w:p>
      <w:pPr>
        <w:adjustRightInd w:val="0"/>
        <w:snapToGrid w:val="0"/>
        <w:spacing w:line="480" w:lineRule="exact"/>
        <w:ind w:firstLine="480"/>
        <w:rPr>
          <w:rFonts w:hint="eastAsia"/>
        </w:rPr>
        <w:sectPr>
          <w:pgSz w:w="16838" w:h="11906" w:orient="landscape"/>
          <w:pgMar w:top="1418" w:right="1418" w:bottom="1418" w:left="1418" w:header="851" w:footer="992" w:gutter="0"/>
          <w:paperSrc w:first="20070" w:other="20070"/>
          <w:cols w:space="425" w:num="1"/>
          <w:docGrid w:linePitch="312" w:charSpace="0"/>
        </w:sectPr>
      </w:pPr>
    </w:p>
    <w:bookmarkEnd w:id="323"/>
    <w:bookmarkEnd w:id="324"/>
    <w:bookmarkEnd w:id="325"/>
    <w:bookmarkEnd w:id="326"/>
    <w:p>
      <w:pPr>
        <w:autoSpaceDE w:val="0"/>
        <w:autoSpaceDN w:val="0"/>
        <w:adjustRightInd w:val="0"/>
        <w:spacing w:line="480" w:lineRule="exact"/>
        <w:ind w:firstLine="315" w:firstLineChars="150"/>
        <w:jc w:val="left"/>
      </w:pPr>
      <w:bookmarkStart w:id="331" w:name="_Toc165607390"/>
      <w:bookmarkStart w:id="332" w:name="_Toc175479832"/>
      <w:bookmarkStart w:id="333" w:name="_Toc473281530"/>
      <w:bookmarkStart w:id="334" w:name="_Toc189814172"/>
      <w:r>
        <w:rPr>
          <w:rFonts w:hint="eastAsia"/>
        </w:rPr>
        <w:t>（8）</w:t>
      </w:r>
      <w:r>
        <w:t>大气环境防护距离</w:t>
      </w:r>
    </w:p>
    <w:p>
      <w:pPr>
        <w:spacing w:line="480" w:lineRule="exact"/>
        <w:ind w:firstLine="315" w:firstLineChars="150"/>
      </w:pPr>
      <w:r>
        <w:rPr>
          <w:rFonts w:hint="eastAsia"/>
        </w:rPr>
        <w:t>技改</w:t>
      </w:r>
      <w:r>
        <w:t>项目无组织排放主要有</w:t>
      </w:r>
      <w:r>
        <w:rPr>
          <w:rFonts w:hint="eastAsia"/>
        </w:rPr>
        <w:t>石灰石堆场，</w:t>
      </w:r>
      <w:r>
        <w:t>无组织排放源强为</w:t>
      </w:r>
      <w:r>
        <w:rPr>
          <w:rFonts w:hint="eastAsia"/>
        </w:rPr>
        <w:t>粉尘28.73</w:t>
      </w:r>
      <w:r>
        <w:t>t/a。根据拟建项目各无组织排放源的相关计算参数计算大气环境防护距离，计算结果见表</w:t>
      </w:r>
      <w:r>
        <w:rPr>
          <w:rFonts w:hint="eastAsia"/>
        </w:rPr>
        <w:t>8-20</w:t>
      </w:r>
      <w:r>
        <w:t>。</w:t>
      </w:r>
    </w:p>
    <w:p>
      <w:pPr>
        <w:spacing w:line="480" w:lineRule="exact"/>
        <w:ind w:firstLine="316" w:firstLineChars="150"/>
        <w:jc w:val="center"/>
        <w:rPr>
          <w:b/>
        </w:rPr>
      </w:pPr>
      <w:r>
        <w:rPr>
          <w:b/>
        </w:rPr>
        <w:t>表</w:t>
      </w:r>
      <w:r>
        <w:rPr>
          <w:rFonts w:hint="eastAsia"/>
          <w:b/>
        </w:rPr>
        <w:t>8-20</w:t>
      </w:r>
      <w:r>
        <w:rPr>
          <w:b/>
        </w:rPr>
        <w:t xml:space="preserve">  大气环境防护距离   单位：m</w:t>
      </w:r>
    </w:p>
    <w:tbl>
      <w:tblPr>
        <w:tblStyle w:val="22"/>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292"/>
        <w:gridCol w:w="846"/>
        <w:gridCol w:w="900"/>
        <w:gridCol w:w="900"/>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8" w:type="dxa"/>
            <w:vAlign w:val="center"/>
          </w:tcPr>
          <w:p>
            <w:pPr>
              <w:adjustRightInd w:val="0"/>
              <w:snapToGrid w:val="0"/>
              <w:spacing w:line="480" w:lineRule="exact"/>
              <w:jc w:val="center"/>
              <w:rPr>
                <w:sz w:val="21"/>
                <w:szCs w:val="21"/>
              </w:rPr>
            </w:pPr>
            <w:r>
              <w:rPr>
                <w:sz w:val="21"/>
                <w:szCs w:val="21"/>
              </w:rPr>
              <w:t>无组织排放源</w:t>
            </w:r>
          </w:p>
        </w:tc>
        <w:tc>
          <w:tcPr>
            <w:tcW w:w="1292" w:type="dxa"/>
            <w:vAlign w:val="center"/>
          </w:tcPr>
          <w:p>
            <w:pPr>
              <w:adjustRightInd w:val="0"/>
              <w:snapToGrid w:val="0"/>
              <w:spacing w:line="480" w:lineRule="exact"/>
              <w:jc w:val="center"/>
              <w:rPr>
                <w:sz w:val="21"/>
                <w:szCs w:val="21"/>
              </w:rPr>
            </w:pPr>
            <w:r>
              <w:rPr>
                <w:sz w:val="21"/>
                <w:szCs w:val="21"/>
              </w:rPr>
              <w:t>污染物</w:t>
            </w:r>
          </w:p>
        </w:tc>
        <w:tc>
          <w:tcPr>
            <w:tcW w:w="846" w:type="dxa"/>
            <w:vAlign w:val="center"/>
          </w:tcPr>
          <w:p>
            <w:pPr>
              <w:adjustRightInd w:val="0"/>
              <w:snapToGrid w:val="0"/>
              <w:spacing w:line="480" w:lineRule="exact"/>
              <w:jc w:val="center"/>
              <w:rPr>
                <w:sz w:val="21"/>
                <w:szCs w:val="21"/>
              </w:rPr>
            </w:pPr>
            <w:r>
              <w:rPr>
                <w:sz w:val="21"/>
                <w:szCs w:val="21"/>
              </w:rPr>
              <w:t>长</w:t>
            </w:r>
          </w:p>
        </w:tc>
        <w:tc>
          <w:tcPr>
            <w:tcW w:w="900" w:type="dxa"/>
            <w:vAlign w:val="center"/>
          </w:tcPr>
          <w:p>
            <w:pPr>
              <w:adjustRightInd w:val="0"/>
              <w:snapToGrid w:val="0"/>
              <w:spacing w:line="480" w:lineRule="exact"/>
              <w:jc w:val="center"/>
              <w:rPr>
                <w:sz w:val="21"/>
                <w:szCs w:val="21"/>
              </w:rPr>
            </w:pPr>
            <w:r>
              <w:rPr>
                <w:sz w:val="21"/>
                <w:szCs w:val="21"/>
              </w:rPr>
              <w:t>宽</w:t>
            </w:r>
          </w:p>
        </w:tc>
        <w:tc>
          <w:tcPr>
            <w:tcW w:w="900" w:type="dxa"/>
            <w:vAlign w:val="center"/>
          </w:tcPr>
          <w:p>
            <w:pPr>
              <w:adjustRightInd w:val="0"/>
              <w:snapToGrid w:val="0"/>
              <w:spacing w:line="480" w:lineRule="exact"/>
              <w:jc w:val="center"/>
              <w:rPr>
                <w:sz w:val="21"/>
                <w:szCs w:val="21"/>
              </w:rPr>
            </w:pPr>
            <w:r>
              <w:rPr>
                <w:sz w:val="21"/>
                <w:szCs w:val="21"/>
              </w:rPr>
              <w:t>高</w:t>
            </w:r>
          </w:p>
        </w:tc>
        <w:tc>
          <w:tcPr>
            <w:tcW w:w="3036" w:type="dxa"/>
            <w:vAlign w:val="center"/>
          </w:tcPr>
          <w:p>
            <w:pPr>
              <w:adjustRightInd w:val="0"/>
              <w:snapToGrid w:val="0"/>
              <w:spacing w:line="480" w:lineRule="exact"/>
              <w:jc w:val="center"/>
              <w:rPr>
                <w:sz w:val="21"/>
                <w:szCs w:val="21"/>
              </w:rPr>
            </w:pPr>
            <w:r>
              <w:rPr>
                <w:sz w:val="21"/>
                <w:szCs w:val="21"/>
              </w:rPr>
              <w:t>大气环境距离（距面源中心）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8" w:type="dxa"/>
            <w:vAlign w:val="center"/>
          </w:tcPr>
          <w:p>
            <w:pPr>
              <w:adjustRightInd w:val="0"/>
              <w:snapToGrid w:val="0"/>
              <w:spacing w:line="480" w:lineRule="exact"/>
              <w:rPr>
                <w:rFonts w:hint="eastAsia"/>
                <w:sz w:val="21"/>
                <w:szCs w:val="21"/>
              </w:rPr>
            </w:pPr>
            <w:r>
              <w:rPr>
                <w:rFonts w:hint="eastAsia"/>
                <w:sz w:val="21"/>
                <w:szCs w:val="21"/>
              </w:rPr>
              <w:t>石灰石堆场</w:t>
            </w:r>
          </w:p>
        </w:tc>
        <w:tc>
          <w:tcPr>
            <w:tcW w:w="1292" w:type="dxa"/>
            <w:vAlign w:val="center"/>
          </w:tcPr>
          <w:p>
            <w:pPr>
              <w:adjustRightInd w:val="0"/>
              <w:snapToGrid w:val="0"/>
              <w:spacing w:line="480" w:lineRule="exact"/>
              <w:jc w:val="center"/>
              <w:rPr>
                <w:sz w:val="21"/>
                <w:szCs w:val="21"/>
              </w:rPr>
            </w:pPr>
            <w:r>
              <w:rPr>
                <w:sz w:val="21"/>
                <w:szCs w:val="21"/>
              </w:rPr>
              <w:t>粉尘</w:t>
            </w:r>
          </w:p>
        </w:tc>
        <w:tc>
          <w:tcPr>
            <w:tcW w:w="846" w:type="dxa"/>
            <w:vAlign w:val="center"/>
          </w:tcPr>
          <w:p>
            <w:pPr>
              <w:adjustRightInd w:val="0"/>
              <w:snapToGrid w:val="0"/>
              <w:spacing w:line="480" w:lineRule="exact"/>
              <w:jc w:val="center"/>
              <w:rPr>
                <w:rFonts w:hint="eastAsia"/>
                <w:sz w:val="21"/>
                <w:szCs w:val="21"/>
              </w:rPr>
            </w:pPr>
            <w:r>
              <w:rPr>
                <w:rFonts w:hint="eastAsia"/>
                <w:sz w:val="21"/>
                <w:szCs w:val="21"/>
              </w:rPr>
              <w:t>60</w:t>
            </w:r>
          </w:p>
        </w:tc>
        <w:tc>
          <w:tcPr>
            <w:tcW w:w="900" w:type="dxa"/>
            <w:vAlign w:val="center"/>
          </w:tcPr>
          <w:p>
            <w:pPr>
              <w:adjustRightInd w:val="0"/>
              <w:snapToGrid w:val="0"/>
              <w:spacing w:line="480" w:lineRule="exact"/>
              <w:jc w:val="center"/>
              <w:rPr>
                <w:rFonts w:hint="eastAsia"/>
                <w:sz w:val="21"/>
                <w:szCs w:val="21"/>
              </w:rPr>
            </w:pPr>
            <w:r>
              <w:rPr>
                <w:rFonts w:hint="eastAsia"/>
                <w:sz w:val="21"/>
                <w:szCs w:val="21"/>
              </w:rPr>
              <w:t>40</w:t>
            </w:r>
          </w:p>
        </w:tc>
        <w:tc>
          <w:tcPr>
            <w:tcW w:w="900" w:type="dxa"/>
            <w:vAlign w:val="center"/>
          </w:tcPr>
          <w:p>
            <w:pPr>
              <w:adjustRightInd w:val="0"/>
              <w:snapToGrid w:val="0"/>
              <w:spacing w:line="480" w:lineRule="exact"/>
              <w:jc w:val="center"/>
              <w:rPr>
                <w:rFonts w:hint="eastAsia"/>
                <w:sz w:val="21"/>
                <w:szCs w:val="21"/>
              </w:rPr>
            </w:pPr>
            <w:r>
              <w:rPr>
                <w:rFonts w:hint="eastAsia"/>
                <w:sz w:val="21"/>
                <w:szCs w:val="21"/>
              </w:rPr>
              <w:t>2.5</w:t>
            </w:r>
          </w:p>
        </w:tc>
        <w:tc>
          <w:tcPr>
            <w:tcW w:w="3036" w:type="dxa"/>
            <w:vAlign w:val="center"/>
          </w:tcPr>
          <w:p>
            <w:pPr>
              <w:adjustRightInd w:val="0"/>
              <w:snapToGrid w:val="0"/>
              <w:spacing w:line="480" w:lineRule="exact"/>
              <w:jc w:val="center"/>
              <w:rPr>
                <w:rFonts w:hint="eastAsia"/>
                <w:sz w:val="21"/>
                <w:szCs w:val="21"/>
              </w:rPr>
            </w:pPr>
            <w:r>
              <w:rPr>
                <w:rFonts w:hint="eastAsia"/>
                <w:sz w:val="21"/>
                <w:szCs w:val="21"/>
              </w:rPr>
              <w:t>200</w:t>
            </w:r>
          </w:p>
        </w:tc>
      </w:tr>
    </w:tbl>
    <w:p>
      <w:pPr>
        <w:autoSpaceDE w:val="0"/>
        <w:autoSpaceDN w:val="0"/>
        <w:adjustRightInd w:val="0"/>
        <w:spacing w:line="360" w:lineRule="auto"/>
        <w:ind w:firstLine="420" w:firstLineChars="200"/>
        <w:jc w:val="left"/>
        <w:rPr>
          <w:rFonts w:hint="eastAsia"/>
        </w:rPr>
      </w:pPr>
    </w:p>
    <w:p>
      <w:pPr>
        <w:spacing w:line="460" w:lineRule="exact"/>
        <w:ind w:firstLine="420" w:firstLineChars="200"/>
        <w:rPr>
          <w:rFonts w:hint="eastAsia"/>
          <w:b/>
          <w:bCs/>
        </w:rPr>
      </w:pPr>
      <w:r>
        <w:rPr>
          <w:kern w:val="0"/>
        </w:rPr>
        <w:t>根据计算结果，</w:t>
      </w:r>
      <w:r>
        <w:rPr>
          <w:rFonts w:hint="eastAsia"/>
          <w:kern w:val="0"/>
        </w:rPr>
        <w:t>技改</w:t>
      </w:r>
      <w:r>
        <w:rPr>
          <w:kern w:val="0"/>
        </w:rPr>
        <w:t>项目最终确定的大气环境防护距离为距</w:t>
      </w:r>
      <w:r>
        <w:rPr>
          <w:rFonts w:hint="eastAsia"/>
          <w:kern w:val="0"/>
        </w:rPr>
        <w:t>石灰石堆场200</w:t>
      </w:r>
      <w:r>
        <w:rPr>
          <w:kern w:val="0"/>
        </w:rPr>
        <w:t>m，</w:t>
      </w:r>
      <w:r>
        <w:rPr>
          <w:rFonts w:hint="eastAsia"/>
          <w:kern w:val="0"/>
        </w:rPr>
        <w:t xml:space="preserve"> </w:t>
      </w:r>
      <w:r>
        <w:rPr>
          <w:kern w:val="0"/>
        </w:rPr>
        <w:t>搬迁项目实施后大气防护距离包络线见图</w:t>
      </w:r>
      <w:r>
        <w:rPr>
          <w:rFonts w:hint="eastAsia"/>
          <w:kern w:val="0"/>
        </w:rPr>
        <w:t>3</w:t>
      </w:r>
      <w:r>
        <w:rPr>
          <w:kern w:val="0"/>
        </w:rPr>
        <w:t>.2。</w:t>
      </w:r>
      <w:r>
        <w:rPr>
          <w:rFonts w:hint="eastAsia"/>
          <w:kern w:val="0"/>
        </w:rPr>
        <w:t>根据现场调查，目前大气防护距离内无居住户，本评价要求</w:t>
      </w:r>
      <w:r>
        <w:rPr>
          <w:rFonts w:hint="eastAsia"/>
        </w:rPr>
        <w:t>在划定的大气防护距离内今后不能规划对粉尘废气敏感的居民区、学校、医院等环境敏感点以及食品、医药企业。</w:t>
      </w:r>
    </w:p>
    <w:p>
      <w:pPr>
        <w:spacing w:line="460" w:lineRule="exact"/>
        <w:rPr>
          <w:rFonts w:hint="eastAsia"/>
          <w:b/>
          <w:bCs/>
        </w:rPr>
      </w:pPr>
    </w:p>
    <w:p>
      <w:pPr>
        <w:spacing w:line="360" w:lineRule="auto"/>
        <w:outlineLvl w:val="1"/>
        <w:rPr>
          <w:rFonts w:hint="eastAsia"/>
          <w:b/>
          <w:bCs/>
        </w:rPr>
      </w:pPr>
      <w:bookmarkStart w:id="335" w:name="_Toc276372252"/>
      <w:r>
        <w:rPr>
          <w:rFonts w:hint="eastAsia"/>
          <w:b/>
          <w:bCs/>
        </w:rPr>
        <w:t>8.2 地表水影响分析</w:t>
      </w:r>
      <w:bookmarkEnd w:id="331"/>
      <w:bookmarkEnd w:id="332"/>
      <w:bookmarkEnd w:id="333"/>
      <w:bookmarkEnd w:id="334"/>
      <w:bookmarkEnd w:id="335"/>
    </w:p>
    <w:p>
      <w:pPr>
        <w:spacing w:line="360" w:lineRule="auto"/>
        <w:outlineLvl w:val="2"/>
        <w:rPr>
          <w:rFonts w:ascii="宋体" w:hAnsi="宋体"/>
          <w:b/>
          <w:bCs/>
        </w:rPr>
      </w:pPr>
      <w:r>
        <w:rPr>
          <w:b/>
          <w:bCs/>
        </w:rPr>
        <w:t>8.2.1</w:t>
      </w:r>
      <w:r>
        <w:rPr>
          <w:rFonts w:hint="eastAsia" w:ascii="宋体" w:hAnsi="宋体"/>
          <w:b/>
          <w:bCs/>
        </w:rPr>
        <w:t xml:space="preserve"> </w:t>
      </w:r>
      <w:r>
        <w:rPr>
          <w:rFonts w:ascii="宋体" w:hAnsi="宋体"/>
          <w:b/>
          <w:bCs/>
        </w:rPr>
        <w:t>地表水环境影响预测评价因子</w:t>
      </w:r>
    </w:p>
    <w:p>
      <w:pPr>
        <w:adjustRightInd w:val="0"/>
        <w:snapToGrid w:val="0"/>
        <w:spacing w:line="360" w:lineRule="auto"/>
        <w:ind w:firstLine="420" w:firstLineChars="200"/>
        <w:rPr>
          <w:rFonts w:hint="eastAsia"/>
        </w:rPr>
      </w:pPr>
      <w:r>
        <w:t>地表水环境影响预测评价因子为COD。</w:t>
      </w:r>
    </w:p>
    <w:p>
      <w:pPr>
        <w:adjustRightInd w:val="0"/>
        <w:snapToGrid w:val="0"/>
        <w:spacing w:line="360" w:lineRule="auto"/>
        <w:ind w:firstLine="420" w:firstLineChars="200"/>
      </w:pPr>
      <w:r>
        <w:t>评价范围为污水排放口至下游</w:t>
      </w:r>
      <w:r>
        <w:rPr>
          <w:rFonts w:hint="eastAsia"/>
        </w:rPr>
        <w:t>15</w:t>
      </w:r>
      <w:r>
        <w:t>00m的</w:t>
      </w:r>
      <w:r>
        <w:rPr>
          <w:rFonts w:hint="eastAsia"/>
        </w:rPr>
        <w:t>河</w:t>
      </w:r>
      <w:r>
        <w:t xml:space="preserve">段， </w:t>
      </w:r>
    </w:p>
    <w:p>
      <w:pPr>
        <w:spacing w:line="360" w:lineRule="auto"/>
        <w:outlineLvl w:val="2"/>
        <w:rPr>
          <w:rFonts w:hint="eastAsia" w:ascii="宋体" w:hAnsi="宋体"/>
          <w:b/>
          <w:bCs/>
        </w:rPr>
      </w:pPr>
      <w:r>
        <w:rPr>
          <w:rFonts w:hint="eastAsia"/>
          <w:b/>
          <w:bCs/>
        </w:rPr>
        <w:t>8.2.2</w:t>
      </w:r>
      <w:r>
        <w:rPr>
          <w:rFonts w:hint="eastAsia" w:ascii="宋体" w:hAnsi="宋体"/>
          <w:b/>
          <w:bCs/>
        </w:rPr>
        <w:t>预测模式及参数选择</w:t>
      </w:r>
    </w:p>
    <w:p>
      <w:pPr>
        <w:spacing w:line="360" w:lineRule="auto"/>
        <w:ind w:firstLine="420" w:firstLineChars="200"/>
        <w:rPr>
          <w:rFonts w:hint="eastAsia"/>
        </w:rPr>
      </w:pPr>
      <w:r>
        <w:rPr>
          <w:rFonts w:hint="eastAsia"/>
        </w:rPr>
        <w:t>（1）模式选择</w:t>
      </w:r>
    </w:p>
    <w:p>
      <w:pPr>
        <w:spacing w:line="360" w:lineRule="auto"/>
        <w:ind w:firstLine="420" w:firstLineChars="200"/>
        <w:rPr>
          <w:rFonts w:hint="eastAsia"/>
        </w:rPr>
      </w:pPr>
      <w:r>
        <w:t>污染源是一个大而复杂的系统，</w:t>
      </w:r>
      <w:r>
        <w:rPr>
          <w:rFonts w:hint="eastAsia"/>
        </w:rPr>
        <w:t>对于小河流</w:t>
      </w:r>
      <w:r>
        <w:t>采用</w:t>
      </w:r>
      <w:r>
        <w:rPr>
          <w:rFonts w:hint="eastAsia"/>
        </w:rPr>
        <w:t>完全混合模式</w:t>
      </w:r>
      <w:r>
        <w:t>，即可</w:t>
      </w:r>
      <w:r>
        <w:rPr>
          <w:rFonts w:hint="eastAsia"/>
        </w:rPr>
        <w:t>得到</w:t>
      </w:r>
      <w:r>
        <w:t>水质模拟结果。</w:t>
      </w:r>
      <w:r>
        <w:rPr>
          <w:rFonts w:hint="eastAsia"/>
        </w:rPr>
        <w:t>完全混合模式</w:t>
      </w:r>
      <w:r>
        <w:t>的基本表达式</w:t>
      </w:r>
      <w:r>
        <w:rPr>
          <w:rFonts w:hint="eastAsia"/>
        </w:rPr>
        <w:t>：</w:t>
      </w:r>
    </w:p>
    <w:p>
      <w:pPr>
        <w:spacing w:line="360" w:lineRule="auto"/>
        <w:ind w:firstLine="482"/>
        <w:rPr>
          <w:rFonts w:hint="eastAsia"/>
        </w:rPr>
      </w:pPr>
      <w:r>
        <w:rPr>
          <w:position w:val="-32"/>
        </w:rPr>
        <w:object>
          <v:shape id="_x0000_i1032" o:spt="75" type="#_x0000_t75" style="height:38.05pt;width:101pt;" o:ole="t" filled="f" o:preferrelative="t" stroked="f" coordsize="21600,21600">
            <v:path/>
            <v:fill on="f" alignshape="1" focussize="0,0"/>
            <v:stroke on="f"/>
            <v:imagedata r:id="rId50" grayscale="f" bilevel="f" o:title=""/>
            <o:lock v:ext="edit" aspectratio="t"/>
            <w10:wrap type="none"/>
            <w10:anchorlock/>
          </v:shape>
          <o:OLEObject Type="Embed" ProgID="Equation.3" ShapeID="_x0000_i1032" DrawAspect="Content" ObjectID="_1468075732" r:id="rId49">
            <o:LockedField>false</o:LockedField>
          </o:OLEObject>
        </w:object>
      </w:r>
    </w:p>
    <w:p>
      <w:pPr>
        <w:spacing w:line="360" w:lineRule="auto"/>
        <w:ind w:firstLine="420" w:firstLineChars="200"/>
      </w:pPr>
      <w:r>
        <w:t>式中：C——污染物浓度，mg/L；</w:t>
      </w:r>
    </w:p>
    <w:p>
      <w:pPr>
        <w:spacing w:line="360" w:lineRule="auto"/>
        <w:ind w:firstLine="420" w:firstLineChars="200"/>
      </w:pPr>
      <w:r>
        <w:t xml:space="preserve">      C</w:t>
      </w:r>
      <w:r>
        <w:rPr>
          <w:vertAlign w:val="subscript"/>
        </w:rPr>
        <w:t>p</w:t>
      </w:r>
      <w:r>
        <w:t>——污染物排放浓度，mg/L；</w:t>
      </w:r>
    </w:p>
    <w:p>
      <w:pPr>
        <w:spacing w:line="360" w:lineRule="auto"/>
        <w:ind w:firstLine="420" w:firstLineChars="200"/>
      </w:pPr>
      <w:r>
        <w:t xml:space="preserve">      Q</w:t>
      </w:r>
      <w:r>
        <w:rPr>
          <w:vertAlign w:val="subscript"/>
        </w:rPr>
        <w:t>p</w:t>
      </w:r>
      <w:r>
        <w:t>——</w:t>
      </w:r>
      <w:r>
        <w:rPr>
          <w:rFonts w:hint="eastAsia"/>
        </w:rPr>
        <w:t>废</w:t>
      </w:r>
      <w:r>
        <w:t>水排放量，m</w:t>
      </w:r>
      <w:r>
        <w:rPr>
          <w:vertAlign w:val="superscript"/>
        </w:rPr>
        <w:t>3</w:t>
      </w:r>
      <w:r>
        <w:t>/</w:t>
      </w:r>
      <w:r>
        <w:rPr>
          <w:rFonts w:hint="eastAsia"/>
        </w:rPr>
        <w:t>d</w:t>
      </w:r>
      <w:r>
        <w:t>；</w:t>
      </w:r>
    </w:p>
    <w:p>
      <w:pPr>
        <w:spacing w:line="360" w:lineRule="auto"/>
        <w:ind w:firstLine="420" w:firstLineChars="200"/>
      </w:pPr>
      <w:r>
        <w:t xml:space="preserve">      C</w:t>
      </w:r>
      <w:r>
        <w:rPr>
          <w:rFonts w:hint="eastAsia"/>
          <w:vertAlign w:val="subscript"/>
        </w:rPr>
        <w:t>E</w:t>
      </w:r>
      <w:r>
        <w:t>——河流来水</w:t>
      </w:r>
      <w:r>
        <w:rPr>
          <w:rFonts w:hint="eastAsia"/>
        </w:rPr>
        <w:t>中的</w:t>
      </w:r>
      <w:r>
        <w:t>污染物浓度，mg/L；</w:t>
      </w:r>
    </w:p>
    <w:p>
      <w:pPr>
        <w:spacing w:line="360" w:lineRule="auto"/>
        <w:ind w:firstLine="420" w:firstLineChars="200"/>
        <w:rPr>
          <w:rFonts w:hint="eastAsia"/>
        </w:rPr>
      </w:pPr>
      <w:r>
        <w:t xml:space="preserve">      Q</w:t>
      </w:r>
      <w:r>
        <w:rPr>
          <w:rFonts w:hint="eastAsia"/>
          <w:vertAlign w:val="subscript"/>
        </w:rPr>
        <w:t>E</w:t>
      </w:r>
      <w:r>
        <w:t>——河流流量，m</w:t>
      </w:r>
      <w:r>
        <w:rPr>
          <w:vertAlign w:val="superscript"/>
        </w:rPr>
        <w:t>3</w:t>
      </w:r>
      <w:r>
        <w:t>/</w:t>
      </w:r>
      <w:r>
        <w:rPr>
          <w:rFonts w:hint="eastAsia"/>
        </w:rPr>
        <w:t>d</w:t>
      </w:r>
      <w:r>
        <w:t>；</w:t>
      </w:r>
    </w:p>
    <w:p>
      <w:pPr>
        <w:spacing w:line="360" w:lineRule="auto"/>
        <w:ind w:firstLine="420" w:firstLineChars="200"/>
        <w:rPr>
          <w:rFonts w:hint="eastAsia"/>
        </w:rPr>
      </w:pPr>
      <w:r>
        <w:rPr>
          <w:rFonts w:hint="eastAsia"/>
        </w:rPr>
        <w:t>（2）参数确定</w:t>
      </w:r>
    </w:p>
    <w:p>
      <w:pPr>
        <w:spacing w:line="360" w:lineRule="auto"/>
        <w:ind w:firstLine="420" w:firstLineChars="200"/>
        <w:rPr>
          <w:rFonts w:hint="eastAsia"/>
        </w:rPr>
      </w:pPr>
      <w:r>
        <w:rPr>
          <w:rFonts w:hint="eastAsia"/>
        </w:rPr>
        <w:t>预测所需各参数选择见表8-21。</w:t>
      </w:r>
    </w:p>
    <w:p>
      <w:pPr>
        <w:spacing w:line="470" w:lineRule="exact"/>
        <w:ind w:firstLine="422" w:firstLineChars="200"/>
        <w:jc w:val="center"/>
        <w:rPr>
          <w:rFonts w:hint="eastAsia"/>
          <w:b/>
        </w:rPr>
      </w:pPr>
      <w:r>
        <w:rPr>
          <w:rFonts w:hint="eastAsia"/>
          <w:b/>
        </w:rPr>
        <w:t>表8-21  参数选择表</w:t>
      </w:r>
    </w:p>
    <w:tbl>
      <w:tblPr>
        <w:tblStyle w:val="22"/>
        <w:tblW w:w="9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6"/>
        <w:gridCol w:w="3026"/>
        <w:gridCol w:w="3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26" w:type="dxa"/>
            <w:vAlign w:val="top"/>
          </w:tcPr>
          <w:p>
            <w:pPr>
              <w:spacing w:line="470" w:lineRule="exact"/>
              <w:jc w:val="center"/>
              <w:rPr>
                <w:rFonts w:hint="eastAsia"/>
                <w:sz w:val="21"/>
                <w:szCs w:val="21"/>
              </w:rPr>
            </w:pPr>
          </w:p>
        </w:tc>
        <w:tc>
          <w:tcPr>
            <w:tcW w:w="3026" w:type="dxa"/>
            <w:vAlign w:val="top"/>
          </w:tcPr>
          <w:p>
            <w:pPr>
              <w:spacing w:line="470" w:lineRule="exact"/>
              <w:jc w:val="center"/>
              <w:rPr>
                <w:rFonts w:hint="eastAsia"/>
                <w:sz w:val="21"/>
                <w:szCs w:val="21"/>
              </w:rPr>
            </w:pPr>
            <w:r>
              <w:rPr>
                <w:rFonts w:hint="eastAsia"/>
                <w:sz w:val="21"/>
                <w:szCs w:val="21"/>
              </w:rPr>
              <w:t>流量（m</w:t>
            </w:r>
            <w:r>
              <w:rPr>
                <w:rFonts w:hint="eastAsia"/>
                <w:sz w:val="21"/>
                <w:szCs w:val="21"/>
                <w:vertAlign w:val="superscript"/>
              </w:rPr>
              <w:t>3</w:t>
            </w:r>
            <w:r>
              <w:rPr>
                <w:rFonts w:hint="eastAsia"/>
                <w:sz w:val="21"/>
                <w:szCs w:val="21"/>
              </w:rPr>
              <w:t>/d）</w:t>
            </w:r>
          </w:p>
        </w:tc>
        <w:tc>
          <w:tcPr>
            <w:tcW w:w="3026" w:type="dxa"/>
            <w:vAlign w:val="top"/>
          </w:tcPr>
          <w:p>
            <w:pPr>
              <w:spacing w:line="470" w:lineRule="exact"/>
              <w:jc w:val="center"/>
              <w:rPr>
                <w:rFonts w:hint="eastAsia"/>
                <w:sz w:val="21"/>
                <w:szCs w:val="21"/>
              </w:rPr>
            </w:pPr>
            <w:r>
              <w:rPr>
                <w:rFonts w:hint="eastAsia"/>
                <w:sz w:val="21"/>
                <w:szCs w:val="21"/>
              </w:rPr>
              <w:t>COD（mg/L）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26" w:type="dxa"/>
            <w:vAlign w:val="top"/>
          </w:tcPr>
          <w:p>
            <w:pPr>
              <w:spacing w:line="470" w:lineRule="exact"/>
              <w:jc w:val="center"/>
              <w:rPr>
                <w:rFonts w:hint="eastAsia"/>
                <w:sz w:val="21"/>
                <w:szCs w:val="21"/>
              </w:rPr>
            </w:pPr>
            <w:r>
              <w:rPr>
                <w:rFonts w:hint="eastAsia"/>
                <w:sz w:val="21"/>
                <w:szCs w:val="21"/>
              </w:rPr>
              <w:t>无名河沟</w:t>
            </w:r>
          </w:p>
        </w:tc>
        <w:tc>
          <w:tcPr>
            <w:tcW w:w="3026" w:type="dxa"/>
            <w:vAlign w:val="top"/>
          </w:tcPr>
          <w:p>
            <w:pPr>
              <w:spacing w:line="470" w:lineRule="exact"/>
              <w:jc w:val="center"/>
              <w:rPr>
                <w:rFonts w:hint="eastAsia"/>
                <w:sz w:val="21"/>
                <w:szCs w:val="21"/>
              </w:rPr>
            </w:pPr>
            <w:r>
              <w:rPr>
                <w:rFonts w:hint="eastAsia"/>
                <w:sz w:val="21"/>
                <w:szCs w:val="21"/>
              </w:rPr>
              <w:t>2282.7*</w:t>
            </w:r>
          </w:p>
        </w:tc>
        <w:tc>
          <w:tcPr>
            <w:tcW w:w="3026" w:type="dxa"/>
            <w:vAlign w:val="top"/>
          </w:tcPr>
          <w:p>
            <w:pPr>
              <w:spacing w:line="470" w:lineRule="exact"/>
              <w:jc w:val="center"/>
              <w:rPr>
                <w:rFonts w:hint="eastAsia"/>
                <w:sz w:val="21"/>
                <w:szCs w:val="21"/>
              </w:rPr>
            </w:pPr>
            <w:r>
              <w:rPr>
                <w:rFonts w:hint="eastAsia"/>
                <w:sz w:val="21"/>
                <w:szCs w:val="21"/>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26" w:type="dxa"/>
            <w:vAlign w:val="top"/>
          </w:tcPr>
          <w:p>
            <w:pPr>
              <w:spacing w:line="470" w:lineRule="exact"/>
              <w:jc w:val="center"/>
              <w:rPr>
                <w:rFonts w:hint="eastAsia"/>
                <w:sz w:val="21"/>
                <w:szCs w:val="21"/>
              </w:rPr>
            </w:pPr>
            <w:r>
              <w:rPr>
                <w:rFonts w:hint="eastAsia"/>
                <w:sz w:val="21"/>
                <w:szCs w:val="21"/>
              </w:rPr>
              <w:t>技改项目排放废水</w:t>
            </w:r>
          </w:p>
        </w:tc>
        <w:tc>
          <w:tcPr>
            <w:tcW w:w="3026" w:type="dxa"/>
            <w:vAlign w:val="top"/>
          </w:tcPr>
          <w:p>
            <w:pPr>
              <w:spacing w:line="470" w:lineRule="exact"/>
              <w:jc w:val="center"/>
              <w:rPr>
                <w:rFonts w:hint="eastAsia"/>
                <w:sz w:val="21"/>
                <w:szCs w:val="21"/>
              </w:rPr>
            </w:pPr>
            <w:r>
              <w:rPr>
                <w:rFonts w:hint="eastAsia"/>
                <w:sz w:val="21"/>
                <w:szCs w:val="21"/>
              </w:rPr>
              <w:t>52.6</w:t>
            </w:r>
          </w:p>
        </w:tc>
        <w:tc>
          <w:tcPr>
            <w:tcW w:w="3026" w:type="dxa"/>
            <w:vAlign w:val="top"/>
          </w:tcPr>
          <w:p>
            <w:pPr>
              <w:spacing w:line="470" w:lineRule="exact"/>
              <w:jc w:val="center"/>
              <w:rPr>
                <w:rFonts w:hint="eastAsia"/>
                <w:sz w:val="21"/>
                <w:szCs w:val="21"/>
              </w:rPr>
            </w:pPr>
            <w:r>
              <w:rPr>
                <w:rFonts w:hint="eastAsia"/>
                <w:sz w:val="21"/>
                <w:szCs w:val="21"/>
              </w:rPr>
              <w:t>100</w:t>
            </w:r>
          </w:p>
        </w:tc>
      </w:tr>
    </w:tbl>
    <w:p>
      <w:pPr>
        <w:ind w:firstLine="360" w:firstLineChars="200"/>
        <w:rPr>
          <w:rFonts w:hint="eastAsia"/>
          <w:sz w:val="18"/>
          <w:szCs w:val="18"/>
        </w:rPr>
      </w:pPr>
      <w:r>
        <w:rPr>
          <w:rFonts w:hint="eastAsia"/>
          <w:sz w:val="18"/>
          <w:szCs w:val="18"/>
        </w:rPr>
        <w:t>*无名河沟原有水量为4500 m</w:t>
      </w:r>
      <w:r>
        <w:rPr>
          <w:rFonts w:hint="eastAsia"/>
          <w:sz w:val="18"/>
          <w:szCs w:val="18"/>
          <w:vertAlign w:val="superscript"/>
        </w:rPr>
        <w:t>3</w:t>
      </w:r>
      <w:r>
        <w:rPr>
          <w:rFonts w:hint="eastAsia"/>
          <w:sz w:val="18"/>
          <w:szCs w:val="18"/>
        </w:rPr>
        <w:t>/d，技改项目取水量为2642.3 m</w:t>
      </w:r>
      <w:r>
        <w:rPr>
          <w:rFonts w:hint="eastAsia"/>
          <w:sz w:val="18"/>
          <w:szCs w:val="18"/>
          <w:vertAlign w:val="superscript"/>
        </w:rPr>
        <w:t>3</w:t>
      </w:r>
      <w:r>
        <w:rPr>
          <w:rFonts w:hint="eastAsia"/>
          <w:sz w:val="18"/>
          <w:szCs w:val="18"/>
        </w:rPr>
        <w:t>/d，清净下水排水量为425 m</w:t>
      </w:r>
      <w:r>
        <w:rPr>
          <w:rFonts w:hint="eastAsia"/>
          <w:sz w:val="18"/>
          <w:szCs w:val="18"/>
          <w:vertAlign w:val="superscript"/>
        </w:rPr>
        <w:t>3</w:t>
      </w:r>
      <w:r>
        <w:rPr>
          <w:rFonts w:hint="eastAsia"/>
          <w:sz w:val="18"/>
          <w:szCs w:val="18"/>
        </w:rPr>
        <w:t>/d，河流流量最终为2282.7 m</w:t>
      </w:r>
      <w:r>
        <w:rPr>
          <w:rFonts w:hint="eastAsia"/>
          <w:sz w:val="18"/>
          <w:szCs w:val="18"/>
          <w:vertAlign w:val="superscript"/>
        </w:rPr>
        <w:t>3</w:t>
      </w:r>
      <w:r>
        <w:rPr>
          <w:rFonts w:hint="eastAsia"/>
          <w:sz w:val="18"/>
          <w:szCs w:val="18"/>
        </w:rPr>
        <w:t>/d。</w:t>
      </w:r>
    </w:p>
    <w:p>
      <w:pPr>
        <w:spacing w:line="360" w:lineRule="auto"/>
        <w:outlineLvl w:val="2"/>
        <w:rPr>
          <w:rFonts w:hint="eastAsia"/>
          <w:b/>
          <w:bCs/>
        </w:rPr>
      </w:pPr>
    </w:p>
    <w:p>
      <w:pPr>
        <w:spacing w:line="360" w:lineRule="auto"/>
        <w:outlineLvl w:val="2"/>
        <w:rPr>
          <w:rFonts w:hint="eastAsia" w:ascii="宋体" w:hAnsi="宋体"/>
          <w:b/>
          <w:bCs/>
        </w:rPr>
      </w:pPr>
      <w:r>
        <w:rPr>
          <w:rFonts w:hint="eastAsia"/>
          <w:b/>
          <w:bCs/>
        </w:rPr>
        <w:t xml:space="preserve">8.2.3 </w:t>
      </w:r>
      <w:r>
        <w:rPr>
          <w:rFonts w:hint="eastAsia" w:ascii="宋体" w:hAnsi="宋体"/>
          <w:b/>
          <w:bCs/>
        </w:rPr>
        <w:t>预测结果</w:t>
      </w:r>
    </w:p>
    <w:p>
      <w:pPr>
        <w:spacing w:line="360" w:lineRule="auto"/>
        <w:ind w:firstLine="420" w:firstLineChars="200"/>
        <w:rPr>
          <w:rFonts w:hint="eastAsia"/>
        </w:rPr>
      </w:pPr>
      <w:r>
        <w:rPr>
          <w:rFonts w:hint="eastAsia"/>
        </w:rPr>
        <w:t>经预测表明，技改项目的废水排入无名沟经充分混合后，其COD浓度为14.18mg/L，因此，技改项目产生的废水只要严格按照本评价提出的污染防治措施处理后排放对无名河沟的水质影响很小，不会改变其水质现状。</w:t>
      </w:r>
    </w:p>
    <w:p>
      <w:pPr>
        <w:spacing w:line="360" w:lineRule="auto"/>
        <w:outlineLvl w:val="1"/>
        <w:rPr>
          <w:rFonts w:hint="eastAsia"/>
          <w:b/>
          <w:bCs/>
        </w:rPr>
      </w:pPr>
      <w:bookmarkStart w:id="336" w:name="_Toc175479833"/>
      <w:bookmarkStart w:id="337" w:name="_Toc473281531"/>
      <w:bookmarkStart w:id="338" w:name="_Toc189814173"/>
      <w:bookmarkStart w:id="339" w:name="_Toc165607391"/>
      <w:bookmarkStart w:id="340" w:name="_Toc276372253"/>
      <w:r>
        <w:rPr>
          <w:rFonts w:hint="eastAsia"/>
          <w:b/>
          <w:bCs/>
        </w:rPr>
        <w:t>8.3声环境影响预测与评价</w:t>
      </w:r>
      <w:bookmarkEnd w:id="336"/>
      <w:bookmarkEnd w:id="337"/>
      <w:bookmarkEnd w:id="338"/>
      <w:bookmarkEnd w:id="339"/>
      <w:bookmarkEnd w:id="340"/>
    </w:p>
    <w:p>
      <w:pPr>
        <w:spacing w:line="360" w:lineRule="auto"/>
        <w:outlineLvl w:val="2"/>
        <w:rPr>
          <w:rFonts w:hint="eastAsia"/>
          <w:b/>
          <w:bCs/>
        </w:rPr>
      </w:pPr>
      <w:r>
        <w:rPr>
          <w:rFonts w:hint="eastAsia"/>
          <w:b/>
          <w:bCs/>
        </w:rPr>
        <w:t>8.3.1主要噪声源强</w:t>
      </w:r>
    </w:p>
    <w:p>
      <w:pPr>
        <w:spacing w:line="360" w:lineRule="auto"/>
        <w:ind w:firstLine="480"/>
        <w:rPr>
          <w:rFonts w:hint="eastAsia"/>
        </w:rPr>
      </w:pPr>
      <w:r>
        <w:rPr>
          <w:rFonts w:hint="eastAsia"/>
        </w:rPr>
        <w:t>技改项目的噪声主要由机械动力、流体动力而产生，技改项目噪声设备源强及治理后的源强见表3-5。</w:t>
      </w:r>
    </w:p>
    <w:p>
      <w:pPr>
        <w:spacing w:before="24" w:beforeLines="10" w:after="24" w:afterLines="10" w:line="360" w:lineRule="auto"/>
        <w:outlineLvl w:val="2"/>
        <w:rPr>
          <w:rFonts w:hint="eastAsia"/>
          <w:b/>
        </w:rPr>
      </w:pPr>
      <w:r>
        <w:rPr>
          <w:rFonts w:hint="eastAsia"/>
          <w:b/>
          <w:bCs/>
        </w:rPr>
        <w:t>8.3.2</w:t>
      </w:r>
      <w:r>
        <w:rPr>
          <w:rFonts w:hint="eastAsia"/>
          <w:b/>
        </w:rPr>
        <w:t>预测点设置</w:t>
      </w:r>
    </w:p>
    <w:p>
      <w:pPr>
        <w:spacing w:line="360" w:lineRule="auto"/>
        <w:ind w:firstLine="480"/>
        <w:rPr>
          <w:rFonts w:hint="eastAsia"/>
        </w:rPr>
      </w:pPr>
      <w:r>
        <w:rPr>
          <w:rFonts w:hint="eastAsia"/>
        </w:rPr>
        <w:t>根据确定的声环境影响评价范围，结合表1-9列出的声环境敏感点，选择厂界及表1-9列出的声环境敏感点作为噪声预测点，具体位置见表1-9和图1.1。</w:t>
      </w:r>
    </w:p>
    <w:p>
      <w:pPr>
        <w:spacing w:before="24" w:beforeLines="10" w:after="24" w:afterLines="10" w:line="360" w:lineRule="auto"/>
        <w:outlineLvl w:val="2"/>
        <w:rPr>
          <w:rFonts w:hint="eastAsia"/>
          <w:b/>
        </w:rPr>
      </w:pPr>
      <w:r>
        <w:rPr>
          <w:rFonts w:hint="eastAsia"/>
          <w:b/>
        </w:rPr>
        <w:t>8.3.3预测模式</w:t>
      </w:r>
    </w:p>
    <w:p>
      <w:pPr>
        <w:pStyle w:val="5"/>
        <w:spacing w:line="360" w:lineRule="auto"/>
        <w:ind w:firstLine="480"/>
        <w:rPr>
          <w:sz w:val="24"/>
          <w:szCs w:val="24"/>
        </w:rPr>
      </w:pPr>
      <w:r>
        <w:rPr>
          <w:sz w:val="24"/>
          <w:szCs w:val="24"/>
        </w:rPr>
        <w:t>噪声影响预测选用《环境影响评价技术导则—声环境》（HJ2.4-2009）中推荐的模式，并对照评价标准对预测结果进行评价。</w:t>
      </w:r>
    </w:p>
    <w:p>
      <w:pPr>
        <w:adjustRightInd w:val="0"/>
        <w:snapToGrid w:val="0"/>
        <w:spacing w:line="360" w:lineRule="auto"/>
        <w:ind w:firstLine="480"/>
      </w:pPr>
      <w:r>
        <w:t>（1）声源衰减的基本公式</w:t>
      </w:r>
    </w:p>
    <w:p>
      <w:pPr>
        <w:adjustRightInd w:val="0"/>
        <w:snapToGrid w:val="0"/>
        <w:spacing w:line="360" w:lineRule="auto"/>
        <w:ind w:firstLine="480"/>
      </w:pPr>
      <w:r>
        <w:t>采用根据声环境评价导则（HJ2.4-2009）中推荐的噪声户外传播声级衰减基本计算方法：</w:t>
      </w:r>
    </w:p>
    <w:p>
      <w:pPr>
        <w:adjustRightInd w:val="0"/>
        <w:snapToGrid w:val="0"/>
        <w:spacing w:line="360" w:lineRule="auto"/>
        <w:ind w:firstLine="480"/>
        <w:jc w:val="left"/>
      </w:pPr>
      <w:r>
        <w:t>A、计算预测点位的倍频带声压级</w:t>
      </w:r>
    </w:p>
    <w:p>
      <w:pPr>
        <w:adjustRightInd w:val="0"/>
        <w:snapToGrid w:val="0"/>
        <w:spacing w:line="360" w:lineRule="auto"/>
        <w:ind w:firstLine="480"/>
      </w:pPr>
      <w:r>
        <w:t xml:space="preserve">      Lp(r)=Lp(r0)-(Adiv+Aatm+Abar+Agr+Amisc)</w:t>
      </w:r>
    </w:p>
    <w:p>
      <w:pPr>
        <w:adjustRightInd w:val="0"/>
        <w:snapToGrid w:val="0"/>
        <w:spacing w:line="360" w:lineRule="auto"/>
        <w:ind w:firstLine="480"/>
      </w:pPr>
      <w:r>
        <w:t>式中：Lp(r)—距声源r处的倍频带声压级；</w:t>
      </w:r>
    </w:p>
    <w:p>
      <w:pPr>
        <w:adjustRightInd w:val="0"/>
        <w:snapToGrid w:val="0"/>
        <w:spacing w:line="360" w:lineRule="auto"/>
        <w:ind w:firstLine="480"/>
      </w:pPr>
      <w:r>
        <w:t xml:space="preserve">      Lp(r0)—声源参考位置r0处的倍频带声压级；</w:t>
      </w:r>
    </w:p>
    <w:p>
      <w:pPr>
        <w:adjustRightInd w:val="0"/>
        <w:snapToGrid w:val="0"/>
        <w:spacing w:line="360" w:lineRule="auto"/>
        <w:ind w:firstLine="480"/>
      </w:pPr>
      <w:r>
        <w:t xml:space="preserve">      Adiv—声波几何发散引起的倍频带衰减量；</w:t>
      </w:r>
    </w:p>
    <w:p>
      <w:pPr>
        <w:adjustRightInd w:val="0"/>
        <w:snapToGrid w:val="0"/>
        <w:spacing w:line="360" w:lineRule="auto"/>
        <w:ind w:firstLine="480"/>
      </w:pPr>
      <w:r>
        <w:t xml:space="preserve">      Aatm—空气吸收引起的倍频带衰减量；</w:t>
      </w:r>
    </w:p>
    <w:p>
      <w:pPr>
        <w:adjustRightInd w:val="0"/>
        <w:snapToGrid w:val="0"/>
        <w:spacing w:line="360" w:lineRule="auto"/>
        <w:ind w:firstLine="480"/>
      </w:pPr>
      <w:r>
        <w:t xml:space="preserve">      Abar—声屏障引起的倍频带衰减量；</w:t>
      </w:r>
    </w:p>
    <w:p>
      <w:pPr>
        <w:adjustRightInd w:val="0"/>
        <w:snapToGrid w:val="0"/>
        <w:spacing w:line="360" w:lineRule="auto"/>
        <w:ind w:firstLine="480"/>
      </w:pPr>
      <w:r>
        <w:t xml:space="preserve">      Agr—地面效应引起的倍频带衰减量；</w:t>
      </w:r>
    </w:p>
    <w:p>
      <w:pPr>
        <w:adjustRightInd w:val="0"/>
        <w:snapToGrid w:val="0"/>
        <w:spacing w:line="360" w:lineRule="auto"/>
        <w:ind w:firstLine="1050" w:firstLineChars="500"/>
      </w:pPr>
      <w:r>
        <w:t>Amisc—其它多方面效应引起的衰减。</w:t>
      </w:r>
    </w:p>
    <w:p>
      <w:pPr>
        <w:adjustRightInd w:val="0"/>
        <w:snapToGrid w:val="0"/>
        <w:spacing w:line="360" w:lineRule="auto"/>
        <w:ind w:firstLine="480"/>
      </w:pPr>
      <w:r>
        <w:t>B、几何发散衰减(Adiv)</w:t>
      </w:r>
    </w:p>
    <w:p>
      <w:pPr>
        <w:adjustRightInd w:val="0"/>
        <w:snapToGrid w:val="0"/>
        <w:spacing w:line="360" w:lineRule="auto"/>
        <w:ind w:firstLine="420" w:firstLineChars="200"/>
      </w:pPr>
      <w:r>
        <w:t>①点声源的几何发散衰减：</w:t>
      </w:r>
    </w:p>
    <w:p>
      <w:pPr>
        <w:adjustRightInd w:val="0"/>
        <w:snapToGrid w:val="0"/>
        <w:spacing w:line="360" w:lineRule="auto"/>
        <w:ind w:firstLine="480"/>
      </w:pPr>
      <w:r>
        <w:t xml:space="preserve">       LP（r）=LP(r0)-201g(r/r0)</w:t>
      </w:r>
    </w:p>
    <w:p>
      <w:pPr>
        <w:adjustRightInd w:val="0"/>
        <w:snapToGrid w:val="0"/>
        <w:spacing w:line="360" w:lineRule="auto"/>
        <w:ind w:firstLine="840" w:firstLineChars="400"/>
      </w:pPr>
      <w:r>
        <w:t>式中：LP（r）、L(r0)分别是r，r0处的声级。</w:t>
      </w:r>
    </w:p>
    <w:p>
      <w:pPr>
        <w:adjustRightInd w:val="0"/>
        <w:snapToGrid w:val="0"/>
        <w:spacing w:line="360" w:lineRule="auto"/>
        <w:ind w:firstLine="480"/>
      </w:pPr>
      <w:r>
        <w:t>声源处于自由空间：  LP（r）=LW(r0)-201g(r)-11</w:t>
      </w:r>
    </w:p>
    <w:p>
      <w:pPr>
        <w:adjustRightInd w:val="0"/>
        <w:snapToGrid w:val="0"/>
        <w:spacing w:line="360" w:lineRule="auto"/>
        <w:ind w:firstLine="480"/>
      </w:pPr>
      <w:r>
        <w:t>声源处于半自由空间：LP（r）=LW-201g(r)-8</w:t>
      </w:r>
    </w:p>
    <w:p>
      <w:pPr>
        <w:adjustRightInd w:val="0"/>
        <w:snapToGrid w:val="0"/>
        <w:spacing w:line="360" w:lineRule="auto"/>
        <w:ind w:firstLine="420" w:firstLineChars="200"/>
      </w:pPr>
      <w:r>
        <w:t>②面声源的几何发散衰减：</w:t>
      </w:r>
    </w:p>
    <w:p>
      <w:pPr>
        <w:pStyle w:val="7"/>
        <w:adjustRightInd w:val="0"/>
        <w:snapToGrid w:val="0"/>
        <w:spacing w:line="360" w:lineRule="auto"/>
        <w:rPr>
          <w:rFonts w:ascii="Times New Roman"/>
        </w:rPr>
      </w:pPr>
      <w:r>
        <w:rPr>
          <w:rFonts w:ascii="Times New Roman"/>
        </w:rPr>
        <w:t>面声源短边为a，长边为b，随着距离的增加，引起其衰减值与距离的关系为：</w:t>
      </w:r>
    </w:p>
    <w:p>
      <w:pPr>
        <w:pStyle w:val="7"/>
        <w:adjustRightInd w:val="0"/>
        <w:snapToGrid w:val="0"/>
        <w:spacing w:line="360" w:lineRule="auto"/>
        <w:ind w:firstLine="840" w:firstLineChars="400"/>
        <w:rPr>
          <w:rFonts w:ascii="Times New Roman"/>
        </w:rPr>
      </w:pPr>
      <w:r>
        <w:rPr>
          <w:rFonts w:ascii="Times New Roman"/>
        </w:rPr>
        <w:object>
          <v:shape id="_x0000_i1033" o:spt="75" type="#_x0000_t75" style="height:30.55pt;width:49.95pt;" o:ole="t" filled="f" o:preferrelative="t" stroked="f" coordsize="21600,21600">
            <v:path/>
            <v:fill on="f" alignshape="1" focussize="0,0"/>
            <v:stroke on="f"/>
            <v:imagedata r:id="rId52" grayscale="f" bilevel="f" o:title=""/>
            <o:lock v:ext="edit" aspectratio="t"/>
            <w10:wrap type="none"/>
            <w10:anchorlock/>
          </v:shape>
          <o:OLEObject Type="Embed" ProgID="Equation.3" ShapeID="_x0000_i1033" DrawAspect="Content" ObjectID="_1468075733" r:id="rId51">
            <o:LockedField>false</o:LockedField>
          </o:OLEObject>
        </w:object>
      </w:r>
      <w:r>
        <w:rPr>
          <w:rFonts w:ascii="Times New Roman"/>
        </w:rPr>
        <w:t xml:space="preserve"> 时，在r处Adiv≈0</w:t>
      </w:r>
    </w:p>
    <w:p>
      <w:pPr>
        <w:pStyle w:val="7"/>
        <w:adjustRightInd w:val="0"/>
        <w:snapToGrid w:val="0"/>
        <w:spacing w:line="360" w:lineRule="auto"/>
        <w:ind w:firstLine="735" w:firstLineChars="350"/>
        <w:rPr>
          <w:rFonts w:ascii="Times New Roman"/>
        </w:rPr>
      </w:pPr>
      <w:r>
        <w:rPr>
          <w:rFonts w:ascii="Times New Roman"/>
        </w:rPr>
        <w:object>
          <v:shape id="_x0000_i1034" o:spt="75" type="#_x0000_t75" style="height:27.95pt;width:55.45pt;" o:ole="t" filled="f" o:preferrelative="t" stroked="f" coordsize="21600,21600">
            <v:path/>
            <v:fill on="f" alignshape="1" focussize="0,0"/>
            <v:stroke on="f"/>
            <v:imagedata r:id="rId54" grayscale="f" bilevel="f" o:title=""/>
            <o:lock v:ext="edit" aspectratio="t"/>
            <w10:wrap type="none"/>
            <w10:anchorlock/>
          </v:shape>
          <o:OLEObject Type="Embed" ProgID="Equation.3" ShapeID="_x0000_i1034" DrawAspect="Content" ObjectID="_1468075734" r:id="rId53">
            <o:LockedField>false</o:LockedField>
          </o:OLEObject>
        </w:object>
      </w:r>
      <w:r>
        <w:rPr>
          <w:rFonts w:ascii="Times New Roman"/>
        </w:rPr>
        <w:t xml:space="preserve"> 时，在r处距离r每增加1倍，Adiv≈3</w:t>
      </w:r>
    </w:p>
    <w:p>
      <w:pPr>
        <w:pStyle w:val="7"/>
        <w:adjustRightInd w:val="0"/>
        <w:snapToGrid w:val="0"/>
        <w:spacing w:line="360" w:lineRule="auto"/>
        <w:ind w:firstLine="735" w:firstLineChars="350"/>
        <w:rPr>
          <w:rFonts w:ascii="Times New Roman"/>
        </w:rPr>
      </w:pPr>
      <w:r>
        <w:rPr>
          <w:rFonts w:ascii="Times New Roman"/>
        </w:rPr>
        <w:object>
          <v:shape id="_x0000_i1035" o:spt="75" type="#_x0000_t75" style="height:26.85pt;width:37pt;" o:ole="t" filled="f" o:preferrelative="t" stroked="f" coordsize="21600,21600">
            <v:path/>
            <v:fill on="f" alignshape="1" focussize="0,0"/>
            <v:stroke on="f"/>
            <v:imagedata r:id="rId56" grayscale="f" bilevel="f" o:title=""/>
            <o:lock v:ext="edit" aspectratio="t"/>
            <w10:wrap type="none"/>
            <w10:anchorlock/>
          </v:shape>
          <o:OLEObject Type="Embed" ProgID="Equation.3" ShapeID="_x0000_i1035" DrawAspect="Content" ObjectID="_1468075735" r:id="rId55">
            <o:LockedField>false</o:LockedField>
          </o:OLEObject>
        </w:object>
      </w:r>
      <w:r>
        <w:rPr>
          <w:rFonts w:ascii="Times New Roman"/>
        </w:rPr>
        <w:t xml:space="preserve"> 时，在r处距离r每增加1倍，Adiv≈6</w:t>
      </w:r>
    </w:p>
    <w:p>
      <w:pPr>
        <w:adjustRightInd w:val="0"/>
        <w:snapToGrid w:val="0"/>
        <w:spacing w:line="360" w:lineRule="auto"/>
        <w:ind w:firstLine="482"/>
      </w:pPr>
      <w:r>
        <w:t>C、地面效应衰减(Agr)</w:t>
      </w:r>
    </w:p>
    <w:p>
      <w:pPr>
        <w:autoSpaceDE w:val="0"/>
        <w:autoSpaceDN w:val="0"/>
        <w:adjustRightInd w:val="0"/>
        <w:snapToGrid w:val="0"/>
        <w:spacing w:line="360" w:lineRule="auto"/>
        <w:ind w:firstLine="482"/>
      </w:pPr>
      <w:r>
        <w:t>地面类型可分为：坚实地面，包括铺筑过的路面、水面、冰面以及夯实地面；疏松地面，包括被草或其他植物覆盖的地面，以及农田等适合于植物生长的地面；混合地面，由坚实地面和疏松地面组成。</w:t>
      </w:r>
    </w:p>
    <w:p>
      <w:pPr>
        <w:autoSpaceDE w:val="0"/>
        <w:autoSpaceDN w:val="0"/>
        <w:adjustRightInd w:val="0"/>
        <w:snapToGrid w:val="0"/>
        <w:spacing w:line="360" w:lineRule="auto"/>
        <w:ind w:firstLine="482"/>
      </w:pPr>
      <w:r>
        <w:t>声波越过疏松地面传播时，或大部分为疏松地面的混合地面，在预测点仅计算A声级前提下，地面效应引起的倍频带衰减公式：</w:t>
      </w:r>
    </w:p>
    <w:p>
      <w:pPr>
        <w:adjustRightInd w:val="0"/>
        <w:snapToGrid w:val="0"/>
        <w:spacing w:line="360" w:lineRule="auto"/>
        <w:ind w:firstLine="480"/>
      </w:pPr>
      <w:r>
        <w:pict>
          <v:shape id="_x0000_s2050" o:spid="_x0000_s2050" o:spt="75" type="#_x0000_t75" style="position:absolute;left:0pt;margin-left:78.85pt;margin-top:8.4pt;height:32.65pt;width:128.15pt;z-index:251857920;mso-width-relative:page;mso-height-relative:page;" o:ole="t" filled="f" o:preferrelative="t" stroked="f" coordsize="21600,21600">
            <v:path/>
            <v:fill on="f" alignshape="1" focussize="0,0"/>
            <v:stroke on="f"/>
            <v:imagedata r:id="rId58" grayscale="f" bilevel="f" o:title=""/>
            <o:lock v:ext="edit" aspectratio="t"/>
          </v:shape>
          <o:OLEObject Type="Embed" ProgID="Equation.3" ShapeID="_x0000_s2050" DrawAspect="Content" ObjectID="_1468075736" r:id="rId57">
            <o:LockedField>false</o:LockedField>
          </o:OLEObject>
        </w:pict>
      </w:r>
    </w:p>
    <w:p>
      <w:pPr>
        <w:adjustRightInd w:val="0"/>
        <w:snapToGrid w:val="0"/>
        <w:spacing w:line="360" w:lineRule="auto"/>
        <w:ind w:firstLine="480"/>
      </w:pPr>
    </w:p>
    <w:p>
      <w:pPr>
        <w:adjustRightInd w:val="0"/>
        <w:snapToGrid w:val="0"/>
        <w:spacing w:line="360" w:lineRule="auto"/>
        <w:ind w:firstLine="482"/>
      </w:pPr>
      <w:r>
        <w:t>本工程的噪声预测，只考虑几何发散衰减(Adiv)、地面效应衰减(Agr)，其它项目衰减作为预测计算的安全系数而忽略不计。</w:t>
      </w:r>
    </w:p>
    <w:p>
      <w:pPr>
        <w:adjustRightInd w:val="0"/>
        <w:snapToGrid w:val="0"/>
        <w:spacing w:line="360" w:lineRule="auto"/>
        <w:ind w:firstLine="480"/>
      </w:pPr>
      <w:r>
        <w:t>（2）预测点的预测等效声级（Leq）计算式：</w:t>
      </w:r>
    </w:p>
    <w:p>
      <w:pPr>
        <w:adjustRightInd w:val="0"/>
        <w:snapToGrid w:val="0"/>
        <w:spacing w:line="360" w:lineRule="auto"/>
        <w:ind w:firstLine="1575" w:firstLineChars="750"/>
      </w:pPr>
      <w:r>
        <w:t>Leq=101g(100.1/Leqg+100.1Leqb)</w:t>
      </w:r>
    </w:p>
    <w:p>
      <w:pPr>
        <w:adjustRightInd w:val="0"/>
        <w:snapToGrid w:val="0"/>
        <w:spacing w:line="360" w:lineRule="auto"/>
        <w:ind w:firstLine="480"/>
      </w:pPr>
      <w:r>
        <w:t>式中：Leq—某预测点预测环境噪声等效声级，dB(A)；</w:t>
      </w:r>
    </w:p>
    <w:p>
      <w:pPr>
        <w:adjustRightInd w:val="0"/>
        <w:snapToGrid w:val="0"/>
        <w:spacing w:line="360" w:lineRule="auto"/>
        <w:ind w:firstLine="480"/>
      </w:pPr>
      <w:r>
        <w:t xml:space="preserve">      Leqg—建设项目声源在预测点的等效声级贡献值，dB(A)；</w:t>
      </w:r>
    </w:p>
    <w:p>
      <w:pPr>
        <w:adjustRightInd w:val="0"/>
        <w:snapToGrid w:val="0"/>
        <w:spacing w:line="360" w:lineRule="auto"/>
        <w:ind w:firstLine="1050" w:firstLineChars="500"/>
      </w:pPr>
      <w:r>
        <w:t>Leqb—预测点的背景值，dB(A)；</w:t>
      </w:r>
    </w:p>
    <w:p>
      <w:pPr>
        <w:spacing w:before="24" w:beforeLines="10" w:after="24" w:afterLines="10" w:line="360" w:lineRule="auto"/>
        <w:rPr>
          <w:rFonts w:hint="eastAsia"/>
          <w:b/>
        </w:rPr>
      </w:pPr>
      <w:r>
        <w:rPr>
          <w:rFonts w:hint="eastAsia"/>
          <w:b/>
        </w:rPr>
        <w:t>8.3.4预测结果与评价</w:t>
      </w:r>
    </w:p>
    <w:p>
      <w:pPr>
        <w:spacing w:line="360" w:lineRule="auto"/>
        <w:ind w:firstLine="480"/>
        <w:rPr>
          <w:rFonts w:hint="eastAsia"/>
        </w:rPr>
      </w:pPr>
      <w:r>
        <w:rPr>
          <w:rFonts w:hint="eastAsia"/>
        </w:rPr>
        <w:t>综合考虑噪声源分布及防噪降噪措施，按模式计算出厂界和各预测点的噪声影响结果，再将各预测点的噪声影响值与现状监测值进行叠加，结果分别见表8-22和表8-23。</w:t>
      </w:r>
    </w:p>
    <w:p>
      <w:pPr>
        <w:spacing w:line="460" w:lineRule="exact"/>
        <w:ind w:firstLine="1153" w:firstLineChars="547"/>
        <w:rPr>
          <w:rFonts w:hint="eastAsia"/>
        </w:rPr>
      </w:pPr>
      <w:r>
        <w:rPr>
          <w:rFonts w:hint="eastAsia"/>
          <w:b/>
        </w:rPr>
        <w:t>表8-22           厂界噪声影响预测结果</w:t>
      </w:r>
      <w:r>
        <w:rPr>
          <w:rFonts w:hint="eastAsia"/>
        </w:rPr>
        <w:t xml:space="preserve">         单位：dB</w:t>
      </w:r>
    </w:p>
    <w:tbl>
      <w:tblPr>
        <w:tblStyle w:val="21"/>
        <w:tblW w:w="75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1133"/>
        <w:gridCol w:w="1587"/>
        <w:gridCol w:w="3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0" w:hRule="atLeast"/>
          <w:jc w:val="center"/>
        </w:trPr>
        <w:tc>
          <w:tcPr>
            <w:tcW w:w="1713" w:type="dxa"/>
            <w:vAlign w:val="center"/>
          </w:tcPr>
          <w:p>
            <w:pPr>
              <w:spacing w:line="360" w:lineRule="exact"/>
              <w:jc w:val="center"/>
              <w:rPr>
                <w:rFonts w:hint="eastAsia"/>
                <w:sz w:val="21"/>
                <w:szCs w:val="21"/>
              </w:rPr>
            </w:pPr>
            <w:r>
              <w:rPr>
                <w:rFonts w:hint="eastAsia"/>
                <w:sz w:val="21"/>
                <w:szCs w:val="21"/>
              </w:rPr>
              <w:t>预测点</w:t>
            </w:r>
          </w:p>
        </w:tc>
        <w:tc>
          <w:tcPr>
            <w:tcW w:w="1133" w:type="dxa"/>
            <w:vAlign w:val="center"/>
          </w:tcPr>
          <w:p>
            <w:pPr>
              <w:spacing w:line="360" w:lineRule="exact"/>
              <w:jc w:val="center"/>
              <w:rPr>
                <w:rFonts w:hint="eastAsia"/>
                <w:sz w:val="21"/>
                <w:szCs w:val="21"/>
              </w:rPr>
            </w:pPr>
            <w:r>
              <w:rPr>
                <w:rFonts w:hint="eastAsia"/>
                <w:sz w:val="21"/>
                <w:szCs w:val="21"/>
              </w:rPr>
              <w:t>噪声</w:t>
            </w:r>
          </w:p>
          <w:p>
            <w:pPr>
              <w:spacing w:line="360" w:lineRule="exact"/>
              <w:jc w:val="center"/>
              <w:rPr>
                <w:rFonts w:hint="eastAsia"/>
                <w:sz w:val="21"/>
                <w:szCs w:val="21"/>
              </w:rPr>
            </w:pPr>
            <w:r>
              <w:rPr>
                <w:rFonts w:hint="eastAsia"/>
                <w:sz w:val="21"/>
                <w:szCs w:val="21"/>
              </w:rPr>
              <w:t>影响值</w:t>
            </w:r>
          </w:p>
        </w:tc>
        <w:tc>
          <w:tcPr>
            <w:tcW w:w="1587" w:type="dxa"/>
            <w:vAlign w:val="center"/>
          </w:tcPr>
          <w:p>
            <w:pPr>
              <w:spacing w:line="360" w:lineRule="exact"/>
              <w:jc w:val="center"/>
              <w:rPr>
                <w:rFonts w:hint="eastAsia"/>
                <w:sz w:val="21"/>
                <w:szCs w:val="21"/>
              </w:rPr>
            </w:pPr>
            <w:r>
              <w:rPr>
                <w:rFonts w:hint="eastAsia"/>
                <w:sz w:val="21"/>
                <w:szCs w:val="21"/>
              </w:rPr>
              <w:t>标准值</w:t>
            </w:r>
          </w:p>
        </w:tc>
        <w:tc>
          <w:tcPr>
            <w:tcW w:w="3111" w:type="dxa"/>
            <w:vAlign w:val="center"/>
          </w:tcPr>
          <w:p>
            <w:pPr>
              <w:spacing w:line="360" w:lineRule="exact"/>
              <w:jc w:val="center"/>
              <w:rPr>
                <w:rFonts w:hint="eastAsia"/>
                <w:sz w:val="21"/>
                <w:szCs w:val="21"/>
              </w:rPr>
            </w:pPr>
            <w:r>
              <w:rPr>
                <w:rFonts w:hint="eastAsia"/>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5" w:hRule="exact"/>
          <w:jc w:val="center"/>
        </w:trPr>
        <w:tc>
          <w:tcPr>
            <w:tcW w:w="1713" w:type="dxa"/>
            <w:vAlign w:val="center"/>
          </w:tcPr>
          <w:p>
            <w:pPr>
              <w:pStyle w:val="16"/>
              <w:spacing w:line="360" w:lineRule="exact"/>
              <w:jc w:val="center"/>
              <w:rPr>
                <w:rFonts w:hint="eastAsia"/>
                <w:sz w:val="21"/>
                <w:szCs w:val="21"/>
              </w:rPr>
            </w:pPr>
            <w:r>
              <w:rPr>
                <w:rFonts w:hint="eastAsia"/>
                <w:sz w:val="21"/>
                <w:szCs w:val="21"/>
              </w:rPr>
              <w:t>东厂界</w:t>
            </w:r>
          </w:p>
        </w:tc>
        <w:tc>
          <w:tcPr>
            <w:tcW w:w="1133" w:type="dxa"/>
            <w:vAlign w:val="center"/>
          </w:tcPr>
          <w:p>
            <w:pPr>
              <w:pStyle w:val="16"/>
              <w:spacing w:line="360" w:lineRule="exact"/>
              <w:jc w:val="center"/>
              <w:rPr>
                <w:rFonts w:hint="eastAsia"/>
                <w:sz w:val="21"/>
                <w:szCs w:val="21"/>
                <w:highlight w:val="yellow"/>
              </w:rPr>
            </w:pPr>
            <w:r>
              <w:rPr>
                <w:rFonts w:hint="eastAsia"/>
                <w:sz w:val="21"/>
                <w:szCs w:val="21"/>
                <w:highlight w:val="yellow"/>
              </w:rPr>
              <w:t>46.0</w:t>
            </w:r>
          </w:p>
        </w:tc>
        <w:tc>
          <w:tcPr>
            <w:tcW w:w="1587" w:type="dxa"/>
            <w:vMerge w:val="restart"/>
            <w:vAlign w:val="center"/>
          </w:tcPr>
          <w:p>
            <w:pPr>
              <w:pStyle w:val="16"/>
              <w:spacing w:line="360" w:lineRule="exact"/>
              <w:jc w:val="center"/>
              <w:rPr>
                <w:rFonts w:hint="eastAsia"/>
                <w:sz w:val="21"/>
                <w:szCs w:val="21"/>
              </w:rPr>
            </w:pPr>
            <w:r>
              <w:rPr>
                <w:rFonts w:hint="eastAsia"/>
                <w:sz w:val="21"/>
                <w:szCs w:val="21"/>
              </w:rPr>
              <w:t>昼间60 dB夜间50 dB</w:t>
            </w:r>
          </w:p>
        </w:tc>
        <w:tc>
          <w:tcPr>
            <w:tcW w:w="3111" w:type="dxa"/>
            <w:vAlign w:val="center"/>
          </w:tcPr>
          <w:p>
            <w:pPr>
              <w:pStyle w:val="16"/>
              <w:spacing w:line="360" w:lineRule="exact"/>
              <w:jc w:val="center"/>
              <w:rPr>
                <w:rFonts w:hint="eastAsia"/>
                <w:sz w:val="21"/>
                <w:szCs w:val="21"/>
              </w:rPr>
            </w:pPr>
            <w:r>
              <w:rPr>
                <w:rFonts w:hint="eastAsia"/>
                <w:sz w:val="21"/>
                <w:szCs w:val="21"/>
              </w:rPr>
              <w:t>昼夜达标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6" w:hRule="exact"/>
          <w:jc w:val="center"/>
        </w:trPr>
        <w:tc>
          <w:tcPr>
            <w:tcW w:w="1713" w:type="dxa"/>
            <w:vAlign w:val="center"/>
          </w:tcPr>
          <w:p>
            <w:pPr>
              <w:pStyle w:val="16"/>
              <w:spacing w:line="360" w:lineRule="exact"/>
              <w:jc w:val="center"/>
              <w:rPr>
                <w:rFonts w:hint="eastAsia"/>
                <w:sz w:val="21"/>
                <w:szCs w:val="21"/>
              </w:rPr>
            </w:pPr>
            <w:r>
              <w:rPr>
                <w:rFonts w:hint="eastAsia"/>
                <w:sz w:val="21"/>
                <w:szCs w:val="21"/>
              </w:rPr>
              <w:t>南厂界</w:t>
            </w:r>
          </w:p>
        </w:tc>
        <w:tc>
          <w:tcPr>
            <w:tcW w:w="1133" w:type="dxa"/>
            <w:vAlign w:val="center"/>
          </w:tcPr>
          <w:p>
            <w:pPr>
              <w:pStyle w:val="16"/>
              <w:spacing w:line="360" w:lineRule="exact"/>
              <w:jc w:val="center"/>
              <w:rPr>
                <w:rFonts w:hint="eastAsia"/>
                <w:sz w:val="21"/>
                <w:szCs w:val="21"/>
              </w:rPr>
            </w:pPr>
            <w:r>
              <w:rPr>
                <w:rFonts w:hint="eastAsia"/>
                <w:sz w:val="21"/>
                <w:szCs w:val="21"/>
              </w:rPr>
              <w:t>44.5</w:t>
            </w:r>
          </w:p>
        </w:tc>
        <w:tc>
          <w:tcPr>
            <w:tcW w:w="1587" w:type="dxa"/>
            <w:vMerge w:val="continue"/>
            <w:vAlign w:val="center"/>
          </w:tcPr>
          <w:p>
            <w:pPr>
              <w:pStyle w:val="16"/>
              <w:spacing w:line="360" w:lineRule="exact"/>
              <w:jc w:val="center"/>
              <w:rPr>
                <w:rFonts w:hint="eastAsia"/>
                <w:sz w:val="21"/>
                <w:szCs w:val="21"/>
              </w:rPr>
            </w:pPr>
          </w:p>
        </w:tc>
        <w:tc>
          <w:tcPr>
            <w:tcW w:w="3111" w:type="dxa"/>
            <w:vAlign w:val="center"/>
          </w:tcPr>
          <w:p>
            <w:pPr>
              <w:pStyle w:val="16"/>
              <w:spacing w:line="360" w:lineRule="exact"/>
              <w:jc w:val="center"/>
              <w:rPr>
                <w:rFonts w:hint="eastAsia"/>
                <w:sz w:val="21"/>
                <w:szCs w:val="21"/>
              </w:rPr>
            </w:pPr>
            <w:r>
              <w:rPr>
                <w:rFonts w:hint="eastAsia"/>
                <w:sz w:val="21"/>
                <w:szCs w:val="21"/>
              </w:rPr>
              <w:t>昼夜达标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7" w:hRule="exact"/>
          <w:jc w:val="center"/>
        </w:trPr>
        <w:tc>
          <w:tcPr>
            <w:tcW w:w="1713" w:type="dxa"/>
            <w:vAlign w:val="center"/>
          </w:tcPr>
          <w:p>
            <w:pPr>
              <w:pStyle w:val="16"/>
              <w:spacing w:line="360" w:lineRule="exact"/>
              <w:jc w:val="center"/>
              <w:rPr>
                <w:rFonts w:hint="eastAsia"/>
                <w:sz w:val="21"/>
                <w:szCs w:val="21"/>
              </w:rPr>
            </w:pPr>
            <w:r>
              <w:rPr>
                <w:rFonts w:hint="eastAsia"/>
                <w:sz w:val="21"/>
                <w:szCs w:val="21"/>
              </w:rPr>
              <w:t>西厂界</w:t>
            </w:r>
          </w:p>
        </w:tc>
        <w:tc>
          <w:tcPr>
            <w:tcW w:w="1133" w:type="dxa"/>
            <w:vAlign w:val="center"/>
          </w:tcPr>
          <w:p>
            <w:pPr>
              <w:pStyle w:val="16"/>
              <w:spacing w:line="360" w:lineRule="exact"/>
              <w:jc w:val="center"/>
              <w:rPr>
                <w:rFonts w:hint="eastAsia"/>
                <w:sz w:val="21"/>
                <w:szCs w:val="21"/>
              </w:rPr>
            </w:pPr>
            <w:r>
              <w:rPr>
                <w:rFonts w:hint="eastAsia"/>
                <w:sz w:val="21"/>
                <w:szCs w:val="21"/>
              </w:rPr>
              <w:t>54.5</w:t>
            </w:r>
          </w:p>
        </w:tc>
        <w:tc>
          <w:tcPr>
            <w:tcW w:w="1587" w:type="dxa"/>
            <w:vMerge w:val="continue"/>
            <w:vAlign w:val="center"/>
          </w:tcPr>
          <w:p>
            <w:pPr>
              <w:pStyle w:val="16"/>
              <w:spacing w:line="360" w:lineRule="exact"/>
              <w:jc w:val="center"/>
              <w:rPr>
                <w:rFonts w:hint="eastAsia"/>
                <w:sz w:val="21"/>
                <w:szCs w:val="21"/>
              </w:rPr>
            </w:pPr>
          </w:p>
        </w:tc>
        <w:tc>
          <w:tcPr>
            <w:tcW w:w="3111" w:type="dxa"/>
            <w:vAlign w:val="center"/>
          </w:tcPr>
          <w:p>
            <w:pPr>
              <w:pStyle w:val="16"/>
              <w:spacing w:line="360" w:lineRule="exact"/>
              <w:jc w:val="center"/>
              <w:rPr>
                <w:rFonts w:hint="eastAsia"/>
                <w:sz w:val="21"/>
                <w:szCs w:val="21"/>
              </w:rPr>
            </w:pPr>
            <w:r>
              <w:rPr>
                <w:rFonts w:hint="eastAsia"/>
                <w:sz w:val="21"/>
                <w:szCs w:val="21"/>
              </w:rPr>
              <w:t>昼间达标，夜间不达标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1" w:hRule="exact"/>
          <w:jc w:val="center"/>
        </w:trPr>
        <w:tc>
          <w:tcPr>
            <w:tcW w:w="1713" w:type="dxa"/>
            <w:vAlign w:val="center"/>
          </w:tcPr>
          <w:p>
            <w:pPr>
              <w:pStyle w:val="16"/>
              <w:spacing w:line="360" w:lineRule="exact"/>
              <w:jc w:val="center"/>
              <w:rPr>
                <w:rFonts w:hint="eastAsia"/>
                <w:sz w:val="21"/>
                <w:szCs w:val="21"/>
              </w:rPr>
            </w:pPr>
            <w:r>
              <w:rPr>
                <w:rFonts w:hint="eastAsia"/>
                <w:sz w:val="21"/>
                <w:szCs w:val="21"/>
              </w:rPr>
              <w:t>北厂界</w:t>
            </w:r>
          </w:p>
        </w:tc>
        <w:tc>
          <w:tcPr>
            <w:tcW w:w="1133" w:type="dxa"/>
            <w:vAlign w:val="center"/>
          </w:tcPr>
          <w:p>
            <w:pPr>
              <w:pStyle w:val="16"/>
              <w:spacing w:line="360" w:lineRule="exact"/>
              <w:jc w:val="center"/>
              <w:rPr>
                <w:rFonts w:hint="eastAsia"/>
                <w:sz w:val="21"/>
                <w:szCs w:val="21"/>
              </w:rPr>
            </w:pPr>
            <w:r>
              <w:rPr>
                <w:rFonts w:hint="eastAsia"/>
                <w:sz w:val="21"/>
                <w:szCs w:val="21"/>
              </w:rPr>
              <w:t>49.0</w:t>
            </w:r>
          </w:p>
        </w:tc>
        <w:tc>
          <w:tcPr>
            <w:tcW w:w="1587" w:type="dxa"/>
            <w:vMerge w:val="continue"/>
            <w:vAlign w:val="center"/>
          </w:tcPr>
          <w:p>
            <w:pPr>
              <w:pStyle w:val="16"/>
              <w:spacing w:line="360" w:lineRule="exact"/>
              <w:jc w:val="center"/>
              <w:rPr>
                <w:rFonts w:hint="eastAsia"/>
                <w:sz w:val="21"/>
                <w:szCs w:val="21"/>
              </w:rPr>
            </w:pPr>
          </w:p>
        </w:tc>
        <w:tc>
          <w:tcPr>
            <w:tcW w:w="3111" w:type="dxa"/>
            <w:vAlign w:val="center"/>
          </w:tcPr>
          <w:p>
            <w:pPr>
              <w:pStyle w:val="16"/>
              <w:spacing w:line="360" w:lineRule="exact"/>
              <w:jc w:val="center"/>
              <w:rPr>
                <w:rFonts w:hint="eastAsia"/>
                <w:sz w:val="21"/>
                <w:szCs w:val="21"/>
              </w:rPr>
            </w:pPr>
            <w:r>
              <w:rPr>
                <w:rFonts w:hint="eastAsia"/>
                <w:sz w:val="21"/>
                <w:szCs w:val="21"/>
              </w:rPr>
              <w:t>昼夜达标</w:t>
            </w:r>
          </w:p>
        </w:tc>
      </w:tr>
    </w:tbl>
    <w:p>
      <w:pPr>
        <w:spacing w:line="460" w:lineRule="exact"/>
        <w:jc w:val="center"/>
        <w:rPr>
          <w:rFonts w:hint="eastAsia"/>
          <w:b/>
        </w:rPr>
      </w:pPr>
    </w:p>
    <w:p>
      <w:pPr>
        <w:spacing w:line="460" w:lineRule="exact"/>
        <w:jc w:val="center"/>
        <w:rPr>
          <w:rFonts w:hint="eastAsia"/>
        </w:rPr>
      </w:pPr>
      <w:r>
        <w:rPr>
          <w:rFonts w:hint="eastAsia"/>
          <w:b/>
        </w:rPr>
        <w:t xml:space="preserve">表8-23  声环境敏感点噪声影响预测结果 </w:t>
      </w:r>
      <w:r>
        <w:rPr>
          <w:rFonts w:hint="eastAsia"/>
        </w:rPr>
        <w:t xml:space="preserve">   单位：dB</w:t>
      </w:r>
    </w:p>
    <w:tbl>
      <w:tblPr>
        <w:tblStyle w:val="21"/>
        <w:tblW w:w="8748" w:type="dxa"/>
        <w:jc w:val="center"/>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1091"/>
        <w:gridCol w:w="1156"/>
        <w:gridCol w:w="820"/>
        <w:gridCol w:w="1371"/>
        <w:gridCol w:w="1371"/>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779" w:type="dxa"/>
            <w:vMerge w:val="restart"/>
            <w:vAlign w:val="center"/>
          </w:tcPr>
          <w:p>
            <w:pPr>
              <w:spacing w:line="360" w:lineRule="exact"/>
              <w:jc w:val="center"/>
              <w:rPr>
                <w:rFonts w:hint="eastAsia"/>
                <w:sz w:val="21"/>
                <w:szCs w:val="21"/>
              </w:rPr>
            </w:pPr>
            <w:r>
              <w:rPr>
                <w:rFonts w:hint="eastAsia"/>
                <w:sz w:val="21"/>
                <w:szCs w:val="21"/>
              </w:rPr>
              <w:t>预测点名称</w:t>
            </w:r>
          </w:p>
        </w:tc>
        <w:tc>
          <w:tcPr>
            <w:tcW w:w="2247" w:type="dxa"/>
            <w:gridSpan w:val="2"/>
            <w:vAlign w:val="center"/>
          </w:tcPr>
          <w:p>
            <w:pPr>
              <w:spacing w:line="360" w:lineRule="exact"/>
              <w:jc w:val="center"/>
              <w:rPr>
                <w:rFonts w:hint="eastAsia"/>
                <w:sz w:val="21"/>
                <w:szCs w:val="21"/>
              </w:rPr>
            </w:pPr>
            <w:r>
              <w:rPr>
                <w:rFonts w:hint="eastAsia"/>
                <w:sz w:val="21"/>
                <w:szCs w:val="21"/>
              </w:rPr>
              <w:t>背景噪声值</w:t>
            </w:r>
          </w:p>
        </w:tc>
        <w:tc>
          <w:tcPr>
            <w:tcW w:w="820" w:type="dxa"/>
            <w:vMerge w:val="restart"/>
            <w:vAlign w:val="center"/>
          </w:tcPr>
          <w:p>
            <w:pPr>
              <w:spacing w:line="360" w:lineRule="exact"/>
              <w:jc w:val="center"/>
              <w:rPr>
                <w:rFonts w:hint="eastAsia"/>
                <w:sz w:val="21"/>
                <w:szCs w:val="21"/>
              </w:rPr>
            </w:pPr>
            <w:r>
              <w:rPr>
                <w:rFonts w:hint="eastAsia"/>
                <w:sz w:val="21"/>
                <w:szCs w:val="21"/>
              </w:rPr>
              <w:t>噪声影响值</w:t>
            </w:r>
          </w:p>
        </w:tc>
        <w:tc>
          <w:tcPr>
            <w:tcW w:w="2742" w:type="dxa"/>
            <w:gridSpan w:val="2"/>
            <w:vAlign w:val="center"/>
          </w:tcPr>
          <w:p>
            <w:pPr>
              <w:spacing w:line="360" w:lineRule="exact"/>
              <w:jc w:val="center"/>
              <w:rPr>
                <w:rFonts w:hint="eastAsia"/>
                <w:sz w:val="21"/>
                <w:szCs w:val="21"/>
              </w:rPr>
            </w:pPr>
            <w:r>
              <w:rPr>
                <w:rFonts w:hint="eastAsia"/>
                <w:sz w:val="21"/>
                <w:szCs w:val="21"/>
              </w:rPr>
              <w:t>叠加值</w:t>
            </w:r>
          </w:p>
        </w:tc>
        <w:tc>
          <w:tcPr>
            <w:tcW w:w="1160" w:type="dxa"/>
            <w:vMerge w:val="restart"/>
            <w:vAlign w:val="center"/>
          </w:tcPr>
          <w:p>
            <w:pPr>
              <w:spacing w:line="360" w:lineRule="exact"/>
              <w:jc w:val="center"/>
              <w:rPr>
                <w:rFonts w:hint="eastAsia"/>
                <w:sz w:val="21"/>
                <w:szCs w:val="21"/>
              </w:rPr>
            </w:pPr>
            <w:r>
              <w:rPr>
                <w:rFonts w:hint="eastAsia"/>
                <w:sz w:val="21"/>
                <w:szCs w:val="21"/>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779" w:type="dxa"/>
            <w:vMerge w:val="continue"/>
            <w:vAlign w:val="center"/>
          </w:tcPr>
          <w:p>
            <w:pPr>
              <w:spacing w:line="360" w:lineRule="exact"/>
              <w:jc w:val="center"/>
              <w:rPr>
                <w:rFonts w:hint="eastAsia"/>
                <w:sz w:val="21"/>
                <w:szCs w:val="21"/>
              </w:rPr>
            </w:pPr>
          </w:p>
        </w:tc>
        <w:tc>
          <w:tcPr>
            <w:tcW w:w="1091" w:type="dxa"/>
            <w:vAlign w:val="center"/>
          </w:tcPr>
          <w:p>
            <w:pPr>
              <w:spacing w:line="360" w:lineRule="exact"/>
              <w:jc w:val="center"/>
              <w:rPr>
                <w:rFonts w:hint="eastAsia"/>
                <w:sz w:val="21"/>
                <w:szCs w:val="21"/>
              </w:rPr>
            </w:pPr>
            <w:r>
              <w:rPr>
                <w:rFonts w:hint="eastAsia"/>
                <w:sz w:val="21"/>
                <w:szCs w:val="21"/>
              </w:rPr>
              <w:t>昼间</w:t>
            </w:r>
          </w:p>
        </w:tc>
        <w:tc>
          <w:tcPr>
            <w:tcW w:w="1156" w:type="dxa"/>
            <w:vAlign w:val="center"/>
          </w:tcPr>
          <w:p>
            <w:pPr>
              <w:spacing w:line="360" w:lineRule="exact"/>
              <w:jc w:val="center"/>
              <w:rPr>
                <w:rFonts w:hint="eastAsia"/>
                <w:sz w:val="21"/>
                <w:szCs w:val="21"/>
              </w:rPr>
            </w:pPr>
            <w:r>
              <w:rPr>
                <w:rFonts w:hint="eastAsia"/>
                <w:sz w:val="21"/>
                <w:szCs w:val="21"/>
              </w:rPr>
              <w:t>夜间</w:t>
            </w:r>
          </w:p>
        </w:tc>
        <w:tc>
          <w:tcPr>
            <w:tcW w:w="820" w:type="dxa"/>
            <w:vMerge w:val="continue"/>
            <w:vAlign w:val="center"/>
          </w:tcPr>
          <w:p>
            <w:pPr>
              <w:spacing w:line="360" w:lineRule="exact"/>
              <w:jc w:val="center"/>
              <w:rPr>
                <w:rFonts w:hint="eastAsia"/>
                <w:sz w:val="21"/>
                <w:szCs w:val="21"/>
              </w:rPr>
            </w:pPr>
          </w:p>
        </w:tc>
        <w:tc>
          <w:tcPr>
            <w:tcW w:w="1371" w:type="dxa"/>
            <w:vAlign w:val="center"/>
          </w:tcPr>
          <w:p>
            <w:pPr>
              <w:spacing w:line="360" w:lineRule="exact"/>
              <w:jc w:val="center"/>
              <w:rPr>
                <w:rFonts w:hint="eastAsia"/>
                <w:sz w:val="21"/>
                <w:szCs w:val="21"/>
              </w:rPr>
            </w:pPr>
            <w:r>
              <w:rPr>
                <w:rFonts w:hint="eastAsia"/>
                <w:sz w:val="21"/>
                <w:szCs w:val="21"/>
              </w:rPr>
              <w:t>昼间</w:t>
            </w:r>
          </w:p>
        </w:tc>
        <w:tc>
          <w:tcPr>
            <w:tcW w:w="1371" w:type="dxa"/>
            <w:vAlign w:val="center"/>
          </w:tcPr>
          <w:p>
            <w:pPr>
              <w:spacing w:line="360" w:lineRule="exact"/>
              <w:jc w:val="center"/>
              <w:rPr>
                <w:rFonts w:hint="eastAsia"/>
                <w:sz w:val="21"/>
                <w:szCs w:val="21"/>
              </w:rPr>
            </w:pPr>
            <w:r>
              <w:rPr>
                <w:rFonts w:hint="eastAsia"/>
                <w:sz w:val="21"/>
                <w:szCs w:val="21"/>
              </w:rPr>
              <w:t>夜间</w:t>
            </w:r>
          </w:p>
        </w:tc>
        <w:tc>
          <w:tcPr>
            <w:tcW w:w="1160" w:type="dxa"/>
            <w:vMerge w:val="continue"/>
            <w:vAlign w:val="center"/>
          </w:tcPr>
          <w:p>
            <w:pPr>
              <w:spacing w:line="360" w:lineRule="exact"/>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79" w:type="dxa"/>
            <w:vAlign w:val="center"/>
          </w:tcPr>
          <w:p>
            <w:pPr>
              <w:pStyle w:val="16"/>
              <w:spacing w:line="360" w:lineRule="exact"/>
              <w:jc w:val="center"/>
              <w:rPr>
                <w:rFonts w:hint="eastAsia"/>
                <w:sz w:val="21"/>
                <w:szCs w:val="21"/>
              </w:rPr>
            </w:pPr>
            <w:r>
              <w:rPr>
                <w:rFonts w:hint="eastAsia"/>
                <w:sz w:val="21"/>
                <w:szCs w:val="21"/>
              </w:rPr>
              <w:t>关口村</w:t>
            </w:r>
          </w:p>
        </w:tc>
        <w:tc>
          <w:tcPr>
            <w:tcW w:w="1091" w:type="dxa"/>
            <w:vAlign w:val="center"/>
          </w:tcPr>
          <w:p>
            <w:pPr>
              <w:spacing w:line="360" w:lineRule="exact"/>
              <w:jc w:val="center"/>
              <w:rPr>
                <w:rFonts w:hint="eastAsia"/>
                <w:sz w:val="21"/>
                <w:szCs w:val="21"/>
              </w:rPr>
            </w:pPr>
            <w:r>
              <w:rPr>
                <w:rFonts w:hint="eastAsia"/>
                <w:sz w:val="21"/>
                <w:szCs w:val="21"/>
              </w:rPr>
              <w:t>52.3--54.1</w:t>
            </w:r>
          </w:p>
        </w:tc>
        <w:tc>
          <w:tcPr>
            <w:tcW w:w="1156" w:type="dxa"/>
            <w:vAlign w:val="center"/>
          </w:tcPr>
          <w:p>
            <w:pPr>
              <w:spacing w:line="360" w:lineRule="exact"/>
              <w:jc w:val="center"/>
              <w:rPr>
                <w:rFonts w:hint="eastAsia"/>
                <w:sz w:val="21"/>
                <w:szCs w:val="21"/>
              </w:rPr>
            </w:pPr>
            <w:r>
              <w:rPr>
                <w:rFonts w:hint="eastAsia"/>
                <w:sz w:val="21"/>
                <w:szCs w:val="21"/>
              </w:rPr>
              <w:t>44.1--46.1</w:t>
            </w:r>
          </w:p>
        </w:tc>
        <w:tc>
          <w:tcPr>
            <w:tcW w:w="820" w:type="dxa"/>
            <w:vAlign w:val="center"/>
          </w:tcPr>
          <w:p>
            <w:pPr>
              <w:pStyle w:val="16"/>
              <w:spacing w:line="360" w:lineRule="exact"/>
              <w:jc w:val="center"/>
              <w:rPr>
                <w:rFonts w:hint="eastAsia"/>
                <w:sz w:val="21"/>
                <w:szCs w:val="21"/>
              </w:rPr>
            </w:pPr>
            <w:r>
              <w:rPr>
                <w:rFonts w:hint="eastAsia"/>
                <w:sz w:val="21"/>
                <w:szCs w:val="21"/>
              </w:rPr>
              <w:t>48.0</w:t>
            </w:r>
          </w:p>
        </w:tc>
        <w:tc>
          <w:tcPr>
            <w:tcW w:w="1371" w:type="dxa"/>
            <w:vAlign w:val="center"/>
          </w:tcPr>
          <w:p>
            <w:pPr>
              <w:spacing w:line="360" w:lineRule="exact"/>
              <w:jc w:val="center"/>
              <w:rPr>
                <w:rFonts w:hint="eastAsia"/>
                <w:sz w:val="21"/>
                <w:szCs w:val="21"/>
              </w:rPr>
            </w:pPr>
            <w:r>
              <w:rPr>
                <w:rFonts w:hint="eastAsia"/>
                <w:sz w:val="21"/>
                <w:szCs w:val="21"/>
              </w:rPr>
              <w:t>53.7</w:t>
            </w:r>
            <w:r>
              <w:rPr>
                <w:sz w:val="21"/>
                <w:szCs w:val="21"/>
              </w:rPr>
              <w:t>—</w:t>
            </w:r>
            <w:r>
              <w:rPr>
                <w:rFonts w:hint="eastAsia"/>
                <w:sz w:val="21"/>
                <w:szCs w:val="21"/>
              </w:rPr>
              <w:t>55.0</w:t>
            </w:r>
          </w:p>
        </w:tc>
        <w:tc>
          <w:tcPr>
            <w:tcW w:w="1371" w:type="dxa"/>
            <w:vAlign w:val="center"/>
          </w:tcPr>
          <w:p>
            <w:pPr>
              <w:spacing w:line="360" w:lineRule="exact"/>
              <w:jc w:val="center"/>
              <w:rPr>
                <w:rFonts w:hint="eastAsia"/>
                <w:sz w:val="21"/>
                <w:szCs w:val="21"/>
              </w:rPr>
            </w:pPr>
            <w:r>
              <w:rPr>
                <w:rFonts w:hint="eastAsia"/>
                <w:sz w:val="21"/>
                <w:szCs w:val="21"/>
              </w:rPr>
              <w:t>49.5</w:t>
            </w:r>
            <w:r>
              <w:rPr>
                <w:sz w:val="21"/>
                <w:szCs w:val="21"/>
              </w:rPr>
              <w:t>—</w:t>
            </w:r>
            <w:r>
              <w:rPr>
                <w:rFonts w:hint="eastAsia"/>
                <w:sz w:val="21"/>
                <w:szCs w:val="21"/>
              </w:rPr>
              <w:t>50.2</w:t>
            </w:r>
          </w:p>
        </w:tc>
        <w:tc>
          <w:tcPr>
            <w:tcW w:w="1160" w:type="dxa"/>
            <w:vAlign w:val="center"/>
          </w:tcPr>
          <w:p>
            <w:pPr>
              <w:spacing w:line="360" w:lineRule="exact"/>
              <w:jc w:val="center"/>
              <w:rPr>
                <w:rFonts w:hint="eastAsia"/>
                <w:sz w:val="21"/>
                <w:szCs w:val="21"/>
              </w:rPr>
            </w:pPr>
            <w:r>
              <w:rPr>
                <w:rFonts w:hint="eastAsia"/>
                <w:sz w:val="21"/>
                <w:szCs w:val="21"/>
              </w:rPr>
              <w:t>昼间70</w:t>
            </w:r>
          </w:p>
          <w:p>
            <w:pPr>
              <w:spacing w:line="360" w:lineRule="exact"/>
              <w:jc w:val="center"/>
              <w:rPr>
                <w:rFonts w:hint="eastAsia"/>
                <w:sz w:val="21"/>
                <w:szCs w:val="21"/>
              </w:rPr>
            </w:pPr>
            <w:r>
              <w:rPr>
                <w:rFonts w:hint="eastAsia"/>
                <w:sz w:val="21"/>
                <w:szCs w:val="21"/>
              </w:rPr>
              <w:t>夜间55</w:t>
            </w:r>
          </w:p>
        </w:tc>
      </w:tr>
    </w:tbl>
    <w:p>
      <w:pPr>
        <w:spacing w:line="460" w:lineRule="exact"/>
        <w:ind w:firstLine="1148" w:firstLineChars="547"/>
        <w:rPr>
          <w:rFonts w:hint="eastAsia"/>
        </w:rPr>
      </w:pPr>
    </w:p>
    <w:p>
      <w:pPr>
        <w:adjustRightInd w:val="0"/>
        <w:snapToGrid w:val="0"/>
        <w:spacing w:line="360" w:lineRule="auto"/>
        <w:ind w:firstLine="480"/>
        <w:rPr>
          <w:rFonts w:hint="eastAsia"/>
        </w:rPr>
      </w:pPr>
      <w:r>
        <w:rPr>
          <w:rFonts w:hint="eastAsia"/>
        </w:rPr>
        <w:t>由表8-22的预测结果可知，技改项目投入运行后，按《工业企业厂界噪声标准》（GB12348-2008）中2类标准评价，昼间厂界噪声均能达标；夜间噪声西厂界超标，超标4.5dB。由表8-23的预测结果可知，按《声环境质量标准》（GB3096-2008）中2类标准评价，评价范围内的声环境敏感点噪声影响值较小，与背景噪声值叠加后，昼夜均能达标，不会造成噪声扰民现象的发生。</w:t>
      </w:r>
    </w:p>
    <w:p>
      <w:pPr>
        <w:spacing w:line="360" w:lineRule="auto"/>
        <w:outlineLvl w:val="1"/>
        <w:rPr>
          <w:rFonts w:hint="eastAsia"/>
          <w:b/>
          <w:bCs/>
        </w:rPr>
      </w:pPr>
      <w:bookmarkStart w:id="341" w:name="_Toc189814174"/>
      <w:bookmarkStart w:id="342" w:name="_Toc175479834"/>
      <w:bookmarkStart w:id="343" w:name="_Toc473281532"/>
      <w:bookmarkStart w:id="344" w:name="_Toc276372254"/>
      <w:r>
        <w:rPr>
          <w:rFonts w:hint="eastAsia"/>
          <w:b/>
          <w:bCs/>
        </w:rPr>
        <w:t>8.4固体废物影响分析</w:t>
      </w:r>
      <w:bookmarkEnd w:id="341"/>
      <w:bookmarkEnd w:id="342"/>
      <w:bookmarkEnd w:id="343"/>
      <w:bookmarkEnd w:id="344"/>
    </w:p>
    <w:p>
      <w:pPr>
        <w:spacing w:line="360" w:lineRule="auto"/>
        <w:ind w:firstLine="420" w:firstLineChars="200"/>
        <w:rPr>
          <w:rFonts w:hint="eastAsia"/>
          <w:bCs/>
        </w:rPr>
      </w:pPr>
      <w:r>
        <w:rPr>
          <w:rFonts w:hint="eastAsia"/>
        </w:rPr>
        <w:t xml:space="preserve"> </w:t>
      </w:r>
      <w:r>
        <w:rPr>
          <w:rFonts w:hint="eastAsia"/>
          <w:bCs/>
        </w:rPr>
        <w:t>技改项目固体废物主要由工业固体废物和生活垃圾构成。</w:t>
      </w:r>
    </w:p>
    <w:p>
      <w:pPr>
        <w:spacing w:line="360" w:lineRule="auto"/>
        <w:rPr>
          <w:rFonts w:hint="eastAsia"/>
          <w:b/>
        </w:rPr>
      </w:pPr>
      <w:r>
        <w:rPr>
          <w:rFonts w:hint="eastAsia"/>
          <w:b/>
        </w:rPr>
        <w:t>8.4.1工业固体废物环境影响分析</w:t>
      </w:r>
    </w:p>
    <w:p>
      <w:pPr>
        <w:widowControl/>
        <w:spacing w:line="360" w:lineRule="auto"/>
        <w:ind w:firstLine="420" w:firstLineChars="200"/>
        <w:rPr>
          <w:rFonts w:hint="eastAsia"/>
        </w:rPr>
      </w:pPr>
      <w:r>
        <w:rPr>
          <w:rFonts w:hint="eastAsia"/>
        </w:rPr>
        <w:t>（1）除尘灰</w:t>
      </w:r>
    </w:p>
    <w:p>
      <w:pPr>
        <w:spacing w:line="360" w:lineRule="auto"/>
        <w:ind w:firstLine="420" w:firstLineChars="200"/>
        <w:rPr>
          <w:rFonts w:hint="eastAsia" w:ascii="宋体" w:hAnsi="宋体"/>
        </w:rPr>
      </w:pPr>
      <w:r>
        <w:rPr>
          <w:rFonts w:hint="eastAsia"/>
        </w:rPr>
        <w:t>各粉尘和烟尘除尘器除尘产生收集下来的除尘灰，全部由水泥原料或产品构成，</w:t>
      </w:r>
      <w:r>
        <w:rPr>
          <w:rFonts w:hint="eastAsia" w:ascii="宋体" w:hAnsi="宋体"/>
        </w:rPr>
        <w:t>产生量</w:t>
      </w:r>
      <w:r>
        <w:rPr>
          <w:rFonts w:hint="eastAsia"/>
          <w:sz w:val="21"/>
          <w:szCs w:val="21"/>
        </w:rPr>
        <w:t>183485.15</w:t>
      </w:r>
      <w:r>
        <w:rPr>
          <w:rFonts w:ascii="宋体" w:hAnsi="宋体"/>
        </w:rPr>
        <w:t>t/a</w:t>
      </w:r>
      <w:r>
        <w:rPr>
          <w:rFonts w:hint="eastAsia" w:ascii="宋体" w:hAnsi="宋体"/>
        </w:rPr>
        <w:t>。</w:t>
      </w:r>
      <w:r>
        <w:rPr>
          <w:rFonts w:hint="eastAsia"/>
        </w:rPr>
        <w:t>采取收集后作生产原料回用或产品外售利用，不排放</w:t>
      </w:r>
      <w:r>
        <w:rPr>
          <w:rFonts w:hint="eastAsia" w:ascii="宋体" w:hAnsi="宋体"/>
        </w:rPr>
        <w:t>。</w:t>
      </w:r>
    </w:p>
    <w:p>
      <w:pPr>
        <w:spacing w:line="360" w:lineRule="auto"/>
        <w:ind w:firstLine="420" w:firstLineChars="200"/>
        <w:rPr>
          <w:rFonts w:hint="eastAsia"/>
        </w:rPr>
      </w:pPr>
      <w:r>
        <w:rPr>
          <w:rFonts w:hint="eastAsia" w:ascii="宋体" w:hAnsi="宋体"/>
        </w:rPr>
        <w:t>（2）</w:t>
      </w:r>
      <w:r>
        <w:rPr>
          <w:rFonts w:hint="eastAsia"/>
        </w:rPr>
        <w:t>污水处理污泥</w:t>
      </w:r>
    </w:p>
    <w:p>
      <w:pPr>
        <w:spacing w:line="360" w:lineRule="auto"/>
        <w:ind w:firstLine="420" w:firstLineChars="200"/>
        <w:rPr>
          <w:rFonts w:hint="eastAsia"/>
        </w:rPr>
      </w:pPr>
      <w:r>
        <w:rPr>
          <w:rFonts w:hint="eastAsia"/>
        </w:rPr>
        <w:t>生活污水采取生化工艺处理时，产生污泥，</w:t>
      </w:r>
      <w:r>
        <w:rPr>
          <w:rFonts w:hint="eastAsia" w:ascii="宋体" w:hAnsi="宋体"/>
        </w:rPr>
        <w:t>产生量8.82</w:t>
      </w:r>
      <w:r>
        <w:rPr>
          <w:rFonts w:ascii="宋体" w:hAnsi="宋体"/>
        </w:rPr>
        <w:t>t/a</w:t>
      </w:r>
      <w:r>
        <w:rPr>
          <w:rFonts w:hint="eastAsia" w:ascii="宋体" w:hAnsi="宋体"/>
        </w:rPr>
        <w:t>(含水90％)。</w:t>
      </w:r>
      <w:r>
        <w:rPr>
          <w:rFonts w:hint="eastAsia"/>
        </w:rPr>
        <w:t>由于该污泥的成分与粘土类似，故可直接送水泥回转窑作水泥原料煅烧，不排放。</w:t>
      </w:r>
    </w:p>
    <w:p>
      <w:pPr>
        <w:spacing w:line="360" w:lineRule="auto"/>
        <w:ind w:left="31" w:leftChars="15" w:firstLine="420" w:firstLineChars="200"/>
        <w:rPr>
          <w:rFonts w:hint="eastAsia"/>
        </w:rPr>
      </w:pPr>
      <w:r>
        <w:rPr>
          <w:rFonts w:hint="eastAsia"/>
        </w:rPr>
        <w:t>由此可见，技改项目的工业固体废物全部进行了有效的回收利用，体现了国家“变废为宝、综合利用”的循环经济原则，不会对周围环境造成污染影响。</w:t>
      </w:r>
    </w:p>
    <w:p>
      <w:pPr>
        <w:spacing w:line="360" w:lineRule="auto"/>
        <w:rPr>
          <w:rFonts w:hint="eastAsia"/>
          <w:b/>
        </w:rPr>
      </w:pPr>
      <w:r>
        <w:rPr>
          <w:rFonts w:hint="eastAsia"/>
          <w:b/>
        </w:rPr>
        <w:t>8.4.2生活垃圾环境影响分析</w:t>
      </w:r>
    </w:p>
    <w:p>
      <w:pPr>
        <w:spacing w:line="360" w:lineRule="auto"/>
        <w:ind w:firstLine="420" w:firstLineChars="200"/>
        <w:rPr>
          <w:rFonts w:hint="eastAsia"/>
        </w:rPr>
      </w:pPr>
      <w:r>
        <w:rPr>
          <w:rFonts w:hint="eastAsia"/>
        </w:rPr>
        <w:t>全厂职工生活产生生活垃圾，产生</w:t>
      </w:r>
      <w:r>
        <w:rPr>
          <w:rFonts w:hint="eastAsia" w:ascii="宋体" w:hAnsi="宋体"/>
        </w:rPr>
        <w:t>量</w:t>
      </w:r>
      <w:r>
        <w:rPr>
          <w:rFonts w:hint="eastAsia"/>
        </w:rPr>
        <w:t>42.3</w:t>
      </w:r>
      <w:r>
        <w:rPr>
          <w:rFonts w:ascii="宋体" w:hAnsi="宋体"/>
        </w:rPr>
        <w:t>t/a</w:t>
      </w:r>
      <w:r>
        <w:rPr>
          <w:rFonts w:hint="eastAsia" w:ascii="宋体" w:hAnsi="宋体"/>
        </w:rPr>
        <w:t>。</w:t>
      </w:r>
      <w:r>
        <w:rPr>
          <w:rFonts w:hint="eastAsia"/>
        </w:rPr>
        <w:t>采取在厂区内设生活垃圾转运站，集中收集后，由青木关镇环卫部门送城市垃圾处理场卫生填埋，满足相关环保管理要求，对厂区和外环境影响很小。</w:t>
      </w:r>
    </w:p>
    <w:p>
      <w:pPr>
        <w:spacing w:line="360" w:lineRule="auto"/>
        <w:outlineLvl w:val="1"/>
        <w:rPr>
          <w:rFonts w:hint="eastAsia"/>
          <w:b/>
          <w:bCs/>
        </w:rPr>
      </w:pPr>
      <w:bookmarkStart w:id="345" w:name="_Toc276372255"/>
      <w:r>
        <w:rPr>
          <w:rFonts w:hint="eastAsia"/>
          <w:b/>
          <w:bCs/>
        </w:rPr>
        <w:t>8.5生态环境影响分析</w:t>
      </w:r>
      <w:bookmarkEnd w:id="345"/>
    </w:p>
    <w:p>
      <w:pPr>
        <w:spacing w:line="360" w:lineRule="auto"/>
        <w:rPr>
          <w:b/>
        </w:rPr>
      </w:pPr>
      <w:bookmarkStart w:id="346" w:name="_Toc232520403"/>
      <w:bookmarkStart w:id="347" w:name="_Toc231894502"/>
      <w:r>
        <w:rPr>
          <w:rFonts w:hint="eastAsia"/>
          <w:b/>
        </w:rPr>
        <w:t>8.5</w:t>
      </w:r>
      <w:r>
        <w:rPr>
          <w:b/>
        </w:rPr>
        <w:t>.1  区域生态系统类型</w:t>
      </w:r>
      <w:bookmarkEnd w:id="346"/>
      <w:bookmarkEnd w:id="347"/>
    </w:p>
    <w:p>
      <w:pPr>
        <w:adjustRightInd w:val="0"/>
        <w:snapToGrid w:val="0"/>
        <w:spacing w:line="360" w:lineRule="auto"/>
        <w:ind w:firstLine="420" w:firstLineChars="200"/>
        <w:rPr>
          <w:rFonts w:hint="eastAsia"/>
        </w:rPr>
      </w:pPr>
      <w:r>
        <w:rPr>
          <w:rFonts w:hint="eastAsia"/>
        </w:rPr>
        <w:t>技改项目所在地以农村生态系统为主，项目区位于一个深丘沟谷中部，沟谷位于319国道南侧，沟谷长约400m，宽约555m；地势总体南高北低。总体上呈“U”字型，地形起伏较大。</w:t>
      </w:r>
    </w:p>
    <w:p>
      <w:pPr>
        <w:adjustRightInd w:val="0"/>
        <w:snapToGrid w:val="0"/>
        <w:spacing w:line="360" w:lineRule="auto"/>
        <w:ind w:firstLine="420" w:firstLineChars="200"/>
        <w:rPr>
          <w:rFonts w:hint="eastAsia"/>
        </w:rPr>
      </w:pPr>
      <w:r>
        <w:rPr>
          <w:rFonts w:hint="eastAsia"/>
        </w:rPr>
        <w:t>评价区域内无其他自然保护区、重要生态功能区、风景名胜区、森林公园、渔业养殖场等，无生物（态）保护地（动植物园、生态保护地、示范区等），无生态脆弱区，无自然灾害易发区等生态敏感目标。</w:t>
      </w:r>
    </w:p>
    <w:p>
      <w:pPr>
        <w:spacing w:line="360" w:lineRule="auto"/>
        <w:rPr>
          <w:rFonts w:hint="eastAsia"/>
          <w:b/>
        </w:rPr>
      </w:pPr>
      <w:bookmarkStart w:id="348" w:name="_Toc232520404"/>
      <w:bookmarkStart w:id="349" w:name="_Toc231894503"/>
      <w:r>
        <w:rPr>
          <w:rFonts w:hint="eastAsia"/>
          <w:b/>
        </w:rPr>
        <w:t>8.5.</w:t>
      </w:r>
      <w:r>
        <w:rPr>
          <w:b/>
        </w:rPr>
        <w:t>2  生态环境影响分析</w:t>
      </w:r>
      <w:bookmarkEnd w:id="348"/>
      <w:bookmarkEnd w:id="349"/>
    </w:p>
    <w:p>
      <w:pPr>
        <w:adjustRightInd w:val="0"/>
        <w:snapToGrid w:val="0"/>
        <w:spacing w:line="360" w:lineRule="auto"/>
        <w:ind w:firstLine="420" w:firstLineChars="200"/>
        <w:rPr>
          <w:rFonts w:hint="eastAsia"/>
        </w:rPr>
      </w:pPr>
      <w:r>
        <w:rPr>
          <w:rFonts w:hint="eastAsia"/>
        </w:rPr>
        <w:t>技改项目的生态环境影响分析主要是项目实施后对附近植被和农作物、</w:t>
      </w:r>
      <w:r>
        <w:t>区域景观和清洁度</w:t>
      </w:r>
      <w:r>
        <w:rPr>
          <w:rFonts w:hint="eastAsia"/>
        </w:rPr>
        <w:t>的影响分析。</w:t>
      </w:r>
    </w:p>
    <w:p>
      <w:pPr>
        <w:adjustRightInd w:val="0"/>
        <w:snapToGrid w:val="0"/>
        <w:spacing w:line="360" w:lineRule="auto"/>
        <w:ind w:firstLine="420" w:firstLineChars="200"/>
      </w:pPr>
      <w:r>
        <w:rPr>
          <w:rFonts w:hint="eastAsia"/>
        </w:rPr>
        <w:t>（1）</w:t>
      </w:r>
      <w:r>
        <w:t>对植被和农作物的影响分析</w:t>
      </w:r>
    </w:p>
    <w:p>
      <w:pPr>
        <w:adjustRightInd w:val="0"/>
        <w:snapToGrid w:val="0"/>
        <w:spacing w:line="360" w:lineRule="auto"/>
        <w:ind w:firstLine="420" w:firstLineChars="200"/>
        <w:rPr>
          <w:rFonts w:hint="eastAsia"/>
        </w:rPr>
      </w:pPr>
      <w:r>
        <w:t>拟建项目对植被和农作物的影响主要是废气中SO</w:t>
      </w:r>
      <w:r>
        <w:rPr>
          <w:vertAlign w:val="subscript"/>
        </w:rPr>
        <w:t>2</w:t>
      </w:r>
      <w:r>
        <w:t>影响</w:t>
      </w:r>
      <w:r>
        <w:rPr>
          <w:rFonts w:hint="eastAsia"/>
        </w:rPr>
        <w:t>。</w:t>
      </w:r>
      <w:r>
        <w:t>对于SO</w:t>
      </w:r>
      <w:r>
        <w:rPr>
          <w:vertAlign w:val="subscript"/>
        </w:rPr>
        <w:t>2</w:t>
      </w:r>
      <w:r>
        <w:t>对植被和农作物的影响，根据大气中SO</w:t>
      </w:r>
      <w:r>
        <w:rPr>
          <w:vertAlign w:val="subscript"/>
        </w:rPr>
        <w:t>2</w:t>
      </w:r>
      <w:r>
        <w:t>对植物产生急性伤害的阈值，当环境空气中的SO</w:t>
      </w:r>
      <w:r>
        <w:rPr>
          <w:vertAlign w:val="subscript"/>
        </w:rPr>
        <w:t>2</w:t>
      </w:r>
      <w:r>
        <w:t>浓度为1mg/m3，且</w:t>
      </w:r>
      <w:r>
        <w:rPr>
          <w:rFonts w:hint="eastAsia"/>
        </w:rPr>
        <w:t>持</w:t>
      </w:r>
      <w:r>
        <w:t>续时间为6h时，某些植物约5％的叶面受损。</w:t>
      </w:r>
    </w:p>
    <w:p>
      <w:pPr>
        <w:adjustRightInd w:val="0"/>
        <w:snapToGrid w:val="0"/>
        <w:spacing w:line="360" w:lineRule="auto"/>
        <w:ind w:firstLine="420" w:firstLineChars="200"/>
      </w:pPr>
      <w:r>
        <w:rPr>
          <w:rFonts w:hint="eastAsia"/>
        </w:rPr>
        <w:t>本技改项目</w:t>
      </w:r>
      <w:r>
        <w:t>采用五级旋风预热器和分解炉</w:t>
      </w:r>
      <w:r>
        <w:rPr>
          <w:rFonts w:hint="eastAsia"/>
        </w:rPr>
        <w:t>组成窑外分解系统，</w:t>
      </w:r>
      <w:r>
        <w:t>该系统对硫的吸收率</w:t>
      </w:r>
      <w:r>
        <w:rPr>
          <w:rFonts w:hint="eastAsia"/>
        </w:rPr>
        <w:t>为95％，</w:t>
      </w:r>
      <w:r>
        <w:t>拟建工程</w:t>
      </w:r>
      <w:r>
        <w:rPr>
          <w:rFonts w:hint="eastAsia"/>
        </w:rPr>
        <w:t>外</w:t>
      </w:r>
      <w:r>
        <w:t>排</w:t>
      </w:r>
      <w:r>
        <w:rPr>
          <w:rFonts w:hint="eastAsia"/>
        </w:rPr>
        <w:t>的</w:t>
      </w:r>
      <w:r>
        <w:t>SO</w:t>
      </w:r>
      <w:r>
        <w:rPr>
          <w:vertAlign w:val="subscript"/>
        </w:rPr>
        <w:t>2</w:t>
      </w:r>
      <w:r>
        <w:t>总量为</w:t>
      </w:r>
      <w:r>
        <w:rPr>
          <w:rFonts w:hint="eastAsia"/>
        </w:rPr>
        <w:t>216.96</w:t>
      </w:r>
      <w:r>
        <w:t xml:space="preserve"> t/a</w:t>
      </w:r>
      <w:r>
        <w:rPr>
          <w:rFonts w:hint="eastAsia"/>
        </w:rPr>
        <w:t>。</w:t>
      </w:r>
      <w:r>
        <w:t>由环境空气质量影响预测评价可知，</w:t>
      </w:r>
      <w:r>
        <w:rPr>
          <w:rFonts w:hint="eastAsia"/>
        </w:rPr>
        <w:t>工程外排的</w:t>
      </w:r>
      <w:r>
        <w:t>SO</w:t>
      </w:r>
      <w:r>
        <w:rPr>
          <w:vertAlign w:val="subscript"/>
        </w:rPr>
        <w:t>2</w:t>
      </w:r>
      <w:r>
        <w:rPr>
          <w:rFonts w:hint="eastAsia"/>
        </w:rPr>
        <w:t>小时最大浓度</w:t>
      </w:r>
      <w:r>
        <w:t>为</w:t>
      </w:r>
      <w:r>
        <w:rPr>
          <w:rFonts w:hint="eastAsia"/>
        </w:rPr>
        <w:t>0.0606</w:t>
      </w:r>
      <w:r>
        <w:t>mg/m3，对植被和农作物的影响甚微。</w:t>
      </w:r>
    </w:p>
    <w:p>
      <w:pPr>
        <w:adjustRightInd w:val="0"/>
        <w:snapToGrid w:val="0"/>
        <w:spacing w:line="360" w:lineRule="auto"/>
        <w:ind w:firstLine="420" w:firstLineChars="200"/>
        <w:rPr>
          <w:rFonts w:hint="eastAsia"/>
        </w:rPr>
      </w:pPr>
      <w:r>
        <w:rPr>
          <w:rFonts w:hint="eastAsia"/>
        </w:rPr>
        <w:t xml:space="preserve">（2） </w:t>
      </w:r>
      <w:r>
        <w:t>对区域景观影响</w:t>
      </w:r>
    </w:p>
    <w:p>
      <w:pPr>
        <w:adjustRightInd w:val="0"/>
        <w:snapToGrid w:val="0"/>
        <w:spacing w:line="360" w:lineRule="auto"/>
        <w:ind w:firstLine="420" w:firstLineChars="200"/>
        <w:rPr>
          <w:rFonts w:hint="eastAsia"/>
        </w:rPr>
      </w:pPr>
      <w:r>
        <w:rPr>
          <w:rFonts w:hint="eastAsia"/>
        </w:rPr>
        <w:t>技改项目用</w:t>
      </w:r>
      <w:r>
        <w:t>地</w:t>
      </w:r>
      <w:r>
        <w:rPr>
          <w:rFonts w:hint="eastAsia"/>
        </w:rPr>
        <w:t>位于渝遂高速公路南侧，且渝遂高速公路相对位置较高，因此技改项目对渝遂高速公路的景观影响较大。但由于本项目为技改项目，由先进的新型干法旋窑生产线替代落后的机立窑生产线，厂区建设将更加规范，对产生的废气</w:t>
      </w:r>
      <w:r>
        <w:t>均采取有效、可靠的治理措施</w:t>
      </w:r>
      <w:r>
        <w:rPr>
          <w:rFonts w:hint="eastAsia"/>
        </w:rPr>
        <w:t>，同时将对350米以上的空地进行绿化，项目建成后将一改往日的浓烟滚滚，扬尘弥漫的景象，取而代之的是花园是工厂，因此，项目建设带来的景观正效益明显。</w:t>
      </w:r>
      <w:bookmarkStart w:id="350" w:name="_Toc152222694"/>
      <w:bookmarkStart w:id="351" w:name="_Toc49749997"/>
      <w:bookmarkStart w:id="352" w:name="_Toc48187364"/>
      <w:bookmarkStart w:id="353" w:name="_Toc238263236"/>
      <w:bookmarkStart w:id="354" w:name="_Toc232520405"/>
      <w:bookmarkStart w:id="355" w:name="_Toc49046301"/>
      <w:bookmarkStart w:id="356" w:name="_Toc48993302"/>
    </w:p>
    <w:p>
      <w:pPr>
        <w:spacing w:line="360" w:lineRule="auto"/>
        <w:outlineLvl w:val="1"/>
        <w:rPr>
          <w:b/>
          <w:bCs/>
        </w:rPr>
      </w:pPr>
      <w:bookmarkStart w:id="357" w:name="_Toc276372256"/>
      <w:r>
        <w:rPr>
          <w:rFonts w:hint="eastAsia"/>
          <w:b/>
          <w:bCs/>
        </w:rPr>
        <w:t>8.6</w:t>
      </w:r>
      <w:r>
        <w:rPr>
          <w:b/>
          <w:bCs/>
        </w:rPr>
        <w:t xml:space="preserve"> 运输对环境的影响分析</w:t>
      </w:r>
      <w:bookmarkEnd w:id="350"/>
      <w:bookmarkEnd w:id="351"/>
      <w:bookmarkEnd w:id="352"/>
      <w:bookmarkEnd w:id="353"/>
      <w:bookmarkEnd w:id="354"/>
      <w:bookmarkEnd w:id="355"/>
      <w:bookmarkEnd w:id="356"/>
      <w:bookmarkEnd w:id="357"/>
    </w:p>
    <w:p>
      <w:pPr>
        <w:adjustRightInd w:val="0"/>
        <w:snapToGrid w:val="0"/>
        <w:spacing w:line="360" w:lineRule="auto"/>
        <w:ind w:firstLine="420" w:firstLineChars="200"/>
        <w:rPr>
          <w:rFonts w:hint="eastAsia"/>
        </w:rPr>
      </w:pPr>
      <w:r>
        <w:t>工程建成投产后，厂内和厂外物流量较大，厂内运输主要是原、燃料的二次倒运。厂外运输主要是为保证项目的正常生产，</w:t>
      </w:r>
      <w:r>
        <w:rPr>
          <w:rFonts w:hint="eastAsia"/>
        </w:rPr>
        <w:t>生产用的原辅材料除了</w:t>
      </w:r>
      <w:r>
        <w:rPr>
          <w:rFonts w:hAnsi="宋体"/>
        </w:rPr>
        <w:t>煤矸石</w:t>
      </w:r>
      <w:r>
        <w:rPr>
          <w:rFonts w:hint="eastAsia"/>
        </w:rPr>
        <w:t>是用胶带机从煤矿输入，其余物料均通过319国道进出，</w:t>
      </w:r>
      <w:r>
        <w:t>每年需通过公路运进原辅材料</w:t>
      </w:r>
      <w:r>
        <w:rPr>
          <w:rFonts w:hint="eastAsia"/>
        </w:rPr>
        <w:t>154.1万</w:t>
      </w:r>
      <w:r>
        <w:t>t/a</w:t>
      </w:r>
      <w:r>
        <w:rPr>
          <w:rFonts w:hint="eastAsia"/>
        </w:rPr>
        <w:t>，</w:t>
      </w:r>
      <w:r>
        <w:t>生产出的产品水泥</w:t>
      </w:r>
      <w:r>
        <w:rPr>
          <w:rFonts w:hint="eastAsia"/>
        </w:rPr>
        <w:t>1</w:t>
      </w:r>
      <w:r>
        <w:t>0</w:t>
      </w:r>
      <w:r>
        <w:rPr>
          <w:rFonts w:hint="eastAsia"/>
        </w:rPr>
        <w:t>0万</w:t>
      </w:r>
      <w:r>
        <w:t>t/a</w:t>
      </w:r>
      <w:r>
        <w:rPr>
          <w:rFonts w:hint="eastAsia"/>
        </w:rPr>
        <w:t>。</w:t>
      </w:r>
    </w:p>
    <w:p>
      <w:pPr>
        <w:adjustRightInd w:val="0"/>
        <w:snapToGrid w:val="0"/>
        <w:spacing w:line="360" w:lineRule="auto"/>
        <w:ind w:firstLine="420" w:firstLineChars="200"/>
        <w:rPr>
          <w:rFonts w:hint="eastAsia"/>
        </w:rPr>
      </w:pPr>
      <w:r>
        <w:t>车辆在运输过程中产生的噪声、排放的尾气、散落的物料及扬尘对运输道路周围的环境产生一定的影响。</w:t>
      </w:r>
    </w:p>
    <w:p>
      <w:pPr>
        <w:spacing w:line="360" w:lineRule="auto"/>
        <w:rPr>
          <w:b/>
        </w:rPr>
      </w:pPr>
      <w:bookmarkStart w:id="358" w:name="_Toc231894505"/>
      <w:bookmarkStart w:id="359" w:name="_Toc232520406"/>
      <w:r>
        <w:rPr>
          <w:rFonts w:hint="eastAsia"/>
          <w:b/>
        </w:rPr>
        <w:t>8.6</w:t>
      </w:r>
      <w:r>
        <w:rPr>
          <w:b/>
        </w:rPr>
        <w:t>.1  运输对环境空气的影响</w:t>
      </w:r>
      <w:bookmarkEnd w:id="358"/>
      <w:bookmarkEnd w:id="359"/>
    </w:p>
    <w:p>
      <w:pPr>
        <w:adjustRightInd w:val="0"/>
        <w:snapToGrid w:val="0"/>
        <w:spacing w:line="360" w:lineRule="auto"/>
        <w:ind w:firstLine="420" w:firstLineChars="200"/>
        <w:rPr>
          <w:rFonts w:hint="eastAsia"/>
        </w:rPr>
      </w:pPr>
      <w:r>
        <w:rPr>
          <w:rFonts w:hint="eastAsia"/>
        </w:rPr>
        <w:t>技改项目</w:t>
      </w:r>
      <w:r>
        <w:t>运入的原辅材料中，</w:t>
      </w:r>
      <w:r>
        <w:rPr>
          <w:rFonts w:hint="eastAsia"/>
        </w:rPr>
        <w:t>硫酸渣、</w:t>
      </w:r>
      <w:r>
        <w:t>石膏</w:t>
      </w:r>
      <w:r>
        <w:rPr>
          <w:rFonts w:hint="eastAsia"/>
        </w:rPr>
        <w:t>、矿渣和煤等</w:t>
      </w:r>
      <w:r>
        <w:t>含有一定的水份（含水率在</w:t>
      </w:r>
      <w:r>
        <w:rPr>
          <w:rFonts w:hint="eastAsia"/>
        </w:rPr>
        <w:t>2</w:t>
      </w:r>
      <w:r>
        <w:t>％～1</w:t>
      </w:r>
      <w:r>
        <w:rPr>
          <w:rFonts w:hint="eastAsia"/>
        </w:rPr>
        <w:t>0</w:t>
      </w:r>
      <w:r>
        <w:t>％），在运输过程中不易产生粉尘飞扬，对环境空气影响</w:t>
      </w:r>
      <w:r>
        <w:rPr>
          <w:rFonts w:hint="eastAsia"/>
        </w:rPr>
        <w:t>甚微</w:t>
      </w:r>
      <w:r>
        <w:t>。</w:t>
      </w:r>
      <w:r>
        <w:rPr>
          <w:rFonts w:hint="eastAsia"/>
        </w:rPr>
        <w:t>石灰石和煤渣</w:t>
      </w:r>
      <w:r>
        <w:t>含水率较低</w:t>
      </w:r>
      <w:r>
        <w:rPr>
          <w:rFonts w:hint="eastAsia"/>
        </w:rPr>
        <w:t>（为1</w:t>
      </w:r>
      <w:r>
        <w:t>％</w:t>
      </w:r>
      <w:r>
        <w:rPr>
          <w:rFonts w:hint="eastAsia"/>
        </w:rPr>
        <w:t>）</w:t>
      </w:r>
      <w:r>
        <w:t>，运输过程易产生粉尘飞扬，会对公路沿线环境空气产生不利影响。运输过程中，可能会产生物料散落，影响道路的清洁。</w:t>
      </w:r>
    </w:p>
    <w:p>
      <w:pPr>
        <w:adjustRightInd w:val="0"/>
        <w:snapToGrid w:val="0"/>
        <w:spacing w:line="360" w:lineRule="auto"/>
        <w:ind w:firstLine="420" w:firstLineChars="200"/>
      </w:pPr>
      <w:r>
        <w:t>在运输过程中，汽车行驶会引起道路二次扬尘，根据有关</w:t>
      </w:r>
      <w:r>
        <w:rPr>
          <w:rFonts w:hint="eastAsia"/>
        </w:rPr>
        <w:t>资料</w:t>
      </w:r>
      <w:r>
        <w:t>，其产尘强度为620mg/s～3650mg/s，在未采取任何措施的情况下，路面空气中粉尘浓度为2.3mg/m</w:t>
      </w:r>
      <w:r>
        <w:rPr>
          <w:vertAlign w:val="superscript"/>
        </w:rPr>
        <w:t>3</w:t>
      </w:r>
      <w:r>
        <w:t>～15.1mg/m</w:t>
      </w:r>
      <w:r>
        <w:rPr>
          <w:vertAlign w:val="superscript"/>
        </w:rPr>
        <w:t>3</w:t>
      </w:r>
      <w:r>
        <w:t>，对公路两侧约10m范围内的环境空气质量有一定影响。</w:t>
      </w:r>
    </w:p>
    <w:p>
      <w:pPr>
        <w:adjustRightInd w:val="0"/>
        <w:snapToGrid w:val="0"/>
        <w:spacing w:line="360" w:lineRule="auto"/>
        <w:ind w:firstLine="420" w:firstLineChars="200"/>
      </w:pPr>
      <w:r>
        <w:t>汽车排放的含CO、NO</w:t>
      </w:r>
      <w:r>
        <w:rPr>
          <w:rFonts w:hint="eastAsia"/>
          <w:vertAlign w:val="subscript"/>
        </w:rPr>
        <w:t>X</w:t>
      </w:r>
      <w:r>
        <w:t>等污染物的尾气对环境空气质量产生一定影响。</w:t>
      </w:r>
    </w:p>
    <w:p>
      <w:pPr>
        <w:adjustRightInd w:val="0"/>
        <w:snapToGrid w:val="0"/>
        <w:spacing w:line="360" w:lineRule="auto"/>
        <w:ind w:firstLine="420" w:firstLineChars="200"/>
      </w:pPr>
      <w:r>
        <w:t>为了减轻</w:t>
      </w:r>
      <w:r>
        <w:rPr>
          <w:rFonts w:hint="eastAsia"/>
        </w:rPr>
        <w:t>汽车</w:t>
      </w:r>
      <w:r>
        <w:t>运输对环境空气质量的影响，评价提出以下减缓措施：</w:t>
      </w:r>
    </w:p>
    <w:p>
      <w:pPr>
        <w:adjustRightInd w:val="0"/>
        <w:snapToGrid w:val="0"/>
        <w:spacing w:line="360" w:lineRule="auto"/>
        <w:ind w:firstLine="420" w:firstLineChars="200"/>
        <w:rPr>
          <w:rFonts w:hint="eastAsia"/>
        </w:rPr>
      </w:pPr>
      <w:r>
        <w:t>运输物料的车辆应控制物料的装载量和高度，并采用篷布遮盖，防止物料洒落；在物料上洒水增湿，抑制粉尘产生。合理安排运输计划，避免汽车空载，减少汽车往返次数，减少汽车尾气的排放量。车辆的运输路线应尽量选择具有良好路面的道路行驶，减少扬尘。运输车辆在进入公路前应进行冲洗，避免将泥沙带入道路，厂区内道路应经常</w:t>
      </w:r>
      <w:r>
        <w:rPr>
          <w:rFonts w:hint="eastAsia"/>
        </w:rPr>
        <w:t>清扫或</w:t>
      </w:r>
      <w:r>
        <w:t>进行冲洗，保持路面整洁。</w:t>
      </w:r>
    </w:p>
    <w:p>
      <w:pPr>
        <w:adjustRightInd w:val="0"/>
        <w:snapToGrid w:val="0"/>
        <w:spacing w:line="360" w:lineRule="auto"/>
        <w:ind w:firstLine="420" w:firstLineChars="200"/>
        <w:rPr>
          <w:rFonts w:hint="eastAsia"/>
        </w:rPr>
      </w:pPr>
      <w:r>
        <w:rPr>
          <w:rFonts w:hint="eastAsia"/>
        </w:rPr>
        <w:t>技改项目的煤矸石从公司的煤矿输入，输送方式为胶带机，在运输和卸料过程中有一定的粉尘产生，为减轻粉尘无组织排放对环境空气的影响，评价建议</w:t>
      </w:r>
      <w:r>
        <w:t>在</w:t>
      </w:r>
      <w:r>
        <w:rPr>
          <w:rFonts w:hint="eastAsia"/>
        </w:rPr>
        <w:t>皮带机上外加玻璃钢胶带机罩，</w:t>
      </w:r>
      <w:r>
        <w:t>抑制粉尘</w:t>
      </w:r>
      <w:r>
        <w:rPr>
          <w:rFonts w:hint="eastAsia"/>
        </w:rPr>
        <w:t>外溢</w:t>
      </w:r>
      <w:r>
        <w:t>。</w:t>
      </w:r>
      <w:r>
        <w:rPr>
          <w:rFonts w:hint="eastAsia"/>
        </w:rPr>
        <w:t>由于煤矿距厂址较近，且附近无居住人群，因此本技改项目煤矸石运输对周围环境的影响较小。</w:t>
      </w:r>
    </w:p>
    <w:p>
      <w:pPr>
        <w:spacing w:line="360" w:lineRule="auto"/>
        <w:rPr>
          <w:b/>
        </w:rPr>
      </w:pPr>
      <w:bookmarkStart w:id="360" w:name="_Toc232520407"/>
      <w:bookmarkStart w:id="361" w:name="_Toc231894506"/>
      <w:r>
        <w:rPr>
          <w:rFonts w:hint="eastAsia"/>
          <w:b/>
        </w:rPr>
        <w:t>8.6.</w:t>
      </w:r>
      <w:r>
        <w:rPr>
          <w:b/>
        </w:rPr>
        <w:t xml:space="preserve">2  </w:t>
      </w:r>
      <w:r>
        <w:rPr>
          <w:rFonts w:hint="eastAsia"/>
          <w:b/>
        </w:rPr>
        <w:t>运输对声环境的影响</w:t>
      </w:r>
      <w:bookmarkEnd w:id="360"/>
      <w:bookmarkEnd w:id="361"/>
    </w:p>
    <w:p>
      <w:pPr>
        <w:adjustRightInd w:val="0"/>
        <w:snapToGrid w:val="0"/>
        <w:spacing w:line="360" w:lineRule="auto"/>
        <w:ind w:firstLine="420" w:firstLineChars="200"/>
        <w:rPr>
          <w:rFonts w:hint="eastAsia"/>
        </w:rPr>
      </w:pPr>
      <w:r>
        <w:rPr>
          <w:rFonts w:hint="eastAsia"/>
        </w:rPr>
        <w:t>工程运输一般为重型汽车，在运输过程中产生的噪声对运输道路沿线声环境产生一定的影响。</w:t>
      </w:r>
    </w:p>
    <w:p>
      <w:pPr>
        <w:spacing w:line="360" w:lineRule="auto"/>
        <w:ind w:firstLine="420" w:firstLineChars="200"/>
        <w:rPr>
          <w:rFonts w:hint="eastAsia"/>
        </w:rPr>
      </w:pPr>
      <w:r>
        <w:rPr>
          <w:rFonts w:hint="eastAsia"/>
        </w:rPr>
        <w:t>为了降低运输噪声对环境的影响，应制定科学合理的运输计划，减少汽车往返次数，采用车况较好的车辆进行厂外运输，并尽可能安排在白天进行，降低噪声的辐射强度，避免夜间出现噪声扰民现象。</w:t>
      </w:r>
    </w:p>
    <w:p>
      <w:pPr>
        <w:spacing w:line="360" w:lineRule="auto"/>
        <w:ind w:firstLine="420" w:firstLineChars="200"/>
        <w:rPr>
          <w:rFonts w:hint="eastAsia"/>
        </w:rPr>
      </w:pPr>
    </w:p>
    <w:p>
      <w:pPr>
        <w:spacing w:line="360" w:lineRule="auto"/>
        <w:ind w:firstLine="420" w:firstLineChars="200"/>
        <w:rPr>
          <w:rFonts w:hint="eastAsia"/>
        </w:rPr>
      </w:pPr>
    </w:p>
    <w:p>
      <w:pPr>
        <w:spacing w:line="360" w:lineRule="auto"/>
        <w:outlineLvl w:val="0"/>
        <w:rPr>
          <w:b/>
          <w:bCs/>
          <w:sz w:val="28"/>
          <w:szCs w:val="28"/>
        </w:rPr>
        <w:sectPr>
          <w:pgSz w:w="11906" w:h="16838"/>
          <w:pgMar w:top="1440" w:right="1418" w:bottom="1440" w:left="1418" w:header="851" w:footer="992" w:gutter="0"/>
          <w:paperSrc w:first="20070" w:other="20070"/>
          <w:cols w:space="425" w:num="1"/>
          <w:docGrid w:linePitch="312" w:charSpace="0"/>
        </w:sectPr>
      </w:pPr>
      <w:bookmarkStart w:id="362" w:name="_Toc189814175"/>
      <w:bookmarkStart w:id="363" w:name="_Toc473281533"/>
    </w:p>
    <w:bookmarkEnd w:id="362"/>
    <w:bookmarkEnd w:id="363"/>
    <w:p>
      <w:pPr>
        <w:spacing w:line="360" w:lineRule="auto"/>
        <w:outlineLvl w:val="0"/>
        <w:rPr>
          <w:rFonts w:hint="eastAsia"/>
          <w:b/>
          <w:bCs/>
          <w:sz w:val="28"/>
        </w:rPr>
      </w:pPr>
      <w:bookmarkStart w:id="364" w:name="_Toc276372257"/>
      <w:bookmarkStart w:id="365" w:name="_Toc175479865"/>
      <w:bookmarkStart w:id="366" w:name="_Toc473281538"/>
      <w:bookmarkStart w:id="367" w:name="_Toc189814181"/>
      <w:r>
        <w:rPr>
          <w:rFonts w:hint="eastAsia"/>
          <w:b/>
          <w:bCs/>
          <w:sz w:val="28"/>
        </w:rPr>
        <w:t>9 公众参与</w:t>
      </w:r>
      <w:bookmarkEnd w:id="364"/>
      <w:bookmarkEnd w:id="365"/>
      <w:bookmarkEnd w:id="366"/>
      <w:bookmarkEnd w:id="367"/>
    </w:p>
    <w:p>
      <w:pPr>
        <w:spacing w:line="360" w:lineRule="auto"/>
        <w:outlineLvl w:val="1"/>
        <w:rPr>
          <w:rFonts w:hint="eastAsia"/>
          <w:b/>
          <w:bCs/>
        </w:rPr>
      </w:pPr>
      <w:bookmarkStart w:id="368" w:name="_Toc276372258"/>
      <w:bookmarkStart w:id="369" w:name="_Toc176686198"/>
      <w:bookmarkStart w:id="370" w:name="_Toc189814182"/>
      <w:bookmarkStart w:id="371" w:name="_Toc176784771"/>
      <w:bookmarkStart w:id="372" w:name="_Toc473281539"/>
      <w:r>
        <w:rPr>
          <w:rFonts w:hint="eastAsia"/>
          <w:b/>
          <w:bCs/>
        </w:rPr>
        <w:t xml:space="preserve">9.1 </w:t>
      </w:r>
      <w:r>
        <w:rPr>
          <w:b/>
          <w:bCs/>
        </w:rPr>
        <w:t>公众参与的目的和方式</w:t>
      </w:r>
      <w:bookmarkEnd w:id="368"/>
    </w:p>
    <w:p>
      <w:pPr>
        <w:adjustRightInd w:val="0"/>
        <w:snapToGrid w:val="0"/>
        <w:spacing w:line="360" w:lineRule="auto"/>
        <w:ind w:firstLine="420" w:firstLineChars="200"/>
      </w:pPr>
      <w:r>
        <w:t>《中华人民共和国环境影响评价法》第五条规定：</w:t>
      </w:r>
      <w:r>
        <w:rPr>
          <w:rFonts w:hint="eastAsia"/>
        </w:rPr>
        <w:t>“</w:t>
      </w:r>
      <w:r>
        <w:t>国家鼓励有关单位、专家和公众以适当方式参与环境影响评价</w:t>
      </w:r>
      <w:r>
        <w:rPr>
          <w:rFonts w:hint="eastAsia"/>
        </w:rPr>
        <w:t>”</w:t>
      </w:r>
      <w:r>
        <w:t>。公众参与环评，可使公众了解建设项目以及可能引起的重大的、潜在的环境问题，增强建设项目环评的合理性和社会可接受性，有利于最大限度地发挥规划或建设项目的综合和长远效益。也将大大增强环保审批的透明度，能最大限度地减少决策的盲目性、随意性，最大限度地消除污染和破坏隐患。这充分体现了公正、公开、科学、民主的精神，对保障公民知情权、让公众参与决策提供了法律依据。公众参与的主持单位为项目建设单位。</w:t>
      </w:r>
    </w:p>
    <w:p>
      <w:pPr>
        <w:adjustRightInd w:val="0"/>
        <w:snapToGrid w:val="0"/>
        <w:spacing w:line="360" w:lineRule="auto"/>
        <w:ind w:firstLine="420" w:firstLineChars="200"/>
      </w:pPr>
      <w:r>
        <w:t>公众对开发活动提出的各种看法和建设性意见体现在公众参与的结论中，因此将公众的合理意见予以充分吸收、采纳，能使开发活动的规划、设计和管理更加完善，确保开发活动的顺利进行和长远发展。同时，也有利于公众参与的监督、环保意识的提高和环境保护工作的开展。</w:t>
      </w:r>
    </w:p>
    <w:bookmarkEnd w:id="369"/>
    <w:bookmarkEnd w:id="370"/>
    <w:bookmarkEnd w:id="371"/>
    <w:bookmarkEnd w:id="372"/>
    <w:p>
      <w:pPr>
        <w:spacing w:line="360" w:lineRule="auto"/>
        <w:outlineLvl w:val="1"/>
        <w:rPr>
          <w:rFonts w:hint="eastAsia"/>
          <w:b/>
          <w:bCs/>
        </w:rPr>
      </w:pPr>
      <w:bookmarkStart w:id="373" w:name="_Toc176784773"/>
      <w:bookmarkStart w:id="374" w:name="_Toc176686199"/>
      <w:bookmarkStart w:id="375" w:name="_Toc276372259"/>
      <w:r>
        <w:rPr>
          <w:rFonts w:hint="eastAsia"/>
          <w:b/>
          <w:bCs/>
        </w:rPr>
        <w:t>9.2 公众参与方式及</w:t>
      </w:r>
      <w:bookmarkEnd w:id="373"/>
      <w:bookmarkEnd w:id="374"/>
      <w:r>
        <w:rPr>
          <w:rFonts w:hint="eastAsia"/>
          <w:b/>
          <w:bCs/>
        </w:rPr>
        <w:t>范围</w:t>
      </w:r>
      <w:bookmarkEnd w:id="375"/>
    </w:p>
    <w:p>
      <w:pPr>
        <w:spacing w:line="360" w:lineRule="auto"/>
        <w:ind w:firstLine="420" w:firstLineChars="200"/>
        <w:rPr>
          <w:rFonts w:hint="eastAsia" w:ascii="宋体" w:hAnsi="宋体" w:cs="Tunga"/>
        </w:rPr>
      </w:pPr>
      <w:r>
        <w:rPr>
          <w:rFonts w:ascii="宋体" w:hAnsi="宋体" w:cs="Tunga"/>
        </w:rPr>
        <w:t>根据《环境影响评价公众参与暂行办法》，</w:t>
      </w:r>
      <w:r>
        <w:rPr>
          <w:rFonts w:hint="eastAsia" w:ascii="宋体" w:hAnsi="宋体"/>
        </w:rPr>
        <w:t>公众参与采取3种形式：两次网上信息公示、</w:t>
      </w:r>
      <w:r>
        <w:t>项目所在地发布信息公告</w:t>
      </w:r>
      <w:r>
        <w:rPr>
          <w:rFonts w:hint="eastAsia"/>
        </w:rPr>
        <w:t>和</w:t>
      </w:r>
      <w:r>
        <w:rPr>
          <w:rFonts w:hint="eastAsia" w:ascii="宋体" w:hAnsi="宋体"/>
        </w:rPr>
        <w:t>发放问卷调查表。两次网上信息公示均</w:t>
      </w:r>
      <w:r>
        <w:rPr>
          <w:rFonts w:ascii="宋体" w:hAnsi="宋体" w:cs="Tunga"/>
        </w:rPr>
        <w:t>在</w:t>
      </w:r>
      <w:r>
        <w:rPr>
          <w:rFonts w:hint="eastAsia" w:ascii="宋体" w:hAnsi="宋体" w:cs="Tunga"/>
        </w:rPr>
        <w:t>“</w:t>
      </w:r>
      <w:r>
        <w:rPr>
          <w:rFonts w:ascii="宋体" w:hAnsi="宋体" w:cs="Tunga"/>
        </w:rPr>
        <w:t>重庆环保在线</w:t>
      </w:r>
      <w:r>
        <w:rPr>
          <w:rFonts w:hint="eastAsia" w:ascii="宋体" w:hAnsi="宋体" w:cs="Tunga"/>
        </w:rPr>
        <w:t>”</w:t>
      </w:r>
      <w:r>
        <w:rPr>
          <w:rFonts w:ascii="宋体" w:hAnsi="宋体" w:cs="Tunga"/>
        </w:rPr>
        <w:t>上</w:t>
      </w:r>
      <w:r>
        <w:rPr>
          <w:rFonts w:hint="eastAsia" w:ascii="宋体" w:hAnsi="宋体" w:cs="Tunga"/>
        </w:rPr>
        <w:t>进行</w:t>
      </w:r>
      <w:r>
        <w:rPr>
          <w:rFonts w:ascii="宋体" w:hAnsi="宋体" w:cs="Tunga"/>
        </w:rPr>
        <w:t>，并开通了</w:t>
      </w:r>
      <w:r>
        <w:rPr>
          <w:rFonts w:hint="eastAsia" w:ascii="宋体" w:hAnsi="宋体" w:cs="Tunga"/>
        </w:rPr>
        <w:t>青鹏煤业</w:t>
      </w:r>
      <w:r>
        <w:rPr>
          <w:rFonts w:hint="eastAsia"/>
          <w:spacing w:val="8"/>
        </w:rPr>
        <w:t>有限公司</w:t>
      </w:r>
      <w:r>
        <w:rPr>
          <w:rFonts w:ascii="宋体" w:hAnsi="宋体" w:cs="Tunga"/>
        </w:rPr>
        <w:t>和重庆市环境科学研究院的联系电话，专门收集公众的意见和建议。</w:t>
      </w:r>
      <w:r>
        <w:rPr>
          <w:rFonts w:hint="eastAsia" w:ascii="宋体" w:hAnsi="宋体"/>
        </w:rPr>
        <w:t>本次发放问卷调查表共100份，</w:t>
      </w:r>
      <w:r>
        <w:rPr>
          <w:rFonts w:ascii="宋体" w:hAnsi="宋体" w:cs="Tunga"/>
        </w:rPr>
        <w:t>调查表的形式和内容见附件。</w:t>
      </w:r>
      <w:bookmarkStart w:id="376" w:name="_Toc176784774"/>
      <w:bookmarkStart w:id="377" w:name="_Toc176686200"/>
    </w:p>
    <w:p>
      <w:pPr>
        <w:spacing w:line="360" w:lineRule="auto"/>
        <w:outlineLvl w:val="1"/>
        <w:rPr>
          <w:rFonts w:hint="eastAsia"/>
          <w:b/>
          <w:bCs/>
        </w:rPr>
      </w:pPr>
      <w:bookmarkStart w:id="378" w:name="_Toc276372260"/>
      <w:r>
        <w:rPr>
          <w:rFonts w:hint="eastAsia"/>
          <w:b/>
          <w:bCs/>
        </w:rPr>
        <w:t>9.3公众参与结果</w:t>
      </w:r>
      <w:bookmarkEnd w:id="376"/>
      <w:bookmarkEnd w:id="377"/>
      <w:bookmarkEnd w:id="378"/>
    </w:p>
    <w:p>
      <w:pPr>
        <w:spacing w:line="360" w:lineRule="auto"/>
        <w:rPr>
          <w:rFonts w:hint="eastAsia"/>
          <w:b/>
          <w:bCs/>
        </w:rPr>
      </w:pPr>
      <w:r>
        <w:rPr>
          <w:rFonts w:hint="eastAsia"/>
          <w:b/>
          <w:bCs/>
        </w:rPr>
        <w:t xml:space="preserve">9.3.1 </w:t>
      </w:r>
      <w:r>
        <w:rPr>
          <w:b/>
          <w:bCs/>
        </w:rPr>
        <w:t>调查表统计结果</w:t>
      </w:r>
    </w:p>
    <w:p>
      <w:pPr>
        <w:spacing w:line="360" w:lineRule="auto"/>
        <w:ind w:firstLine="210" w:firstLineChars="100"/>
        <w:rPr>
          <w:rFonts w:hint="eastAsia"/>
          <w:bCs/>
        </w:rPr>
      </w:pPr>
      <w:r>
        <w:rPr>
          <w:rFonts w:hint="eastAsia"/>
          <w:bCs/>
        </w:rPr>
        <w:t>（1）</w:t>
      </w:r>
      <w:r>
        <w:rPr>
          <w:bCs/>
        </w:rPr>
        <w:t>调查范围和人员组成</w:t>
      </w:r>
    </w:p>
    <w:p>
      <w:pPr>
        <w:pStyle w:val="11"/>
        <w:adjustRightInd w:val="0"/>
        <w:ind w:left="0" w:firstLine="480" w:firstLineChars="200"/>
        <w:rPr>
          <w:rFonts w:hint="eastAsia" w:ascii="宋体" w:hAnsi="宋体"/>
          <w:sz w:val="24"/>
        </w:rPr>
      </w:pPr>
      <w:r>
        <w:rPr>
          <w:rFonts w:hint="eastAsia" w:ascii="宋体" w:hAnsi="宋体"/>
          <w:sz w:val="24"/>
        </w:rPr>
        <w:t>本次评价的公众参与活动在沙坪坝区青木关镇和璧山县大路镇以及县城范围内开展，主要调查对象为厂址周围的农户、青木关镇、大路镇以及璧山县城的居民、学生、教师、工人和镇政府公务员。被调查人员结构情况见表9-1。</w:t>
      </w:r>
    </w:p>
    <w:p>
      <w:pPr>
        <w:adjustRightInd w:val="0"/>
        <w:snapToGrid w:val="0"/>
        <w:spacing w:line="360" w:lineRule="auto"/>
        <w:ind w:firstLine="420" w:firstLineChars="200"/>
        <w:rPr>
          <w:rFonts w:ascii="宋体" w:hAnsi="宋体"/>
        </w:rPr>
      </w:pPr>
      <w:r>
        <w:rPr>
          <w:rFonts w:ascii="宋体" w:hAnsi="宋体"/>
        </w:rPr>
        <w:t>从被调查者的年龄构成分析，</w:t>
      </w:r>
      <w:r>
        <w:rPr>
          <w:rFonts w:hint="eastAsia" w:ascii="宋体" w:hAnsi="宋体"/>
        </w:rPr>
        <w:t>40</w:t>
      </w:r>
      <w:r>
        <w:rPr>
          <w:rFonts w:ascii="宋体" w:hAnsi="宋体"/>
        </w:rPr>
        <w:t>岁的人数有</w:t>
      </w:r>
      <w:r>
        <w:rPr>
          <w:rFonts w:hint="eastAsia" w:ascii="宋体" w:hAnsi="宋体"/>
        </w:rPr>
        <w:t>53</w:t>
      </w:r>
      <w:r>
        <w:rPr>
          <w:rFonts w:ascii="宋体" w:hAnsi="宋体"/>
        </w:rPr>
        <w:t>人，占调查总人数的</w:t>
      </w:r>
      <w:r>
        <w:rPr>
          <w:rFonts w:hint="eastAsia" w:ascii="宋体" w:hAnsi="宋体"/>
        </w:rPr>
        <w:t>53</w:t>
      </w:r>
      <w:r>
        <w:rPr>
          <w:rFonts w:ascii="宋体" w:hAnsi="宋体"/>
        </w:rPr>
        <w:t>%，处于此年龄段的人社会阅历比较丰富，对事物具有较强的辨别能力。从被调查者的文化程度分析，</w:t>
      </w:r>
      <w:r>
        <w:rPr>
          <w:rFonts w:hint="eastAsia" w:ascii="宋体" w:hAnsi="宋体"/>
        </w:rPr>
        <w:t>受过中等教育的占71</w:t>
      </w:r>
      <w:r>
        <w:rPr>
          <w:rFonts w:ascii="宋体" w:hAnsi="宋体"/>
        </w:rPr>
        <w:t>%</w:t>
      </w:r>
      <w:r>
        <w:rPr>
          <w:rFonts w:hint="eastAsia" w:ascii="宋体" w:hAnsi="宋体"/>
        </w:rPr>
        <w:t>，高等教育的人占21%，</w:t>
      </w:r>
      <w:r>
        <w:rPr>
          <w:rFonts w:ascii="宋体" w:hAnsi="宋体"/>
        </w:rPr>
        <w:t>表明被调查者具有一定的分析判断能力。从被调查者的职业构成分析，有</w:t>
      </w:r>
      <w:r>
        <w:rPr>
          <w:rFonts w:hint="eastAsia" w:ascii="宋体" w:hAnsi="宋体"/>
        </w:rPr>
        <w:t>33</w:t>
      </w:r>
      <w:r>
        <w:rPr>
          <w:rFonts w:ascii="宋体" w:hAnsi="宋体"/>
        </w:rPr>
        <w:t>%</w:t>
      </w:r>
      <w:r>
        <w:rPr>
          <w:rFonts w:hint="eastAsia" w:ascii="宋体" w:hAnsi="宋体"/>
        </w:rPr>
        <w:t>为</w:t>
      </w:r>
      <w:r>
        <w:rPr>
          <w:rFonts w:ascii="宋体" w:hAnsi="宋体"/>
        </w:rPr>
        <w:t>农民</w:t>
      </w:r>
      <w:r>
        <w:rPr>
          <w:rFonts w:hint="eastAsia" w:ascii="宋体" w:hAnsi="宋体"/>
        </w:rPr>
        <w:t>，他们</w:t>
      </w:r>
      <w:r>
        <w:rPr>
          <w:rFonts w:ascii="宋体" w:hAnsi="宋体"/>
        </w:rPr>
        <w:t>虽然没有专业技术人员的专业素质，但他们是受影响最大的群体，都是长期在工程所在地区生活的人，对当地的环境十分了解。</w:t>
      </w:r>
    </w:p>
    <w:p>
      <w:pPr>
        <w:adjustRightInd w:val="0"/>
        <w:snapToGrid w:val="0"/>
        <w:spacing w:line="348" w:lineRule="auto"/>
        <w:ind w:firstLine="452" w:firstLineChars="200"/>
        <w:rPr>
          <w:snapToGrid w:val="0"/>
          <w:spacing w:val="8"/>
          <w:kern w:val="0"/>
        </w:rPr>
      </w:pPr>
      <w:r>
        <w:rPr>
          <w:snapToGrid w:val="0"/>
          <w:spacing w:val="8"/>
          <w:kern w:val="0"/>
        </w:rPr>
        <w:t>综上所述，</w:t>
      </w:r>
      <w:r>
        <w:rPr>
          <w:rFonts w:hint="eastAsia" w:ascii="宋体" w:hAnsi="宋体"/>
        </w:rPr>
        <w:t>调查对象充分考虑了不同年龄、不同性别、不同职业，他们提出的关于</w:t>
      </w:r>
      <w:r>
        <w:rPr>
          <w:snapToGrid w:val="0"/>
          <w:spacing w:val="8"/>
          <w:kern w:val="0"/>
        </w:rPr>
        <w:t>技改</w:t>
      </w:r>
      <w:r>
        <w:rPr>
          <w:rFonts w:hint="eastAsia"/>
          <w:snapToGrid w:val="0"/>
          <w:spacing w:val="8"/>
          <w:kern w:val="0"/>
        </w:rPr>
        <w:t>项目</w:t>
      </w:r>
      <w:r>
        <w:rPr>
          <w:snapToGrid w:val="0"/>
          <w:spacing w:val="8"/>
          <w:kern w:val="0"/>
        </w:rPr>
        <w:t>建设的意见和建议具有较好的代表性。</w:t>
      </w:r>
    </w:p>
    <w:p>
      <w:pPr>
        <w:spacing w:line="480" w:lineRule="exact"/>
        <w:ind w:firstLine="342" w:firstLineChars="200"/>
        <w:jc w:val="center"/>
        <w:rPr>
          <w:rFonts w:hint="eastAsia" w:ascii="宋体" w:hAnsi="宋体"/>
          <w:b/>
          <w:spacing w:val="-20"/>
        </w:rPr>
      </w:pPr>
      <w:r>
        <w:rPr>
          <w:rFonts w:hint="eastAsia" w:ascii="宋体" w:hAnsi="宋体"/>
          <w:b/>
          <w:spacing w:val="-20"/>
        </w:rPr>
        <w:t>表9</w:t>
      </w:r>
      <w:r>
        <w:rPr>
          <w:rFonts w:ascii="宋体" w:hAnsi="宋体"/>
          <w:b/>
          <w:spacing w:val="-20"/>
        </w:rPr>
        <w:t>-</w:t>
      </w:r>
      <w:r>
        <w:rPr>
          <w:rFonts w:hint="eastAsia" w:ascii="宋体" w:hAnsi="宋体"/>
          <w:b/>
          <w:spacing w:val="-20"/>
        </w:rPr>
        <w:t>1    被调查人员结构表</w:t>
      </w:r>
    </w:p>
    <w:tbl>
      <w:tblPr>
        <w:tblStyle w:val="21"/>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471"/>
        <w:gridCol w:w="471"/>
        <w:gridCol w:w="471"/>
        <w:gridCol w:w="474"/>
        <w:gridCol w:w="472"/>
        <w:gridCol w:w="472"/>
        <w:gridCol w:w="472"/>
        <w:gridCol w:w="472"/>
        <w:gridCol w:w="472"/>
        <w:gridCol w:w="472"/>
        <w:gridCol w:w="472"/>
        <w:gridCol w:w="743"/>
        <w:gridCol w:w="474"/>
        <w:gridCol w:w="966"/>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1104" w:type="dxa"/>
            <w:vMerge w:val="restart"/>
            <w:vAlign w:val="top"/>
          </w:tcPr>
          <w:p>
            <w:pPr>
              <w:jc w:val="center"/>
              <w:rPr>
                <w:rFonts w:hint="eastAsia" w:ascii="宋体" w:hAnsi="宋体"/>
                <w:sz w:val="21"/>
                <w:szCs w:val="21"/>
              </w:rPr>
            </w:pPr>
          </w:p>
          <w:p>
            <w:pPr>
              <w:jc w:val="center"/>
              <w:rPr>
                <w:rFonts w:hint="eastAsia" w:ascii="宋体" w:hAnsi="宋体"/>
                <w:sz w:val="21"/>
                <w:szCs w:val="21"/>
              </w:rPr>
            </w:pPr>
          </w:p>
          <w:p>
            <w:pPr>
              <w:jc w:val="center"/>
              <w:rPr>
                <w:rFonts w:hint="eastAsia" w:ascii="宋体" w:hAnsi="宋体"/>
                <w:sz w:val="21"/>
                <w:szCs w:val="21"/>
              </w:rPr>
            </w:pPr>
            <w:r>
              <w:rPr>
                <w:rFonts w:hint="eastAsia" w:ascii="宋体" w:hAnsi="宋体"/>
                <w:sz w:val="21"/>
                <w:szCs w:val="21"/>
              </w:rPr>
              <w:t>调查</w:t>
            </w:r>
          </w:p>
          <w:p>
            <w:pPr>
              <w:jc w:val="center"/>
              <w:rPr>
                <w:rFonts w:hint="eastAsia" w:ascii="宋体" w:hAnsi="宋体"/>
                <w:sz w:val="21"/>
                <w:szCs w:val="21"/>
              </w:rPr>
            </w:pPr>
            <w:r>
              <w:rPr>
                <w:rFonts w:hint="eastAsia" w:ascii="宋体" w:hAnsi="宋体"/>
                <w:sz w:val="21"/>
                <w:szCs w:val="21"/>
              </w:rPr>
              <w:t>区域</w:t>
            </w:r>
          </w:p>
        </w:tc>
        <w:tc>
          <w:tcPr>
            <w:tcW w:w="471" w:type="dxa"/>
            <w:vMerge w:val="restart"/>
            <w:vAlign w:val="top"/>
          </w:tcPr>
          <w:p>
            <w:pPr>
              <w:jc w:val="center"/>
              <w:rPr>
                <w:rFonts w:hint="eastAsia" w:ascii="宋体" w:hAnsi="宋体"/>
                <w:sz w:val="21"/>
                <w:szCs w:val="21"/>
              </w:rPr>
            </w:pPr>
          </w:p>
          <w:p>
            <w:pPr>
              <w:jc w:val="center"/>
              <w:rPr>
                <w:rFonts w:hint="eastAsia" w:ascii="宋体" w:hAnsi="宋体"/>
                <w:sz w:val="21"/>
                <w:szCs w:val="21"/>
              </w:rPr>
            </w:pPr>
            <w:r>
              <w:rPr>
                <w:rFonts w:hint="eastAsia" w:ascii="宋体" w:hAnsi="宋体"/>
                <w:sz w:val="21"/>
                <w:szCs w:val="21"/>
              </w:rPr>
              <w:t>参</w:t>
            </w:r>
          </w:p>
          <w:p>
            <w:pPr>
              <w:jc w:val="center"/>
              <w:rPr>
                <w:rFonts w:hint="eastAsia" w:ascii="宋体" w:hAnsi="宋体"/>
                <w:sz w:val="21"/>
                <w:szCs w:val="21"/>
              </w:rPr>
            </w:pPr>
            <w:r>
              <w:rPr>
                <w:rFonts w:hint="eastAsia" w:ascii="宋体" w:hAnsi="宋体"/>
                <w:sz w:val="21"/>
                <w:szCs w:val="21"/>
              </w:rPr>
              <w:t>与</w:t>
            </w:r>
          </w:p>
          <w:p>
            <w:pPr>
              <w:jc w:val="center"/>
              <w:rPr>
                <w:rFonts w:hint="eastAsia" w:ascii="宋体" w:hAnsi="宋体"/>
                <w:sz w:val="21"/>
                <w:szCs w:val="21"/>
              </w:rPr>
            </w:pPr>
            <w:r>
              <w:rPr>
                <w:rFonts w:hint="eastAsia" w:ascii="宋体" w:hAnsi="宋体"/>
                <w:sz w:val="21"/>
                <w:szCs w:val="21"/>
              </w:rPr>
              <w:t>人</w:t>
            </w:r>
          </w:p>
          <w:p>
            <w:pPr>
              <w:jc w:val="center"/>
              <w:rPr>
                <w:rFonts w:hint="eastAsia" w:ascii="宋体" w:hAnsi="宋体"/>
                <w:sz w:val="21"/>
                <w:szCs w:val="21"/>
              </w:rPr>
            </w:pPr>
            <w:r>
              <w:rPr>
                <w:rFonts w:hint="eastAsia" w:ascii="宋体" w:hAnsi="宋体"/>
                <w:sz w:val="21"/>
                <w:szCs w:val="21"/>
              </w:rPr>
              <w:t>数</w:t>
            </w:r>
          </w:p>
        </w:tc>
        <w:tc>
          <w:tcPr>
            <w:tcW w:w="1416" w:type="dxa"/>
            <w:gridSpan w:val="3"/>
            <w:vAlign w:val="top"/>
          </w:tcPr>
          <w:p>
            <w:pPr>
              <w:jc w:val="center"/>
              <w:rPr>
                <w:rFonts w:hint="eastAsia" w:ascii="宋体" w:hAnsi="宋体"/>
                <w:sz w:val="21"/>
                <w:szCs w:val="21"/>
              </w:rPr>
            </w:pPr>
          </w:p>
          <w:p>
            <w:pPr>
              <w:jc w:val="center"/>
              <w:rPr>
                <w:rFonts w:hint="eastAsia" w:ascii="宋体" w:hAnsi="宋体"/>
                <w:sz w:val="21"/>
                <w:szCs w:val="21"/>
              </w:rPr>
            </w:pPr>
            <w:r>
              <w:rPr>
                <w:rFonts w:hint="eastAsia" w:ascii="宋体" w:hAnsi="宋体"/>
                <w:sz w:val="21"/>
                <w:szCs w:val="21"/>
              </w:rPr>
              <w:t>文化程度</w:t>
            </w:r>
          </w:p>
        </w:tc>
        <w:tc>
          <w:tcPr>
            <w:tcW w:w="944" w:type="dxa"/>
            <w:gridSpan w:val="2"/>
            <w:vAlign w:val="top"/>
          </w:tcPr>
          <w:p>
            <w:pPr>
              <w:jc w:val="center"/>
              <w:rPr>
                <w:rFonts w:hint="eastAsia" w:ascii="宋体" w:hAnsi="宋体"/>
                <w:sz w:val="21"/>
                <w:szCs w:val="21"/>
              </w:rPr>
            </w:pPr>
          </w:p>
          <w:p>
            <w:pPr>
              <w:jc w:val="center"/>
              <w:rPr>
                <w:rFonts w:hint="eastAsia" w:ascii="宋体" w:hAnsi="宋体"/>
                <w:sz w:val="21"/>
                <w:szCs w:val="21"/>
              </w:rPr>
            </w:pPr>
            <w:r>
              <w:rPr>
                <w:rFonts w:hint="eastAsia" w:ascii="宋体" w:hAnsi="宋体"/>
                <w:sz w:val="21"/>
                <w:szCs w:val="21"/>
              </w:rPr>
              <w:t>性别</w:t>
            </w:r>
          </w:p>
        </w:tc>
        <w:tc>
          <w:tcPr>
            <w:tcW w:w="3577" w:type="dxa"/>
            <w:gridSpan w:val="7"/>
            <w:vAlign w:val="top"/>
          </w:tcPr>
          <w:p>
            <w:pPr>
              <w:jc w:val="center"/>
              <w:rPr>
                <w:rFonts w:hint="eastAsia" w:ascii="宋体" w:hAnsi="宋体"/>
                <w:sz w:val="21"/>
                <w:szCs w:val="21"/>
              </w:rPr>
            </w:pPr>
          </w:p>
          <w:p>
            <w:pPr>
              <w:jc w:val="center"/>
              <w:rPr>
                <w:rFonts w:ascii="宋体" w:hAnsi="宋体"/>
                <w:sz w:val="21"/>
                <w:szCs w:val="21"/>
              </w:rPr>
            </w:pPr>
            <w:r>
              <w:rPr>
                <w:rFonts w:hint="eastAsia" w:ascii="宋体" w:hAnsi="宋体"/>
                <w:sz w:val="21"/>
                <w:szCs w:val="21"/>
              </w:rPr>
              <w:t>职业</w:t>
            </w:r>
          </w:p>
          <w:p>
            <w:pPr>
              <w:jc w:val="center"/>
              <w:rPr>
                <w:rFonts w:hint="eastAsia" w:ascii="宋体" w:hAnsi="宋体"/>
                <w:sz w:val="21"/>
                <w:szCs w:val="21"/>
              </w:rPr>
            </w:pPr>
          </w:p>
        </w:tc>
        <w:tc>
          <w:tcPr>
            <w:tcW w:w="1774" w:type="dxa"/>
            <w:gridSpan w:val="2"/>
            <w:vAlign w:val="top"/>
          </w:tcPr>
          <w:p>
            <w:pPr>
              <w:ind w:firstLine="315" w:firstLineChars="150"/>
              <w:jc w:val="center"/>
              <w:rPr>
                <w:rFonts w:hint="eastAsia" w:ascii="宋体" w:hAnsi="宋体"/>
                <w:sz w:val="21"/>
                <w:szCs w:val="21"/>
              </w:rPr>
            </w:pPr>
          </w:p>
          <w:p>
            <w:pPr>
              <w:jc w:val="center"/>
              <w:rPr>
                <w:rFonts w:hint="eastAsia" w:ascii="宋体" w:hAnsi="宋体"/>
                <w:sz w:val="21"/>
                <w:szCs w:val="21"/>
              </w:rPr>
            </w:pPr>
            <w:r>
              <w:rPr>
                <w:rFonts w:hint="eastAsia" w:ascii="宋体" w:hAnsi="宋体"/>
                <w:sz w:val="21"/>
                <w:szCs w:val="21"/>
              </w:rPr>
              <w:t>年龄</w:t>
            </w:r>
          </w:p>
          <w:p>
            <w:pPr>
              <w:jc w:val="center"/>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trPr>
        <w:tc>
          <w:tcPr>
            <w:tcW w:w="1104" w:type="dxa"/>
            <w:vMerge w:val="continue"/>
            <w:vAlign w:val="top"/>
          </w:tcPr>
          <w:p>
            <w:pPr>
              <w:jc w:val="center"/>
              <w:rPr>
                <w:rFonts w:hint="eastAsia" w:ascii="宋体" w:hAnsi="宋体"/>
                <w:sz w:val="21"/>
                <w:szCs w:val="21"/>
              </w:rPr>
            </w:pPr>
          </w:p>
        </w:tc>
        <w:tc>
          <w:tcPr>
            <w:tcW w:w="471" w:type="dxa"/>
            <w:vMerge w:val="continue"/>
            <w:vAlign w:val="top"/>
          </w:tcPr>
          <w:p>
            <w:pPr>
              <w:jc w:val="center"/>
              <w:rPr>
                <w:rFonts w:hint="eastAsia" w:ascii="宋体" w:hAnsi="宋体"/>
                <w:sz w:val="21"/>
                <w:szCs w:val="21"/>
              </w:rPr>
            </w:pPr>
          </w:p>
        </w:tc>
        <w:tc>
          <w:tcPr>
            <w:tcW w:w="471" w:type="dxa"/>
            <w:vAlign w:val="top"/>
          </w:tcPr>
          <w:p>
            <w:pPr>
              <w:rPr>
                <w:rFonts w:hint="eastAsia" w:ascii="宋体" w:hAnsi="宋体"/>
                <w:sz w:val="21"/>
                <w:szCs w:val="21"/>
              </w:rPr>
            </w:pPr>
            <w:r>
              <w:rPr>
                <w:rFonts w:hint="eastAsia" w:ascii="宋体" w:hAnsi="宋体"/>
                <w:sz w:val="21"/>
                <w:szCs w:val="21"/>
              </w:rPr>
              <w:t>初</w:t>
            </w:r>
          </w:p>
          <w:p>
            <w:pPr>
              <w:jc w:val="center"/>
              <w:rPr>
                <w:rFonts w:hint="eastAsia" w:ascii="宋体" w:hAnsi="宋体"/>
                <w:sz w:val="21"/>
                <w:szCs w:val="21"/>
              </w:rPr>
            </w:pPr>
          </w:p>
          <w:p>
            <w:pPr>
              <w:rPr>
                <w:rFonts w:hint="eastAsia" w:ascii="宋体" w:hAnsi="宋体"/>
                <w:sz w:val="21"/>
                <w:szCs w:val="21"/>
              </w:rPr>
            </w:pPr>
            <w:r>
              <w:rPr>
                <w:rFonts w:hint="eastAsia" w:ascii="宋体" w:hAnsi="宋体"/>
                <w:sz w:val="21"/>
                <w:szCs w:val="21"/>
              </w:rPr>
              <w:t>等</w:t>
            </w:r>
          </w:p>
        </w:tc>
        <w:tc>
          <w:tcPr>
            <w:tcW w:w="471" w:type="dxa"/>
            <w:vAlign w:val="top"/>
          </w:tcPr>
          <w:p>
            <w:pPr>
              <w:jc w:val="center"/>
              <w:rPr>
                <w:rFonts w:hint="eastAsia" w:ascii="宋体" w:hAnsi="宋体"/>
                <w:sz w:val="21"/>
                <w:szCs w:val="21"/>
              </w:rPr>
            </w:pPr>
            <w:r>
              <w:rPr>
                <w:rFonts w:hint="eastAsia" w:ascii="宋体" w:hAnsi="宋体"/>
                <w:sz w:val="21"/>
                <w:szCs w:val="21"/>
              </w:rPr>
              <w:t>中</w:t>
            </w:r>
          </w:p>
          <w:p>
            <w:pPr>
              <w:jc w:val="center"/>
              <w:rPr>
                <w:rFonts w:hint="eastAsia" w:ascii="宋体" w:hAnsi="宋体"/>
                <w:sz w:val="21"/>
                <w:szCs w:val="21"/>
              </w:rPr>
            </w:pPr>
          </w:p>
          <w:p>
            <w:pPr>
              <w:jc w:val="center"/>
              <w:rPr>
                <w:rFonts w:hint="eastAsia" w:ascii="宋体" w:hAnsi="宋体"/>
                <w:sz w:val="21"/>
                <w:szCs w:val="21"/>
              </w:rPr>
            </w:pPr>
            <w:r>
              <w:rPr>
                <w:rFonts w:hint="eastAsia" w:ascii="宋体" w:hAnsi="宋体"/>
                <w:sz w:val="21"/>
                <w:szCs w:val="21"/>
              </w:rPr>
              <w:t>等</w:t>
            </w:r>
          </w:p>
        </w:tc>
        <w:tc>
          <w:tcPr>
            <w:tcW w:w="474" w:type="dxa"/>
            <w:tcBorders>
              <w:top w:val="nil"/>
            </w:tcBorders>
            <w:vAlign w:val="top"/>
          </w:tcPr>
          <w:p>
            <w:pPr>
              <w:jc w:val="center"/>
              <w:rPr>
                <w:rFonts w:hint="eastAsia" w:ascii="宋体" w:hAnsi="宋体"/>
                <w:sz w:val="21"/>
                <w:szCs w:val="21"/>
              </w:rPr>
            </w:pPr>
            <w:r>
              <w:rPr>
                <w:rFonts w:hint="eastAsia" w:ascii="宋体" w:hAnsi="宋体"/>
                <w:sz w:val="21"/>
                <w:szCs w:val="21"/>
              </w:rPr>
              <w:t>高</w:t>
            </w:r>
          </w:p>
          <w:p>
            <w:pPr>
              <w:jc w:val="center"/>
              <w:rPr>
                <w:rFonts w:hint="eastAsia" w:ascii="宋体" w:hAnsi="宋体"/>
                <w:sz w:val="21"/>
                <w:szCs w:val="21"/>
              </w:rPr>
            </w:pPr>
          </w:p>
          <w:p>
            <w:pPr>
              <w:jc w:val="center"/>
              <w:rPr>
                <w:rFonts w:hint="eastAsia" w:ascii="宋体" w:hAnsi="宋体"/>
                <w:sz w:val="21"/>
                <w:szCs w:val="21"/>
              </w:rPr>
            </w:pPr>
            <w:r>
              <w:rPr>
                <w:rFonts w:hint="eastAsia" w:ascii="宋体" w:hAnsi="宋体"/>
                <w:sz w:val="21"/>
                <w:szCs w:val="21"/>
              </w:rPr>
              <w:t>等</w:t>
            </w:r>
          </w:p>
        </w:tc>
        <w:tc>
          <w:tcPr>
            <w:tcW w:w="472" w:type="dxa"/>
            <w:tcBorders>
              <w:top w:val="nil"/>
            </w:tcBorders>
            <w:vAlign w:val="top"/>
          </w:tcPr>
          <w:p>
            <w:pPr>
              <w:rPr>
                <w:rFonts w:hint="eastAsia" w:ascii="宋体" w:hAnsi="宋体"/>
                <w:sz w:val="21"/>
                <w:szCs w:val="21"/>
              </w:rPr>
            </w:pPr>
          </w:p>
          <w:p>
            <w:pPr>
              <w:rPr>
                <w:rFonts w:hint="eastAsia" w:ascii="宋体" w:hAnsi="宋体"/>
                <w:sz w:val="21"/>
                <w:szCs w:val="21"/>
              </w:rPr>
            </w:pPr>
            <w:r>
              <w:rPr>
                <w:rFonts w:hint="eastAsia" w:ascii="宋体" w:hAnsi="宋体"/>
                <w:sz w:val="21"/>
                <w:szCs w:val="21"/>
              </w:rPr>
              <w:t>男</w:t>
            </w:r>
          </w:p>
        </w:tc>
        <w:tc>
          <w:tcPr>
            <w:tcW w:w="472" w:type="dxa"/>
            <w:vAlign w:val="top"/>
          </w:tcPr>
          <w:p>
            <w:pPr>
              <w:jc w:val="center"/>
              <w:rPr>
                <w:rFonts w:hint="eastAsia" w:ascii="宋体" w:hAnsi="宋体"/>
                <w:sz w:val="21"/>
                <w:szCs w:val="21"/>
              </w:rPr>
            </w:pPr>
          </w:p>
          <w:p>
            <w:pPr>
              <w:jc w:val="center"/>
              <w:rPr>
                <w:rFonts w:hint="eastAsia" w:ascii="宋体" w:hAnsi="宋体"/>
                <w:sz w:val="21"/>
                <w:szCs w:val="21"/>
              </w:rPr>
            </w:pPr>
            <w:r>
              <w:rPr>
                <w:rFonts w:hint="eastAsia" w:ascii="宋体" w:hAnsi="宋体"/>
                <w:sz w:val="21"/>
                <w:szCs w:val="21"/>
              </w:rPr>
              <w:t>女</w:t>
            </w:r>
          </w:p>
        </w:tc>
        <w:tc>
          <w:tcPr>
            <w:tcW w:w="472"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农</w:t>
            </w:r>
          </w:p>
          <w:p>
            <w:pPr>
              <w:jc w:val="center"/>
              <w:rPr>
                <w:rFonts w:hint="eastAsia" w:ascii="宋体" w:hAnsi="宋体"/>
                <w:sz w:val="21"/>
                <w:szCs w:val="21"/>
              </w:rPr>
            </w:pPr>
          </w:p>
          <w:p>
            <w:pPr>
              <w:jc w:val="center"/>
              <w:rPr>
                <w:rFonts w:hint="eastAsia" w:ascii="宋体" w:hAnsi="宋体"/>
                <w:sz w:val="21"/>
                <w:szCs w:val="21"/>
              </w:rPr>
            </w:pPr>
            <w:r>
              <w:rPr>
                <w:rFonts w:hint="eastAsia" w:ascii="宋体" w:hAnsi="宋体"/>
                <w:sz w:val="21"/>
                <w:szCs w:val="21"/>
              </w:rPr>
              <w:t>民</w:t>
            </w:r>
          </w:p>
        </w:tc>
        <w:tc>
          <w:tcPr>
            <w:tcW w:w="472"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学</w:t>
            </w:r>
          </w:p>
          <w:p>
            <w:pPr>
              <w:jc w:val="center"/>
              <w:rPr>
                <w:rFonts w:hint="eastAsia" w:ascii="宋体" w:hAnsi="宋体"/>
                <w:sz w:val="21"/>
                <w:szCs w:val="21"/>
              </w:rPr>
            </w:pPr>
          </w:p>
          <w:p>
            <w:pPr>
              <w:jc w:val="center"/>
              <w:rPr>
                <w:rFonts w:hint="eastAsia" w:ascii="宋体" w:hAnsi="宋体"/>
                <w:sz w:val="21"/>
                <w:szCs w:val="21"/>
              </w:rPr>
            </w:pPr>
            <w:r>
              <w:rPr>
                <w:rFonts w:hint="eastAsia" w:ascii="宋体" w:hAnsi="宋体"/>
                <w:sz w:val="21"/>
                <w:szCs w:val="21"/>
              </w:rPr>
              <w:t>生</w:t>
            </w:r>
          </w:p>
        </w:tc>
        <w:tc>
          <w:tcPr>
            <w:tcW w:w="472"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干</w:t>
            </w:r>
          </w:p>
          <w:p>
            <w:pPr>
              <w:jc w:val="center"/>
              <w:rPr>
                <w:rFonts w:hint="eastAsia" w:ascii="宋体" w:hAnsi="宋体"/>
                <w:sz w:val="21"/>
                <w:szCs w:val="21"/>
              </w:rPr>
            </w:pPr>
          </w:p>
          <w:p>
            <w:pPr>
              <w:jc w:val="center"/>
              <w:rPr>
                <w:rFonts w:hint="eastAsia" w:ascii="宋体" w:hAnsi="宋体"/>
                <w:sz w:val="21"/>
                <w:szCs w:val="21"/>
              </w:rPr>
            </w:pPr>
            <w:r>
              <w:rPr>
                <w:rFonts w:hint="eastAsia" w:ascii="宋体" w:hAnsi="宋体"/>
                <w:sz w:val="21"/>
                <w:szCs w:val="21"/>
              </w:rPr>
              <w:t>部</w:t>
            </w:r>
          </w:p>
        </w:tc>
        <w:tc>
          <w:tcPr>
            <w:tcW w:w="472"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教</w:t>
            </w:r>
          </w:p>
          <w:p>
            <w:pPr>
              <w:jc w:val="center"/>
              <w:rPr>
                <w:rFonts w:hint="eastAsia" w:ascii="宋体" w:hAnsi="宋体"/>
                <w:sz w:val="21"/>
                <w:szCs w:val="21"/>
              </w:rPr>
            </w:pPr>
          </w:p>
          <w:p>
            <w:pPr>
              <w:jc w:val="center"/>
              <w:rPr>
                <w:rFonts w:hint="eastAsia" w:ascii="宋体" w:hAnsi="宋体"/>
                <w:sz w:val="21"/>
                <w:szCs w:val="21"/>
              </w:rPr>
            </w:pPr>
            <w:r>
              <w:rPr>
                <w:rFonts w:hint="eastAsia" w:ascii="宋体" w:hAnsi="宋体"/>
                <w:sz w:val="21"/>
                <w:szCs w:val="21"/>
              </w:rPr>
              <w:t>师</w:t>
            </w:r>
          </w:p>
        </w:tc>
        <w:tc>
          <w:tcPr>
            <w:tcW w:w="472" w:type="dxa"/>
            <w:tcBorders>
              <w:top w:val="single" w:color="auto" w:sz="4" w:space="0"/>
            </w:tcBorders>
            <w:vAlign w:val="top"/>
          </w:tcPr>
          <w:p>
            <w:pPr>
              <w:widowControl/>
              <w:jc w:val="center"/>
              <w:rPr>
                <w:rFonts w:hint="eastAsia" w:ascii="宋体" w:hAnsi="宋体"/>
                <w:sz w:val="21"/>
                <w:szCs w:val="21"/>
              </w:rPr>
            </w:pPr>
            <w:r>
              <w:rPr>
                <w:rFonts w:hint="eastAsia" w:ascii="宋体" w:hAnsi="宋体"/>
                <w:sz w:val="21"/>
                <w:szCs w:val="21"/>
              </w:rPr>
              <w:t>工</w:t>
            </w:r>
          </w:p>
          <w:p>
            <w:pPr>
              <w:widowControl/>
              <w:jc w:val="center"/>
              <w:rPr>
                <w:rFonts w:hint="eastAsia" w:ascii="宋体" w:hAnsi="宋体"/>
                <w:sz w:val="21"/>
                <w:szCs w:val="21"/>
              </w:rPr>
            </w:pPr>
          </w:p>
          <w:p>
            <w:pPr>
              <w:widowControl/>
              <w:jc w:val="center"/>
              <w:rPr>
                <w:rFonts w:hint="eastAsia" w:ascii="宋体" w:hAnsi="宋体"/>
                <w:sz w:val="21"/>
                <w:szCs w:val="21"/>
              </w:rPr>
            </w:pPr>
            <w:r>
              <w:rPr>
                <w:rFonts w:hint="eastAsia" w:ascii="宋体" w:hAnsi="宋体"/>
                <w:sz w:val="21"/>
                <w:szCs w:val="21"/>
              </w:rPr>
              <w:t>人</w:t>
            </w:r>
          </w:p>
          <w:p>
            <w:pPr>
              <w:widowControl/>
              <w:rPr>
                <w:rFonts w:hint="eastAsia" w:ascii="宋体" w:hAnsi="宋体"/>
                <w:sz w:val="21"/>
                <w:szCs w:val="21"/>
              </w:rPr>
            </w:pPr>
          </w:p>
        </w:tc>
        <w:tc>
          <w:tcPr>
            <w:tcW w:w="743" w:type="dxa"/>
            <w:tcBorders>
              <w:top w:val="single" w:color="auto" w:sz="4" w:space="0"/>
            </w:tcBorders>
            <w:vAlign w:val="top"/>
          </w:tcPr>
          <w:p>
            <w:pPr>
              <w:widowControl/>
              <w:ind w:left="57"/>
              <w:jc w:val="center"/>
              <w:rPr>
                <w:rFonts w:hint="eastAsia" w:ascii="宋体" w:hAnsi="宋体"/>
                <w:sz w:val="21"/>
                <w:szCs w:val="21"/>
              </w:rPr>
            </w:pPr>
            <w:r>
              <w:rPr>
                <w:rFonts w:hint="eastAsia" w:ascii="宋体" w:hAnsi="宋体"/>
                <w:sz w:val="21"/>
                <w:szCs w:val="21"/>
              </w:rPr>
              <w:t>人大</w:t>
            </w:r>
          </w:p>
          <w:p>
            <w:pPr>
              <w:ind w:left="57"/>
              <w:jc w:val="center"/>
              <w:rPr>
                <w:rFonts w:hint="eastAsia" w:ascii="宋体" w:hAnsi="宋体"/>
                <w:sz w:val="21"/>
                <w:szCs w:val="21"/>
              </w:rPr>
            </w:pPr>
            <w:r>
              <w:rPr>
                <w:rFonts w:hint="eastAsia" w:ascii="宋体" w:hAnsi="宋体"/>
                <w:sz w:val="21"/>
                <w:szCs w:val="21"/>
              </w:rPr>
              <w:t>代表</w:t>
            </w:r>
          </w:p>
        </w:tc>
        <w:tc>
          <w:tcPr>
            <w:tcW w:w="474" w:type="dxa"/>
            <w:tcBorders>
              <w:top w:val="single" w:color="auto" w:sz="4" w:space="0"/>
            </w:tcBorders>
            <w:vAlign w:val="top"/>
          </w:tcPr>
          <w:p>
            <w:pPr>
              <w:widowControl/>
              <w:jc w:val="center"/>
              <w:rPr>
                <w:rFonts w:hint="eastAsia" w:ascii="宋体" w:hAnsi="宋体"/>
                <w:sz w:val="21"/>
                <w:szCs w:val="21"/>
              </w:rPr>
            </w:pPr>
            <w:r>
              <w:rPr>
                <w:rFonts w:hint="eastAsia" w:ascii="宋体" w:hAnsi="宋体"/>
                <w:sz w:val="21"/>
                <w:szCs w:val="21"/>
              </w:rPr>
              <w:t>其</w:t>
            </w:r>
          </w:p>
          <w:p>
            <w:pPr>
              <w:widowControl/>
              <w:jc w:val="center"/>
              <w:rPr>
                <w:rFonts w:hint="eastAsia" w:ascii="宋体" w:hAnsi="宋体"/>
                <w:sz w:val="21"/>
                <w:szCs w:val="21"/>
              </w:rPr>
            </w:pPr>
          </w:p>
          <w:p>
            <w:pPr>
              <w:widowControl/>
              <w:jc w:val="center"/>
              <w:rPr>
                <w:rFonts w:hint="eastAsia" w:ascii="宋体" w:hAnsi="宋体"/>
                <w:sz w:val="21"/>
                <w:szCs w:val="21"/>
              </w:rPr>
            </w:pPr>
            <w:r>
              <w:rPr>
                <w:rFonts w:hint="eastAsia" w:ascii="宋体" w:hAnsi="宋体"/>
                <w:sz w:val="21"/>
                <w:szCs w:val="21"/>
              </w:rPr>
              <w:t>它</w:t>
            </w:r>
          </w:p>
        </w:tc>
        <w:tc>
          <w:tcPr>
            <w:tcW w:w="966" w:type="dxa"/>
            <w:tcBorders>
              <w:top w:val="nil"/>
            </w:tcBorders>
            <w:vAlign w:val="top"/>
          </w:tcPr>
          <w:p>
            <w:pPr>
              <w:widowControl/>
              <w:jc w:val="center"/>
              <w:rPr>
                <w:rFonts w:hint="eastAsia" w:ascii="宋体" w:hAnsi="宋体"/>
                <w:sz w:val="21"/>
                <w:szCs w:val="21"/>
              </w:rPr>
            </w:pPr>
            <w:r>
              <w:rPr>
                <w:rFonts w:hint="eastAsia" w:ascii="宋体" w:hAnsi="宋体"/>
                <w:sz w:val="21"/>
                <w:szCs w:val="21"/>
              </w:rPr>
              <w:t>40以下</w:t>
            </w:r>
          </w:p>
        </w:tc>
        <w:tc>
          <w:tcPr>
            <w:tcW w:w="808" w:type="dxa"/>
            <w:tcBorders>
              <w:top w:val="nil"/>
            </w:tcBorders>
            <w:vAlign w:val="top"/>
          </w:tcPr>
          <w:p>
            <w:pPr>
              <w:widowControl/>
              <w:ind w:firstLine="105" w:firstLineChars="50"/>
              <w:jc w:val="center"/>
              <w:rPr>
                <w:rFonts w:hint="eastAsia" w:ascii="宋体" w:hAnsi="宋体"/>
                <w:sz w:val="21"/>
                <w:szCs w:val="21"/>
              </w:rPr>
            </w:pPr>
            <w:r>
              <w:rPr>
                <w:rFonts w:hint="eastAsia" w:ascii="宋体" w:hAnsi="宋体"/>
                <w:sz w:val="21"/>
                <w:szCs w:val="21"/>
              </w:rPr>
              <w:t>40</w:t>
            </w:r>
          </w:p>
          <w:p>
            <w:pPr>
              <w:widowControl/>
              <w:ind w:firstLine="105" w:firstLineChars="50"/>
              <w:jc w:val="center"/>
              <w:rPr>
                <w:rFonts w:hint="eastAsia" w:ascii="宋体" w:hAnsi="宋体"/>
                <w:sz w:val="21"/>
                <w:szCs w:val="21"/>
              </w:rPr>
            </w:pPr>
            <w:r>
              <w:rPr>
                <w:rFonts w:hint="eastAsia" w:ascii="宋体" w:hAnsi="宋体"/>
                <w:sz w:val="21"/>
                <w:szCs w:val="21"/>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1104"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沙坪坝区</w:t>
            </w:r>
          </w:p>
        </w:tc>
        <w:tc>
          <w:tcPr>
            <w:tcW w:w="471"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80</w:t>
            </w:r>
          </w:p>
        </w:tc>
        <w:tc>
          <w:tcPr>
            <w:tcW w:w="471"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6</w:t>
            </w:r>
          </w:p>
        </w:tc>
        <w:tc>
          <w:tcPr>
            <w:tcW w:w="471" w:type="dxa"/>
            <w:tcBorders>
              <w:top w:val="single" w:color="auto" w:sz="4" w:space="0"/>
              <w:right w:val="single" w:color="auto" w:sz="4" w:space="0"/>
            </w:tcBorders>
            <w:vAlign w:val="top"/>
          </w:tcPr>
          <w:p>
            <w:pPr>
              <w:jc w:val="center"/>
              <w:rPr>
                <w:rFonts w:hint="eastAsia" w:ascii="宋体" w:hAnsi="宋体"/>
                <w:sz w:val="21"/>
                <w:szCs w:val="21"/>
              </w:rPr>
            </w:pPr>
            <w:r>
              <w:rPr>
                <w:rFonts w:hint="eastAsia" w:ascii="宋体" w:hAnsi="宋体"/>
                <w:sz w:val="21"/>
                <w:szCs w:val="21"/>
              </w:rPr>
              <w:t>53</w:t>
            </w:r>
          </w:p>
        </w:tc>
        <w:tc>
          <w:tcPr>
            <w:tcW w:w="474" w:type="dxa"/>
            <w:tcBorders>
              <w:top w:val="single" w:color="auto" w:sz="4" w:space="0"/>
              <w:left w:val="single" w:color="auto" w:sz="4" w:space="0"/>
            </w:tcBorders>
            <w:vAlign w:val="top"/>
          </w:tcPr>
          <w:p>
            <w:pPr>
              <w:jc w:val="center"/>
              <w:rPr>
                <w:rFonts w:hint="eastAsia" w:ascii="宋体" w:hAnsi="宋体"/>
                <w:sz w:val="21"/>
                <w:szCs w:val="21"/>
              </w:rPr>
            </w:pPr>
            <w:r>
              <w:rPr>
                <w:rFonts w:hint="eastAsia" w:ascii="宋体" w:hAnsi="宋体"/>
                <w:sz w:val="21"/>
                <w:szCs w:val="21"/>
              </w:rPr>
              <w:t>21</w:t>
            </w:r>
          </w:p>
        </w:tc>
        <w:tc>
          <w:tcPr>
            <w:tcW w:w="472" w:type="dxa"/>
            <w:tcBorders>
              <w:top w:val="single" w:color="auto" w:sz="4" w:space="0"/>
            </w:tcBorders>
            <w:vAlign w:val="top"/>
          </w:tcPr>
          <w:p>
            <w:pPr>
              <w:rPr>
                <w:rFonts w:hint="eastAsia" w:ascii="宋体" w:hAnsi="宋体"/>
                <w:sz w:val="21"/>
                <w:szCs w:val="21"/>
              </w:rPr>
            </w:pPr>
            <w:r>
              <w:rPr>
                <w:rFonts w:hint="eastAsia" w:ascii="宋体" w:hAnsi="宋体"/>
                <w:sz w:val="21"/>
                <w:szCs w:val="21"/>
              </w:rPr>
              <w:t>54</w:t>
            </w:r>
          </w:p>
        </w:tc>
        <w:tc>
          <w:tcPr>
            <w:tcW w:w="472"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26</w:t>
            </w:r>
          </w:p>
        </w:tc>
        <w:tc>
          <w:tcPr>
            <w:tcW w:w="472"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22</w:t>
            </w:r>
          </w:p>
        </w:tc>
        <w:tc>
          <w:tcPr>
            <w:tcW w:w="472"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14</w:t>
            </w:r>
          </w:p>
        </w:tc>
        <w:tc>
          <w:tcPr>
            <w:tcW w:w="472"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2</w:t>
            </w:r>
          </w:p>
        </w:tc>
        <w:tc>
          <w:tcPr>
            <w:tcW w:w="472"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2</w:t>
            </w:r>
          </w:p>
        </w:tc>
        <w:tc>
          <w:tcPr>
            <w:tcW w:w="472"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28</w:t>
            </w:r>
          </w:p>
        </w:tc>
        <w:tc>
          <w:tcPr>
            <w:tcW w:w="743"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1</w:t>
            </w:r>
          </w:p>
        </w:tc>
        <w:tc>
          <w:tcPr>
            <w:tcW w:w="474"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11</w:t>
            </w:r>
          </w:p>
        </w:tc>
        <w:tc>
          <w:tcPr>
            <w:tcW w:w="966"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47</w:t>
            </w:r>
          </w:p>
        </w:tc>
        <w:tc>
          <w:tcPr>
            <w:tcW w:w="808"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1104" w:type="dxa"/>
            <w:vAlign w:val="top"/>
          </w:tcPr>
          <w:p>
            <w:pPr>
              <w:jc w:val="center"/>
              <w:rPr>
                <w:rFonts w:hint="eastAsia" w:ascii="宋体" w:hAnsi="宋体"/>
                <w:sz w:val="21"/>
                <w:szCs w:val="21"/>
              </w:rPr>
            </w:pPr>
            <w:r>
              <w:rPr>
                <w:rFonts w:hint="eastAsia" w:ascii="宋体" w:hAnsi="宋体"/>
                <w:sz w:val="21"/>
                <w:szCs w:val="21"/>
              </w:rPr>
              <w:t>璧山县</w:t>
            </w:r>
          </w:p>
        </w:tc>
        <w:tc>
          <w:tcPr>
            <w:tcW w:w="471" w:type="dxa"/>
            <w:vAlign w:val="top"/>
          </w:tcPr>
          <w:p>
            <w:pPr>
              <w:jc w:val="center"/>
              <w:rPr>
                <w:rFonts w:hint="eastAsia" w:ascii="宋体" w:hAnsi="宋体"/>
                <w:sz w:val="21"/>
                <w:szCs w:val="21"/>
              </w:rPr>
            </w:pPr>
            <w:r>
              <w:rPr>
                <w:rFonts w:hint="eastAsia" w:ascii="宋体" w:hAnsi="宋体"/>
                <w:sz w:val="21"/>
                <w:szCs w:val="21"/>
              </w:rPr>
              <w:t>20</w:t>
            </w:r>
          </w:p>
        </w:tc>
        <w:tc>
          <w:tcPr>
            <w:tcW w:w="471"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2</w:t>
            </w:r>
          </w:p>
        </w:tc>
        <w:tc>
          <w:tcPr>
            <w:tcW w:w="471" w:type="dxa"/>
            <w:tcBorders>
              <w:top w:val="single" w:color="auto" w:sz="4" w:space="0"/>
              <w:right w:val="single" w:color="auto" w:sz="4" w:space="0"/>
            </w:tcBorders>
            <w:vAlign w:val="top"/>
          </w:tcPr>
          <w:p>
            <w:pPr>
              <w:jc w:val="center"/>
              <w:rPr>
                <w:rFonts w:hint="eastAsia" w:ascii="宋体" w:hAnsi="宋体"/>
                <w:sz w:val="21"/>
                <w:szCs w:val="21"/>
              </w:rPr>
            </w:pPr>
            <w:r>
              <w:rPr>
                <w:rFonts w:hint="eastAsia" w:ascii="宋体" w:hAnsi="宋体"/>
                <w:sz w:val="21"/>
                <w:szCs w:val="21"/>
              </w:rPr>
              <w:t>18</w:t>
            </w:r>
          </w:p>
        </w:tc>
        <w:tc>
          <w:tcPr>
            <w:tcW w:w="474" w:type="dxa"/>
            <w:tcBorders>
              <w:top w:val="single" w:color="auto" w:sz="4" w:space="0"/>
              <w:left w:val="single" w:color="auto" w:sz="4" w:space="0"/>
            </w:tcBorders>
            <w:vAlign w:val="top"/>
          </w:tcPr>
          <w:p>
            <w:pPr>
              <w:jc w:val="center"/>
              <w:rPr>
                <w:rFonts w:hint="eastAsia" w:ascii="宋体" w:hAnsi="宋体"/>
                <w:sz w:val="21"/>
                <w:szCs w:val="21"/>
              </w:rPr>
            </w:pPr>
            <w:r>
              <w:rPr>
                <w:rFonts w:hint="eastAsia" w:ascii="宋体" w:hAnsi="宋体"/>
                <w:sz w:val="21"/>
                <w:szCs w:val="21"/>
              </w:rPr>
              <w:t>0</w:t>
            </w:r>
          </w:p>
        </w:tc>
        <w:tc>
          <w:tcPr>
            <w:tcW w:w="472" w:type="dxa"/>
            <w:tcBorders>
              <w:top w:val="single" w:color="auto" w:sz="4" w:space="0"/>
            </w:tcBorders>
            <w:vAlign w:val="top"/>
          </w:tcPr>
          <w:p>
            <w:pPr>
              <w:rPr>
                <w:rFonts w:hint="eastAsia" w:ascii="宋体" w:hAnsi="宋体"/>
                <w:sz w:val="21"/>
                <w:szCs w:val="21"/>
              </w:rPr>
            </w:pPr>
            <w:r>
              <w:rPr>
                <w:rFonts w:hint="eastAsia" w:ascii="宋体" w:hAnsi="宋体"/>
                <w:sz w:val="21"/>
                <w:szCs w:val="21"/>
              </w:rPr>
              <w:t>16</w:t>
            </w:r>
          </w:p>
        </w:tc>
        <w:tc>
          <w:tcPr>
            <w:tcW w:w="472"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4</w:t>
            </w:r>
          </w:p>
        </w:tc>
        <w:tc>
          <w:tcPr>
            <w:tcW w:w="472"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11</w:t>
            </w:r>
          </w:p>
        </w:tc>
        <w:tc>
          <w:tcPr>
            <w:tcW w:w="472"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0</w:t>
            </w:r>
          </w:p>
        </w:tc>
        <w:tc>
          <w:tcPr>
            <w:tcW w:w="472"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0</w:t>
            </w:r>
          </w:p>
        </w:tc>
        <w:tc>
          <w:tcPr>
            <w:tcW w:w="472"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0</w:t>
            </w:r>
          </w:p>
        </w:tc>
        <w:tc>
          <w:tcPr>
            <w:tcW w:w="472"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7</w:t>
            </w:r>
          </w:p>
        </w:tc>
        <w:tc>
          <w:tcPr>
            <w:tcW w:w="743"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0</w:t>
            </w:r>
          </w:p>
        </w:tc>
        <w:tc>
          <w:tcPr>
            <w:tcW w:w="474"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2</w:t>
            </w:r>
          </w:p>
        </w:tc>
        <w:tc>
          <w:tcPr>
            <w:tcW w:w="966"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6</w:t>
            </w:r>
          </w:p>
        </w:tc>
        <w:tc>
          <w:tcPr>
            <w:tcW w:w="808" w:type="dxa"/>
            <w:tcBorders>
              <w:top w:val="single" w:color="auto" w:sz="4" w:space="0"/>
            </w:tcBorders>
            <w:vAlign w:val="top"/>
          </w:tcPr>
          <w:p>
            <w:pPr>
              <w:jc w:val="center"/>
              <w:rPr>
                <w:rFonts w:hint="eastAsia" w:ascii="宋体" w:hAnsi="宋体"/>
                <w:sz w:val="21"/>
                <w:szCs w:val="21"/>
              </w:rPr>
            </w:pPr>
            <w:r>
              <w:rPr>
                <w:rFonts w:hint="eastAsia" w:ascii="宋体" w:hAnsi="宋体"/>
                <w:sz w:val="21"/>
                <w:szCs w:val="21"/>
              </w:rPr>
              <w:t>14</w:t>
            </w:r>
          </w:p>
        </w:tc>
      </w:tr>
    </w:tbl>
    <w:p>
      <w:pPr>
        <w:pStyle w:val="11"/>
        <w:adjustRightInd w:val="0"/>
        <w:spacing w:line="480" w:lineRule="exact"/>
        <w:ind w:left="0" w:firstLine="560" w:firstLineChars="200"/>
        <w:rPr>
          <w:rFonts w:hint="eastAsia"/>
          <w:bCs/>
          <w:szCs w:val="20"/>
        </w:rPr>
      </w:pPr>
    </w:p>
    <w:p>
      <w:pPr>
        <w:pStyle w:val="11"/>
        <w:adjustRightInd w:val="0"/>
        <w:spacing w:line="480" w:lineRule="exact"/>
        <w:ind w:left="0" w:firstLine="512" w:firstLineChars="200"/>
        <w:rPr>
          <w:rFonts w:hint="eastAsia"/>
          <w:snapToGrid w:val="0"/>
          <w:spacing w:val="8"/>
          <w:kern w:val="0"/>
          <w:sz w:val="24"/>
        </w:rPr>
      </w:pPr>
      <w:r>
        <w:rPr>
          <w:rFonts w:hint="eastAsia"/>
          <w:snapToGrid w:val="0"/>
          <w:spacing w:val="8"/>
          <w:kern w:val="0"/>
          <w:sz w:val="24"/>
        </w:rPr>
        <w:t>（2）调查结果</w:t>
      </w:r>
    </w:p>
    <w:p>
      <w:pPr>
        <w:pStyle w:val="11"/>
        <w:adjustRightInd w:val="0"/>
        <w:spacing w:line="480" w:lineRule="exact"/>
        <w:ind w:left="0" w:firstLine="512" w:firstLineChars="200"/>
        <w:rPr>
          <w:rFonts w:hint="eastAsia"/>
          <w:snapToGrid w:val="0"/>
          <w:spacing w:val="8"/>
          <w:kern w:val="0"/>
          <w:sz w:val="24"/>
        </w:rPr>
      </w:pPr>
      <w:r>
        <w:rPr>
          <w:rFonts w:hint="eastAsia"/>
          <w:snapToGrid w:val="0"/>
          <w:spacing w:val="8"/>
          <w:kern w:val="0"/>
          <w:sz w:val="24"/>
        </w:rPr>
        <w:t>调查结果汇总见表9-2。</w:t>
      </w:r>
    </w:p>
    <w:p>
      <w:pPr>
        <w:spacing w:line="480" w:lineRule="exact"/>
        <w:ind w:firstLine="342" w:firstLineChars="200"/>
        <w:jc w:val="center"/>
        <w:rPr>
          <w:rFonts w:hint="eastAsia" w:ascii="宋体" w:hAnsi="宋体"/>
          <w:b/>
          <w:spacing w:val="-20"/>
        </w:rPr>
      </w:pPr>
      <w:r>
        <w:rPr>
          <w:rFonts w:hint="eastAsia" w:ascii="宋体" w:hAnsi="宋体"/>
          <w:b/>
          <w:spacing w:val="-20"/>
        </w:rPr>
        <w:t>表9-2    公众参与调查统计结果</w:t>
      </w:r>
    </w:p>
    <w:tbl>
      <w:tblPr>
        <w:tblStyle w:val="2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2812"/>
        <w:gridCol w:w="2830"/>
        <w:gridCol w:w="1168"/>
        <w:gridCol w:w="1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903" w:type="dxa"/>
            <w:vAlign w:val="center"/>
          </w:tcPr>
          <w:p>
            <w:pPr>
              <w:jc w:val="center"/>
              <w:rPr>
                <w:rFonts w:hint="eastAsia"/>
                <w:sz w:val="21"/>
                <w:szCs w:val="21"/>
              </w:rPr>
            </w:pPr>
            <w:r>
              <w:rPr>
                <w:rFonts w:hint="eastAsia"/>
                <w:sz w:val="21"/>
                <w:szCs w:val="21"/>
              </w:rPr>
              <w:t>序号</w:t>
            </w:r>
          </w:p>
        </w:tc>
        <w:tc>
          <w:tcPr>
            <w:tcW w:w="2812" w:type="dxa"/>
            <w:vAlign w:val="center"/>
          </w:tcPr>
          <w:p>
            <w:pPr>
              <w:jc w:val="center"/>
              <w:rPr>
                <w:rFonts w:hint="eastAsia"/>
                <w:sz w:val="21"/>
                <w:szCs w:val="21"/>
              </w:rPr>
            </w:pPr>
            <w:r>
              <w:rPr>
                <w:rFonts w:hint="eastAsia"/>
                <w:sz w:val="21"/>
                <w:szCs w:val="21"/>
              </w:rPr>
              <w:t>调查内容</w:t>
            </w:r>
          </w:p>
        </w:tc>
        <w:tc>
          <w:tcPr>
            <w:tcW w:w="2830" w:type="dxa"/>
            <w:vAlign w:val="center"/>
          </w:tcPr>
          <w:p>
            <w:pPr>
              <w:jc w:val="center"/>
              <w:rPr>
                <w:rFonts w:hint="eastAsia"/>
                <w:sz w:val="21"/>
                <w:szCs w:val="21"/>
              </w:rPr>
            </w:pPr>
            <w:r>
              <w:rPr>
                <w:rFonts w:hint="eastAsia"/>
                <w:sz w:val="21"/>
                <w:szCs w:val="21"/>
              </w:rPr>
              <w:t>意见选择</w:t>
            </w:r>
          </w:p>
        </w:tc>
        <w:tc>
          <w:tcPr>
            <w:tcW w:w="1168" w:type="dxa"/>
            <w:vAlign w:val="center"/>
          </w:tcPr>
          <w:p>
            <w:pPr>
              <w:jc w:val="center"/>
              <w:rPr>
                <w:rFonts w:hint="eastAsia"/>
                <w:sz w:val="21"/>
                <w:szCs w:val="21"/>
              </w:rPr>
            </w:pPr>
            <w:r>
              <w:rPr>
                <w:rFonts w:hint="eastAsia"/>
                <w:sz w:val="21"/>
                <w:szCs w:val="21"/>
              </w:rPr>
              <w:t>人数</w:t>
            </w:r>
          </w:p>
        </w:tc>
        <w:tc>
          <w:tcPr>
            <w:tcW w:w="1573" w:type="dxa"/>
            <w:vAlign w:val="center"/>
          </w:tcPr>
          <w:p>
            <w:pPr>
              <w:jc w:val="center"/>
              <w:rPr>
                <w:rFonts w:hint="eastAsia"/>
                <w:sz w:val="21"/>
                <w:szCs w:val="21"/>
              </w:rPr>
            </w:pPr>
            <w:r>
              <w:rPr>
                <w:rFonts w:hint="eastAsia"/>
                <w:sz w:val="21"/>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903" w:type="dxa"/>
            <w:vMerge w:val="restart"/>
            <w:vAlign w:val="center"/>
          </w:tcPr>
          <w:p>
            <w:pPr>
              <w:jc w:val="center"/>
              <w:rPr>
                <w:rFonts w:hint="eastAsia"/>
                <w:sz w:val="21"/>
                <w:szCs w:val="21"/>
              </w:rPr>
            </w:pPr>
          </w:p>
          <w:p>
            <w:pPr>
              <w:jc w:val="center"/>
              <w:rPr>
                <w:rFonts w:hint="eastAsia"/>
                <w:sz w:val="21"/>
                <w:szCs w:val="21"/>
              </w:rPr>
            </w:pPr>
            <w:r>
              <w:rPr>
                <w:rFonts w:hint="eastAsia"/>
                <w:sz w:val="21"/>
                <w:szCs w:val="21"/>
              </w:rPr>
              <w:t>1</w:t>
            </w:r>
          </w:p>
        </w:tc>
        <w:tc>
          <w:tcPr>
            <w:tcW w:w="2812" w:type="dxa"/>
            <w:vMerge w:val="restart"/>
            <w:vAlign w:val="center"/>
          </w:tcPr>
          <w:p>
            <w:pPr>
              <w:jc w:val="center"/>
              <w:rPr>
                <w:rFonts w:hint="eastAsia"/>
                <w:sz w:val="21"/>
                <w:szCs w:val="21"/>
              </w:rPr>
            </w:pPr>
          </w:p>
          <w:p>
            <w:pPr>
              <w:rPr>
                <w:rFonts w:hint="eastAsia"/>
                <w:sz w:val="21"/>
                <w:szCs w:val="21"/>
              </w:rPr>
            </w:pPr>
            <w:r>
              <w:rPr>
                <w:rFonts w:hint="eastAsia"/>
                <w:sz w:val="21"/>
                <w:szCs w:val="21"/>
              </w:rPr>
              <w:t>您对项目所在地环境质量现状是否满意？</w:t>
            </w:r>
          </w:p>
        </w:tc>
        <w:tc>
          <w:tcPr>
            <w:tcW w:w="2830" w:type="dxa"/>
            <w:vAlign w:val="center"/>
          </w:tcPr>
          <w:p>
            <w:pPr>
              <w:jc w:val="center"/>
              <w:rPr>
                <w:rFonts w:hint="eastAsia"/>
                <w:sz w:val="21"/>
                <w:szCs w:val="21"/>
              </w:rPr>
            </w:pPr>
            <w:r>
              <w:rPr>
                <w:rFonts w:hint="eastAsia"/>
                <w:sz w:val="21"/>
                <w:szCs w:val="21"/>
              </w:rPr>
              <w:t>满意</w:t>
            </w:r>
          </w:p>
        </w:tc>
        <w:tc>
          <w:tcPr>
            <w:tcW w:w="1168" w:type="dxa"/>
            <w:vAlign w:val="center"/>
          </w:tcPr>
          <w:p>
            <w:pPr>
              <w:jc w:val="center"/>
              <w:rPr>
                <w:rFonts w:hint="eastAsia"/>
                <w:sz w:val="21"/>
                <w:szCs w:val="21"/>
              </w:rPr>
            </w:pPr>
            <w:r>
              <w:rPr>
                <w:rFonts w:hint="eastAsia"/>
                <w:sz w:val="21"/>
                <w:szCs w:val="21"/>
              </w:rPr>
              <w:t>65</w:t>
            </w:r>
          </w:p>
        </w:tc>
        <w:tc>
          <w:tcPr>
            <w:tcW w:w="1573" w:type="dxa"/>
            <w:vAlign w:val="center"/>
          </w:tcPr>
          <w:p>
            <w:pPr>
              <w:jc w:val="center"/>
              <w:rPr>
                <w:rFonts w:hint="eastAsia"/>
                <w:sz w:val="21"/>
                <w:szCs w:val="21"/>
              </w:rPr>
            </w:pPr>
            <w:r>
              <w:rPr>
                <w:rFonts w:hint="eastAsia"/>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903" w:type="dxa"/>
            <w:vMerge w:val="continue"/>
            <w:vAlign w:val="center"/>
          </w:tcPr>
          <w:p>
            <w:pPr>
              <w:jc w:val="center"/>
              <w:rPr>
                <w:rFonts w:hint="eastAsia"/>
                <w:sz w:val="21"/>
                <w:szCs w:val="21"/>
              </w:rPr>
            </w:pPr>
          </w:p>
        </w:tc>
        <w:tc>
          <w:tcPr>
            <w:tcW w:w="2812" w:type="dxa"/>
            <w:vMerge w:val="continue"/>
            <w:vAlign w:val="center"/>
          </w:tcPr>
          <w:p>
            <w:pPr>
              <w:jc w:val="center"/>
              <w:rPr>
                <w:rFonts w:hint="eastAsia"/>
                <w:sz w:val="21"/>
                <w:szCs w:val="21"/>
              </w:rPr>
            </w:pPr>
          </w:p>
        </w:tc>
        <w:tc>
          <w:tcPr>
            <w:tcW w:w="2830" w:type="dxa"/>
            <w:vAlign w:val="center"/>
          </w:tcPr>
          <w:p>
            <w:pPr>
              <w:jc w:val="center"/>
              <w:rPr>
                <w:rFonts w:hint="eastAsia"/>
                <w:sz w:val="21"/>
                <w:szCs w:val="21"/>
              </w:rPr>
            </w:pPr>
            <w:r>
              <w:rPr>
                <w:rFonts w:hint="eastAsia"/>
                <w:sz w:val="21"/>
                <w:szCs w:val="21"/>
              </w:rPr>
              <w:t>基本满意</w:t>
            </w:r>
          </w:p>
        </w:tc>
        <w:tc>
          <w:tcPr>
            <w:tcW w:w="1168" w:type="dxa"/>
            <w:vAlign w:val="center"/>
          </w:tcPr>
          <w:p>
            <w:pPr>
              <w:jc w:val="center"/>
              <w:rPr>
                <w:rFonts w:hint="eastAsia"/>
                <w:sz w:val="21"/>
                <w:szCs w:val="21"/>
              </w:rPr>
            </w:pPr>
            <w:r>
              <w:rPr>
                <w:rFonts w:hint="eastAsia"/>
                <w:sz w:val="21"/>
                <w:szCs w:val="21"/>
              </w:rPr>
              <w:t>31</w:t>
            </w:r>
          </w:p>
        </w:tc>
        <w:tc>
          <w:tcPr>
            <w:tcW w:w="1573" w:type="dxa"/>
            <w:vAlign w:val="center"/>
          </w:tcPr>
          <w:p>
            <w:pPr>
              <w:jc w:val="center"/>
              <w:rPr>
                <w:rFonts w:hint="eastAsia"/>
                <w:sz w:val="21"/>
                <w:szCs w:val="21"/>
              </w:rPr>
            </w:pPr>
            <w:r>
              <w:rPr>
                <w:rFonts w:hint="eastAsia"/>
                <w:sz w:val="21"/>
                <w:szCs w:val="21"/>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903" w:type="dxa"/>
            <w:vMerge w:val="continue"/>
            <w:vAlign w:val="center"/>
          </w:tcPr>
          <w:p>
            <w:pPr>
              <w:jc w:val="center"/>
              <w:rPr>
                <w:rFonts w:hint="eastAsia"/>
                <w:sz w:val="21"/>
                <w:szCs w:val="21"/>
              </w:rPr>
            </w:pPr>
          </w:p>
        </w:tc>
        <w:tc>
          <w:tcPr>
            <w:tcW w:w="2812" w:type="dxa"/>
            <w:vMerge w:val="continue"/>
            <w:vAlign w:val="center"/>
          </w:tcPr>
          <w:p>
            <w:pPr>
              <w:jc w:val="center"/>
              <w:rPr>
                <w:rFonts w:hint="eastAsia"/>
                <w:sz w:val="21"/>
                <w:szCs w:val="21"/>
              </w:rPr>
            </w:pPr>
          </w:p>
        </w:tc>
        <w:tc>
          <w:tcPr>
            <w:tcW w:w="2830" w:type="dxa"/>
            <w:vAlign w:val="center"/>
          </w:tcPr>
          <w:p>
            <w:pPr>
              <w:jc w:val="center"/>
              <w:rPr>
                <w:rFonts w:hint="eastAsia"/>
                <w:sz w:val="21"/>
                <w:szCs w:val="21"/>
              </w:rPr>
            </w:pPr>
            <w:r>
              <w:rPr>
                <w:rFonts w:hint="eastAsia"/>
                <w:sz w:val="21"/>
                <w:szCs w:val="21"/>
              </w:rPr>
              <w:t>不满意</w:t>
            </w:r>
          </w:p>
        </w:tc>
        <w:tc>
          <w:tcPr>
            <w:tcW w:w="1168" w:type="dxa"/>
            <w:vAlign w:val="center"/>
          </w:tcPr>
          <w:p>
            <w:pPr>
              <w:jc w:val="center"/>
              <w:rPr>
                <w:rFonts w:hint="eastAsia"/>
                <w:sz w:val="21"/>
                <w:szCs w:val="21"/>
              </w:rPr>
            </w:pPr>
            <w:r>
              <w:rPr>
                <w:rFonts w:hint="eastAsia"/>
                <w:sz w:val="21"/>
                <w:szCs w:val="21"/>
              </w:rPr>
              <w:t>4</w:t>
            </w:r>
          </w:p>
        </w:tc>
        <w:tc>
          <w:tcPr>
            <w:tcW w:w="1573" w:type="dxa"/>
            <w:vAlign w:val="center"/>
          </w:tcPr>
          <w:p>
            <w:pPr>
              <w:jc w:val="center"/>
              <w:rPr>
                <w:rFonts w:hint="eastAsia"/>
                <w:sz w:val="21"/>
                <w:szCs w:val="21"/>
              </w:rPr>
            </w:pPr>
            <w:r>
              <w:rPr>
                <w:rFonts w:hint="eastAsia"/>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903" w:type="dxa"/>
            <w:vMerge w:val="restart"/>
            <w:vAlign w:val="center"/>
          </w:tcPr>
          <w:p>
            <w:pPr>
              <w:jc w:val="center"/>
              <w:rPr>
                <w:rFonts w:hint="eastAsia"/>
                <w:sz w:val="21"/>
                <w:szCs w:val="21"/>
              </w:rPr>
            </w:pPr>
          </w:p>
          <w:p>
            <w:pPr>
              <w:jc w:val="center"/>
              <w:rPr>
                <w:rFonts w:hint="eastAsia"/>
                <w:sz w:val="21"/>
                <w:szCs w:val="21"/>
              </w:rPr>
            </w:pPr>
          </w:p>
          <w:p>
            <w:pPr>
              <w:jc w:val="center"/>
              <w:rPr>
                <w:rFonts w:hint="eastAsia"/>
                <w:sz w:val="21"/>
                <w:szCs w:val="21"/>
              </w:rPr>
            </w:pPr>
            <w:r>
              <w:rPr>
                <w:rFonts w:hint="eastAsia"/>
                <w:sz w:val="21"/>
                <w:szCs w:val="21"/>
              </w:rPr>
              <w:t>2</w:t>
            </w:r>
          </w:p>
        </w:tc>
        <w:tc>
          <w:tcPr>
            <w:tcW w:w="2812" w:type="dxa"/>
            <w:vMerge w:val="restart"/>
            <w:vAlign w:val="center"/>
          </w:tcPr>
          <w:p>
            <w:pPr>
              <w:jc w:val="center"/>
              <w:rPr>
                <w:rFonts w:hint="eastAsia"/>
                <w:sz w:val="21"/>
                <w:szCs w:val="21"/>
              </w:rPr>
            </w:pPr>
          </w:p>
          <w:p>
            <w:pPr>
              <w:jc w:val="center"/>
              <w:rPr>
                <w:rFonts w:hint="eastAsia"/>
                <w:sz w:val="21"/>
                <w:szCs w:val="21"/>
              </w:rPr>
            </w:pPr>
          </w:p>
          <w:p>
            <w:pPr>
              <w:rPr>
                <w:rFonts w:hint="eastAsia"/>
                <w:sz w:val="21"/>
                <w:szCs w:val="21"/>
              </w:rPr>
            </w:pPr>
            <w:r>
              <w:rPr>
                <w:rFonts w:hint="eastAsia"/>
                <w:sz w:val="21"/>
                <w:szCs w:val="21"/>
              </w:rPr>
              <w:t>您认为项目所在地目前的主要环境问题是？</w:t>
            </w:r>
          </w:p>
        </w:tc>
        <w:tc>
          <w:tcPr>
            <w:tcW w:w="2830" w:type="dxa"/>
            <w:vAlign w:val="center"/>
          </w:tcPr>
          <w:p>
            <w:pPr>
              <w:jc w:val="center"/>
              <w:rPr>
                <w:rFonts w:hint="eastAsia"/>
                <w:sz w:val="21"/>
                <w:szCs w:val="21"/>
              </w:rPr>
            </w:pPr>
            <w:r>
              <w:rPr>
                <w:rFonts w:hint="eastAsia"/>
                <w:sz w:val="21"/>
                <w:szCs w:val="21"/>
              </w:rPr>
              <w:t>无</w:t>
            </w:r>
          </w:p>
        </w:tc>
        <w:tc>
          <w:tcPr>
            <w:tcW w:w="1168" w:type="dxa"/>
            <w:vAlign w:val="center"/>
          </w:tcPr>
          <w:p>
            <w:pPr>
              <w:jc w:val="center"/>
              <w:rPr>
                <w:rFonts w:hint="eastAsia"/>
                <w:sz w:val="21"/>
                <w:szCs w:val="21"/>
              </w:rPr>
            </w:pPr>
            <w:r>
              <w:rPr>
                <w:rFonts w:hint="eastAsia"/>
                <w:sz w:val="21"/>
                <w:szCs w:val="21"/>
              </w:rPr>
              <w:t>44</w:t>
            </w:r>
          </w:p>
        </w:tc>
        <w:tc>
          <w:tcPr>
            <w:tcW w:w="1573" w:type="dxa"/>
            <w:vAlign w:val="center"/>
          </w:tcPr>
          <w:p>
            <w:pPr>
              <w:jc w:val="center"/>
              <w:rPr>
                <w:rFonts w:hint="eastAsia"/>
                <w:sz w:val="21"/>
                <w:szCs w:val="21"/>
              </w:rPr>
            </w:pPr>
            <w:r>
              <w:rPr>
                <w:rFonts w:hint="eastAsia"/>
                <w:sz w:val="21"/>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903" w:type="dxa"/>
            <w:vMerge w:val="continue"/>
            <w:vAlign w:val="center"/>
          </w:tcPr>
          <w:p>
            <w:pPr>
              <w:jc w:val="center"/>
              <w:rPr>
                <w:rFonts w:hint="eastAsia"/>
                <w:sz w:val="21"/>
                <w:szCs w:val="21"/>
              </w:rPr>
            </w:pPr>
          </w:p>
        </w:tc>
        <w:tc>
          <w:tcPr>
            <w:tcW w:w="2812" w:type="dxa"/>
            <w:vMerge w:val="continue"/>
            <w:vAlign w:val="center"/>
          </w:tcPr>
          <w:p>
            <w:pPr>
              <w:jc w:val="center"/>
              <w:rPr>
                <w:rFonts w:hint="eastAsia"/>
                <w:sz w:val="21"/>
                <w:szCs w:val="21"/>
              </w:rPr>
            </w:pPr>
          </w:p>
        </w:tc>
        <w:tc>
          <w:tcPr>
            <w:tcW w:w="2830" w:type="dxa"/>
            <w:vAlign w:val="center"/>
          </w:tcPr>
          <w:p>
            <w:pPr>
              <w:jc w:val="center"/>
              <w:rPr>
                <w:rFonts w:hint="eastAsia"/>
                <w:sz w:val="21"/>
                <w:szCs w:val="21"/>
              </w:rPr>
            </w:pPr>
            <w:r>
              <w:rPr>
                <w:rFonts w:hint="eastAsia"/>
                <w:sz w:val="21"/>
                <w:szCs w:val="21"/>
              </w:rPr>
              <w:t>生态破坏</w:t>
            </w:r>
          </w:p>
        </w:tc>
        <w:tc>
          <w:tcPr>
            <w:tcW w:w="1168" w:type="dxa"/>
            <w:vAlign w:val="center"/>
          </w:tcPr>
          <w:p>
            <w:pPr>
              <w:jc w:val="center"/>
              <w:rPr>
                <w:rFonts w:hint="eastAsia"/>
                <w:sz w:val="21"/>
                <w:szCs w:val="21"/>
              </w:rPr>
            </w:pPr>
            <w:r>
              <w:rPr>
                <w:rFonts w:hint="eastAsia"/>
                <w:sz w:val="21"/>
                <w:szCs w:val="21"/>
              </w:rPr>
              <w:t>0</w:t>
            </w:r>
          </w:p>
        </w:tc>
        <w:tc>
          <w:tcPr>
            <w:tcW w:w="1573" w:type="dxa"/>
            <w:vAlign w:val="center"/>
          </w:tcPr>
          <w:p>
            <w:pPr>
              <w:jc w:val="center"/>
              <w:rPr>
                <w:rFonts w:hint="eastAsia"/>
                <w:sz w:val="21"/>
                <w:szCs w:val="21"/>
              </w:rPr>
            </w:pPr>
            <w:r>
              <w:rPr>
                <w:rFonts w:hint="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903" w:type="dxa"/>
            <w:vMerge w:val="continue"/>
            <w:vAlign w:val="center"/>
          </w:tcPr>
          <w:p>
            <w:pPr>
              <w:jc w:val="center"/>
              <w:rPr>
                <w:rFonts w:hint="eastAsia"/>
                <w:sz w:val="21"/>
                <w:szCs w:val="21"/>
              </w:rPr>
            </w:pPr>
          </w:p>
        </w:tc>
        <w:tc>
          <w:tcPr>
            <w:tcW w:w="2812" w:type="dxa"/>
            <w:vMerge w:val="continue"/>
            <w:vAlign w:val="center"/>
          </w:tcPr>
          <w:p>
            <w:pPr>
              <w:jc w:val="center"/>
              <w:rPr>
                <w:rFonts w:hint="eastAsia"/>
                <w:sz w:val="21"/>
                <w:szCs w:val="21"/>
              </w:rPr>
            </w:pPr>
          </w:p>
        </w:tc>
        <w:tc>
          <w:tcPr>
            <w:tcW w:w="2830" w:type="dxa"/>
            <w:vAlign w:val="center"/>
          </w:tcPr>
          <w:p>
            <w:pPr>
              <w:jc w:val="center"/>
              <w:rPr>
                <w:rFonts w:hint="eastAsia"/>
                <w:sz w:val="21"/>
                <w:szCs w:val="21"/>
              </w:rPr>
            </w:pPr>
            <w:r>
              <w:rPr>
                <w:rFonts w:hint="eastAsia"/>
                <w:sz w:val="21"/>
                <w:szCs w:val="21"/>
              </w:rPr>
              <w:t>空气污染</w:t>
            </w:r>
          </w:p>
        </w:tc>
        <w:tc>
          <w:tcPr>
            <w:tcW w:w="1168" w:type="dxa"/>
            <w:vAlign w:val="center"/>
          </w:tcPr>
          <w:p>
            <w:pPr>
              <w:jc w:val="center"/>
              <w:rPr>
                <w:rFonts w:hint="eastAsia"/>
                <w:sz w:val="21"/>
                <w:szCs w:val="21"/>
              </w:rPr>
            </w:pPr>
            <w:r>
              <w:rPr>
                <w:rFonts w:hint="eastAsia"/>
                <w:sz w:val="21"/>
                <w:szCs w:val="21"/>
              </w:rPr>
              <w:t>47</w:t>
            </w:r>
          </w:p>
        </w:tc>
        <w:tc>
          <w:tcPr>
            <w:tcW w:w="1573" w:type="dxa"/>
            <w:vAlign w:val="center"/>
          </w:tcPr>
          <w:p>
            <w:pPr>
              <w:jc w:val="center"/>
              <w:rPr>
                <w:rFonts w:hint="eastAsia"/>
                <w:sz w:val="21"/>
                <w:szCs w:val="21"/>
              </w:rPr>
            </w:pPr>
            <w:r>
              <w:rPr>
                <w:rFonts w:hint="eastAsia"/>
                <w:sz w:val="21"/>
                <w:szCs w:val="21"/>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903" w:type="dxa"/>
            <w:vMerge w:val="continue"/>
            <w:vAlign w:val="center"/>
          </w:tcPr>
          <w:p>
            <w:pPr>
              <w:jc w:val="center"/>
              <w:rPr>
                <w:rFonts w:hint="eastAsia"/>
                <w:sz w:val="21"/>
                <w:szCs w:val="21"/>
              </w:rPr>
            </w:pPr>
          </w:p>
        </w:tc>
        <w:tc>
          <w:tcPr>
            <w:tcW w:w="2812" w:type="dxa"/>
            <w:vMerge w:val="continue"/>
            <w:vAlign w:val="center"/>
          </w:tcPr>
          <w:p>
            <w:pPr>
              <w:jc w:val="center"/>
              <w:rPr>
                <w:rFonts w:hint="eastAsia"/>
                <w:sz w:val="21"/>
                <w:szCs w:val="21"/>
              </w:rPr>
            </w:pPr>
          </w:p>
        </w:tc>
        <w:tc>
          <w:tcPr>
            <w:tcW w:w="2830" w:type="dxa"/>
            <w:vAlign w:val="center"/>
          </w:tcPr>
          <w:p>
            <w:pPr>
              <w:jc w:val="center"/>
              <w:rPr>
                <w:rFonts w:hint="eastAsia"/>
                <w:sz w:val="21"/>
                <w:szCs w:val="21"/>
              </w:rPr>
            </w:pPr>
            <w:r>
              <w:rPr>
                <w:rFonts w:hint="eastAsia"/>
                <w:sz w:val="21"/>
                <w:szCs w:val="21"/>
              </w:rPr>
              <w:t>水污染</w:t>
            </w:r>
          </w:p>
        </w:tc>
        <w:tc>
          <w:tcPr>
            <w:tcW w:w="1168" w:type="dxa"/>
            <w:vAlign w:val="center"/>
          </w:tcPr>
          <w:p>
            <w:pPr>
              <w:jc w:val="center"/>
              <w:rPr>
                <w:rFonts w:hint="eastAsia"/>
                <w:sz w:val="21"/>
                <w:szCs w:val="21"/>
              </w:rPr>
            </w:pPr>
            <w:r>
              <w:rPr>
                <w:rFonts w:hint="eastAsia"/>
                <w:sz w:val="21"/>
                <w:szCs w:val="21"/>
              </w:rPr>
              <w:t>1</w:t>
            </w:r>
          </w:p>
        </w:tc>
        <w:tc>
          <w:tcPr>
            <w:tcW w:w="1573" w:type="dxa"/>
            <w:vAlign w:val="center"/>
          </w:tcPr>
          <w:p>
            <w:pPr>
              <w:jc w:val="center"/>
              <w:rPr>
                <w:rFonts w:hint="eastAsia"/>
                <w:sz w:val="21"/>
                <w:szCs w:val="21"/>
              </w:rPr>
            </w:pPr>
            <w:r>
              <w:rPr>
                <w:rFonts w:hint="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903" w:type="dxa"/>
            <w:vMerge w:val="continue"/>
            <w:vAlign w:val="center"/>
          </w:tcPr>
          <w:p>
            <w:pPr>
              <w:jc w:val="center"/>
              <w:rPr>
                <w:rFonts w:hint="eastAsia"/>
                <w:sz w:val="21"/>
                <w:szCs w:val="21"/>
              </w:rPr>
            </w:pPr>
          </w:p>
        </w:tc>
        <w:tc>
          <w:tcPr>
            <w:tcW w:w="2812" w:type="dxa"/>
            <w:vMerge w:val="continue"/>
            <w:vAlign w:val="center"/>
          </w:tcPr>
          <w:p>
            <w:pPr>
              <w:jc w:val="center"/>
              <w:rPr>
                <w:rFonts w:hint="eastAsia"/>
                <w:sz w:val="21"/>
                <w:szCs w:val="21"/>
              </w:rPr>
            </w:pPr>
          </w:p>
        </w:tc>
        <w:tc>
          <w:tcPr>
            <w:tcW w:w="2830" w:type="dxa"/>
            <w:vAlign w:val="center"/>
          </w:tcPr>
          <w:p>
            <w:pPr>
              <w:jc w:val="center"/>
              <w:rPr>
                <w:rFonts w:hint="eastAsia"/>
                <w:sz w:val="21"/>
                <w:szCs w:val="21"/>
              </w:rPr>
            </w:pPr>
            <w:r>
              <w:rPr>
                <w:rFonts w:hint="eastAsia"/>
                <w:sz w:val="21"/>
                <w:szCs w:val="21"/>
              </w:rPr>
              <w:t>噪声污染</w:t>
            </w:r>
          </w:p>
        </w:tc>
        <w:tc>
          <w:tcPr>
            <w:tcW w:w="1168" w:type="dxa"/>
            <w:vAlign w:val="center"/>
          </w:tcPr>
          <w:p>
            <w:pPr>
              <w:jc w:val="center"/>
              <w:rPr>
                <w:rFonts w:hint="eastAsia"/>
                <w:sz w:val="21"/>
                <w:szCs w:val="21"/>
              </w:rPr>
            </w:pPr>
            <w:r>
              <w:rPr>
                <w:rFonts w:hint="eastAsia"/>
                <w:sz w:val="21"/>
                <w:szCs w:val="21"/>
              </w:rPr>
              <w:t>16</w:t>
            </w:r>
          </w:p>
        </w:tc>
        <w:tc>
          <w:tcPr>
            <w:tcW w:w="1573" w:type="dxa"/>
            <w:vAlign w:val="center"/>
          </w:tcPr>
          <w:p>
            <w:pPr>
              <w:jc w:val="center"/>
              <w:rPr>
                <w:rFonts w:hint="eastAsia"/>
                <w:sz w:val="21"/>
                <w:szCs w:val="21"/>
              </w:rPr>
            </w:pPr>
            <w:r>
              <w:rPr>
                <w:rFonts w:hint="eastAsia"/>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903" w:type="dxa"/>
            <w:vMerge w:val="restart"/>
            <w:vAlign w:val="center"/>
          </w:tcPr>
          <w:p>
            <w:pPr>
              <w:jc w:val="center"/>
              <w:rPr>
                <w:rFonts w:hint="eastAsia"/>
                <w:sz w:val="21"/>
                <w:szCs w:val="21"/>
              </w:rPr>
            </w:pPr>
          </w:p>
          <w:p>
            <w:pPr>
              <w:jc w:val="center"/>
              <w:rPr>
                <w:rFonts w:hint="eastAsia"/>
                <w:sz w:val="21"/>
                <w:szCs w:val="21"/>
              </w:rPr>
            </w:pPr>
            <w:r>
              <w:rPr>
                <w:rFonts w:hint="eastAsia"/>
                <w:sz w:val="21"/>
                <w:szCs w:val="21"/>
              </w:rPr>
              <w:t>3</w:t>
            </w:r>
          </w:p>
        </w:tc>
        <w:tc>
          <w:tcPr>
            <w:tcW w:w="2812" w:type="dxa"/>
            <w:vMerge w:val="restart"/>
            <w:vAlign w:val="center"/>
          </w:tcPr>
          <w:p>
            <w:pPr>
              <w:jc w:val="center"/>
              <w:rPr>
                <w:rFonts w:hint="eastAsia"/>
                <w:sz w:val="21"/>
                <w:szCs w:val="21"/>
              </w:rPr>
            </w:pPr>
          </w:p>
          <w:p>
            <w:pPr>
              <w:rPr>
                <w:rFonts w:hint="eastAsia"/>
                <w:sz w:val="21"/>
                <w:szCs w:val="21"/>
              </w:rPr>
            </w:pPr>
            <w:r>
              <w:rPr>
                <w:rFonts w:hint="eastAsia"/>
                <w:sz w:val="21"/>
                <w:szCs w:val="21"/>
              </w:rPr>
              <w:t>您是否知道在当地建设该项目？</w:t>
            </w:r>
          </w:p>
        </w:tc>
        <w:tc>
          <w:tcPr>
            <w:tcW w:w="2830" w:type="dxa"/>
            <w:vAlign w:val="center"/>
          </w:tcPr>
          <w:p>
            <w:pPr>
              <w:jc w:val="center"/>
              <w:rPr>
                <w:rFonts w:hint="eastAsia"/>
                <w:sz w:val="21"/>
                <w:szCs w:val="21"/>
              </w:rPr>
            </w:pPr>
            <w:r>
              <w:rPr>
                <w:rFonts w:hint="eastAsia"/>
                <w:sz w:val="21"/>
                <w:szCs w:val="21"/>
              </w:rPr>
              <w:t>不知道</w:t>
            </w:r>
          </w:p>
        </w:tc>
        <w:tc>
          <w:tcPr>
            <w:tcW w:w="1168" w:type="dxa"/>
            <w:vAlign w:val="center"/>
          </w:tcPr>
          <w:p>
            <w:pPr>
              <w:jc w:val="center"/>
              <w:rPr>
                <w:rFonts w:hint="eastAsia"/>
                <w:sz w:val="21"/>
                <w:szCs w:val="21"/>
              </w:rPr>
            </w:pPr>
            <w:r>
              <w:rPr>
                <w:rFonts w:hint="eastAsia"/>
                <w:sz w:val="21"/>
                <w:szCs w:val="21"/>
              </w:rPr>
              <w:t>2</w:t>
            </w:r>
          </w:p>
        </w:tc>
        <w:tc>
          <w:tcPr>
            <w:tcW w:w="1573" w:type="dxa"/>
            <w:vAlign w:val="center"/>
          </w:tcPr>
          <w:p>
            <w:pPr>
              <w:jc w:val="center"/>
              <w:rPr>
                <w:rFonts w:hint="eastAsia"/>
                <w:sz w:val="21"/>
                <w:szCs w:val="21"/>
              </w:rPr>
            </w:pPr>
            <w:r>
              <w:rPr>
                <w:rFonts w:hint="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903" w:type="dxa"/>
            <w:vMerge w:val="continue"/>
            <w:vAlign w:val="center"/>
          </w:tcPr>
          <w:p>
            <w:pPr>
              <w:jc w:val="center"/>
              <w:rPr>
                <w:rFonts w:hint="eastAsia"/>
                <w:sz w:val="21"/>
                <w:szCs w:val="21"/>
              </w:rPr>
            </w:pPr>
          </w:p>
        </w:tc>
        <w:tc>
          <w:tcPr>
            <w:tcW w:w="2812" w:type="dxa"/>
            <w:vMerge w:val="continue"/>
            <w:vAlign w:val="center"/>
          </w:tcPr>
          <w:p>
            <w:pPr>
              <w:jc w:val="center"/>
              <w:rPr>
                <w:rFonts w:hint="eastAsia"/>
                <w:sz w:val="21"/>
                <w:szCs w:val="21"/>
              </w:rPr>
            </w:pPr>
          </w:p>
        </w:tc>
        <w:tc>
          <w:tcPr>
            <w:tcW w:w="2830" w:type="dxa"/>
            <w:vAlign w:val="center"/>
          </w:tcPr>
          <w:p>
            <w:pPr>
              <w:jc w:val="center"/>
              <w:rPr>
                <w:rFonts w:hint="eastAsia"/>
                <w:sz w:val="21"/>
                <w:szCs w:val="21"/>
              </w:rPr>
            </w:pPr>
            <w:r>
              <w:rPr>
                <w:rFonts w:hint="eastAsia"/>
                <w:sz w:val="21"/>
                <w:szCs w:val="21"/>
              </w:rPr>
              <w:t>知道一点</w:t>
            </w:r>
          </w:p>
        </w:tc>
        <w:tc>
          <w:tcPr>
            <w:tcW w:w="1168" w:type="dxa"/>
            <w:vAlign w:val="center"/>
          </w:tcPr>
          <w:p>
            <w:pPr>
              <w:jc w:val="center"/>
              <w:rPr>
                <w:rFonts w:hint="eastAsia"/>
                <w:sz w:val="21"/>
                <w:szCs w:val="21"/>
              </w:rPr>
            </w:pPr>
            <w:r>
              <w:rPr>
                <w:rFonts w:hint="eastAsia"/>
                <w:sz w:val="21"/>
                <w:szCs w:val="21"/>
              </w:rPr>
              <w:t>45</w:t>
            </w:r>
          </w:p>
        </w:tc>
        <w:tc>
          <w:tcPr>
            <w:tcW w:w="1573" w:type="dxa"/>
            <w:vAlign w:val="center"/>
          </w:tcPr>
          <w:p>
            <w:pPr>
              <w:jc w:val="center"/>
              <w:rPr>
                <w:rFonts w:hint="eastAsia"/>
                <w:sz w:val="21"/>
                <w:szCs w:val="21"/>
              </w:rPr>
            </w:pPr>
            <w:r>
              <w:rPr>
                <w:rFonts w:hint="eastAsia"/>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903" w:type="dxa"/>
            <w:vMerge w:val="continue"/>
            <w:vAlign w:val="center"/>
          </w:tcPr>
          <w:p>
            <w:pPr>
              <w:jc w:val="center"/>
              <w:rPr>
                <w:rFonts w:hint="eastAsia"/>
                <w:sz w:val="21"/>
                <w:szCs w:val="21"/>
              </w:rPr>
            </w:pPr>
          </w:p>
        </w:tc>
        <w:tc>
          <w:tcPr>
            <w:tcW w:w="2812" w:type="dxa"/>
            <w:vMerge w:val="continue"/>
            <w:vAlign w:val="center"/>
          </w:tcPr>
          <w:p>
            <w:pPr>
              <w:jc w:val="center"/>
              <w:rPr>
                <w:rFonts w:hint="eastAsia"/>
                <w:sz w:val="21"/>
                <w:szCs w:val="21"/>
              </w:rPr>
            </w:pPr>
          </w:p>
        </w:tc>
        <w:tc>
          <w:tcPr>
            <w:tcW w:w="2830" w:type="dxa"/>
            <w:vAlign w:val="center"/>
          </w:tcPr>
          <w:p>
            <w:pPr>
              <w:jc w:val="center"/>
              <w:rPr>
                <w:rFonts w:hint="eastAsia"/>
                <w:sz w:val="21"/>
                <w:szCs w:val="21"/>
              </w:rPr>
            </w:pPr>
            <w:r>
              <w:rPr>
                <w:rFonts w:hint="eastAsia"/>
                <w:sz w:val="21"/>
                <w:szCs w:val="21"/>
              </w:rPr>
              <w:t>知道</w:t>
            </w:r>
          </w:p>
        </w:tc>
        <w:tc>
          <w:tcPr>
            <w:tcW w:w="1168" w:type="dxa"/>
            <w:vAlign w:val="center"/>
          </w:tcPr>
          <w:p>
            <w:pPr>
              <w:jc w:val="center"/>
              <w:rPr>
                <w:rFonts w:hint="eastAsia"/>
                <w:sz w:val="21"/>
                <w:szCs w:val="21"/>
              </w:rPr>
            </w:pPr>
            <w:r>
              <w:rPr>
                <w:rFonts w:hint="eastAsia"/>
                <w:sz w:val="21"/>
                <w:szCs w:val="21"/>
              </w:rPr>
              <w:t>53</w:t>
            </w:r>
          </w:p>
        </w:tc>
        <w:tc>
          <w:tcPr>
            <w:tcW w:w="1573" w:type="dxa"/>
            <w:vAlign w:val="center"/>
          </w:tcPr>
          <w:p>
            <w:pPr>
              <w:jc w:val="center"/>
              <w:rPr>
                <w:rFonts w:hint="eastAsia"/>
                <w:sz w:val="21"/>
                <w:szCs w:val="21"/>
              </w:rPr>
            </w:pPr>
            <w:r>
              <w:rPr>
                <w:rFonts w:hint="eastAsia"/>
                <w:sz w:val="21"/>
                <w:szCs w:val="2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903" w:type="dxa"/>
            <w:vMerge w:val="restart"/>
            <w:vAlign w:val="center"/>
          </w:tcPr>
          <w:p>
            <w:pPr>
              <w:jc w:val="center"/>
              <w:rPr>
                <w:rFonts w:hint="eastAsia"/>
                <w:sz w:val="21"/>
                <w:szCs w:val="21"/>
              </w:rPr>
            </w:pPr>
          </w:p>
          <w:p>
            <w:pPr>
              <w:ind w:firstLine="210" w:firstLineChars="100"/>
              <w:rPr>
                <w:rFonts w:hint="eastAsia"/>
                <w:sz w:val="21"/>
                <w:szCs w:val="21"/>
              </w:rPr>
            </w:pPr>
            <w:r>
              <w:rPr>
                <w:rFonts w:hint="eastAsia"/>
                <w:sz w:val="21"/>
                <w:szCs w:val="21"/>
              </w:rPr>
              <w:t>4</w:t>
            </w:r>
          </w:p>
        </w:tc>
        <w:tc>
          <w:tcPr>
            <w:tcW w:w="2812" w:type="dxa"/>
            <w:vMerge w:val="restart"/>
            <w:vAlign w:val="center"/>
          </w:tcPr>
          <w:p>
            <w:pPr>
              <w:jc w:val="center"/>
              <w:rPr>
                <w:rFonts w:hint="eastAsia"/>
                <w:sz w:val="21"/>
                <w:szCs w:val="21"/>
              </w:rPr>
            </w:pPr>
          </w:p>
          <w:p>
            <w:pPr>
              <w:rPr>
                <w:rFonts w:hint="eastAsia"/>
                <w:sz w:val="21"/>
                <w:szCs w:val="21"/>
              </w:rPr>
            </w:pPr>
            <w:r>
              <w:rPr>
                <w:rFonts w:hint="eastAsia"/>
                <w:sz w:val="21"/>
                <w:szCs w:val="21"/>
              </w:rPr>
              <w:t>您认为本项目建设对当地最主要的不利影响是什么？</w:t>
            </w:r>
          </w:p>
        </w:tc>
        <w:tc>
          <w:tcPr>
            <w:tcW w:w="2830" w:type="dxa"/>
            <w:vAlign w:val="center"/>
          </w:tcPr>
          <w:p>
            <w:pPr>
              <w:jc w:val="center"/>
              <w:rPr>
                <w:rFonts w:hint="eastAsia"/>
                <w:sz w:val="21"/>
                <w:szCs w:val="21"/>
              </w:rPr>
            </w:pPr>
            <w:r>
              <w:rPr>
                <w:rFonts w:hint="eastAsia"/>
                <w:sz w:val="21"/>
                <w:szCs w:val="21"/>
              </w:rPr>
              <w:t>空气污染</w:t>
            </w:r>
          </w:p>
        </w:tc>
        <w:tc>
          <w:tcPr>
            <w:tcW w:w="1168" w:type="dxa"/>
            <w:vAlign w:val="center"/>
          </w:tcPr>
          <w:p>
            <w:pPr>
              <w:jc w:val="center"/>
              <w:rPr>
                <w:rFonts w:hint="eastAsia"/>
                <w:sz w:val="21"/>
                <w:szCs w:val="21"/>
              </w:rPr>
            </w:pPr>
            <w:r>
              <w:rPr>
                <w:rFonts w:hint="eastAsia"/>
                <w:sz w:val="21"/>
                <w:szCs w:val="21"/>
              </w:rPr>
              <w:t>54</w:t>
            </w:r>
          </w:p>
        </w:tc>
        <w:tc>
          <w:tcPr>
            <w:tcW w:w="1573" w:type="dxa"/>
            <w:vAlign w:val="center"/>
          </w:tcPr>
          <w:p>
            <w:pPr>
              <w:jc w:val="center"/>
              <w:rPr>
                <w:rFonts w:hint="eastAsia"/>
                <w:sz w:val="21"/>
                <w:szCs w:val="21"/>
              </w:rPr>
            </w:pPr>
            <w:r>
              <w:rPr>
                <w:rFonts w:hint="eastAsia"/>
                <w:sz w:val="21"/>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903" w:type="dxa"/>
            <w:vMerge w:val="continue"/>
            <w:vAlign w:val="center"/>
          </w:tcPr>
          <w:p>
            <w:pPr>
              <w:jc w:val="center"/>
              <w:rPr>
                <w:rFonts w:hint="eastAsia"/>
                <w:sz w:val="21"/>
                <w:szCs w:val="21"/>
              </w:rPr>
            </w:pPr>
          </w:p>
        </w:tc>
        <w:tc>
          <w:tcPr>
            <w:tcW w:w="2812" w:type="dxa"/>
            <w:vMerge w:val="continue"/>
            <w:vAlign w:val="center"/>
          </w:tcPr>
          <w:p>
            <w:pPr>
              <w:jc w:val="center"/>
              <w:rPr>
                <w:rFonts w:hint="eastAsia"/>
                <w:sz w:val="21"/>
                <w:szCs w:val="21"/>
              </w:rPr>
            </w:pPr>
          </w:p>
        </w:tc>
        <w:tc>
          <w:tcPr>
            <w:tcW w:w="2830" w:type="dxa"/>
            <w:vAlign w:val="center"/>
          </w:tcPr>
          <w:p>
            <w:pPr>
              <w:jc w:val="center"/>
              <w:rPr>
                <w:rFonts w:hint="eastAsia"/>
                <w:sz w:val="21"/>
                <w:szCs w:val="21"/>
              </w:rPr>
            </w:pPr>
            <w:r>
              <w:rPr>
                <w:rFonts w:hint="eastAsia"/>
                <w:sz w:val="21"/>
                <w:szCs w:val="21"/>
              </w:rPr>
              <w:t>水污染</w:t>
            </w:r>
          </w:p>
        </w:tc>
        <w:tc>
          <w:tcPr>
            <w:tcW w:w="1168" w:type="dxa"/>
            <w:vAlign w:val="center"/>
          </w:tcPr>
          <w:p>
            <w:pPr>
              <w:jc w:val="center"/>
              <w:rPr>
                <w:rFonts w:hint="eastAsia"/>
                <w:sz w:val="21"/>
                <w:szCs w:val="21"/>
              </w:rPr>
            </w:pPr>
            <w:r>
              <w:rPr>
                <w:rFonts w:hint="eastAsia"/>
                <w:sz w:val="21"/>
                <w:szCs w:val="21"/>
              </w:rPr>
              <w:t>2</w:t>
            </w:r>
          </w:p>
        </w:tc>
        <w:tc>
          <w:tcPr>
            <w:tcW w:w="1573" w:type="dxa"/>
            <w:vAlign w:val="center"/>
          </w:tcPr>
          <w:p>
            <w:pPr>
              <w:jc w:val="center"/>
              <w:rPr>
                <w:rFonts w:hint="eastAsia"/>
                <w:sz w:val="21"/>
                <w:szCs w:val="21"/>
              </w:rPr>
            </w:pPr>
            <w:r>
              <w:rPr>
                <w:rFonts w:hint="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903" w:type="dxa"/>
            <w:vMerge w:val="continue"/>
            <w:vAlign w:val="center"/>
          </w:tcPr>
          <w:p>
            <w:pPr>
              <w:jc w:val="center"/>
              <w:rPr>
                <w:rFonts w:hint="eastAsia"/>
                <w:sz w:val="21"/>
                <w:szCs w:val="21"/>
              </w:rPr>
            </w:pPr>
          </w:p>
        </w:tc>
        <w:tc>
          <w:tcPr>
            <w:tcW w:w="2812" w:type="dxa"/>
            <w:vMerge w:val="continue"/>
            <w:vAlign w:val="center"/>
          </w:tcPr>
          <w:p>
            <w:pPr>
              <w:jc w:val="center"/>
              <w:rPr>
                <w:rFonts w:hint="eastAsia"/>
                <w:sz w:val="21"/>
                <w:szCs w:val="21"/>
              </w:rPr>
            </w:pPr>
          </w:p>
        </w:tc>
        <w:tc>
          <w:tcPr>
            <w:tcW w:w="2830" w:type="dxa"/>
            <w:vAlign w:val="center"/>
          </w:tcPr>
          <w:p>
            <w:pPr>
              <w:jc w:val="center"/>
              <w:rPr>
                <w:rFonts w:hint="eastAsia"/>
                <w:sz w:val="21"/>
                <w:szCs w:val="21"/>
              </w:rPr>
            </w:pPr>
            <w:r>
              <w:rPr>
                <w:rFonts w:hint="eastAsia"/>
                <w:sz w:val="21"/>
                <w:szCs w:val="21"/>
              </w:rPr>
              <w:t>噪声污染</w:t>
            </w:r>
          </w:p>
        </w:tc>
        <w:tc>
          <w:tcPr>
            <w:tcW w:w="1168" w:type="dxa"/>
            <w:vAlign w:val="center"/>
          </w:tcPr>
          <w:p>
            <w:pPr>
              <w:jc w:val="center"/>
              <w:rPr>
                <w:rFonts w:hint="eastAsia"/>
                <w:sz w:val="21"/>
                <w:szCs w:val="21"/>
              </w:rPr>
            </w:pPr>
            <w:r>
              <w:rPr>
                <w:rFonts w:hint="eastAsia"/>
                <w:sz w:val="21"/>
                <w:szCs w:val="21"/>
              </w:rPr>
              <w:t>14</w:t>
            </w:r>
          </w:p>
        </w:tc>
        <w:tc>
          <w:tcPr>
            <w:tcW w:w="1573" w:type="dxa"/>
            <w:vAlign w:val="center"/>
          </w:tcPr>
          <w:p>
            <w:pPr>
              <w:jc w:val="center"/>
              <w:rPr>
                <w:rFonts w:hint="eastAsia"/>
                <w:sz w:val="21"/>
                <w:szCs w:val="21"/>
              </w:rPr>
            </w:pPr>
            <w:r>
              <w:rPr>
                <w:rFonts w:hint="eastAsia"/>
                <w:sz w:val="21"/>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trPr>
        <w:tc>
          <w:tcPr>
            <w:tcW w:w="903" w:type="dxa"/>
            <w:vMerge w:val="continue"/>
            <w:vAlign w:val="center"/>
          </w:tcPr>
          <w:p>
            <w:pPr>
              <w:jc w:val="center"/>
              <w:rPr>
                <w:rFonts w:hint="eastAsia"/>
                <w:sz w:val="21"/>
                <w:szCs w:val="21"/>
              </w:rPr>
            </w:pPr>
          </w:p>
        </w:tc>
        <w:tc>
          <w:tcPr>
            <w:tcW w:w="2812" w:type="dxa"/>
            <w:vMerge w:val="continue"/>
            <w:vAlign w:val="center"/>
          </w:tcPr>
          <w:p>
            <w:pPr>
              <w:jc w:val="center"/>
              <w:rPr>
                <w:rFonts w:hint="eastAsia"/>
                <w:sz w:val="21"/>
                <w:szCs w:val="21"/>
              </w:rPr>
            </w:pPr>
          </w:p>
        </w:tc>
        <w:tc>
          <w:tcPr>
            <w:tcW w:w="2830" w:type="dxa"/>
            <w:vAlign w:val="center"/>
          </w:tcPr>
          <w:p>
            <w:pPr>
              <w:jc w:val="center"/>
              <w:rPr>
                <w:rFonts w:hint="eastAsia"/>
                <w:sz w:val="21"/>
                <w:szCs w:val="21"/>
              </w:rPr>
            </w:pPr>
            <w:r>
              <w:rPr>
                <w:rFonts w:hint="eastAsia"/>
                <w:sz w:val="21"/>
                <w:szCs w:val="21"/>
              </w:rPr>
              <w:t>废渣污染</w:t>
            </w:r>
          </w:p>
        </w:tc>
        <w:tc>
          <w:tcPr>
            <w:tcW w:w="1168" w:type="dxa"/>
            <w:vAlign w:val="center"/>
          </w:tcPr>
          <w:p>
            <w:pPr>
              <w:jc w:val="center"/>
              <w:rPr>
                <w:rFonts w:hint="eastAsia"/>
                <w:sz w:val="21"/>
                <w:szCs w:val="21"/>
              </w:rPr>
            </w:pPr>
            <w:r>
              <w:rPr>
                <w:rFonts w:hint="eastAsia"/>
                <w:sz w:val="21"/>
                <w:szCs w:val="21"/>
              </w:rPr>
              <w:t>25</w:t>
            </w:r>
          </w:p>
        </w:tc>
        <w:tc>
          <w:tcPr>
            <w:tcW w:w="1573" w:type="dxa"/>
            <w:vAlign w:val="center"/>
          </w:tcPr>
          <w:p>
            <w:pPr>
              <w:jc w:val="center"/>
              <w:rPr>
                <w:rFonts w:hint="eastAsia"/>
                <w:sz w:val="21"/>
                <w:szCs w:val="21"/>
              </w:rPr>
            </w:pPr>
            <w:r>
              <w:rPr>
                <w:rFonts w:hint="eastAsia"/>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rPr>
        <w:tc>
          <w:tcPr>
            <w:tcW w:w="903" w:type="dxa"/>
            <w:vMerge w:val="continue"/>
            <w:vAlign w:val="center"/>
          </w:tcPr>
          <w:p>
            <w:pPr>
              <w:jc w:val="center"/>
              <w:rPr>
                <w:rFonts w:hint="eastAsia"/>
                <w:sz w:val="21"/>
                <w:szCs w:val="21"/>
              </w:rPr>
            </w:pPr>
          </w:p>
        </w:tc>
        <w:tc>
          <w:tcPr>
            <w:tcW w:w="2812" w:type="dxa"/>
            <w:vMerge w:val="continue"/>
            <w:vAlign w:val="center"/>
          </w:tcPr>
          <w:p>
            <w:pPr>
              <w:jc w:val="center"/>
              <w:rPr>
                <w:rFonts w:hint="eastAsia"/>
                <w:sz w:val="21"/>
                <w:szCs w:val="21"/>
              </w:rPr>
            </w:pPr>
          </w:p>
        </w:tc>
        <w:tc>
          <w:tcPr>
            <w:tcW w:w="2830" w:type="dxa"/>
            <w:vAlign w:val="center"/>
          </w:tcPr>
          <w:p>
            <w:pPr>
              <w:jc w:val="center"/>
              <w:rPr>
                <w:rFonts w:hint="eastAsia"/>
                <w:sz w:val="21"/>
                <w:szCs w:val="21"/>
              </w:rPr>
            </w:pPr>
            <w:r>
              <w:rPr>
                <w:rFonts w:hint="eastAsia"/>
                <w:sz w:val="21"/>
                <w:szCs w:val="21"/>
              </w:rPr>
              <w:t>其他</w:t>
            </w:r>
          </w:p>
        </w:tc>
        <w:tc>
          <w:tcPr>
            <w:tcW w:w="1168" w:type="dxa"/>
            <w:vAlign w:val="center"/>
          </w:tcPr>
          <w:p>
            <w:pPr>
              <w:jc w:val="center"/>
              <w:rPr>
                <w:rFonts w:hint="eastAsia"/>
                <w:sz w:val="21"/>
                <w:szCs w:val="21"/>
              </w:rPr>
            </w:pPr>
            <w:r>
              <w:rPr>
                <w:rFonts w:hint="eastAsia"/>
                <w:sz w:val="21"/>
                <w:szCs w:val="21"/>
              </w:rPr>
              <w:t>5</w:t>
            </w:r>
          </w:p>
        </w:tc>
        <w:tc>
          <w:tcPr>
            <w:tcW w:w="1573" w:type="dxa"/>
            <w:vAlign w:val="center"/>
          </w:tcPr>
          <w:p>
            <w:pPr>
              <w:jc w:val="center"/>
              <w:rPr>
                <w:rFonts w:hint="eastAsia"/>
                <w:sz w:val="21"/>
                <w:szCs w:val="21"/>
              </w:rPr>
            </w:pPr>
            <w:r>
              <w:rPr>
                <w:rFonts w:hint="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903" w:type="dxa"/>
            <w:vMerge w:val="restart"/>
            <w:vAlign w:val="center"/>
          </w:tcPr>
          <w:p>
            <w:pPr>
              <w:jc w:val="center"/>
              <w:rPr>
                <w:rFonts w:hint="eastAsia"/>
                <w:sz w:val="21"/>
                <w:szCs w:val="21"/>
              </w:rPr>
            </w:pPr>
          </w:p>
          <w:p>
            <w:pPr>
              <w:jc w:val="center"/>
              <w:rPr>
                <w:rFonts w:hint="eastAsia"/>
                <w:sz w:val="21"/>
                <w:szCs w:val="21"/>
              </w:rPr>
            </w:pPr>
            <w:r>
              <w:rPr>
                <w:rFonts w:hint="eastAsia"/>
                <w:sz w:val="21"/>
                <w:szCs w:val="21"/>
              </w:rPr>
              <w:t>5</w:t>
            </w:r>
          </w:p>
        </w:tc>
        <w:tc>
          <w:tcPr>
            <w:tcW w:w="2812" w:type="dxa"/>
            <w:vMerge w:val="restart"/>
            <w:vAlign w:val="center"/>
          </w:tcPr>
          <w:p>
            <w:pPr>
              <w:jc w:val="center"/>
              <w:rPr>
                <w:rFonts w:hint="eastAsia"/>
                <w:sz w:val="21"/>
                <w:szCs w:val="21"/>
              </w:rPr>
            </w:pPr>
          </w:p>
          <w:p>
            <w:pPr>
              <w:rPr>
                <w:rFonts w:hint="eastAsia"/>
                <w:sz w:val="21"/>
                <w:szCs w:val="21"/>
              </w:rPr>
            </w:pPr>
            <w:r>
              <w:rPr>
                <w:rFonts w:hint="eastAsia"/>
                <w:sz w:val="21"/>
                <w:szCs w:val="21"/>
              </w:rPr>
              <w:t>您认为项目完成后，对环境将会有怎样的影响？</w:t>
            </w:r>
          </w:p>
        </w:tc>
        <w:tc>
          <w:tcPr>
            <w:tcW w:w="2830" w:type="dxa"/>
            <w:vAlign w:val="center"/>
          </w:tcPr>
          <w:p>
            <w:pPr>
              <w:jc w:val="center"/>
              <w:rPr>
                <w:rFonts w:hint="eastAsia"/>
                <w:sz w:val="21"/>
                <w:szCs w:val="21"/>
              </w:rPr>
            </w:pPr>
            <w:r>
              <w:rPr>
                <w:rFonts w:hint="eastAsia"/>
                <w:sz w:val="21"/>
                <w:szCs w:val="21"/>
              </w:rPr>
              <w:t>加重环境污染</w:t>
            </w:r>
          </w:p>
        </w:tc>
        <w:tc>
          <w:tcPr>
            <w:tcW w:w="1168" w:type="dxa"/>
            <w:vAlign w:val="center"/>
          </w:tcPr>
          <w:p>
            <w:pPr>
              <w:jc w:val="center"/>
              <w:rPr>
                <w:rFonts w:hint="eastAsia"/>
                <w:sz w:val="21"/>
                <w:szCs w:val="21"/>
              </w:rPr>
            </w:pPr>
            <w:r>
              <w:rPr>
                <w:rFonts w:hint="eastAsia"/>
                <w:sz w:val="21"/>
                <w:szCs w:val="21"/>
              </w:rPr>
              <w:t>0</w:t>
            </w:r>
          </w:p>
        </w:tc>
        <w:tc>
          <w:tcPr>
            <w:tcW w:w="1573" w:type="dxa"/>
            <w:vAlign w:val="center"/>
          </w:tcPr>
          <w:p>
            <w:pPr>
              <w:jc w:val="center"/>
              <w:rPr>
                <w:rFonts w:hint="eastAsia"/>
                <w:sz w:val="21"/>
                <w:szCs w:val="21"/>
              </w:rPr>
            </w:pPr>
            <w:r>
              <w:rPr>
                <w:rFonts w:hint="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903" w:type="dxa"/>
            <w:vMerge w:val="continue"/>
            <w:vAlign w:val="center"/>
          </w:tcPr>
          <w:p>
            <w:pPr>
              <w:jc w:val="center"/>
              <w:rPr>
                <w:rFonts w:hint="eastAsia"/>
                <w:sz w:val="21"/>
                <w:szCs w:val="21"/>
              </w:rPr>
            </w:pPr>
          </w:p>
        </w:tc>
        <w:tc>
          <w:tcPr>
            <w:tcW w:w="2812" w:type="dxa"/>
            <w:vMerge w:val="continue"/>
            <w:vAlign w:val="center"/>
          </w:tcPr>
          <w:p>
            <w:pPr>
              <w:jc w:val="center"/>
              <w:rPr>
                <w:rFonts w:hint="eastAsia"/>
                <w:sz w:val="21"/>
                <w:szCs w:val="21"/>
              </w:rPr>
            </w:pPr>
          </w:p>
        </w:tc>
        <w:tc>
          <w:tcPr>
            <w:tcW w:w="2830" w:type="dxa"/>
            <w:vAlign w:val="center"/>
          </w:tcPr>
          <w:p>
            <w:pPr>
              <w:jc w:val="center"/>
              <w:rPr>
                <w:rFonts w:hint="eastAsia"/>
                <w:sz w:val="21"/>
                <w:szCs w:val="21"/>
              </w:rPr>
            </w:pPr>
            <w:r>
              <w:rPr>
                <w:rFonts w:hint="eastAsia"/>
                <w:sz w:val="21"/>
                <w:szCs w:val="21"/>
              </w:rPr>
              <w:t>对环境影响不大</w:t>
            </w:r>
          </w:p>
        </w:tc>
        <w:tc>
          <w:tcPr>
            <w:tcW w:w="1168" w:type="dxa"/>
            <w:vAlign w:val="center"/>
          </w:tcPr>
          <w:p>
            <w:pPr>
              <w:jc w:val="center"/>
              <w:rPr>
                <w:rFonts w:hint="eastAsia"/>
                <w:sz w:val="21"/>
                <w:szCs w:val="21"/>
              </w:rPr>
            </w:pPr>
            <w:r>
              <w:rPr>
                <w:rFonts w:hint="eastAsia"/>
                <w:sz w:val="21"/>
                <w:szCs w:val="21"/>
              </w:rPr>
              <w:t>10</w:t>
            </w:r>
          </w:p>
        </w:tc>
        <w:tc>
          <w:tcPr>
            <w:tcW w:w="1573" w:type="dxa"/>
            <w:vAlign w:val="center"/>
          </w:tcPr>
          <w:p>
            <w:pPr>
              <w:jc w:val="center"/>
              <w:rPr>
                <w:rFonts w:hint="eastAsia"/>
                <w:sz w:val="21"/>
                <w:szCs w:val="21"/>
              </w:rPr>
            </w:pPr>
            <w:r>
              <w:rPr>
                <w:rFonts w:hint="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903" w:type="dxa"/>
            <w:vMerge w:val="continue"/>
            <w:vAlign w:val="center"/>
          </w:tcPr>
          <w:p>
            <w:pPr>
              <w:jc w:val="center"/>
              <w:rPr>
                <w:rFonts w:hint="eastAsia"/>
                <w:sz w:val="21"/>
                <w:szCs w:val="21"/>
              </w:rPr>
            </w:pPr>
          </w:p>
        </w:tc>
        <w:tc>
          <w:tcPr>
            <w:tcW w:w="2812" w:type="dxa"/>
            <w:vMerge w:val="continue"/>
            <w:vAlign w:val="center"/>
          </w:tcPr>
          <w:p>
            <w:pPr>
              <w:jc w:val="center"/>
              <w:rPr>
                <w:rFonts w:hint="eastAsia"/>
                <w:sz w:val="21"/>
                <w:szCs w:val="21"/>
              </w:rPr>
            </w:pPr>
          </w:p>
        </w:tc>
        <w:tc>
          <w:tcPr>
            <w:tcW w:w="2830" w:type="dxa"/>
            <w:vAlign w:val="center"/>
          </w:tcPr>
          <w:p>
            <w:pPr>
              <w:jc w:val="center"/>
              <w:rPr>
                <w:rFonts w:hint="eastAsia"/>
                <w:sz w:val="21"/>
                <w:szCs w:val="21"/>
              </w:rPr>
            </w:pPr>
            <w:r>
              <w:rPr>
                <w:rFonts w:hint="eastAsia"/>
                <w:sz w:val="21"/>
                <w:szCs w:val="21"/>
              </w:rPr>
              <w:t>对环境有改善作用</w:t>
            </w:r>
          </w:p>
        </w:tc>
        <w:tc>
          <w:tcPr>
            <w:tcW w:w="1168" w:type="dxa"/>
            <w:vAlign w:val="center"/>
          </w:tcPr>
          <w:p>
            <w:pPr>
              <w:jc w:val="center"/>
              <w:rPr>
                <w:rFonts w:hint="eastAsia"/>
                <w:sz w:val="21"/>
                <w:szCs w:val="21"/>
              </w:rPr>
            </w:pPr>
            <w:r>
              <w:rPr>
                <w:rFonts w:hint="eastAsia"/>
                <w:sz w:val="21"/>
                <w:szCs w:val="21"/>
              </w:rPr>
              <w:t>90</w:t>
            </w:r>
          </w:p>
        </w:tc>
        <w:tc>
          <w:tcPr>
            <w:tcW w:w="1573" w:type="dxa"/>
            <w:vAlign w:val="center"/>
          </w:tcPr>
          <w:p>
            <w:pPr>
              <w:jc w:val="center"/>
              <w:rPr>
                <w:rFonts w:hint="eastAsia"/>
                <w:sz w:val="21"/>
                <w:szCs w:val="21"/>
              </w:rPr>
            </w:pPr>
            <w:r>
              <w:rPr>
                <w:rFonts w:hint="eastAsia"/>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trPr>
        <w:tc>
          <w:tcPr>
            <w:tcW w:w="903" w:type="dxa"/>
            <w:vMerge w:val="restart"/>
            <w:vAlign w:val="center"/>
          </w:tcPr>
          <w:p>
            <w:pPr>
              <w:jc w:val="center"/>
              <w:rPr>
                <w:rFonts w:hint="eastAsia"/>
                <w:sz w:val="21"/>
                <w:szCs w:val="21"/>
              </w:rPr>
            </w:pPr>
          </w:p>
          <w:p>
            <w:pPr>
              <w:jc w:val="center"/>
              <w:rPr>
                <w:rFonts w:hint="eastAsia"/>
                <w:sz w:val="21"/>
                <w:szCs w:val="21"/>
              </w:rPr>
            </w:pPr>
            <w:r>
              <w:rPr>
                <w:rFonts w:hint="eastAsia"/>
                <w:sz w:val="21"/>
                <w:szCs w:val="21"/>
              </w:rPr>
              <w:t>6</w:t>
            </w:r>
          </w:p>
        </w:tc>
        <w:tc>
          <w:tcPr>
            <w:tcW w:w="2812" w:type="dxa"/>
            <w:vMerge w:val="restart"/>
            <w:vAlign w:val="center"/>
          </w:tcPr>
          <w:p>
            <w:pPr>
              <w:jc w:val="center"/>
              <w:rPr>
                <w:rFonts w:hint="eastAsia"/>
                <w:sz w:val="21"/>
                <w:szCs w:val="21"/>
              </w:rPr>
            </w:pPr>
          </w:p>
          <w:p>
            <w:pPr>
              <w:rPr>
                <w:rFonts w:hint="eastAsia"/>
                <w:sz w:val="21"/>
                <w:szCs w:val="21"/>
              </w:rPr>
            </w:pPr>
            <w:r>
              <w:rPr>
                <w:rFonts w:hint="eastAsia"/>
                <w:sz w:val="21"/>
                <w:szCs w:val="21"/>
              </w:rPr>
              <w:t>项目生产的不利影响您是否接受？</w:t>
            </w:r>
          </w:p>
        </w:tc>
        <w:tc>
          <w:tcPr>
            <w:tcW w:w="2830" w:type="dxa"/>
            <w:vAlign w:val="center"/>
          </w:tcPr>
          <w:p>
            <w:pPr>
              <w:jc w:val="center"/>
              <w:rPr>
                <w:rFonts w:hint="eastAsia"/>
                <w:sz w:val="21"/>
                <w:szCs w:val="21"/>
              </w:rPr>
            </w:pPr>
            <w:r>
              <w:rPr>
                <w:rFonts w:hint="eastAsia"/>
                <w:sz w:val="21"/>
                <w:szCs w:val="21"/>
              </w:rPr>
              <w:t>能</w:t>
            </w:r>
          </w:p>
        </w:tc>
        <w:tc>
          <w:tcPr>
            <w:tcW w:w="1168" w:type="dxa"/>
            <w:vAlign w:val="center"/>
          </w:tcPr>
          <w:p>
            <w:pPr>
              <w:jc w:val="center"/>
              <w:rPr>
                <w:rFonts w:hint="eastAsia"/>
                <w:sz w:val="21"/>
                <w:szCs w:val="21"/>
              </w:rPr>
            </w:pPr>
            <w:r>
              <w:rPr>
                <w:rFonts w:hint="eastAsia"/>
                <w:sz w:val="21"/>
                <w:szCs w:val="21"/>
              </w:rPr>
              <w:t>91</w:t>
            </w:r>
          </w:p>
        </w:tc>
        <w:tc>
          <w:tcPr>
            <w:tcW w:w="1573" w:type="dxa"/>
            <w:vAlign w:val="center"/>
          </w:tcPr>
          <w:p>
            <w:pPr>
              <w:jc w:val="center"/>
              <w:rPr>
                <w:rFonts w:hint="eastAsia"/>
                <w:sz w:val="21"/>
                <w:szCs w:val="21"/>
              </w:rPr>
            </w:pPr>
            <w:r>
              <w:rPr>
                <w:rFonts w:hint="eastAsia"/>
                <w:sz w:val="21"/>
                <w:szCs w:val="21"/>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903" w:type="dxa"/>
            <w:vMerge w:val="continue"/>
            <w:vAlign w:val="center"/>
          </w:tcPr>
          <w:p>
            <w:pPr>
              <w:jc w:val="center"/>
              <w:rPr>
                <w:rFonts w:hint="eastAsia"/>
                <w:sz w:val="21"/>
                <w:szCs w:val="21"/>
              </w:rPr>
            </w:pPr>
          </w:p>
        </w:tc>
        <w:tc>
          <w:tcPr>
            <w:tcW w:w="2812" w:type="dxa"/>
            <w:vMerge w:val="continue"/>
            <w:vAlign w:val="center"/>
          </w:tcPr>
          <w:p>
            <w:pPr>
              <w:jc w:val="center"/>
              <w:rPr>
                <w:rFonts w:hint="eastAsia"/>
                <w:sz w:val="21"/>
                <w:szCs w:val="21"/>
              </w:rPr>
            </w:pPr>
          </w:p>
        </w:tc>
        <w:tc>
          <w:tcPr>
            <w:tcW w:w="2830" w:type="dxa"/>
            <w:vAlign w:val="center"/>
          </w:tcPr>
          <w:p>
            <w:pPr>
              <w:jc w:val="center"/>
              <w:rPr>
                <w:rFonts w:hint="eastAsia"/>
                <w:sz w:val="21"/>
                <w:szCs w:val="21"/>
              </w:rPr>
            </w:pPr>
            <w:r>
              <w:rPr>
                <w:rFonts w:hint="eastAsia"/>
                <w:sz w:val="21"/>
                <w:szCs w:val="21"/>
              </w:rPr>
              <w:t>不能</w:t>
            </w:r>
          </w:p>
        </w:tc>
        <w:tc>
          <w:tcPr>
            <w:tcW w:w="1168" w:type="dxa"/>
            <w:vAlign w:val="center"/>
          </w:tcPr>
          <w:p>
            <w:pPr>
              <w:jc w:val="center"/>
              <w:rPr>
                <w:rFonts w:hint="eastAsia"/>
                <w:sz w:val="21"/>
                <w:szCs w:val="21"/>
              </w:rPr>
            </w:pPr>
            <w:r>
              <w:rPr>
                <w:rFonts w:hint="eastAsia"/>
                <w:sz w:val="21"/>
                <w:szCs w:val="21"/>
              </w:rPr>
              <w:t>0</w:t>
            </w:r>
          </w:p>
        </w:tc>
        <w:tc>
          <w:tcPr>
            <w:tcW w:w="1573" w:type="dxa"/>
            <w:vAlign w:val="center"/>
          </w:tcPr>
          <w:p>
            <w:pPr>
              <w:jc w:val="center"/>
              <w:rPr>
                <w:rFonts w:hint="eastAsia"/>
                <w:sz w:val="21"/>
                <w:szCs w:val="21"/>
              </w:rPr>
            </w:pPr>
            <w:r>
              <w:rPr>
                <w:rFonts w:hint="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903" w:type="dxa"/>
            <w:vMerge w:val="continue"/>
            <w:vAlign w:val="center"/>
          </w:tcPr>
          <w:p>
            <w:pPr>
              <w:jc w:val="center"/>
              <w:rPr>
                <w:rFonts w:hint="eastAsia"/>
                <w:sz w:val="21"/>
                <w:szCs w:val="21"/>
              </w:rPr>
            </w:pPr>
          </w:p>
        </w:tc>
        <w:tc>
          <w:tcPr>
            <w:tcW w:w="2812" w:type="dxa"/>
            <w:vMerge w:val="continue"/>
            <w:vAlign w:val="center"/>
          </w:tcPr>
          <w:p>
            <w:pPr>
              <w:jc w:val="center"/>
              <w:rPr>
                <w:rFonts w:hint="eastAsia"/>
                <w:sz w:val="21"/>
                <w:szCs w:val="21"/>
              </w:rPr>
            </w:pPr>
          </w:p>
        </w:tc>
        <w:tc>
          <w:tcPr>
            <w:tcW w:w="2830" w:type="dxa"/>
            <w:vAlign w:val="center"/>
          </w:tcPr>
          <w:p>
            <w:pPr>
              <w:jc w:val="center"/>
              <w:rPr>
                <w:rFonts w:hint="eastAsia"/>
                <w:sz w:val="21"/>
                <w:szCs w:val="21"/>
              </w:rPr>
            </w:pPr>
            <w:r>
              <w:rPr>
                <w:rFonts w:hint="eastAsia"/>
                <w:sz w:val="21"/>
                <w:szCs w:val="21"/>
              </w:rPr>
              <w:t>暂时不能确定</w:t>
            </w:r>
          </w:p>
        </w:tc>
        <w:tc>
          <w:tcPr>
            <w:tcW w:w="1168" w:type="dxa"/>
            <w:vAlign w:val="center"/>
          </w:tcPr>
          <w:p>
            <w:pPr>
              <w:jc w:val="center"/>
              <w:rPr>
                <w:rFonts w:hint="eastAsia"/>
                <w:sz w:val="21"/>
                <w:szCs w:val="21"/>
              </w:rPr>
            </w:pPr>
            <w:r>
              <w:rPr>
                <w:rFonts w:hint="eastAsia"/>
                <w:sz w:val="21"/>
                <w:szCs w:val="21"/>
              </w:rPr>
              <w:t>9</w:t>
            </w:r>
          </w:p>
        </w:tc>
        <w:tc>
          <w:tcPr>
            <w:tcW w:w="1573" w:type="dxa"/>
            <w:vAlign w:val="center"/>
          </w:tcPr>
          <w:p>
            <w:pPr>
              <w:jc w:val="center"/>
              <w:rPr>
                <w:rFonts w:hint="eastAsia"/>
                <w:sz w:val="21"/>
                <w:szCs w:val="21"/>
              </w:rPr>
            </w:pPr>
            <w:r>
              <w:rPr>
                <w:rFonts w:hint="eastAsia"/>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trPr>
        <w:tc>
          <w:tcPr>
            <w:tcW w:w="903" w:type="dxa"/>
            <w:vMerge w:val="restart"/>
            <w:vAlign w:val="center"/>
          </w:tcPr>
          <w:p>
            <w:pPr>
              <w:jc w:val="center"/>
              <w:rPr>
                <w:rFonts w:hint="eastAsia"/>
                <w:sz w:val="21"/>
                <w:szCs w:val="21"/>
              </w:rPr>
            </w:pPr>
          </w:p>
          <w:p>
            <w:pPr>
              <w:jc w:val="center"/>
              <w:rPr>
                <w:rFonts w:hint="eastAsia"/>
                <w:sz w:val="21"/>
                <w:szCs w:val="21"/>
              </w:rPr>
            </w:pPr>
            <w:r>
              <w:rPr>
                <w:rFonts w:hint="eastAsia"/>
                <w:sz w:val="21"/>
                <w:szCs w:val="21"/>
              </w:rPr>
              <w:t>7</w:t>
            </w:r>
          </w:p>
        </w:tc>
        <w:tc>
          <w:tcPr>
            <w:tcW w:w="2812" w:type="dxa"/>
            <w:vMerge w:val="restart"/>
            <w:vAlign w:val="center"/>
          </w:tcPr>
          <w:p>
            <w:pPr>
              <w:rPr>
                <w:rFonts w:hint="eastAsia"/>
                <w:sz w:val="21"/>
                <w:szCs w:val="21"/>
              </w:rPr>
            </w:pPr>
          </w:p>
          <w:p>
            <w:pPr>
              <w:rPr>
                <w:rFonts w:hint="eastAsia"/>
                <w:sz w:val="21"/>
                <w:szCs w:val="21"/>
              </w:rPr>
            </w:pPr>
            <w:r>
              <w:rPr>
                <w:rFonts w:hint="eastAsia"/>
                <w:sz w:val="21"/>
                <w:szCs w:val="21"/>
              </w:rPr>
              <w:t>您认为拟建项目选址是否合理？</w:t>
            </w:r>
          </w:p>
        </w:tc>
        <w:tc>
          <w:tcPr>
            <w:tcW w:w="2830" w:type="dxa"/>
            <w:vAlign w:val="center"/>
          </w:tcPr>
          <w:p>
            <w:pPr>
              <w:jc w:val="center"/>
              <w:rPr>
                <w:rFonts w:hint="eastAsia"/>
                <w:sz w:val="21"/>
                <w:szCs w:val="21"/>
              </w:rPr>
            </w:pPr>
            <w:r>
              <w:rPr>
                <w:rFonts w:hint="eastAsia"/>
                <w:sz w:val="21"/>
                <w:szCs w:val="21"/>
              </w:rPr>
              <w:t>合理</w:t>
            </w:r>
          </w:p>
        </w:tc>
        <w:tc>
          <w:tcPr>
            <w:tcW w:w="1168" w:type="dxa"/>
            <w:vAlign w:val="center"/>
          </w:tcPr>
          <w:p>
            <w:pPr>
              <w:jc w:val="center"/>
              <w:rPr>
                <w:rFonts w:hint="eastAsia"/>
                <w:sz w:val="21"/>
                <w:szCs w:val="21"/>
              </w:rPr>
            </w:pPr>
            <w:r>
              <w:rPr>
                <w:rFonts w:hint="eastAsia"/>
                <w:sz w:val="21"/>
                <w:szCs w:val="21"/>
              </w:rPr>
              <w:t>89</w:t>
            </w:r>
          </w:p>
        </w:tc>
        <w:tc>
          <w:tcPr>
            <w:tcW w:w="1573" w:type="dxa"/>
            <w:vAlign w:val="center"/>
          </w:tcPr>
          <w:p>
            <w:pPr>
              <w:jc w:val="center"/>
              <w:rPr>
                <w:rFonts w:hint="eastAsia"/>
                <w:sz w:val="21"/>
                <w:szCs w:val="21"/>
              </w:rPr>
            </w:pPr>
            <w:r>
              <w:rPr>
                <w:rFonts w:hint="eastAsia"/>
                <w:sz w:val="21"/>
                <w:szCs w:val="21"/>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903" w:type="dxa"/>
            <w:vMerge w:val="continue"/>
            <w:vAlign w:val="center"/>
          </w:tcPr>
          <w:p>
            <w:pPr>
              <w:jc w:val="center"/>
              <w:rPr>
                <w:rFonts w:hint="eastAsia"/>
                <w:sz w:val="21"/>
                <w:szCs w:val="21"/>
              </w:rPr>
            </w:pPr>
          </w:p>
        </w:tc>
        <w:tc>
          <w:tcPr>
            <w:tcW w:w="2812" w:type="dxa"/>
            <w:vMerge w:val="continue"/>
            <w:vAlign w:val="center"/>
          </w:tcPr>
          <w:p>
            <w:pPr>
              <w:jc w:val="center"/>
              <w:rPr>
                <w:rFonts w:hint="eastAsia"/>
                <w:sz w:val="21"/>
                <w:szCs w:val="21"/>
              </w:rPr>
            </w:pPr>
          </w:p>
        </w:tc>
        <w:tc>
          <w:tcPr>
            <w:tcW w:w="2830" w:type="dxa"/>
            <w:vAlign w:val="center"/>
          </w:tcPr>
          <w:p>
            <w:pPr>
              <w:jc w:val="center"/>
              <w:rPr>
                <w:rFonts w:hint="eastAsia"/>
                <w:sz w:val="21"/>
                <w:szCs w:val="21"/>
              </w:rPr>
            </w:pPr>
            <w:r>
              <w:rPr>
                <w:rFonts w:hint="eastAsia"/>
                <w:sz w:val="21"/>
                <w:szCs w:val="21"/>
              </w:rPr>
              <w:t>基本合理</w:t>
            </w:r>
          </w:p>
        </w:tc>
        <w:tc>
          <w:tcPr>
            <w:tcW w:w="1168" w:type="dxa"/>
            <w:vAlign w:val="center"/>
          </w:tcPr>
          <w:p>
            <w:pPr>
              <w:jc w:val="center"/>
              <w:rPr>
                <w:rFonts w:hint="eastAsia"/>
                <w:sz w:val="21"/>
                <w:szCs w:val="21"/>
              </w:rPr>
            </w:pPr>
            <w:r>
              <w:rPr>
                <w:rFonts w:hint="eastAsia"/>
                <w:sz w:val="21"/>
                <w:szCs w:val="21"/>
              </w:rPr>
              <w:t>11</w:t>
            </w:r>
          </w:p>
        </w:tc>
        <w:tc>
          <w:tcPr>
            <w:tcW w:w="1573" w:type="dxa"/>
            <w:vAlign w:val="center"/>
          </w:tcPr>
          <w:p>
            <w:pPr>
              <w:jc w:val="center"/>
              <w:rPr>
                <w:rFonts w:hint="eastAsia"/>
                <w:sz w:val="21"/>
                <w:szCs w:val="21"/>
              </w:rPr>
            </w:pPr>
            <w:r>
              <w:rPr>
                <w:rFonts w:hint="eastAsia"/>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903" w:type="dxa"/>
            <w:vMerge w:val="continue"/>
            <w:vAlign w:val="center"/>
          </w:tcPr>
          <w:p>
            <w:pPr>
              <w:jc w:val="center"/>
              <w:rPr>
                <w:rFonts w:hint="eastAsia"/>
                <w:sz w:val="21"/>
                <w:szCs w:val="21"/>
              </w:rPr>
            </w:pPr>
          </w:p>
        </w:tc>
        <w:tc>
          <w:tcPr>
            <w:tcW w:w="2812" w:type="dxa"/>
            <w:vMerge w:val="continue"/>
            <w:vAlign w:val="center"/>
          </w:tcPr>
          <w:p>
            <w:pPr>
              <w:jc w:val="center"/>
              <w:rPr>
                <w:rFonts w:hint="eastAsia"/>
                <w:sz w:val="21"/>
                <w:szCs w:val="21"/>
              </w:rPr>
            </w:pPr>
          </w:p>
        </w:tc>
        <w:tc>
          <w:tcPr>
            <w:tcW w:w="2830" w:type="dxa"/>
            <w:vAlign w:val="center"/>
          </w:tcPr>
          <w:p>
            <w:pPr>
              <w:jc w:val="center"/>
              <w:rPr>
                <w:rFonts w:hint="eastAsia"/>
                <w:sz w:val="21"/>
                <w:szCs w:val="21"/>
              </w:rPr>
            </w:pPr>
            <w:r>
              <w:rPr>
                <w:rFonts w:hint="eastAsia"/>
                <w:sz w:val="21"/>
                <w:szCs w:val="21"/>
              </w:rPr>
              <w:t>不合理</w:t>
            </w:r>
          </w:p>
        </w:tc>
        <w:tc>
          <w:tcPr>
            <w:tcW w:w="1168" w:type="dxa"/>
            <w:vAlign w:val="center"/>
          </w:tcPr>
          <w:p>
            <w:pPr>
              <w:jc w:val="center"/>
              <w:rPr>
                <w:rFonts w:hint="eastAsia"/>
                <w:sz w:val="21"/>
                <w:szCs w:val="21"/>
              </w:rPr>
            </w:pPr>
            <w:r>
              <w:rPr>
                <w:rFonts w:hint="eastAsia"/>
                <w:sz w:val="21"/>
                <w:szCs w:val="21"/>
              </w:rPr>
              <w:t>0</w:t>
            </w:r>
          </w:p>
        </w:tc>
        <w:tc>
          <w:tcPr>
            <w:tcW w:w="1573" w:type="dxa"/>
            <w:vAlign w:val="center"/>
          </w:tcPr>
          <w:p>
            <w:pPr>
              <w:jc w:val="center"/>
              <w:rPr>
                <w:sz w:val="21"/>
                <w:szCs w:val="21"/>
              </w:rPr>
            </w:pPr>
            <w:r>
              <w:rPr>
                <w:rFonts w:hint="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903" w:type="dxa"/>
            <w:vMerge w:val="restart"/>
            <w:vAlign w:val="center"/>
          </w:tcPr>
          <w:p>
            <w:pPr>
              <w:jc w:val="center"/>
              <w:rPr>
                <w:rFonts w:hint="eastAsia"/>
                <w:sz w:val="21"/>
                <w:szCs w:val="21"/>
              </w:rPr>
            </w:pPr>
          </w:p>
          <w:p>
            <w:pPr>
              <w:jc w:val="center"/>
              <w:rPr>
                <w:rFonts w:hint="eastAsia"/>
                <w:sz w:val="21"/>
                <w:szCs w:val="21"/>
              </w:rPr>
            </w:pPr>
            <w:r>
              <w:rPr>
                <w:rFonts w:hint="eastAsia"/>
                <w:sz w:val="21"/>
                <w:szCs w:val="21"/>
              </w:rPr>
              <w:t>8</w:t>
            </w:r>
          </w:p>
        </w:tc>
        <w:tc>
          <w:tcPr>
            <w:tcW w:w="2812" w:type="dxa"/>
            <w:vMerge w:val="restart"/>
            <w:vAlign w:val="center"/>
          </w:tcPr>
          <w:p>
            <w:pPr>
              <w:rPr>
                <w:rFonts w:hint="eastAsia"/>
                <w:sz w:val="21"/>
                <w:szCs w:val="21"/>
              </w:rPr>
            </w:pPr>
          </w:p>
          <w:p>
            <w:pPr>
              <w:rPr>
                <w:rFonts w:hint="eastAsia"/>
                <w:sz w:val="21"/>
                <w:szCs w:val="21"/>
              </w:rPr>
            </w:pPr>
            <w:r>
              <w:rPr>
                <w:rFonts w:hint="eastAsia"/>
                <w:sz w:val="21"/>
                <w:szCs w:val="21"/>
              </w:rPr>
              <w:t>本项目建设对当地经济建设有何益处？</w:t>
            </w:r>
          </w:p>
        </w:tc>
        <w:tc>
          <w:tcPr>
            <w:tcW w:w="2830" w:type="dxa"/>
            <w:vAlign w:val="center"/>
          </w:tcPr>
          <w:p>
            <w:pPr>
              <w:jc w:val="center"/>
              <w:rPr>
                <w:rFonts w:hint="eastAsia"/>
                <w:sz w:val="21"/>
                <w:szCs w:val="21"/>
              </w:rPr>
            </w:pPr>
            <w:r>
              <w:rPr>
                <w:rFonts w:hint="eastAsia"/>
                <w:sz w:val="21"/>
                <w:szCs w:val="21"/>
              </w:rPr>
              <w:t>增加个人就业机会和收入</w:t>
            </w:r>
          </w:p>
        </w:tc>
        <w:tc>
          <w:tcPr>
            <w:tcW w:w="1168" w:type="dxa"/>
            <w:vAlign w:val="center"/>
          </w:tcPr>
          <w:p>
            <w:pPr>
              <w:jc w:val="center"/>
              <w:rPr>
                <w:rFonts w:hint="eastAsia"/>
                <w:sz w:val="21"/>
                <w:szCs w:val="21"/>
              </w:rPr>
            </w:pPr>
            <w:r>
              <w:rPr>
                <w:rFonts w:hint="eastAsia"/>
                <w:sz w:val="21"/>
                <w:szCs w:val="21"/>
              </w:rPr>
              <w:t>52</w:t>
            </w:r>
          </w:p>
        </w:tc>
        <w:tc>
          <w:tcPr>
            <w:tcW w:w="1573" w:type="dxa"/>
            <w:vAlign w:val="center"/>
          </w:tcPr>
          <w:p>
            <w:pPr>
              <w:jc w:val="center"/>
              <w:rPr>
                <w:sz w:val="21"/>
                <w:szCs w:val="21"/>
              </w:rPr>
            </w:pPr>
            <w:r>
              <w:rPr>
                <w:rFonts w:hint="eastAsia"/>
                <w:sz w:val="21"/>
                <w:szCs w:val="21"/>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903" w:type="dxa"/>
            <w:vMerge w:val="continue"/>
            <w:vAlign w:val="center"/>
          </w:tcPr>
          <w:p>
            <w:pPr>
              <w:jc w:val="center"/>
              <w:rPr>
                <w:rFonts w:hint="eastAsia"/>
                <w:sz w:val="21"/>
                <w:szCs w:val="21"/>
              </w:rPr>
            </w:pPr>
          </w:p>
        </w:tc>
        <w:tc>
          <w:tcPr>
            <w:tcW w:w="2812" w:type="dxa"/>
            <w:vMerge w:val="continue"/>
            <w:vAlign w:val="center"/>
          </w:tcPr>
          <w:p>
            <w:pPr>
              <w:jc w:val="center"/>
              <w:rPr>
                <w:rFonts w:hint="eastAsia"/>
                <w:sz w:val="21"/>
                <w:szCs w:val="21"/>
              </w:rPr>
            </w:pPr>
          </w:p>
        </w:tc>
        <w:tc>
          <w:tcPr>
            <w:tcW w:w="2830" w:type="dxa"/>
            <w:vAlign w:val="center"/>
          </w:tcPr>
          <w:p>
            <w:pPr>
              <w:jc w:val="center"/>
              <w:rPr>
                <w:rFonts w:hint="eastAsia"/>
                <w:sz w:val="21"/>
                <w:szCs w:val="21"/>
              </w:rPr>
            </w:pPr>
            <w:r>
              <w:rPr>
                <w:rFonts w:hint="eastAsia"/>
                <w:sz w:val="21"/>
                <w:szCs w:val="21"/>
              </w:rPr>
              <w:t>带动地方经济的发展</w:t>
            </w:r>
          </w:p>
        </w:tc>
        <w:tc>
          <w:tcPr>
            <w:tcW w:w="1168" w:type="dxa"/>
            <w:vAlign w:val="center"/>
          </w:tcPr>
          <w:p>
            <w:pPr>
              <w:jc w:val="center"/>
              <w:rPr>
                <w:rFonts w:hint="eastAsia"/>
                <w:sz w:val="21"/>
                <w:szCs w:val="21"/>
              </w:rPr>
            </w:pPr>
            <w:r>
              <w:rPr>
                <w:rFonts w:hint="eastAsia"/>
                <w:sz w:val="21"/>
                <w:szCs w:val="21"/>
              </w:rPr>
              <w:t>88</w:t>
            </w:r>
          </w:p>
        </w:tc>
        <w:tc>
          <w:tcPr>
            <w:tcW w:w="1573" w:type="dxa"/>
            <w:vAlign w:val="center"/>
          </w:tcPr>
          <w:p>
            <w:pPr>
              <w:jc w:val="center"/>
              <w:rPr>
                <w:sz w:val="21"/>
                <w:szCs w:val="21"/>
              </w:rPr>
            </w:pPr>
            <w:r>
              <w:rPr>
                <w:rFonts w:hint="eastAsia"/>
                <w:sz w:val="21"/>
                <w:szCs w:val="21"/>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903" w:type="dxa"/>
            <w:vMerge w:val="continue"/>
            <w:vAlign w:val="center"/>
          </w:tcPr>
          <w:p>
            <w:pPr>
              <w:jc w:val="center"/>
              <w:rPr>
                <w:rFonts w:hint="eastAsia"/>
                <w:sz w:val="21"/>
                <w:szCs w:val="21"/>
              </w:rPr>
            </w:pPr>
          </w:p>
        </w:tc>
        <w:tc>
          <w:tcPr>
            <w:tcW w:w="2812" w:type="dxa"/>
            <w:vMerge w:val="continue"/>
            <w:vAlign w:val="center"/>
          </w:tcPr>
          <w:p>
            <w:pPr>
              <w:jc w:val="center"/>
              <w:rPr>
                <w:rFonts w:hint="eastAsia"/>
                <w:sz w:val="21"/>
                <w:szCs w:val="21"/>
              </w:rPr>
            </w:pPr>
          </w:p>
        </w:tc>
        <w:tc>
          <w:tcPr>
            <w:tcW w:w="2830" w:type="dxa"/>
            <w:vAlign w:val="center"/>
          </w:tcPr>
          <w:p>
            <w:pPr>
              <w:jc w:val="center"/>
              <w:rPr>
                <w:rFonts w:hint="eastAsia"/>
                <w:sz w:val="21"/>
                <w:szCs w:val="21"/>
              </w:rPr>
            </w:pPr>
            <w:r>
              <w:rPr>
                <w:rFonts w:hint="eastAsia"/>
                <w:sz w:val="21"/>
                <w:szCs w:val="21"/>
              </w:rPr>
              <w:t>无效益</w:t>
            </w:r>
          </w:p>
        </w:tc>
        <w:tc>
          <w:tcPr>
            <w:tcW w:w="1168" w:type="dxa"/>
            <w:vAlign w:val="center"/>
          </w:tcPr>
          <w:p>
            <w:pPr>
              <w:jc w:val="center"/>
              <w:rPr>
                <w:rFonts w:hint="eastAsia"/>
                <w:sz w:val="21"/>
                <w:szCs w:val="21"/>
              </w:rPr>
            </w:pPr>
            <w:r>
              <w:rPr>
                <w:rFonts w:hint="eastAsia"/>
                <w:sz w:val="21"/>
                <w:szCs w:val="21"/>
              </w:rPr>
              <w:t>0</w:t>
            </w:r>
          </w:p>
        </w:tc>
        <w:tc>
          <w:tcPr>
            <w:tcW w:w="1573" w:type="dxa"/>
            <w:vAlign w:val="center"/>
          </w:tcPr>
          <w:p>
            <w:pPr>
              <w:jc w:val="center"/>
              <w:rPr>
                <w:sz w:val="21"/>
                <w:szCs w:val="21"/>
              </w:rPr>
            </w:pPr>
            <w:r>
              <w:rPr>
                <w:rFonts w:hint="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903" w:type="dxa"/>
            <w:vMerge w:val="restart"/>
            <w:vAlign w:val="center"/>
          </w:tcPr>
          <w:p>
            <w:pPr>
              <w:jc w:val="center"/>
              <w:rPr>
                <w:rFonts w:hint="eastAsia"/>
                <w:sz w:val="21"/>
                <w:szCs w:val="21"/>
              </w:rPr>
            </w:pPr>
          </w:p>
          <w:p>
            <w:pPr>
              <w:jc w:val="center"/>
              <w:rPr>
                <w:rFonts w:hint="eastAsia"/>
                <w:sz w:val="21"/>
                <w:szCs w:val="21"/>
              </w:rPr>
            </w:pPr>
            <w:r>
              <w:rPr>
                <w:rFonts w:hint="eastAsia"/>
                <w:sz w:val="21"/>
                <w:szCs w:val="21"/>
              </w:rPr>
              <w:t>9</w:t>
            </w:r>
          </w:p>
        </w:tc>
        <w:tc>
          <w:tcPr>
            <w:tcW w:w="2812" w:type="dxa"/>
            <w:vMerge w:val="restart"/>
            <w:vAlign w:val="center"/>
          </w:tcPr>
          <w:p>
            <w:pPr>
              <w:jc w:val="center"/>
              <w:rPr>
                <w:rFonts w:hint="eastAsia"/>
                <w:sz w:val="21"/>
                <w:szCs w:val="21"/>
              </w:rPr>
            </w:pPr>
          </w:p>
          <w:p>
            <w:pPr>
              <w:jc w:val="center"/>
              <w:rPr>
                <w:rFonts w:hint="eastAsia"/>
                <w:sz w:val="21"/>
                <w:szCs w:val="21"/>
              </w:rPr>
            </w:pPr>
            <w:r>
              <w:rPr>
                <w:rFonts w:hint="eastAsia"/>
                <w:sz w:val="21"/>
                <w:szCs w:val="21"/>
              </w:rPr>
              <w:t>在满足环保要求的前提下您同意本项目的建设吗？</w:t>
            </w:r>
          </w:p>
        </w:tc>
        <w:tc>
          <w:tcPr>
            <w:tcW w:w="2830" w:type="dxa"/>
            <w:vAlign w:val="center"/>
          </w:tcPr>
          <w:p>
            <w:pPr>
              <w:jc w:val="center"/>
              <w:rPr>
                <w:rFonts w:hint="eastAsia"/>
                <w:sz w:val="21"/>
                <w:szCs w:val="21"/>
              </w:rPr>
            </w:pPr>
            <w:r>
              <w:rPr>
                <w:rFonts w:hint="eastAsia"/>
                <w:sz w:val="21"/>
                <w:szCs w:val="21"/>
              </w:rPr>
              <w:t>同意</w:t>
            </w:r>
          </w:p>
        </w:tc>
        <w:tc>
          <w:tcPr>
            <w:tcW w:w="1168" w:type="dxa"/>
            <w:vAlign w:val="center"/>
          </w:tcPr>
          <w:p>
            <w:pPr>
              <w:jc w:val="center"/>
              <w:rPr>
                <w:rFonts w:hint="eastAsia"/>
                <w:sz w:val="21"/>
                <w:szCs w:val="21"/>
              </w:rPr>
            </w:pPr>
            <w:r>
              <w:rPr>
                <w:rFonts w:hint="eastAsia"/>
                <w:sz w:val="21"/>
                <w:szCs w:val="21"/>
              </w:rPr>
              <w:t>96</w:t>
            </w:r>
          </w:p>
        </w:tc>
        <w:tc>
          <w:tcPr>
            <w:tcW w:w="1573" w:type="dxa"/>
            <w:vAlign w:val="center"/>
          </w:tcPr>
          <w:p>
            <w:pPr>
              <w:jc w:val="center"/>
              <w:rPr>
                <w:sz w:val="21"/>
                <w:szCs w:val="21"/>
              </w:rPr>
            </w:pPr>
            <w:r>
              <w:rPr>
                <w:rFonts w:hint="eastAsia"/>
                <w:sz w:val="21"/>
                <w:szCs w:val="21"/>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903" w:type="dxa"/>
            <w:vMerge w:val="continue"/>
            <w:vAlign w:val="center"/>
          </w:tcPr>
          <w:p>
            <w:pPr>
              <w:jc w:val="center"/>
              <w:rPr>
                <w:rFonts w:hint="eastAsia"/>
                <w:sz w:val="21"/>
                <w:szCs w:val="21"/>
              </w:rPr>
            </w:pPr>
          </w:p>
        </w:tc>
        <w:tc>
          <w:tcPr>
            <w:tcW w:w="2812" w:type="dxa"/>
            <w:vMerge w:val="continue"/>
            <w:vAlign w:val="center"/>
          </w:tcPr>
          <w:p>
            <w:pPr>
              <w:jc w:val="center"/>
              <w:rPr>
                <w:rFonts w:hint="eastAsia"/>
                <w:sz w:val="21"/>
                <w:szCs w:val="21"/>
              </w:rPr>
            </w:pPr>
          </w:p>
        </w:tc>
        <w:tc>
          <w:tcPr>
            <w:tcW w:w="2830" w:type="dxa"/>
            <w:vAlign w:val="center"/>
          </w:tcPr>
          <w:p>
            <w:pPr>
              <w:jc w:val="center"/>
              <w:rPr>
                <w:rFonts w:hint="eastAsia"/>
                <w:sz w:val="21"/>
                <w:szCs w:val="21"/>
              </w:rPr>
            </w:pPr>
            <w:r>
              <w:rPr>
                <w:rFonts w:hint="eastAsia"/>
                <w:sz w:val="21"/>
                <w:szCs w:val="21"/>
              </w:rPr>
              <w:t>反对</w:t>
            </w:r>
          </w:p>
        </w:tc>
        <w:tc>
          <w:tcPr>
            <w:tcW w:w="1168" w:type="dxa"/>
            <w:vAlign w:val="center"/>
          </w:tcPr>
          <w:p>
            <w:pPr>
              <w:jc w:val="center"/>
              <w:rPr>
                <w:rFonts w:hint="eastAsia"/>
                <w:sz w:val="21"/>
                <w:szCs w:val="21"/>
              </w:rPr>
            </w:pPr>
            <w:r>
              <w:rPr>
                <w:rFonts w:hint="eastAsia"/>
                <w:sz w:val="21"/>
                <w:szCs w:val="21"/>
              </w:rPr>
              <w:t>0</w:t>
            </w:r>
          </w:p>
        </w:tc>
        <w:tc>
          <w:tcPr>
            <w:tcW w:w="1573" w:type="dxa"/>
            <w:vAlign w:val="center"/>
          </w:tcPr>
          <w:p>
            <w:pPr>
              <w:jc w:val="center"/>
              <w:rPr>
                <w:sz w:val="21"/>
                <w:szCs w:val="21"/>
              </w:rPr>
            </w:pPr>
            <w:r>
              <w:rPr>
                <w:rFonts w:hint="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903" w:type="dxa"/>
            <w:vMerge w:val="continue"/>
            <w:vAlign w:val="center"/>
          </w:tcPr>
          <w:p>
            <w:pPr>
              <w:jc w:val="center"/>
              <w:rPr>
                <w:rFonts w:hint="eastAsia"/>
                <w:sz w:val="21"/>
                <w:szCs w:val="21"/>
              </w:rPr>
            </w:pPr>
          </w:p>
        </w:tc>
        <w:tc>
          <w:tcPr>
            <w:tcW w:w="2812" w:type="dxa"/>
            <w:vMerge w:val="continue"/>
            <w:vAlign w:val="center"/>
          </w:tcPr>
          <w:p>
            <w:pPr>
              <w:jc w:val="center"/>
              <w:rPr>
                <w:rFonts w:hint="eastAsia"/>
                <w:sz w:val="21"/>
                <w:szCs w:val="21"/>
              </w:rPr>
            </w:pPr>
          </w:p>
        </w:tc>
        <w:tc>
          <w:tcPr>
            <w:tcW w:w="2830" w:type="dxa"/>
            <w:vAlign w:val="center"/>
          </w:tcPr>
          <w:p>
            <w:pPr>
              <w:jc w:val="center"/>
              <w:rPr>
                <w:rFonts w:hint="eastAsia"/>
                <w:sz w:val="21"/>
                <w:szCs w:val="21"/>
              </w:rPr>
            </w:pPr>
            <w:r>
              <w:rPr>
                <w:rFonts w:hint="eastAsia"/>
                <w:sz w:val="21"/>
                <w:szCs w:val="21"/>
              </w:rPr>
              <w:t>无所谓</w:t>
            </w:r>
          </w:p>
        </w:tc>
        <w:tc>
          <w:tcPr>
            <w:tcW w:w="1168" w:type="dxa"/>
            <w:vAlign w:val="center"/>
          </w:tcPr>
          <w:p>
            <w:pPr>
              <w:jc w:val="center"/>
              <w:rPr>
                <w:rFonts w:hint="eastAsia"/>
                <w:sz w:val="21"/>
                <w:szCs w:val="21"/>
              </w:rPr>
            </w:pPr>
            <w:r>
              <w:rPr>
                <w:rFonts w:hint="eastAsia"/>
                <w:sz w:val="21"/>
                <w:szCs w:val="21"/>
              </w:rPr>
              <w:t>4</w:t>
            </w:r>
          </w:p>
        </w:tc>
        <w:tc>
          <w:tcPr>
            <w:tcW w:w="1573" w:type="dxa"/>
            <w:vAlign w:val="center"/>
          </w:tcPr>
          <w:p>
            <w:pPr>
              <w:jc w:val="center"/>
              <w:rPr>
                <w:sz w:val="21"/>
                <w:szCs w:val="21"/>
              </w:rPr>
            </w:pPr>
            <w:r>
              <w:rPr>
                <w:rFonts w:hint="eastAsia"/>
                <w:sz w:val="21"/>
                <w:szCs w:val="21"/>
              </w:rPr>
              <w:t>4%</w:t>
            </w:r>
          </w:p>
        </w:tc>
      </w:tr>
    </w:tbl>
    <w:p>
      <w:pPr>
        <w:spacing w:line="360" w:lineRule="auto"/>
        <w:ind w:firstLine="420" w:firstLineChars="200"/>
        <w:rPr>
          <w:rFonts w:hint="eastAsia" w:ascii="宋体" w:hAnsi="宋体"/>
        </w:rPr>
      </w:pPr>
    </w:p>
    <w:p>
      <w:pPr>
        <w:spacing w:line="480" w:lineRule="exact"/>
        <w:ind w:firstLine="420" w:firstLineChars="200"/>
        <w:rPr>
          <w:rFonts w:hint="eastAsia" w:ascii="宋体" w:hAnsi="宋体"/>
        </w:rPr>
      </w:pPr>
      <w:r>
        <w:rPr>
          <w:rFonts w:hint="eastAsia" w:ascii="宋体" w:hAnsi="宋体"/>
        </w:rPr>
        <w:t>从表9-2可以看出，被调查公众中，</w:t>
      </w:r>
      <w:r>
        <w:rPr>
          <w:rFonts w:hint="eastAsia" w:ascii="宋体" w:hAnsi="宋体"/>
          <w:szCs w:val="21"/>
        </w:rPr>
        <w:t xml:space="preserve">96%的公众对当地环境质量现状都表示满意或者比较满意，4%的公众表示不满意；44%的公众认为无环境问题，47%的公众认为项目所在地主要环境问题是空气污染；98%的公众知道或知道一点在当地建设项目； </w:t>
      </w:r>
      <w:r>
        <w:rPr>
          <w:rFonts w:hint="eastAsia"/>
        </w:rPr>
        <w:t>90%的公众认为对环境有改善作用，</w:t>
      </w:r>
      <w:r>
        <w:rPr>
          <w:rFonts w:hint="eastAsia" w:ascii="宋体" w:hAnsi="宋体"/>
          <w:szCs w:val="21"/>
        </w:rPr>
        <w:t>10%的公众认为</w:t>
      </w:r>
      <w:r>
        <w:rPr>
          <w:rFonts w:hint="eastAsia"/>
        </w:rPr>
        <w:t>技改项目完成后对环境影响不大；100%的公众认为项目建设能够带动地方经济的发展，同意建设本项目。</w:t>
      </w:r>
    </w:p>
    <w:p>
      <w:pPr>
        <w:spacing w:line="480" w:lineRule="exact"/>
        <w:ind w:firstLine="422" w:firstLineChars="200"/>
        <w:rPr>
          <w:rFonts w:hint="eastAsia" w:ascii="宋体" w:hAnsi="宋体"/>
          <w:b/>
        </w:rPr>
      </w:pPr>
      <w:r>
        <w:rPr>
          <w:rFonts w:hint="eastAsia" w:ascii="宋体" w:hAnsi="宋体"/>
          <w:b/>
        </w:rPr>
        <w:t>（3）公众要求和建议</w:t>
      </w:r>
    </w:p>
    <w:p>
      <w:pPr>
        <w:spacing w:line="480" w:lineRule="exact"/>
        <w:ind w:firstLine="420" w:firstLineChars="200"/>
        <w:rPr>
          <w:rFonts w:hint="eastAsia" w:ascii="宋体" w:hAnsi="宋体"/>
        </w:rPr>
      </w:pPr>
      <w:r>
        <w:rPr>
          <w:rFonts w:hint="eastAsia" w:ascii="宋体" w:hAnsi="宋体"/>
        </w:rPr>
        <w:t>被调查的100人中，提出要求和建议的主要内容如下：</w:t>
      </w:r>
    </w:p>
    <w:p>
      <w:pPr>
        <w:numPr>
          <w:ilvl w:val="0"/>
          <w:numId w:val="6"/>
        </w:numPr>
        <w:spacing w:line="480" w:lineRule="exact"/>
        <w:rPr>
          <w:rFonts w:hint="eastAsia" w:ascii="宋体" w:hAnsi="宋体"/>
          <w:szCs w:val="21"/>
        </w:rPr>
      </w:pPr>
      <w:r>
        <w:rPr>
          <w:rFonts w:hint="eastAsia" w:ascii="宋体" w:hAnsi="宋体"/>
          <w:szCs w:val="21"/>
        </w:rPr>
        <w:t>建议在采购材料时，优先考虑当地资源；</w:t>
      </w:r>
    </w:p>
    <w:p>
      <w:pPr>
        <w:numPr>
          <w:ilvl w:val="0"/>
          <w:numId w:val="6"/>
        </w:numPr>
        <w:spacing w:line="480" w:lineRule="exact"/>
        <w:rPr>
          <w:rFonts w:hint="eastAsia" w:ascii="宋体" w:hAnsi="宋体"/>
          <w:szCs w:val="21"/>
        </w:rPr>
      </w:pPr>
      <w:r>
        <w:rPr>
          <w:rFonts w:hint="eastAsia" w:ascii="宋体" w:hAnsi="宋体"/>
          <w:szCs w:val="21"/>
        </w:rPr>
        <w:t>要求按科学设计施工，生产达到环保规定要求、科学管理；</w:t>
      </w:r>
    </w:p>
    <w:p>
      <w:pPr>
        <w:numPr>
          <w:ilvl w:val="0"/>
          <w:numId w:val="6"/>
        </w:numPr>
        <w:spacing w:line="480" w:lineRule="exact"/>
        <w:rPr>
          <w:rFonts w:hint="eastAsia" w:ascii="宋体" w:hAnsi="宋体"/>
          <w:szCs w:val="21"/>
        </w:rPr>
      </w:pPr>
      <w:r>
        <w:rPr>
          <w:rFonts w:hint="eastAsia" w:ascii="宋体" w:hAnsi="宋体"/>
          <w:szCs w:val="21"/>
        </w:rPr>
        <w:t>要求加快项目实施。</w:t>
      </w:r>
    </w:p>
    <w:p>
      <w:pPr>
        <w:spacing w:line="480" w:lineRule="exact"/>
        <w:ind w:firstLine="420" w:firstLineChars="200"/>
        <w:rPr>
          <w:rFonts w:hint="eastAsia" w:ascii="宋体" w:hAnsi="宋体"/>
        </w:rPr>
      </w:pPr>
      <w:r>
        <w:rPr>
          <w:rFonts w:hint="eastAsia" w:ascii="宋体" w:hAnsi="宋体"/>
        </w:rPr>
        <w:t>总的来看，100%公众支持技改项目的建设，100</w:t>
      </w:r>
      <w:r>
        <w:rPr>
          <w:rFonts w:ascii="宋体" w:hAnsi="宋体"/>
        </w:rPr>
        <w:t>%</w:t>
      </w:r>
      <w:r>
        <w:rPr>
          <w:rFonts w:hint="eastAsia" w:ascii="宋体" w:hAnsi="宋体"/>
        </w:rPr>
        <w:t>的公众认为技改项目选址是合理或基本合理，希望早日开工建设，能够为当地就业和发展带来方便和机遇。</w:t>
      </w:r>
    </w:p>
    <w:p>
      <w:pPr>
        <w:spacing w:line="480" w:lineRule="exact"/>
        <w:rPr>
          <w:rFonts w:hint="eastAsia"/>
          <w:b/>
          <w:bCs/>
          <w:szCs w:val="20"/>
        </w:rPr>
      </w:pPr>
      <w:r>
        <w:rPr>
          <w:rFonts w:hint="eastAsia"/>
          <w:b/>
          <w:bCs/>
          <w:szCs w:val="20"/>
        </w:rPr>
        <w:t>9.3.2 网上公示反馈信息</w:t>
      </w:r>
    </w:p>
    <w:p>
      <w:pPr>
        <w:spacing w:line="360" w:lineRule="auto"/>
        <w:ind w:firstLine="420" w:firstLineChars="200"/>
        <w:rPr>
          <w:rFonts w:hint="eastAsia" w:ascii="宋体" w:hAnsi="宋体"/>
        </w:rPr>
      </w:pPr>
      <w:r>
        <w:rPr>
          <w:rFonts w:hint="eastAsia" w:ascii="宋体" w:hAnsi="宋体" w:cs="Tunga"/>
        </w:rPr>
        <w:t>永荣青鹏煤业</w:t>
      </w:r>
      <w:r>
        <w:rPr>
          <w:rFonts w:hint="eastAsia"/>
          <w:spacing w:val="8"/>
        </w:rPr>
        <w:t>有限公司2500t/d熟料水泥生产线技改</w:t>
      </w:r>
      <w:r>
        <w:rPr>
          <w:rFonts w:hint="eastAsia" w:ascii="宋体" w:hAnsi="宋体"/>
        </w:rPr>
        <w:t>项目</w:t>
      </w:r>
      <w:r>
        <w:rPr>
          <w:rFonts w:hint="eastAsia"/>
        </w:rPr>
        <w:t>在网上公示后，</w:t>
      </w:r>
      <w:r>
        <w:rPr>
          <w:rFonts w:hint="eastAsia" w:ascii="宋体" w:hAnsi="宋体"/>
        </w:rPr>
        <w:t>业主单位和评价单位共收到10个咨询电话，主要咨询项目建设进展情况、设备采购情况等，未收到相关污染防治和环境保护方面的反馈电话。</w:t>
      </w:r>
    </w:p>
    <w:p>
      <w:pPr>
        <w:spacing w:line="360" w:lineRule="auto"/>
        <w:outlineLvl w:val="1"/>
        <w:rPr>
          <w:rFonts w:hint="eastAsia"/>
          <w:b/>
          <w:bCs/>
        </w:rPr>
      </w:pPr>
      <w:bookmarkStart w:id="379" w:name="_Toc276372261"/>
      <w:bookmarkStart w:id="380" w:name="_Toc176784775"/>
      <w:bookmarkStart w:id="381" w:name="_Toc176686201"/>
      <w:r>
        <w:rPr>
          <w:rFonts w:hint="eastAsia"/>
          <w:b/>
          <w:bCs/>
        </w:rPr>
        <w:t>9.4 公众意见采纳情况</w:t>
      </w:r>
      <w:bookmarkEnd w:id="379"/>
      <w:bookmarkEnd w:id="380"/>
      <w:bookmarkEnd w:id="381"/>
    </w:p>
    <w:p>
      <w:pPr>
        <w:spacing w:line="360" w:lineRule="auto"/>
        <w:ind w:firstLine="420" w:firstLineChars="200"/>
        <w:rPr>
          <w:rFonts w:hint="eastAsia"/>
        </w:rPr>
      </w:pPr>
      <w:r>
        <w:rPr>
          <w:rFonts w:hint="eastAsia"/>
        </w:rPr>
        <w:t>公众对技改项目的关心体现了公众参与的作用。</w:t>
      </w:r>
    </w:p>
    <w:p>
      <w:pPr>
        <w:spacing w:line="360" w:lineRule="auto"/>
        <w:ind w:firstLine="420" w:firstLineChars="200"/>
        <w:rPr>
          <w:rFonts w:hint="eastAsia"/>
        </w:rPr>
      </w:pPr>
      <w:r>
        <w:rPr>
          <w:rFonts w:hint="eastAsia"/>
        </w:rPr>
        <w:t>评价认为：公众对技改项目的建议和合理要求，建设单位有关领导必须加以重视，真正做到对污染物的预防控制和达标排放。同时，应加强生产管理和防范事故，确保环保设施正常稳定运行。</w:t>
      </w:r>
    </w:p>
    <w:p>
      <w:pPr>
        <w:spacing w:line="360" w:lineRule="auto"/>
        <w:ind w:firstLine="420" w:firstLineChars="200"/>
        <w:rPr>
          <w:rFonts w:hint="eastAsia"/>
        </w:rPr>
      </w:pPr>
      <w:r>
        <w:rPr>
          <w:rFonts w:hint="eastAsia"/>
        </w:rPr>
        <w:t>结合公众意见，评价建议：</w:t>
      </w:r>
    </w:p>
    <w:p>
      <w:pPr>
        <w:spacing w:line="360" w:lineRule="auto"/>
        <w:ind w:firstLine="420" w:firstLineChars="200"/>
        <w:sectPr>
          <w:pgSz w:w="11906" w:h="16838"/>
          <w:pgMar w:top="1440" w:right="1418" w:bottom="1440" w:left="1418" w:header="851" w:footer="992" w:gutter="0"/>
          <w:paperSrc w:first="20070" w:other="20070"/>
          <w:cols w:space="425" w:num="1"/>
          <w:docGrid w:linePitch="312" w:charSpace="0"/>
        </w:sectPr>
      </w:pPr>
      <w:r>
        <w:rPr>
          <w:rFonts w:hint="eastAsia"/>
        </w:rPr>
        <w:t>建设单位应在加强厂群交流，企业环保部门可通过经常走访周边居民或组织周边居民、村民参观工厂，使他们对企业有一定直观的认识，了解企业污染治理设施运行情况和环境保护工作，提出好的建议，在互访和交流中进行认知和感情的沟通，这更有利于企业的长远发展。</w:t>
      </w:r>
    </w:p>
    <w:p>
      <w:pPr>
        <w:spacing w:before="72" w:beforeLines="30" w:after="72" w:afterLines="30" w:line="460" w:lineRule="exact"/>
        <w:outlineLvl w:val="0"/>
        <w:rPr>
          <w:b/>
          <w:bCs/>
          <w:sz w:val="28"/>
          <w:szCs w:val="28"/>
        </w:rPr>
      </w:pPr>
      <w:bookmarkStart w:id="382" w:name="_Toc473281541"/>
      <w:bookmarkStart w:id="383" w:name="_Toc276372262"/>
      <w:bookmarkStart w:id="384" w:name="_Toc189814184"/>
      <w:bookmarkStart w:id="385" w:name="_Toc175479854"/>
      <w:r>
        <w:rPr>
          <w:rFonts w:hint="eastAsia"/>
          <w:b/>
          <w:bCs/>
          <w:sz w:val="28"/>
          <w:szCs w:val="28"/>
        </w:rPr>
        <w:t>10 环保措施及其技术经济论证</w:t>
      </w:r>
      <w:bookmarkEnd w:id="382"/>
      <w:bookmarkEnd w:id="383"/>
      <w:bookmarkEnd w:id="384"/>
      <w:bookmarkEnd w:id="385"/>
    </w:p>
    <w:p>
      <w:pPr>
        <w:spacing w:before="24" w:beforeLines="10" w:after="24" w:afterLines="10" w:line="460" w:lineRule="exact"/>
        <w:outlineLvl w:val="1"/>
        <w:rPr>
          <w:rFonts w:hint="eastAsia"/>
          <w:b/>
        </w:rPr>
      </w:pPr>
      <w:bookmarkStart w:id="386" w:name="_Toc276372263"/>
      <w:bookmarkStart w:id="387" w:name="_Toc473281542"/>
      <w:bookmarkStart w:id="388" w:name="_Toc189814185"/>
      <w:bookmarkStart w:id="389" w:name="_Toc165607402"/>
      <w:bookmarkStart w:id="390" w:name="_Toc175479855"/>
      <w:bookmarkStart w:id="391" w:name="_Toc129763760"/>
      <w:r>
        <w:rPr>
          <w:rFonts w:hint="eastAsia"/>
          <w:b/>
        </w:rPr>
        <w:t>10.1废气治理</w:t>
      </w:r>
      <w:bookmarkEnd w:id="386"/>
      <w:bookmarkEnd w:id="387"/>
      <w:bookmarkEnd w:id="388"/>
      <w:bookmarkEnd w:id="389"/>
      <w:bookmarkEnd w:id="390"/>
      <w:bookmarkEnd w:id="391"/>
    </w:p>
    <w:p>
      <w:pPr>
        <w:spacing w:line="360" w:lineRule="auto"/>
        <w:rPr>
          <w:rFonts w:hint="eastAsia"/>
          <w:b/>
        </w:rPr>
      </w:pPr>
      <w:r>
        <w:rPr>
          <w:rFonts w:hint="eastAsia"/>
          <w:b/>
        </w:rPr>
        <w:t>10.1.1水泥生产线有组织粉尘防治措施</w:t>
      </w:r>
    </w:p>
    <w:p>
      <w:pPr>
        <w:autoSpaceDE w:val="0"/>
        <w:autoSpaceDN w:val="0"/>
        <w:spacing w:line="360" w:lineRule="auto"/>
        <w:ind w:firstLine="420" w:firstLineChars="200"/>
        <w:textAlignment w:val="bottom"/>
        <w:rPr>
          <w:rFonts w:ascii="宋体" w:hAnsi="宋体" w:cs="Tunga"/>
        </w:rPr>
      </w:pPr>
      <w:r>
        <w:rPr>
          <w:rFonts w:ascii="宋体" w:hAnsi="宋体" w:cs="Tunga"/>
        </w:rPr>
        <w:t>粉尘是水泥生产中造成大气污染的主要因素，由于它的排放量大、污染源范围广、其危害也就比较突出。为了有效地控制粉尘和烟尘的排放，以减轻对周围空气环境质量的影响，本</w:t>
      </w:r>
      <w:r>
        <w:rPr>
          <w:rFonts w:hint="eastAsia" w:ascii="宋体" w:hAnsi="宋体" w:cs="Tunga"/>
        </w:rPr>
        <w:t>技改项目</w:t>
      </w:r>
      <w:r>
        <w:rPr>
          <w:rFonts w:ascii="宋体" w:hAnsi="宋体" w:cs="Tunga"/>
        </w:rPr>
        <w:t>设计贯彻“以预防为主”的方针：从工艺流程上尽量减少扬尘环节；选择扬尘少的设备；粉状物料输送采用密闭式输送设备；物料转运点尽量降低排料落差，以减少粉尘飞扬；粉状物料储存采用密闭圆库；选用高效除尘设备处理含尘废气，以保证实现达标排放；厂区内的物料装卸、倒运及煤堆场等处在必要时采取喷水降尘或其它控制措施，以控制扬尘。</w:t>
      </w:r>
    </w:p>
    <w:p>
      <w:pPr>
        <w:spacing w:line="360" w:lineRule="auto"/>
        <w:ind w:firstLine="420" w:firstLineChars="200"/>
        <w:rPr>
          <w:rFonts w:hint="eastAsia"/>
        </w:rPr>
      </w:pPr>
      <w:r>
        <w:rPr>
          <w:rFonts w:ascii="宋体" w:hAnsi="宋体" w:cs="Tunga"/>
        </w:rPr>
        <w:t>在本</w:t>
      </w:r>
      <w:r>
        <w:rPr>
          <w:rFonts w:hint="eastAsia" w:ascii="宋体" w:hAnsi="宋体" w:cs="Tunga"/>
        </w:rPr>
        <w:t>技改</w:t>
      </w:r>
      <w:r>
        <w:rPr>
          <w:rFonts w:ascii="宋体" w:hAnsi="宋体" w:cs="Tunga"/>
        </w:rPr>
        <w:t>项目所有的烟粉尘排放点都设置了技术性能可靠、除尘效率高的收尘设备，可有效控制生产线上所有的扬尘点。生产线上共设置各类收尘器</w:t>
      </w:r>
      <w:r>
        <w:rPr>
          <w:rFonts w:hint="eastAsia" w:ascii="宋体" w:hAnsi="宋体" w:cs="Tunga"/>
        </w:rPr>
        <w:t>58</w:t>
      </w:r>
      <w:r>
        <w:rPr>
          <w:rFonts w:ascii="宋体" w:hAnsi="宋体" w:cs="Tunga"/>
        </w:rPr>
        <w:t>台，处理废气量为</w:t>
      </w:r>
      <w:r>
        <w:rPr>
          <w:rFonts w:hint="eastAsia" w:ascii="宋体" w:hAnsi="宋体" w:cs="Tunga"/>
        </w:rPr>
        <w:t>1312780</w:t>
      </w:r>
      <w:r>
        <w:rPr>
          <w:rFonts w:ascii="宋体" w:hAnsi="宋体" w:cs="Tunga"/>
        </w:rPr>
        <w:t>Nm</w:t>
      </w:r>
      <w:r>
        <w:rPr>
          <w:rFonts w:ascii="宋体" w:hAnsi="宋体" w:cs="Tunga"/>
          <w:vertAlign w:val="superscript"/>
        </w:rPr>
        <w:t>3</w:t>
      </w:r>
      <w:r>
        <w:rPr>
          <w:rFonts w:ascii="宋体" w:hAnsi="宋体" w:cs="Tunga"/>
        </w:rPr>
        <w:t>/h，除尘效率均在99.62%以上。除尘净化后的废气经排气筒外排，各个排尘点的排放浓度和吨产品排放量均严于《重庆市水泥工业大气污染物排放标准》（DB50/251-2007）的限值要求。</w:t>
      </w:r>
      <w:r>
        <w:rPr>
          <w:rFonts w:hint="eastAsia"/>
        </w:rPr>
        <w:t>各除尘器收下的粉尘将回到各自的工艺系统中，不存在“二次污染”。除尘器设置情况见“工程分析”章节中的表4-9。现将技改项目主要工序收尘设施简述如下：</w:t>
      </w:r>
    </w:p>
    <w:p>
      <w:pPr>
        <w:spacing w:line="360" w:lineRule="auto"/>
        <w:ind w:firstLine="420" w:firstLineChars="200"/>
        <w:rPr>
          <w:rFonts w:hint="eastAsia"/>
        </w:rPr>
      </w:pPr>
      <w:r>
        <w:rPr>
          <w:rFonts w:hint="eastAsia"/>
        </w:rPr>
        <w:t>（1）烧成窑头、窑尾及生料磨系统收尘系统</w:t>
      </w:r>
    </w:p>
    <w:p>
      <w:pPr>
        <w:spacing w:line="360" w:lineRule="auto"/>
        <w:ind w:firstLine="420" w:firstLineChars="200"/>
        <w:rPr>
          <w:rFonts w:hint="eastAsia"/>
        </w:rPr>
      </w:pPr>
      <w:r>
        <w:rPr>
          <w:rFonts w:hint="eastAsia"/>
        </w:rPr>
        <w:t>本工程为了充分利用余热，由窑尾预热器排出的废气一部分经SP余热锅炉后供原料磨作为物料的烘干热源，另一部分进入窑尾袋收尘器。原料磨排出的废气返回窑尾袋收尘器净化，窑尾废气最终由110m高排气筒排入大气，处理后粉尘浓度低于30mg/m</w:t>
      </w:r>
      <w:r>
        <w:rPr>
          <w:rFonts w:hint="eastAsia"/>
          <w:vertAlign w:val="superscript"/>
        </w:rPr>
        <w:t>3</w:t>
      </w:r>
      <w:r>
        <w:rPr>
          <w:rFonts w:hint="eastAsia"/>
        </w:rPr>
        <w:t>。这样系统既利用了余热，降低了单位产品的热耗，同时也简化了工艺过程，减少了废气排放量和工程投资。</w:t>
      </w:r>
    </w:p>
    <w:p>
      <w:pPr>
        <w:spacing w:line="360" w:lineRule="auto"/>
        <w:ind w:firstLine="420" w:firstLineChars="200"/>
        <w:rPr>
          <w:rFonts w:hint="eastAsia"/>
        </w:rPr>
      </w:pPr>
      <w:r>
        <w:rPr>
          <w:rFonts w:hint="eastAsia"/>
        </w:rPr>
        <w:t>技改项目窑尾废气处理量为345600m</w:t>
      </w:r>
      <w:r>
        <w:rPr>
          <w:rFonts w:hint="eastAsia"/>
          <w:vertAlign w:val="superscript"/>
        </w:rPr>
        <w:t>3</w:t>
      </w:r>
      <w:r>
        <w:rPr>
          <w:rFonts w:hint="eastAsia"/>
        </w:rPr>
        <w:t>/h，占工程废气总量的26.3％。</w:t>
      </w:r>
    </w:p>
    <w:p>
      <w:pPr>
        <w:spacing w:line="360" w:lineRule="auto"/>
        <w:ind w:firstLine="420" w:firstLineChars="200"/>
        <w:rPr>
          <w:rFonts w:hint="eastAsia"/>
        </w:rPr>
      </w:pPr>
      <w:r>
        <w:rPr>
          <w:rFonts w:hint="eastAsia"/>
        </w:rPr>
        <w:t>窑头冷却机采用袋收尘器收尘，废气处理量为280000m</w:t>
      </w:r>
      <w:r>
        <w:rPr>
          <w:rFonts w:hint="eastAsia"/>
          <w:vertAlign w:val="superscript"/>
        </w:rPr>
        <w:t>3</w:t>
      </w:r>
      <w:r>
        <w:rPr>
          <w:rFonts w:hint="eastAsia"/>
        </w:rPr>
        <w:t>/h，占工程废气总量的21.3％，出冷却机废气一部分作为三次风入分解炉，还有一部分供煤磨作为物料的烘干热源，剩余废气经AQC余热锅炉后经窑头袋收尘器净化后通过40m高排气筒排入大气，经袋收尘器处理后的废气含尘浓度低于30mg/m</w:t>
      </w:r>
      <w:r>
        <w:rPr>
          <w:rFonts w:hint="eastAsia"/>
          <w:vertAlign w:val="superscript"/>
        </w:rPr>
        <w:t>3</w:t>
      </w:r>
      <w:r>
        <w:rPr>
          <w:rFonts w:hint="eastAsia"/>
        </w:rPr>
        <w:t>。</w:t>
      </w:r>
    </w:p>
    <w:p>
      <w:pPr>
        <w:spacing w:line="360" w:lineRule="auto"/>
        <w:ind w:firstLine="420" w:firstLineChars="200"/>
        <w:rPr>
          <w:rFonts w:hint="eastAsia"/>
        </w:rPr>
      </w:pPr>
      <w:r>
        <w:rPr>
          <w:rFonts w:hint="eastAsia"/>
        </w:rPr>
        <w:t>（2）煤磨系统收尘</w:t>
      </w:r>
    </w:p>
    <w:p>
      <w:pPr>
        <w:spacing w:line="360" w:lineRule="auto"/>
        <w:ind w:firstLine="420" w:firstLineChars="200"/>
        <w:rPr>
          <w:rFonts w:hint="eastAsia"/>
        </w:rPr>
      </w:pPr>
      <w:r>
        <w:rPr>
          <w:rFonts w:hint="eastAsia"/>
        </w:rPr>
        <w:t>技改项目煤磨收尘流程为：粉磨后的煤粉随气流提升到磨内选粉机分选，粗粉落回磨盘继续粉磨，成品由出磨气流带入袋式除尘器，收下的煤粉经螺旋输送泵送入煤粉仓，气体排出，即煤磨收尘器不是终端治理设备，而是工艺系统的关键设备。其运行效率的高低不仅关系到环境污染，同时也关系到工艺生产的正常和稳定。技改项目煤粉制备系统配备1台煤磨专用袋式收尘器，经收尘器处理后的废气经40m高排气筒排放，含尘浓度可控制在30mg/m</w:t>
      </w:r>
      <w:r>
        <w:rPr>
          <w:rFonts w:hint="eastAsia"/>
          <w:vertAlign w:val="superscript"/>
        </w:rPr>
        <w:t>3</w:t>
      </w:r>
      <w:r>
        <w:rPr>
          <w:rFonts w:hint="eastAsia"/>
        </w:rPr>
        <w:t>以下。</w:t>
      </w:r>
    </w:p>
    <w:p>
      <w:pPr>
        <w:spacing w:line="360" w:lineRule="auto"/>
        <w:ind w:firstLine="420" w:firstLineChars="200"/>
        <w:rPr>
          <w:rFonts w:hint="eastAsia"/>
        </w:rPr>
      </w:pPr>
      <w:r>
        <w:rPr>
          <w:rFonts w:hint="eastAsia"/>
        </w:rPr>
        <w:t>袋式收尘器的工作原理是通过过滤而阻挡粉尘。当滤袋上的粉尘沉积到一定程度时由外力作用使滤袋抖动并变形，沉积的粉尘落入集灰斗。目前使用的袋式收尘器都是分成若干室，具有在线清灰的特点，在正常工作时，各室同时处理含尘气体，当某个室要进行清灰时，首先要关闭这个室的气力提升阀，待切断通过这个室的含尘气流后，接通清灰气源，对该室的滤袋进行清灰，清下的灰落入灰斗后，再打开气力提升阀，恢复该室的除尘功能。在袋式除尘器使用得当的情况下，出口气体的含尘浓度可稳定控制在20～30mg/m</w:t>
      </w:r>
      <w:r>
        <w:rPr>
          <w:rFonts w:hint="eastAsia"/>
          <w:vertAlign w:val="superscript"/>
        </w:rPr>
        <w:t>3</w:t>
      </w:r>
      <w:r>
        <w:rPr>
          <w:rFonts w:hint="eastAsia"/>
        </w:rPr>
        <w:t>。袋式收尘器由于功能和工作原理与粉尘的条件无关，因此其收尘效果可以得到有效的保证。袋式收尘器具有设计可靠，操作维护简单、自动化程度高、除尘效率高等特点，特别是可以杜绝非正常及事故排放。</w:t>
      </w:r>
    </w:p>
    <w:p>
      <w:pPr>
        <w:spacing w:line="360" w:lineRule="auto"/>
        <w:ind w:firstLine="420" w:firstLineChars="200"/>
        <w:rPr>
          <w:rFonts w:hint="eastAsia"/>
        </w:rPr>
      </w:pPr>
      <w:r>
        <w:rPr>
          <w:rFonts w:hint="eastAsia"/>
        </w:rPr>
        <w:t>（3）对储库、输送转运点排放源的控制</w:t>
      </w:r>
    </w:p>
    <w:p>
      <w:pPr>
        <w:spacing w:line="360" w:lineRule="auto"/>
        <w:ind w:firstLine="420" w:firstLineChars="200"/>
        <w:rPr>
          <w:rFonts w:hint="eastAsia"/>
        </w:rPr>
      </w:pPr>
      <w:r>
        <w:rPr>
          <w:rFonts w:hint="eastAsia"/>
        </w:rPr>
        <w:t>对于储库、物料输送转运点，技改项目设计时采取了两方面措施。首先是力求合理工艺布置，如粉状物料储存在密闭的园库内，输送粉状物料采用空气输送斜槽等密闭设备，尽量减少粉尘产生，其次是在各转运点、卸料点等扬尘部位设置了袋式收尘器，净化后气体含尘浓度均小于30mg/m</w:t>
      </w:r>
      <w:r>
        <w:rPr>
          <w:rFonts w:hint="eastAsia"/>
          <w:vertAlign w:val="superscript"/>
        </w:rPr>
        <w:t>3</w:t>
      </w:r>
      <w:r>
        <w:rPr>
          <w:rFonts w:hint="eastAsia"/>
        </w:rPr>
        <w:t>。</w:t>
      </w:r>
    </w:p>
    <w:p>
      <w:pPr>
        <w:spacing w:line="360" w:lineRule="auto"/>
        <w:ind w:firstLine="420" w:firstLineChars="200"/>
        <w:rPr>
          <w:rFonts w:hint="eastAsia"/>
        </w:rPr>
      </w:pPr>
      <w:r>
        <w:rPr>
          <w:rFonts w:hint="eastAsia"/>
        </w:rPr>
        <w:t>企业在积极落实上述治理措施后，特别要确保除尘器设备的运行良好，企业应当进行除尘设施的长效管理，经常检查除尘设施的完好情况，及时发现问题和解决问题，减少因除尘设备故障产生的超标排放。</w:t>
      </w:r>
    </w:p>
    <w:p>
      <w:pPr>
        <w:spacing w:line="360" w:lineRule="auto"/>
        <w:rPr>
          <w:rFonts w:hint="eastAsia"/>
          <w:b/>
        </w:rPr>
      </w:pPr>
      <w:r>
        <w:rPr>
          <w:rFonts w:hint="eastAsia"/>
          <w:b/>
        </w:rPr>
        <w:t>10.1.2 削减无组织排放措施</w:t>
      </w:r>
    </w:p>
    <w:p>
      <w:pPr>
        <w:pStyle w:val="7"/>
        <w:spacing w:line="360" w:lineRule="auto"/>
        <w:ind w:firstLine="420" w:firstLineChars="200"/>
        <w:rPr>
          <w:rFonts w:hint="eastAsia" w:hAnsi="宋体"/>
        </w:rPr>
      </w:pPr>
      <w:r>
        <w:rPr>
          <w:rFonts w:hint="eastAsia" w:hAnsi="宋体"/>
        </w:rPr>
        <w:t>技改项目粉尘的无组织面源排放贯穿于整个生产各个环节，一般为原料堆棚堆场以及在原料和产品装卸、运输等过程中产生的扬尘。设计主要采取以下防尘措施：</w:t>
      </w:r>
    </w:p>
    <w:p>
      <w:pPr>
        <w:pStyle w:val="7"/>
        <w:spacing w:line="360" w:lineRule="auto"/>
        <w:ind w:firstLine="420" w:firstLineChars="200"/>
        <w:rPr>
          <w:rFonts w:hint="eastAsia" w:hAnsi="宋体"/>
        </w:rPr>
      </w:pPr>
      <w:r>
        <w:rPr>
          <w:rFonts w:hint="eastAsia" w:hAnsi="宋体"/>
        </w:rPr>
        <w:t>（1）原料堆棚堆场采用翻车机卸料，堆场四周设有喷淋系统、沉灰沟和沉灰池。同时，原料堆棚堆场两侧种植树木隔离防护带，防止原料堆棚堆场扬尘。</w:t>
      </w:r>
    </w:p>
    <w:p>
      <w:pPr>
        <w:pStyle w:val="7"/>
        <w:spacing w:line="360" w:lineRule="auto"/>
        <w:ind w:firstLine="420" w:firstLineChars="200"/>
        <w:rPr>
          <w:rFonts w:hint="eastAsia" w:hAnsi="宋体"/>
        </w:rPr>
      </w:pPr>
      <w:r>
        <w:rPr>
          <w:rFonts w:hint="eastAsia" w:hAnsi="宋体"/>
        </w:rPr>
        <w:t>（2）原料输送站均为钢结构全封闭式。导料槽密封加挡尘帘。在原料仓间皮带层及原料仓间头部转运站设置布袋除尘器。</w:t>
      </w:r>
    </w:p>
    <w:p>
      <w:pPr>
        <w:spacing w:line="360" w:lineRule="auto"/>
        <w:rPr>
          <w:rFonts w:hint="eastAsia"/>
          <w:b/>
        </w:rPr>
      </w:pPr>
      <w:r>
        <w:rPr>
          <w:rFonts w:hint="eastAsia"/>
          <w:b/>
        </w:rPr>
        <w:t>10.1.3废气污染物防治措施论证</w:t>
      </w:r>
    </w:p>
    <w:p>
      <w:pPr>
        <w:spacing w:line="360" w:lineRule="auto"/>
        <w:ind w:firstLine="420" w:firstLineChars="200"/>
        <w:rPr>
          <w:rFonts w:hint="eastAsia"/>
        </w:rPr>
      </w:pPr>
      <w:r>
        <w:rPr>
          <w:rFonts w:hint="eastAsia"/>
        </w:rPr>
        <w:t>技改项目废气主要来源于回转窑烧成烟气，主要含有SO</w:t>
      </w:r>
      <w:r>
        <w:rPr>
          <w:rFonts w:hint="eastAsia"/>
          <w:vertAlign w:val="subscript"/>
        </w:rPr>
        <w:t>2</w:t>
      </w:r>
      <w:r>
        <w:rPr>
          <w:rFonts w:hint="eastAsia"/>
        </w:rPr>
        <w:t>和NO</w:t>
      </w:r>
      <w:r>
        <w:rPr>
          <w:rFonts w:hint="eastAsia"/>
          <w:vertAlign w:val="subscript"/>
        </w:rPr>
        <w:t>2</w:t>
      </w:r>
      <w:r>
        <w:rPr>
          <w:rFonts w:hint="eastAsia"/>
        </w:rPr>
        <w:t>。</w:t>
      </w:r>
    </w:p>
    <w:p>
      <w:pPr>
        <w:spacing w:line="360" w:lineRule="auto"/>
        <w:ind w:firstLine="420" w:firstLineChars="200"/>
        <w:rPr>
          <w:rFonts w:hint="eastAsia"/>
        </w:rPr>
      </w:pPr>
      <w:r>
        <w:rPr>
          <w:rFonts w:hint="eastAsia"/>
        </w:rPr>
        <w:t>（1）SO</w:t>
      </w:r>
      <w:r>
        <w:rPr>
          <w:rFonts w:hint="eastAsia"/>
          <w:vertAlign w:val="subscript"/>
        </w:rPr>
        <w:t>2</w:t>
      </w:r>
      <w:r>
        <w:rPr>
          <w:rFonts w:hint="eastAsia"/>
        </w:rPr>
        <w:t xml:space="preserve"> </w:t>
      </w:r>
    </w:p>
    <w:p>
      <w:pPr>
        <w:spacing w:line="360" w:lineRule="auto"/>
        <w:ind w:firstLine="420" w:firstLineChars="200"/>
        <w:rPr>
          <w:rFonts w:hint="eastAsia"/>
        </w:rPr>
      </w:pPr>
      <w:r>
        <w:rPr>
          <w:rFonts w:hint="eastAsia"/>
        </w:rPr>
        <w:t>SO</w:t>
      </w:r>
      <w:r>
        <w:rPr>
          <w:rFonts w:hint="eastAsia"/>
          <w:vertAlign w:val="subscript"/>
        </w:rPr>
        <w:t>2</w:t>
      </w:r>
      <w:r>
        <w:rPr>
          <w:rFonts w:hint="eastAsia"/>
        </w:rPr>
        <w:t>主要来源于煤和生料带入回转窑及分解炉中的硫，煤中的硫燃烧后以SO</w:t>
      </w:r>
      <w:r>
        <w:rPr>
          <w:rFonts w:hint="eastAsia"/>
          <w:vertAlign w:val="subscript"/>
        </w:rPr>
        <w:t>2</w:t>
      </w:r>
      <w:r>
        <w:rPr>
          <w:rFonts w:hint="eastAsia"/>
        </w:rPr>
        <w:t>的形式进入烟气，生料中的硫也以SO</w:t>
      </w:r>
      <w:r>
        <w:rPr>
          <w:rFonts w:hint="eastAsia"/>
          <w:vertAlign w:val="subscript"/>
        </w:rPr>
        <w:t>2</w:t>
      </w:r>
      <w:r>
        <w:rPr>
          <w:rFonts w:hint="eastAsia"/>
        </w:rPr>
        <w:t>的形式进入烟气。烟气首先在回转窑和分解炉中与物料接触，物料中的CaCO</w:t>
      </w:r>
      <w:r>
        <w:rPr>
          <w:rFonts w:hint="eastAsia"/>
          <w:vertAlign w:val="subscript"/>
        </w:rPr>
        <w:t>3</w:t>
      </w:r>
      <w:r>
        <w:rPr>
          <w:rFonts w:hint="eastAsia"/>
        </w:rPr>
        <w:t>经分解生成CaO，CaO与SO</w:t>
      </w:r>
      <w:r>
        <w:rPr>
          <w:rFonts w:hint="eastAsia"/>
          <w:vertAlign w:val="subscript"/>
        </w:rPr>
        <w:t>2</w:t>
      </w:r>
      <w:r>
        <w:rPr>
          <w:rFonts w:hint="eastAsia"/>
        </w:rPr>
        <w:t>反应生成硫酸盐和亚硫酸盐进入水泥熟料，而废气进入窑尾的旋风预热器，在预热器内，烟气中未被吸收的SO</w:t>
      </w:r>
      <w:r>
        <w:rPr>
          <w:rFonts w:hint="eastAsia"/>
          <w:vertAlign w:val="subscript"/>
        </w:rPr>
        <w:t>2</w:t>
      </w:r>
      <w:r>
        <w:rPr>
          <w:rFonts w:hint="eastAsia"/>
        </w:rPr>
        <w:t>进一步与物料反应，被物料吸收。窑尾烟气成分实测分析结果表明，这种预分解窑对SO</w:t>
      </w:r>
      <w:r>
        <w:rPr>
          <w:rFonts w:hint="eastAsia"/>
          <w:vertAlign w:val="subscript"/>
        </w:rPr>
        <w:t>2</w:t>
      </w:r>
      <w:r>
        <w:rPr>
          <w:rFonts w:hint="eastAsia"/>
        </w:rPr>
        <w:t>的吸收率达到95％以上，使排出的废气中SO</w:t>
      </w:r>
      <w:r>
        <w:rPr>
          <w:rFonts w:hint="eastAsia"/>
          <w:vertAlign w:val="subscript"/>
        </w:rPr>
        <w:t>2</w:t>
      </w:r>
      <w:r>
        <w:rPr>
          <w:rFonts w:hint="eastAsia"/>
        </w:rPr>
        <w:t>浓度较低。按照技改项目设计指标计算，窑尾排放的废气中SO</w:t>
      </w:r>
      <w:r>
        <w:rPr>
          <w:rFonts w:hint="eastAsia"/>
          <w:vertAlign w:val="subscript"/>
        </w:rPr>
        <w:t>2</w:t>
      </w:r>
      <w:r>
        <w:rPr>
          <w:rFonts w:hint="eastAsia"/>
        </w:rPr>
        <w:t>浓度为84.17mg/m</w:t>
      </w:r>
      <w:r>
        <w:rPr>
          <w:rFonts w:hint="eastAsia"/>
          <w:vertAlign w:val="superscript"/>
        </w:rPr>
        <w:t>3</w:t>
      </w:r>
      <w:r>
        <w:rPr>
          <w:rFonts w:hint="eastAsia"/>
        </w:rPr>
        <w:t>，吨熟料产品排放量为0.28kg，可满足</w:t>
      </w:r>
      <w:r>
        <w:rPr>
          <w:rFonts w:ascii="宋体" w:hAnsi="宋体" w:cs="Tunga"/>
        </w:rPr>
        <w:t>《重庆市水泥工业大气污染物排放标准》（DB50/251-2007）</w:t>
      </w:r>
      <w:r>
        <w:rPr>
          <w:rFonts w:hint="eastAsia"/>
        </w:rPr>
        <w:t>中0.6kg/d的标准要求。</w:t>
      </w:r>
    </w:p>
    <w:p>
      <w:pPr>
        <w:spacing w:line="360" w:lineRule="auto"/>
        <w:ind w:firstLine="420" w:firstLineChars="200"/>
        <w:rPr>
          <w:rFonts w:hint="eastAsia"/>
        </w:rPr>
      </w:pPr>
      <w:r>
        <w:rPr>
          <w:rFonts w:hint="eastAsia"/>
        </w:rPr>
        <w:t>（2）NO</w:t>
      </w:r>
      <w:r>
        <w:rPr>
          <w:rFonts w:hint="eastAsia"/>
          <w:vertAlign w:val="subscript"/>
        </w:rPr>
        <w:t>2</w:t>
      </w:r>
    </w:p>
    <w:p>
      <w:pPr>
        <w:spacing w:line="360" w:lineRule="auto"/>
        <w:ind w:firstLine="420" w:firstLineChars="200"/>
        <w:rPr>
          <w:rFonts w:hint="eastAsia"/>
        </w:rPr>
      </w:pPr>
      <w:r>
        <w:rPr>
          <w:rFonts w:hint="eastAsia"/>
        </w:rPr>
        <w:t>水泥厂排放的氮氧化物主要产生于窑内高温煅烧过程，其排放量的多少与窑内温度、通风量关系密切。窑内温度高、通风量大、反应时间长，氮氧化物生成量就大，技改项目采用窑外分解工艺，把烧成总用煤量的60％转移到温度较低的分解炉内，同时控制窑内燃烧温度，控制入窑空气量，可有效减少NO</w:t>
      </w:r>
      <w:r>
        <w:rPr>
          <w:rFonts w:hint="eastAsia"/>
          <w:vertAlign w:val="subscript"/>
        </w:rPr>
        <w:t>2</w:t>
      </w:r>
      <w:r>
        <w:rPr>
          <w:rFonts w:hint="eastAsia"/>
        </w:rPr>
        <w:t>的生成量。二线工程窑尾废气中的NO</w:t>
      </w:r>
      <w:r>
        <w:rPr>
          <w:rFonts w:hint="eastAsia"/>
          <w:vertAlign w:val="subscript"/>
        </w:rPr>
        <w:t>2</w:t>
      </w:r>
      <w:r>
        <w:rPr>
          <w:rFonts w:hint="eastAsia"/>
        </w:rPr>
        <w:t>的计算排放浓度为700mg/m</w:t>
      </w:r>
      <w:r>
        <w:rPr>
          <w:rFonts w:hint="eastAsia"/>
          <w:vertAlign w:val="superscript"/>
        </w:rPr>
        <w:t>3</w:t>
      </w:r>
      <w:r>
        <w:rPr>
          <w:rFonts w:hint="eastAsia"/>
        </w:rPr>
        <w:t>，吨熟料产品排放量为2.32kg。满足</w:t>
      </w:r>
      <w:r>
        <w:rPr>
          <w:rFonts w:ascii="宋体" w:hAnsi="宋体" w:cs="Tunga"/>
        </w:rPr>
        <w:t>《重庆市水泥工业大气污染物排放标准》（DB50/251-2007）</w:t>
      </w:r>
      <w:r>
        <w:rPr>
          <w:rFonts w:hint="eastAsia"/>
        </w:rPr>
        <w:t>中2.4kg/d的标准要求。</w:t>
      </w:r>
    </w:p>
    <w:p>
      <w:pPr>
        <w:spacing w:before="24" w:beforeLines="10" w:after="24" w:afterLines="10" w:line="460" w:lineRule="exact"/>
        <w:outlineLvl w:val="1"/>
        <w:rPr>
          <w:rFonts w:hint="eastAsia"/>
          <w:b/>
        </w:rPr>
      </w:pPr>
      <w:bookmarkStart w:id="392" w:name="_Toc473281543"/>
      <w:bookmarkStart w:id="393" w:name="_Toc189814186"/>
      <w:bookmarkStart w:id="394" w:name="_Toc276372264"/>
      <w:r>
        <w:rPr>
          <w:rFonts w:hint="eastAsia"/>
          <w:b/>
        </w:rPr>
        <w:t>10.2废水治理</w:t>
      </w:r>
      <w:bookmarkEnd w:id="392"/>
      <w:bookmarkEnd w:id="393"/>
      <w:bookmarkEnd w:id="394"/>
    </w:p>
    <w:p>
      <w:pPr>
        <w:spacing w:line="360" w:lineRule="auto"/>
        <w:rPr>
          <w:rFonts w:hint="eastAsia"/>
          <w:b/>
        </w:rPr>
      </w:pPr>
      <w:r>
        <w:rPr>
          <w:rFonts w:hint="eastAsia"/>
          <w:b/>
        </w:rPr>
        <w:t>10.2.1废水来源及水质水量</w:t>
      </w:r>
    </w:p>
    <w:p>
      <w:pPr>
        <w:spacing w:line="360" w:lineRule="auto"/>
        <w:ind w:firstLine="420" w:firstLineChars="200"/>
        <w:rPr>
          <w:rFonts w:hint="eastAsia"/>
        </w:rPr>
      </w:pPr>
      <w:r>
        <w:rPr>
          <w:rFonts w:hint="eastAsia"/>
        </w:rPr>
        <w:t>技改项目废水主要是工艺产生的循环冷却水、生活污水、辅助设施排水等。冷却水主要来自于需要冷却的高温、高速运转设备，如窑、各类磨机、空压机及部分仪表等，不外排。技改项目排放的废水为生活污水和辅助设施排水，排放量52.6m</w:t>
      </w:r>
      <w:r>
        <w:rPr>
          <w:rFonts w:hint="eastAsia"/>
          <w:vertAlign w:val="superscript"/>
        </w:rPr>
        <w:t>3</w:t>
      </w:r>
      <w:r>
        <w:rPr>
          <w:rFonts w:hint="eastAsia"/>
        </w:rPr>
        <w:t>/d，废水中主要污染物为COD、SS、NH</w:t>
      </w:r>
      <w:r>
        <w:rPr>
          <w:rFonts w:hint="eastAsia"/>
          <w:vertAlign w:val="subscript"/>
        </w:rPr>
        <w:t>3</w:t>
      </w:r>
      <w:r>
        <w:rPr>
          <w:rFonts w:hint="eastAsia"/>
        </w:rPr>
        <w:t>-N等有机污染物。</w:t>
      </w:r>
    </w:p>
    <w:p>
      <w:pPr>
        <w:spacing w:line="360" w:lineRule="auto"/>
        <w:rPr>
          <w:rFonts w:hint="eastAsia"/>
          <w:b/>
        </w:rPr>
      </w:pPr>
      <w:r>
        <w:rPr>
          <w:rFonts w:hint="eastAsia"/>
          <w:b/>
        </w:rPr>
        <w:t>10.2.2废水处理方案</w:t>
      </w:r>
    </w:p>
    <w:p>
      <w:pPr>
        <w:spacing w:line="360" w:lineRule="auto"/>
        <w:ind w:firstLine="420" w:firstLineChars="200"/>
        <w:rPr>
          <w:rFonts w:hint="eastAsia"/>
        </w:rPr>
      </w:pPr>
      <w:r>
        <w:rPr>
          <w:rFonts w:hint="eastAsia"/>
        </w:rPr>
        <w:t>生活污水和辅助设施等排水：可选用成熟的二级生化处理工艺(接触氧化法)。生物接触氧化法是具有活性污泥法和生物膜法特点的新型处理技术，目前应用广泛，技术成熟可靠。本方案推荐地埋式系列污水处理成套设备。它具有管理操作简便，运行费用低，占地面积小，处理效果好的特点。</w:t>
      </w:r>
    </w:p>
    <w:p>
      <w:pPr>
        <w:spacing w:line="360" w:lineRule="auto"/>
        <w:ind w:firstLine="420" w:firstLineChars="200"/>
        <w:rPr>
          <w:rFonts w:hint="eastAsia"/>
        </w:rPr>
      </w:pPr>
      <w:r>
        <w:rPr>
          <w:rFonts w:hint="eastAsia"/>
        </w:rPr>
        <w:t>污水处理工艺流程如下：</w:t>
      </w:r>
    </w:p>
    <w:p>
      <w:pPr>
        <w:spacing w:line="360" w:lineRule="auto"/>
        <w:ind w:firstLine="420" w:firstLineChars="200"/>
        <w:rPr>
          <w:rFonts w:hint="eastAsia"/>
        </w:rPr>
      </w:pPr>
      <w:r>
        <mc:AlternateContent>
          <mc:Choice Requires="wpc">
            <w:drawing>
              <wp:inline distT="0" distB="0" distL="114300" distR="114300">
                <wp:extent cx="5257800" cy="1287780"/>
                <wp:effectExtent l="0" t="0" r="0" b="0"/>
                <wp:docPr id="163" name="画布 1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62" name="组合 162"/>
                        <wpg:cNvGrpSpPr/>
                        <wpg:grpSpPr>
                          <a:xfrm>
                            <a:off x="114649" y="99116"/>
                            <a:ext cx="4799933" cy="990432"/>
                            <a:chOff x="2519" y="13629"/>
                            <a:chExt cx="6573" cy="1359"/>
                          </a:xfrm>
                        </wpg:grpSpPr>
                        <wps:wsp>
                          <wps:cNvPr id="149" name="直接连接符 149"/>
                          <wps:cNvCnPr/>
                          <wps:spPr>
                            <a:xfrm>
                              <a:off x="2988" y="14716"/>
                              <a:ext cx="626" cy="1"/>
                            </a:xfrm>
                            <a:prstGeom prst="line">
                              <a:avLst/>
                            </a:prstGeom>
                            <a:ln w="9525" cap="flat" cmpd="sng">
                              <a:solidFill>
                                <a:srgbClr val="000000"/>
                              </a:solidFill>
                              <a:prstDash val="solid"/>
                              <a:headEnd type="none" w="med" len="med"/>
                              <a:tailEnd type="triangle" w="med" len="med"/>
                            </a:ln>
                          </wps:spPr>
                          <wps:bodyPr upright="1"/>
                        </wps:wsp>
                        <wps:wsp>
                          <wps:cNvPr id="150" name="直接连接符 150"/>
                          <wps:cNvCnPr/>
                          <wps:spPr>
                            <a:xfrm>
                              <a:off x="5649" y="14037"/>
                              <a:ext cx="1" cy="543"/>
                            </a:xfrm>
                            <a:prstGeom prst="line">
                              <a:avLst/>
                            </a:prstGeom>
                            <a:ln w="9525" cap="flat" cmpd="sng">
                              <a:solidFill>
                                <a:srgbClr val="000000"/>
                              </a:solidFill>
                              <a:prstDash val="solid"/>
                              <a:headEnd type="none" w="med" len="med"/>
                              <a:tailEnd type="triangle" w="med" len="med"/>
                            </a:ln>
                          </wps:spPr>
                          <wps:bodyPr upright="1"/>
                        </wps:wsp>
                        <wps:wsp>
                          <wps:cNvPr id="151" name="直接连接符 151"/>
                          <wps:cNvCnPr/>
                          <wps:spPr>
                            <a:xfrm>
                              <a:off x="4397" y="14716"/>
                              <a:ext cx="626" cy="1"/>
                            </a:xfrm>
                            <a:prstGeom prst="line">
                              <a:avLst/>
                            </a:prstGeom>
                            <a:ln w="9525" cap="flat" cmpd="sng">
                              <a:solidFill>
                                <a:srgbClr val="000000"/>
                              </a:solidFill>
                              <a:prstDash val="solid"/>
                              <a:headEnd type="none" w="med" len="med"/>
                              <a:tailEnd type="triangle" w="med" len="med"/>
                            </a:ln>
                          </wps:spPr>
                          <wps:bodyPr upright="1"/>
                        </wps:wsp>
                        <wps:wsp>
                          <wps:cNvPr id="152" name="直接连接符 152"/>
                          <wps:cNvCnPr/>
                          <wps:spPr>
                            <a:xfrm>
                              <a:off x="6432" y="14716"/>
                              <a:ext cx="625" cy="1"/>
                            </a:xfrm>
                            <a:prstGeom prst="line">
                              <a:avLst/>
                            </a:prstGeom>
                            <a:ln w="9525" cap="flat" cmpd="sng">
                              <a:solidFill>
                                <a:srgbClr val="000000"/>
                              </a:solidFill>
                              <a:prstDash val="solid"/>
                              <a:headEnd type="none" w="med" len="med"/>
                              <a:tailEnd type="triangle" w="med" len="med"/>
                            </a:ln>
                          </wps:spPr>
                          <wps:bodyPr upright="1"/>
                        </wps:wsp>
                        <wps:wsp>
                          <wps:cNvPr id="153" name="直接连接符 153"/>
                          <wps:cNvCnPr/>
                          <wps:spPr>
                            <a:xfrm>
                              <a:off x="7684" y="14716"/>
                              <a:ext cx="626" cy="1"/>
                            </a:xfrm>
                            <a:prstGeom prst="line">
                              <a:avLst/>
                            </a:prstGeom>
                            <a:ln w="9525" cap="flat" cmpd="sng">
                              <a:solidFill>
                                <a:srgbClr val="000000"/>
                              </a:solidFill>
                              <a:prstDash val="solid"/>
                              <a:headEnd type="none" w="med" len="med"/>
                              <a:tailEnd type="triangle" w="med" len="med"/>
                            </a:ln>
                          </wps:spPr>
                          <wps:bodyPr upright="1"/>
                        </wps:wsp>
                        <wps:wsp>
                          <wps:cNvPr id="154" name="直接连接符 154"/>
                          <wps:cNvCnPr/>
                          <wps:spPr>
                            <a:xfrm>
                              <a:off x="7371" y="14037"/>
                              <a:ext cx="1" cy="542"/>
                            </a:xfrm>
                            <a:prstGeom prst="line">
                              <a:avLst/>
                            </a:prstGeom>
                            <a:ln w="9525" cap="flat" cmpd="sng">
                              <a:solidFill>
                                <a:srgbClr val="000000"/>
                              </a:solidFill>
                              <a:prstDash val="solid"/>
                              <a:headEnd type="none" w="med" len="med"/>
                              <a:tailEnd type="triangle" w="med" len="med"/>
                            </a:ln>
                          </wps:spPr>
                          <wps:bodyPr upright="1"/>
                        </wps:wsp>
                        <wps:wsp>
                          <wps:cNvPr id="155" name="矩形 155"/>
                          <wps:cNvSpPr/>
                          <wps:spPr>
                            <a:xfrm>
                              <a:off x="2519" y="14580"/>
                              <a:ext cx="782" cy="408"/>
                            </a:xfrm>
                            <a:prstGeom prst="rect">
                              <a:avLst/>
                            </a:prstGeom>
                            <a:noFill/>
                            <a:ln>
                              <a:noFill/>
                            </a:ln>
                          </wps:spPr>
                          <wps:txbx>
                            <w:txbxContent>
                              <w:p>
                                <w:pPr>
                                  <w:rPr>
                                    <w:rFonts w:hint="eastAsia"/>
                                  </w:rPr>
                                </w:pPr>
                                <w:r>
                                  <w:rPr>
                                    <w:rFonts w:hint="eastAsia"/>
                                  </w:rPr>
                                  <w:t>污水</w:t>
                                </w:r>
                              </w:p>
                            </w:txbxContent>
                          </wps:txbx>
                          <wps:bodyPr upright="1"/>
                        </wps:wsp>
                        <wps:wsp>
                          <wps:cNvPr id="156" name="矩形 156"/>
                          <wps:cNvSpPr/>
                          <wps:spPr>
                            <a:xfrm>
                              <a:off x="3614" y="14580"/>
                              <a:ext cx="938" cy="408"/>
                            </a:xfrm>
                            <a:prstGeom prst="rect">
                              <a:avLst/>
                            </a:prstGeom>
                            <a:noFill/>
                            <a:ln>
                              <a:noFill/>
                            </a:ln>
                          </wps:spPr>
                          <wps:txbx>
                            <w:txbxContent>
                              <w:p>
                                <w:pPr>
                                  <w:rPr>
                                    <w:rFonts w:hint="eastAsia"/>
                                  </w:rPr>
                                </w:pPr>
                                <w:r>
                                  <w:rPr>
                                    <w:rFonts w:hint="eastAsia"/>
                                  </w:rPr>
                                  <w:t>调节池</w:t>
                                </w:r>
                              </w:p>
                            </w:txbxContent>
                          </wps:txbx>
                          <wps:bodyPr upright="1"/>
                        </wps:wsp>
                        <wps:wsp>
                          <wps:cNvPr id="157" name="矩形 157"/>
                          <wps:cNvSpPr/>
                          <wps:spPr>
                            <a:xfrm>
                              <a:off x="5023" y="14580"/>
                              <a:ext cx="1407" cy="408"/>
                            </a:xfrm>
                            <a:prstGeom prst="rect">
                              <a:avLst/>
                            </a:prstGeom>
                            <a:noFill/>
                            <a:ln>
                              <a:noFill/>
                            </a:ln>
                          </wps:spPr>
                          <wps:txbx>
                            <w:txbxContent>
                              <w:p>
                                <w:pPr>
                                  <w:rPr>
                                    <w:rFonts w:hint="eastAsia"/>
                                  </w:rPr>
                                </w:pPr>
                                <w:r>
                                  <w:rPr>
                                    <w:rFonts w:hint="eastAsia"/>
                                  </w:rPr>
                                  <w:t>接触氧化池</w:t>
                                </w:r>
                              </w:p>
                            </w:txbxContent>
                          </wps:txbx>
                          <wps:bodyPr upright="1"/>
                        </wps:wsp>
                        <wps:wsp>
                          <wps:cNvPr id="158" name="矩形 158"/>
                          <wps:cNvSpPr/>
                          <wps:spPr>
                            <a:xfrm>
                              <a:off x="7058" y="14580"/>
                              <a:ext cx="781" cy="408"/>
                            </a:xfrm>
                            <a:prstGeom prst="rect">
                              <a:avLst/>
                            </a:prstGeom>
                            <a:noFill/>
                            <a:ln>
                              <a:noFill/>
                            </a:ln>
                          </wps:spPr>
                          <wps:txbx>
                            <w:txbxContent>
                              <w:p>
                                <w:pPr>
                                  <w:jc w:val="center"/>
                                  <w:rPr>
                                    <w:rFonts w:hint="eastAsia"/>
                                  </w:rPr>
                                </w:pPr>
                                <w:r>
                                  <w:rPr>
                                    <w:rFonts w:hint="eastAsia"/>
                                  </w:rPr>
                                  <w:t>消毒</w:t>
                                </w:r>
                              </w:p>
                            </w:txbxContent>
                          </wps:txbx>
                          <wps:bodyPr upright="1"/>
                        </wps:wsp>
                        <wps:wsp>
                          <wps:cNvPr id="159" name="矩形 159"/>
                          <wps:cNvSpPr/>
                          <wps:spPr>
                            <a:xfrm>
                              <a:off x="5179" y="13629"/>
                              <a:ext cx="938" cy="408"/>
                            </a:xfrm>
                            <a:prstGeom prst="rect">
                              <a:avLst/>
                            </a:prstGeom>
                            <a:noFill/>
                            <a:ln>
                              <a:noFill/>
                            </a:ln>
                          </wps:spPr>
                          <wps:txbx>
                            <w:txbxContent>
                              <w:p>
                                <w:pPr>
                                  <w:jc w:val="center"/>
                                  <w:rPr>
                                    <w:rFonts w:hint="eastAsia"/>
                                  </w:rPr>
                                </w:pPr>
                                <w:r>
                                  <w:rPr>
                                    <w:rFonts w:hint="eastAsia"/>
                                  </w:rPr>
                                  <w:t>水</w:t>
                                </w:r>
                              </w:p>
                            </w:txbxContent>
                          </wps:txbx>
                          <wps:bodyPr upright="1"/>
                        </wps:wsp>
                        <wps:wsp>
                          <wps:cNvPr id="160" name="矩形 160"/>
                          <wps:cNvSpPr/>
                          <wps:spPr>
                            <a:xfrm>
                              <a:off x="6901" y="13629"/>
                              <a:ext cx="938" cy="408"/>
                            </a:xfrm>
                            <a:prstGeom prst="rect">
                              <a:avLst/>
                            </a:prstGeom>
                            <a:noFill/>
                            <a:ln>
                              <a:noFill/>
                            </a:ln>
                          </wps:spPr>
                          <wps:txbx>
                            <w:txbxContent>
                              <w:p>
                                <w:pPr>
                                  <w:jc w:val="center"/>
                                  <w:rPr>
                                    <w:rFonts w:hint="eastAsia"/>
                                  </w:rPr>
                                </w:pPr>
                                <w:r>
                                  <w:rPr>
                                    <w:rFonts w:hint="eastAsia"/>
                                  </w:rPr>
                                  <w:t>加药</w:t>
                                </w:r>
                              </w:p>
                            </w:txbxContent>
                          </wps:txbx>
                          <wps:bodyPr upright="1"/>
                        </wps:wsp>
                        <wps:wsp>
                          <wps:cNvPr id="161" name="矩形 161"/>
                          <wps:cNvSpPr/>
                          <wps:spPr>
                            <a:xfrm>
                              <a:off x="8310" y="14580"/>
                              <a:ext cx="782" cy="408"/>
                            </a:xfrm>
                            <a:prstGeom prst="rect">
                              <a:avLst/>
                            </a:prstGeom>
                            <a:noFill/>
                            <a:ln>
                              <a:noFill/>
                            </a:ln>
                          </wps:spPr>
                          <wps:txbx>
                            <w:txbxContent>
                              <w:p>
                                <w:pPr>
                                  <w:jc w:val="center"/>
                                  <w:rPr>
                                    <w:rFonts w:hint="eastAsia"/>
                                  </w:rPr>
                                </w:pPr>
                                <w:r>
                                  <w:rPr>
                                    <w:rFonts w:hint="eastAsia"/>
                                  </w:rPr>
                                  <w:t>排放</w:t>
                                </w:r>
                              </w:p>
                            </w:txbxContent>
                          </wps:txbx>
                          <wps:bodyPr upright="1"/>
                        </wps:wsp>
                      </wpg:wgp>
                    </wpc:wpc>
                  </a:graphicData>
                </a:graphic>
              </wp:inline>
            </w:drawing>
          </mc:Choice>
          <mc:Fallback>
            <w:pict>
              <v:group id="_x0000_s1026" o:spid="_x0000_s1026" o:spt="203" style="height:101.4pt;width:414pt;" coordsize="5257800,1287780" editas="canvas" o:gfxdata="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">
                <o:lock v:ext="edit" aspectratio="f"/>
                <v:shape id="_x0000_s1026" o:spid="_x0000_s1026" style="position:absolute;left:0;top:0;height:1287780;width:5257800;" filled="f" stroked="f" coordsize="21600,21600" o:gfxdata="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">
                  <v:fill on="f" focussize="0,0"/>
                  <v:stroke on="f"/>
                  <v:imagedata o:title=""/>
                  <o:lock v:ext="edit" aspectratio="t"/>
                </v:shape>
                <v:group id="_x0000_s1026" o:spid="_x0000_s1026" o:spt="203" style="position:absolute;left:114649;top:99116;height:990432;width:4799933;" coordorigin="2519,13629" coordsize="6573,1359" o:gfxdata="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">
                  <o:lock v:ext="edit" aspectratio="f"/>
                  <v:line id="_x0000_s1026" o:spid="_x0000_s1026" o:spt="20" style="position:absolute;left:2988;top:14716;height:1;width:626;" filled="f" stroked="t" coordsize="21600,21600" o:gfxdata="UEsDBAoAAAAAAIdO4kAAAAAAAAAAAAAAAAAEAAAAZHJzL1BLAwQUAAAACACHTuJA4e3u670AAADc&#10;AAAADwAAAGRycy9kb3ducmV2LnhtbEVPS2vCQBC+F/wPywi91U2klB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7e7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49;top:14037;height:543;width:1;" filled="f" stroked="t" coordsize="21600,21600" o:gfxdata="UEsDBAoAAAAAAIdO4kAAAAAAAAAAAAAAAAAEAAAAZHJzL1BLAwQUAAAACACHTuJA9Q7Rq8AAAADc&#10;AAAADwAAAGRycy9kb3ducmV2LnhtbEWPT2vCQBDF74V+h2UK3uomg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DtG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397;top:14716;height:1;width:626;" filled="f" stroked="t" coordsize="21600,21600" o:gfxdata="UEsDBAoAAAAAAIdO4kAAAAAAAAAAAAAAAAAEAAAAZHJzL1BLAwQUAAAACACHTuJAmkJ0ML0AAADc&#10;AAAADwAAAGRycy9kb3ducmV2LnhtbEVPS2vCQBC+F/oflil4q5sISk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QnQ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432;top:14716;height:1;width:625;" filled="f" stroked="t" coordsize="21600,21600" o:gfxdata="UEsDBAoAAAAAAIdO4kAAAAAAAAAAAAAAAAAEAAAAZHJzL1BLAwQUAAAACACHTuJAapDqR74AAADc&#10;AAAADwAAAGRycy9kb3ducmV2LnhtbEVPS2vCQBC+F/wPywje6iaC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DqR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684;top:14716;height:1;width:626;" filled="f" stroked="t" coordsize="21600,21600" o:gfxdata="UEsDBAoAAAAAAIdO4kAAAAAAAAAAAAAAAAAEAAAAZHJzL1BLAwQUAAAACACHTuJABdxP3L0AAADc&#10;AAAADwAAAGRycy9kb3ducmV2LnhtbEVPS2vCQBC+F/wPywi91U0sl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3E/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7371;top:14037;height:542;width:1;" filled="f" stroked="t" coordsize="21600,21600" o:gfxdata="UEsDBAoAAAAAAIdO4kAAAAAAAAAAAAAAAAAEAAAAZHJzL1BLAwQUAAAACACHTuJAijXXqL0AAADc&#10;AAAADwAAAGRycy9kb3ducmV2LnhtbEVPS2vCQBC+F/wPywi91U2kl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Nde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2519;top:14580;height:408;width:782;" filled="f" stroked="f" coordsize="21600,21600" o:gfxdata="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gQG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rPr>
                          </w:pPr>
                          <w:r>
                            <w:rPr>
                              <w:rFonts w:hint="eastAsia"/>
                            </w:rPr>
                            <w:t>污水</w:t>
                          </w:r>
                        </w:p>
                      </w:txbxContent>
                    </v:textbox>
                  </v:rect>
                  <v:rect id="_x0000_s1026" o:spid="_x0000_s1026" o:spt="1" style="position:absolute;left:3614;top:14580;height:408;width:938;" filled="f" stroked="f" coordsize="21600,21600" o:gfxdata="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qOb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rPr>
                          </w:pPr>
                          <w:r>
                            <w:rPr>
                              <w:rFonts w:hint="eastAsia"/>
                            </w:rPr>
                            <w:t>调节池</w:t>
                          </w:r>
                        </w:p>
                      </w:txbxContent>
                    </v:textbox>
                  </v:rect>
                  <v:rect id="_x0000_s1026" o:spid="_x0000_s1026" o:spt="1" style="position:absolute;left:5023;top:14580;height:408;width:1407;" filled="f" stroked="f" coordsize="21600,21600" o:gfxdata="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Yr9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rPr>
                          </w:pPr>
                          <w:r>
                            <w:rPr>
                              <w:rFonts w:hint="eastAsia"/>
                            </w:rPr>
                            <w:t>接触氧化池</w:t>
                          </w:r>
                        </w:p>
                      </w:txbxContent>
                    </v:textbox>
                  </v:rect>
                  <v:rect id="_x0000_s1026" o:spid="_x0000_s1026" o:spt="1" style="position:absolute;left:7058;top:14580;height:408;width:781;" filled="f" stroked="f" coordsize="21600,21600" o:gfxdata="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pv4S/&#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jc w:val="center"/>
                            <w:rPr>
                              <w:rFonts w:hint="eastAsia"/>
                            </w:rPr>
                          </w:pPr>
                          <w:r>
                            <w:rPr>
                              <w:rFonts w:hint="eastAsia"/>
                            </w:rPr>
                            <w:t>消毒</w:t>
                          </w:r>
                        </w:p>
                      </w:txbxContent>
                    </v:textbox>
                  </v:rect>
                  <v:rect id="_x0000_s1026" o:spid="_x0000_s1026" o:spt="1" style="position:absolute;left:5179;top:13629;height:408;width:938;" filled="f" stroked="f" coordsize="21600,21600" o:gfxdata="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UaH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hint="eastAsia"/>
                            </w:rPr>
                          </w:pPr>
                          <w:r>
                            <w:rPr>
                              <w:rFonts w:hint="eastAsia"/>
                            </w:rPr>
                            <w:t>水</w:t>
                          </w:r>
                        </w:p>
                      </w:txbxContent>
                    </v:textbox>
                  </v:rect>
                  <v:rect id="_x0000_s1026" o:spid="_x0000_s1026" o:spt="1" style="position:absolute;left:6901;top:13629;height:408;width:938;" filled="f" stroked="f" coordsize="21600,21600" o:gfxdata="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N5P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hint="eastAsia"/>
                            </w:rPr>
                          </w:pPr>
                          <w:r>
                            <w:rPr>
                              <w:rFonts w:hint="eastAsia"/>
                            </w:rPr>
                            <w:t>加药</w:t>
                          </w:r>
                        </w:p>
                      </w:txbxContent>
                    </v:textbox>
                  </v:rect>
                  <v:rect id="_x0000_s1026" o:spid="_x0000_s1026" o:spt="1" style="position:absolute;left:8310;top:14580;height:408;width:782;" filled="f" stroked="f" coordsize="21600,21600" o:gfxdata="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3K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hint="eastAsia"/>
                            </w:rPr>
                          </w:pPr>
                          <w:r>
                            <w:rPr>
                              <w:rFonts w:hint="eastAsia"/>
                            </w:rPr>
                            <w:t>排放</w:t>
                          </w:r>
                        </w:p>
                      </w:txbxContent>
                    </v:textbox>
                  </v:rect>
                </v:group>
                <w10:wrap type="none"/>
                <w10:anchorlock/>
              </v:group>
            </w:pict>
          </mc:Fallback>
        </mc:AlternateContent>
      </w:r>
    </w:p>
    <w:p>
      <w:pPr>
        <w:spacing w:line="360" w:lineRule="auto"/>
        <w:ind w:firstLine="420" w:firstLineChars="200"/>
        <w:rPr>
          <w:rFonts w:hint="eastAsia"/>
        </w:rPr>
      </w:pPr>
      <w:r>
        <w:rPr>
          <w:rFonts w:hint="eastAsia"/>
        </w:rPr>
        <w:t>排放量52.6m</w:t>
      </w:r>
      <w:r>
        <w:rPr>
          <w:rFonts w:hint="eastAsia"/>
          <w:vertAlign w:val="superscript"/>
        </w:rPr>
        <w:t>3</w:t>
      </w:r>
      <w:r>
        <w:rPr>
          <w:rFonts w:hint="eastAsia"/>
        </w:rPr>
        <w:t>/d，考虑15%的不均衡系数，本评价要求粉磨站污水处理站规模应不小于60m</w:t>
      </w:r>
      <w:r>
        <w:rPr>
          <w:rFonts w:hint="eastAsia"/>
          <w:vertAlign w:val="superscript"/>
        </w:rPr>
        <w:t>3</w:t>
      </w:r>
      <w:r>
        <w:rPr>
          <w:rFonts w:hint="eastAsia"/>
        </w:rPr>
        <w:t>/d。</w:t>
      </w:r>
    </w:p>
    <w:p>
      <w:pPr>
        <w:spacing w:line="360" w:lineRule="auto"/>
        <w:ind w:firstLine="420" w:firstLineChars="200"/>
        <w:rPr>
          <w:rFonts w:hint="eastAsia"/>
        </w:rPr>
      </w:pPr>
      <w:r>
        <w:rPr>
          <w:rFonts w:hint="eastAsia"/>
        </w:rPr>
        <w:t>为保证出水水质达标排放，建议在厂区各废水排放口附近先进行预处理，如在化验室排水口设中和沉淀池，在锅炉房排水口设降温池，在厕所排放口设化粪池等。上述污水经预处理后，由厂区排水管网入污水处理站。废水经二级生化处理后达标后排放。</w:t>
      </w:r>
    </w:p>
    <w:p>
      <w:pPr>
        <w:spacing w:line="360" w:lineRule="auto"/>
        <w:rPr>
          <w:rFonts w:hint="eastAsia"/>
          <w:b/>
        </w:rPr>
      </w:pPr>
      <w:r>
        <w:rPr>
          <w:rFonts w:hint="eastAsia"/>
          <w:b/>
        </w:rPr>
        <w:t>10.2.3处理后的出水水质及去向</w:t>
      </w:r>
    </w:p>
    <w:p>
      <w:pPr>
        <w:snapToGrid w:val="0"/>
        <w:spacing w:line="360" w:lineRule="auto"/>
        <w:ind w:firstLine="422" w:firstLineChars="201"/>
        <w:rPr>
          <w:rFonts w:hint="eastAsia"/>
        </w:rPr>
      </w:pPr>
      <w:r>
        <w:rPr>
          <w:rFonts w:hint="eastAsia"/>
        </w:rPr>
        <w:t>经处理后的生活及辅助设施污水达到《污水综合排放标准》(GB8978—1996)中一级标准，污水经过二级生化处理装置处理后排入厂区北侧</w:t>
      </w:r>
      <w:r>
        <w:rPr>
          <w:rFonts w:hint="eastAsia" w:ascii="宋体" w:hAnsi="宋体"/>
        </w:rPr>
        <w:t>北侧无名溪沟经玉石桥河最终汇入梁滩河。</w:t>
      </w:r>
      <w:r>
        <w:rPr>
          <w:rFonts w:hint="eastAsia"/>
        </w:rPr>
        <w:t>地表水的预测结果表明，废水排放对纳污水体不产生明显的不利影响。</w:t>
      </w:r>
    </w:p>
    <w:p>
      <w:pPr>
        <w:spacing w:before="24" w:beforeLines="10" w:after="24" w:afterLines="10" w:line="460" w:lineRule="exact"/>
        <w:outlineLvl w:val="1"/>
        <w:rPr>
          <w:rFonts w:hint="eastAsia"/>
          <w:b/>
        </w:rPr>
      </w:pPr>
      <w:bookmarkStart w:id="395" w:name="_Toc276372265"/>
      <w:bookmarkStart w:id="396" w:name="_Toc189814187"/>
      <w:bookmarkStart w:id="397" w:name="_Toc473281544"/>
      <w:r>
        <w:rPr>
          <w:rFonts w:hint="eastAsia"/>
          <w:b/>
        </w:rPr>
        <w:t>10.3</w:t>
      </w:r>
      <w:bookmarkStart w:id="398" w:name="_Toc227983620"/>
      <w:r>
        <w:rPr>
          <w:rFonts w:hint="eastAsia"/>
          <w:b/>
        </w:rPr>
        <w:t xml:space="preserve"> 环境噪声污染防治</w:t>
      </w:r>
      <w:bookmarkEnd w:id="398"/>
      <w:r>
        <w:rPr>
          <w:rFonts w:hint="eastAsia"/>
          <w:b/>
        </w:rPr>
        <w:t>措施</w:t>
      </w:r>
      <w:bookmarkEnd w:id="395"/>
    </w:p>
    <w:p>
      <w:pPr>
        <w:spacing w:line="360" w:lineRule="auto"/>
        <w:ind w:firstLine="420" w:firstLineChars="200"/>
        <w:rPr>
          <w:rFonts w:hint="eastAsia"/>
        </w:rPr>
      </w:pPr>
      <w:r>
        <w:rPr>
          <w:rFonts w:hint="eastAsia"/>
        </w:rPr>
        <w:t>为提高水泥厂周围环境声学质量，保护人群身体健康，设备噪声源应采取有效的管理措施和治理对策，针对水泥厂声源特点，提出如下建议：</w:t>
      </w:r>
    </w:p>
    <w:p>
      <w:pPr>
        <w:spacing w:line="360" w:lineRule="auto"/>
        <w:ind w:firstLine="420" w:firstLineChars="200"/>
        <w:rPr>
          <w:rFonts w:hint="eastAsia"/>
        </w:rPr>
      </w:pPr>
      <w:r>
        <w:rPr>
          <w:rFonts w:hint="eastAsia"/>
        </w:rPr>
        <w:t>（1）一定要根据国家环保法中“三同时”的要求，在项目工程设计时，针对各类噪声源的声学特征和生产流程的实际情况，设计出最佳的噪声控制方案，噪声源的治理工程与主体工程一并施工，这样既能提高治理效果，又可节约大量经费。</w:t>
      </w:r>
    </w:p>
    <w:p>
      <w:pPr>
        <w:spacing w:line="360" w:lineRule="auto"/>
        <w:ind w:firstLine="420" w:firstLineChars="200"/>
        <w:rPr>
          <w:rFonts w:hint="eastAsia"/>
        </w:rPr>
      </w:pPr>
      <w:r>
        <w:rPr>
          <w:rFonts w:hint="eastAsia"/>
        </w:rPr>
        <w:t>（2）煤磨、原料磨等在运转过程中产生高频机械噪声，以噪声产生的机理和生产流程考虑，要从噪声源较大幅度降低难度较大，一般治理措施是尽可能将磨机安装在具有一定隔声效果的隔声房中，为了增加隔声量和降低室内混响声，可在室内壁敷设吸声材料，室顶悬挂吸声吊顶，控制噪声对外界环境的污染。</w:t>
      </w:r>
    </w:p>
    <w:p>
      <w:pPr>
        <w:spacing w:line="360" w:lineRule="auto"/>
        <w:ind w:firstLine="420" w:firstLineChars="200"/>
        <w:rPr>
          <w:rFonts w:hint="eastAsia"/>
        </w:rPr>
      </w:pPr>
      <w:r>
        <w:rPr>
          <w:rFonts w:hint="eastAsia"/>
        </w:rPr>
        <w:t>（3）水泥厂对外环境影响最大的噪声源是各类风机，故风机是需治理的重点声源。风机噪声是以动力性气流噪声为主，声的传播途径较多，一般通过进风口、出风口、机壳及基础传播出来，因而对风机噪声的控制，应针对这四种传播途径采取相应的控制措施。在风机的进、出口装置宽频衰减、阻损小的阻性消声器；风机机壳敷设一定厚度的吸声材料；安装风机的地基要设计合理的参数，安装时采用减振措施，这样既降低因设备安装不良而产生的机械噪声，也防止固体噪声通过地基传播到外界环境。</w:t>
      </w:r>
    </w:p>
    <w:p>
      <w:pPr>
        <w:spacing w:line="360" w:lineRule="auto"/>
        <w:ind w:firstLine="420" w:firstLineChars="200"/>
        <w:rPr>
          <w:rFonts w:hint="eastAsia"/>
        </w:rPr>
      </w:pPr>
      <w:r>
        <w:rPr>
          <w:rFonts w:hint="eastAsia"/>
        </w:rPr>
        <w:t>（4）水泥厂高噪声车间较多，要使所有车间噪声水平皆达到《工业企业噪声卫生标准》(TJ36—79)难度较大，对有些车间设备运转不需要作业人员连续操作，如空压机房、各类磨房，在保证车间设备噪声对厂区外环境达标排放的前提下，可在车间内部设置有一定隔声效果的观察室、休息室，使这些室内的噪声水平达到《工业企业噪声控制设计规范》(GBJ87—85)中规定标准要求。即观察室低于60dB(A)，休息室低于70dB(A)。但观察室和休息室设计参数要避免产生低噪共振或吻合效应。从预测结果看出，经采取设计和评价推荐的噪声控制措施后，技改项目正常生产运行时，按《工业企业厂界噪声标准》（GB12348-2008）中2类标准评价，昼间厂界噪声均能达标；夜间噪声西厂界超标，超标4.5dB，由于西厂界无居民点，不会产生噪声扰民的现象。</w:t>
      </w:r>
    </w:p>
    <w:p>
      <w:pPr>
        <w:spacing w:line="360" w:lineRule="auto"/>
        <w:ind w:firstLine="420" w:firstLineChars="200"/>
        <w:rPr>
          <w:rFonts w:hint="eastAsia"/>
        </w:rPr>
      </w:pPr>
      <w:r>
        <w:rPr>
          <w:rFonts w:hint="eastAsia"/>
        </w:rPr>
        <w:t>（5）加强厂区绿化是降低噪声对环境污染的有效措施，绿化的重点地带是：高噪声源车间的周围，厂区各向边界环境，厂区道路两侧。绿化树种应选择吸声效果较好的冷杉、松树和阔叶树类。</w:t>
      </w:r>
    </w:p>
    <w:p>
      <w:pPr>
        <w:spacing w:line="360" w:lineRule="auto"/>
        <w:ind w:firstLine="420" w:firstLineChars="200"/>
        <w:rPr>
          <w:rFonts w:hint="eastAsia"/>
        </w:rPr>
      </w:pPr>
      <w:r>
        <w:rPr>
          <w:rFonts w:hint="eastAsia"/>
        </w:rPr>
        <w:t>（6）在总图上优化布置，在满足工艺的前提下，尽可能将高噪声设备布置在厂区中部并利用建筑隔声，以减少对外部环境的影响。</w:t>
      </w:r>
    </w:p>
    <w:p>
      <w:pPr>
        <w:spacing w:before="24" w:beforeLines="10" w:after="24" w:afterLines="10" w:line="460" w:lineRule="exact"/>
        <w:outlineLvl w:val="1"/>
        <w:rPr>
          <w:rFonts w:hint="eastAsia"/>
          <w:b/>
        </w:rPr>
      </w:pPr>
      <w:bookmarkStart w:id="399" w:name="_Toc276372266"/>
      <w:r>
        <w:rPr>
          <w:rFonts w:hint="eastAsia"/>
          <w:b/>
        </w:rPr>
        <w:t>10.4 固体废物处置</w:t>
      </w:r>
      <w:bookmarkEnd w:id="396"/>
      <w:bookmarkEnd w:id="397"/>
      <w:bookmarkEnd w:id="399"/>
    </w:p>
    <w:p>
      <w:pPr>
        <w:spacing w:line="460" w:lineRule="exact"/>
        <w:ind w:firstLine="420" w:firstLineChars="200"/>
        <w:rPr>
          <w:rFonts w:hint="eastAsia" w:ascii="宋体" w:hAnsi="宋体"/>
        </w:rPr>
      </w:pPr>
      <w:r>
        <w:rPr>
          <w:rFonts w:hint="eastAsia"/>
        </w:rPr>
        <w:t>技改项目固体废物主要为除尘灰、生活污水处理污泥、</w:t>
      </w:r>
      <w:r>
        <w:rPr>
          <w:rFonts w:hint="eastAsia" w:ascii="宋体" w:hAnsi="宋体"/>
        </w:rPr>
        <w:t>生活垃圾。</w:t>
      </w:r>
    </w:p>
    <w:p>
      <w:pPr>
        <w:widowControl/>
        <w:spacing w:line="460" w:lineRule="exact"/>
        <w:ind w:firstLine="420" w:firstLineChars="200"/>
        <w:rPr>
          <w:rFonts w:hint="eastAsia"/>
        </w:rPr>
      </w:pPr>
      <w:r>
        <w:rPr>
          <w:rFonts w:hint="eastAsia"/>
        </w:rPr>
        <w:t>（1）除尘灰</w:t>
      </w:r>
    </w:p>
    <w:p>
      <w:pPr>
        <w:spacing w:line="460" w:lineRule="exact"/>
        <w:ind w:firstLine="420" w:firstLineChars="200"/>
        <w:rPr>
          <w:rFonts w:hint="eastAsia" w:ascii="宋体" w:hAnsi="宋体"/>
        </w:rPr>
      </w:pPr>
      <w:r>
        <w:rPr>
          <w:rFonts w:hint="eastAsia"/>
        </w:rPr>
        <w:t>各粉尘和烟尘除尘器除尘产生收集下来的除尘灰，全部由水泥原料或产品构成</w:t>
      </w:r>
      <w:r>
        <w:rPr>
          <w:rFonts w:hint="eastAsia" w:ascii="宋体" w:hAnsi="宋体"/>
        </w:rPr>
        <w:t>。</w:t>
      </w:r>
      <w:r>
        <w:rPr>
          <w:rFonts w:hint="eastAsia"/>
        </w:rPr>
        <w:t>采取收集后作生产原料回用或产品外售利用，不排放</w:t>
      </w:r>
      <w:r>
        <w:rPr>
          <w:rFonts w:hint="eastAsia" w:ascii="宋体" w:hAnsi="宋体"/>
        </w:rPr>
        <w:t>。</w:t>
      </w:r>
    </w:p>
    <w:p>
      <w:pPr>
        <w:spacing w:line="460" w:lineRule="exact"/>
        <w:ind w:firstLine="420" w:firstLineChars="200"/>
        <w:rPr>
          <w:rFonts w:hint="eastAsia"/>
        </w:rPr>
      </w:pPr>
      <w:r>
        <w:rPr>
          <w:rFonts w:hint="eastAsia" w:ascii="宋体" w:hAnsi="宋体"/>
        </w:rPr>
        <w:t>（2）</w:t>
      </w:r>
      <w:r>
        <w:rPr>
          <w:rFonts w:hint="eastAsia"/>
        </w:rPr>
        <w:t>生活污水处理污泥</w:t>
      </w:r>
    </w:p>
    <w:p>
      <w:pPr>
        <w:spacing w:line="460" w:lineRule="exact"/>
        <w:ind w:firstLine="420" w:firstLineChars="200"/>
        <w:rPr>
          <w:rFonts w:hint="eastAsia"/>
        </w:rPr>
      </w:pPr>
      <w:r>
        <w:rPr>
          <w:rFonts w:hint="eastAsia"/>
        </w:rPr>
        <w:t>职工生活污水采取生化工艺处理时，产生污泥</w:t>
      </w:r>
      <w:r>
        <w:rPr>
          <w:rFonts w:hint="eastAsia" w:ascii="宋体" w:hAnsi="宋体"/>
        </w:rPr>
        <w:t>。</w:t>
      </w:r>
      <w:r>
        <w:rPr>
          <w:rFonts w:hint="eastAsia"/>
        </w:rPr>
        <w:t>由于该污泥的成分与粘土类似，故可直接送水泥回转窑作水泥原料煅烧，不排放。</w:t>
      </w:r>
    </w:p>
    <w:p>
      <w:pPr>
        <w:spacing w:line="460" w:lineRule="exact"/>
        <w:ind w:firstLine="420" w:firstLineChars="200"/>
        <w:rPr>
          <w:rFonts w:hint="eastAsia" w:ascii="宋体" w:hAnsi="宋体"/>
        </w:rPr>
      </w:pPr>
      <w:r>
        <w:rPr>
          <w:rFonts w:hint="eastAsia" w:ascii="宋体" w:hAnsi="宋体"/>
        </w:rPr>
        <w:t>（3）生活垃圾</w:t>
      </w:r>
    </w:p>
    <w:p>
      <w:pPr>
        <w:spacing w:line="460" w:lineRule="exact"/>
        <w:ind w:firstLine="420" w:firstLineChars="200"/>
        <w:rPr>
          <w:rFonts w:hint="eastAsia"/>
        </w:rPr>
      </w:pPr>
      <w:r>
        <w:rPr>
          <w:rFonts w:hint="eastAsia"/>
        </w:rPr>
        <w:t>全厂职工生活生活垃圾采取在厂区内设生活垃圾转运站，集中收集后，由青木关镇环卫部门送城市垃圾处理场卫生填埋。</w:t>
      </w:r>
    </w:p>
    <w:p>
      <w:pPr>
        <w:widowControl/>
        <w:spacing w:line="460" w:lineRule="exact"/>
        <w:ind w:firstLine="420" w:firstLineChars="200"/>
        <w:rPr>
          <w:rFonts w:hint="eastAsia"/>
        </w:rPr>
      </w:pPr>
      <w:r>
        <w:rPr>
          <w:rFonts w:hint="eastAsia"/>
        </w:rPr>
        <w:t>水泥装置各粉尘和烟尘除尘器产生的除尘灰、生活污水处理污泥回收利用已在国内水泥生产中普遍应用，所以是合理可行的。</w:t>
      </w:r>
    </w:p>
    <w:p>
      <w:pPr>
        <w:spacing w:before="24" w:beforeLines="10" w:after="24" w:afterLines="10" w:line="460" w:lineRule="exact"/>
        <w:outlineLvl w:val="1"/>
        <w:rPr>
          <w:rFonts w:hint="eastAsia"/>
          <w:b/>
        </w:rPr>
      </w:pPr>
      <w:bookmarkStart w:id="400" w:name="_Toc276372267"/>
      <w:r>
        <w:rPr>
          <w:rFonts w:hint="eastAsia"/>
          <w:b/>
        </w:rPr>
        <w:t>10.5环境监测</w:t>
      </w:r>
      <w:bookmarkEnd w:id="400"/>
    </w:p>
    <w:p>
      <w:pPr>
        <w:spacing w:before="24" w:beforeLines="10" w:after="24" w:afterLines="10" w:line="460" w:lineRule="exact"/>
        <w:rPr>
          <w:rFonts w:hint="eastAsia" w:ascii="宋体" w:hAnsi="宋体"/>
          <w:bCs/>
        </w:rPr>
      </w:pPr>
      <w:r>
        <w:rPr>
          <w:rFonts w:hint="eastAsia"/>
        </w:rPr>
        <w:t xml:space="preserve">   </w:t>
      </w:r>
      <w:r>
        <w:rPr>
          <w:rFonts w:hint="eastAsia" w:ascii="宋体" w:hAnsi="宋体"/>
          <w:bCs/>
        </w:rPr>
        <w:t xml:space="preserve"> 公司应配备监测常规设备，安装</w:t>
      </w:r>
      <w:r>
        <w:rPr>
          <w:rFonts w:ascii="宋体" w:hAnsi="宋体"/>
          <w:bCs/>
        </w:rPr>
        <w:t>窑尾</w:t>
      </w:r>
      <w:r>
        <w:rPr>
          <w:rFonts w:hint="eastAsia" w:ascii="宋体" w:hAnsi="宋体"/>
          <w:bCs/>
        </w:rPr>
        <w:t>、窑头</w:t>
      </w:r>
      <w:r>
        <w:rPr>
          <w:rFonts w:ascii="宋体" w:hAnsi="宋体"/>
          <w:bCs/>
        </w:rPr>
        <w:t>废气</w:t>
      </w:r>
      <w:r>
        <w:rPr>
          <w:rFonts w:hint="eastAsia" w:ascii="宋体" w:hAnsi="宋体"/>
          <w:bCs/>
        </w:rPr>
        <w:t>在线监测，在投产后应进行环保设施“三同时”竣工验收。</w:t>
      </w:r>
    </w:p>
    <w:p>
      <w:pPr>
        <w:spacing w:before="24" w:beforeLines="10" w:after="24" w:afterLines="10" w:line="360" w:lineRule="auto"/>
        <w:outlineLvl w:val="1"/>
        <w:rPr>
          <w:rFonts w:hint="eastAsia"/>
          <w:b/>
        </w:rPr>
      </w:pPr>
      <w:bookmarkStart w:id="401" w:name="_Toc165607406"/>
      <w:bookmarkStart w:id="402" w:name="_Toc189814189"/>
      <w:bookmarkStart w:id="403" w:name="_Toc276372268"/>
      <w:bookmarkStart w:id="404" w:name="_Toc473281546"/>
      <w:bookmarkStart w:id="405" w:name="_Toc175479859"/>
      <w:bookmarkStart w:id="406" w:name="_Toc129763764"/>
      <w:r>
        <w:rPr>
          <w:rFonts w:hint="eastAsia"/>
          <w:b/>
        </w:rPr>
        <w:t>10.6厂区绿化</w:t>
      </w:r>
      <w:bookmarkEnd w:id="401"/>
      <w:bookmarkEnd w:id="402"/>
      <w:bookmarkEnd w:id="403"/>
      <w:bookmarkEnd w:id="404"/>
      <w:bookmarkEnd w:id="405"/>
      <w:bookmarkEnd w:id="406"/>
    </w:p>
    <w:p>
      <w:pPr>
        <w:spacing w:line="360" w:lineRule="auto"/>
        <w:ind w:firstLine="592" w:firstLineChars="282"/>
        <w:rPr>
          <w:rFonts w:ascii="宋体" w:hAnsi="宋体"/>
          <w:bCs/>
        </w:rPr>
      </w:pPr>
      <w:r>
        <w:rPr>
          <w:rFonts w:ascii="宋体" w:hAnsi="宋体"/>
          <w:bCs/>
        </w:rPr>
        <w:t>全厂绿化布置分为道路绿化和重点绿化。</w:t>
      </w:r>
    </w:p>
    <w:p>
      <w:pPr>
        <w:spacing w:line="360" w:lineRule="auto"/>
        <w:ind w:firstLine="592" w:firstLineChars="282"/>
        <w:rPr>
          <w:rFonts w:ascii="宋体" w:hAnsi="宋体"/>
          <w:bCs/>
        </w:rPr>
      </w:pPr>
      <w:r>
        <w:rPr>
          <w:rFonts w:ascii="宋体" w:hAnsi="宋体"/>
          <w:bCs/>
        </w:rPr>
        <w:t>道路绿化：在道路一侧或两侧布置行道树。</w:t>
      </w:r>
    </w:p>
    <w:p>
      <w:pPr>
        <w:spacing w:line="360" w:lineRule="auto"/>
        <w:ind w:firstLine="592" w:firstLineChars="282"/>
        <w:rPr>
          <w:rFonts w:ascii="宋体" w:hAnsi="宋体"/>
          <w:bCs/>
        </w:rPr>
      </w:pPr>
      <w:r>
        <w:rPr>
          <w:rFonts w:ascii="宋体" w:hAnsi="宋体"/>
          <w:bCs/>
        </w:rPr>
        <w:t>重点绿化：对厂前区及预留区地带进行重点绿化。布置较密的乔木群，以形成隔离带，达到防尘和隔噪音的作用。</w:t>
      </w:r>
    </w:p>
    <w:p>
      <w:pPr>
        <w:spacing w:line="360" w:lineRule="auto"/>
        <w:ind w:firstLine="592" w:firstLineChars="282"/>
        <w:rPr>
          <w:rFonts w:hint="eastAsia" w:ascii="宋体" w:hAnsi="宋体"/>
          <w:bCs/>
        </w:rPr>
      </w:pPr>
      <w:r>
        <w:rPr>
          <w:rFonts w:ascii="宋体" w:hAnsi="宋体"/>
          <w:bCs/>
        </w:rPr>
        <w:t>选用树种以针叶树为主。日常管理应加强对路面及绿化植被的冲洗，以达到最佳效果。</w:t>
      </w:r>
    </w:p>
    <w:p>
      <w:pPr>
        <w:spacing w:before="24" w:beforeLines="10" w:after="24" w:afterLines="10" w:line="360" w:lineRule="auto"/>
        <w:outlineLvl w:val="1"/>
        <w:rPr>
          <w:rFonts w:hint="eastAsia"/>
          <w:b/>
        </w:rPr>
      </w:pPr>
      <w:bookmarkStart w:id="407" w:name="_Toc473281547"/>
      <w:bookmarkStart w:id="408" w:name="_Toc189814190"/>
      <w:bookmarkStart w:id="409" w:name="_Toc175479860"/>
      <w:bookmarkStart w:id="410" w:name="_Toc276372269"/>
      <w:bookmarkStart w:id="411" w:name="_Toc165607407"/>
      <w:bookmarkStart w:id="412" w:name="_Toc129763765"/>
      <w:r>
        <w:rPr>
          <w:rFonts w:hint="eastAsia"/>
          <w:b/>
        </w:rPr>
        <w:t>10.7环保投资</w:t>
      </w:r>
      <w:bookmarkEnd w:id="407"/>
      <w:bookmarkEnd w:id="408"/>
      <w:bookmarkEnd w:id="409"/>
      <w:bookmarkEnd w:id="410"/>
      <w:bookmarkEnd w:id="411"/>
      <w:bookmarkEnd w:id="412"/>
      <w:r>
        <w:rPr>
          <w:rFonts w:hint="eastAsia"/>
          <w:b/>
        </w:rPr>
        <w:t xml:space="preserve"> </w:t>
      </w:r>
    </w:p>
    <w:p>
      <w:pPr>
        <w:spacing w:line="460" w:lineRule="exact"/>
        <w:ind w:firstLine="420" w:firstLineChars="200"/>
        <w:rPr>
          <w:rFonts w:hint="eastAsia"/>
        </w:rPr>
      </w:pPr>
      <w:r>
        <w:rPr>
          <w:rFonts w:hint="eastAsia"/>
        </w:rPr>
        <w:t>技改项目环保投资估算见表10-1。</w:t>
      </w:r>
    </w:p>
    <w:p>
      <w:pPr>
        <w:spacing w:line="460" w:lineRule="exact"/>
        <w:ind w:firstLine="420" w:firstLineChars="200"/>
        <w:rPr>
          <w:rFonts w:hint="eastAsia"/>
        </w:rPr>
      </w:pPr>
      <w:r>
        <w:rPr>
          <w:rFonts w:hint="eastAsia"/>
        </w:rPr>
        <w:t>由表10-1可见，技改项目环保总投资为2544万元，占项目总投资的9.1％。</w:t>
      </w:r>
    </w:p>
    <w:p>
      <w:pPr>
        <w:spacing w:line="280" w:lineRule="exact"/>
        <w:ind w:firstLine="1446" w:firstLineChars="686"/>
        <w:rPr>
          <w:rFonts w:hint="eastAsia"/>
          <w:b/>
        </w:rPr>
      </w:pPr>
      <w:r>
        <w:rPr>
          <w:rFonts w:hint="eastAsia"/>
          <w:b/>
        </w:rPr>
        <w:t>表10-1          技改项目环保投资概算表</w:t>
      </w:r>
    </w:p>
    <w:tbl>
      <w:tblPr>
        <w:tblStyle w:val="21"/>
        <w:tblW w:w="90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972"/>
        <w:gridCol w:w="2792"/>
        <w:gridCol w:w="2428"/>
        <w:gridCol w:w="1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8" w:hRule="atLeast"/>
          <w:tblHeader/>
          <w:jc w:val="center"/>
        </w:trPr>
        <w:tc>
          <w:tcPr>
            <w:tcW w:w="2608" w:type="dxa"/>
            <w:gridSpan w:val="2"/>
            <w:vAlign w:val="center"/>
          </w:tcPr>
          <w:p>
            <w:pPr>
              <w:spacing w:line="240" w:lineRule="exact"/>
              <w:jc w:val="center"/>
              <w:rPr>
                <w:rFonts w:hint="eastAsia"/>
                <w:sz w:val="18"/>
                <w:szCs w:val="18"/>
              </w:rPr>
            </w:pPr>
            <w:r>
              <w:rPr>
                <w:rFonts w:hint="eastAsia"/>
                <w:sz w:val="18"/>
                <w:szCs w:val="18"/>
              </w:rPr>
              <w:t>项目名称</w:t>
            </w:r>
          </w:p>
        </w:tc>
        <w:tc>
          <w:tcPr>
            <w:tcW w:w="2792" w:type="dxa"/>
            <w:vAlign w:val="center"/>
          </w:tcPr>
          <w:p>
            <w:pPr>
              <w:spacing w:line="240" w:lineRule="exact"/>
              <w:jc w:val="center"/>
              <w:rPr>
                <w:rFonts w:hint="eastAsia"/>
                <w:sz w:val="18"/>
                <w:szCs w:val="18"/>
              </w:rPr>
            </w:pPr>
            <w:r>
              <w:rPr>
                <w:rFonts w:hint="eastAsia"/>
                <w:sz w:val="18"/>
                <w:szCs w:val="18"/>
              </w:rPr>
              <w:t>治理措施</w:t>
            </w:r>
          </w:p>
        </w:tc>
        <w:tc>
          <w:tcPr>
            <w:tcW w:w="2428" w:type="dxa"/>
            <w:vAlign w:val="center"/>
          </w:tcPr>
          <w:p>
            <w:pPr>
              <w:spacing w:line="240" w:lineRule="exact"/>
              <w:jc w:val="center"/>
              <w:rPr>
                <w:rFonts w:hint="eastAsia"/>
                <w:sz w:val="18"/>
                <w:szCs w:val="18"/>
              </w:rPr>
            </w:pPr>
            <w:r>
              <w:rPr>
                <w:rFonts w:hint="eastAsia"/>
                <w:sz w:val="18"/>
                <w:szCs w:val="18"/>
              </w:rPr>
              <w:t>治理效果</w:t>
            </w:r>
          </w:p>
        </w:tc>
        <w:tc>
          <w:tcPr>
            <w:tcW w:w="1209" w:type="dxa"/>
            <w:vAlign w:val="center"/>
          </w:tcPr>
          <w:p>
            <w:pPr>
              <w:spacing w:line="240" w:lineRule="exact"/>
              <w:jc w:val="center"/>
              <w:rPr>
                <w:rFonts w:hint="eastAsia"/>
                <w:sz w:val="18"/>
                <w:szCs w:val="18"/>
              </w:rPr>
            </w:pPr>
            <w:r>
              <w:rPr>
                <w:rFonts w:hint="eastAsia"/>
                <w:sz w:val="18"/>
                <w:szCs w:val="18"/>
              </w:rPr>
              <w:t>环保</w:t>
            </w:r>
          </w:p>
          <w:p>
            <w:pPr>
              <w:spacing w:line="240" w:lineRule="exact"/>
              <w:jc w:val="center"/>
              <w:rPr>
                <w:rFonts w:hint="eastAsia"/>
                <w:sz w:val="18"/>
                <w:szCs w:val="18"/>
              </w:rPr>
            </w:pPr>
            <w:r>
              <w:rPr>
                <w:rFonts w:hint="eastAsia"/>
                <w:sz w:val="18"/>
                <w:szCs w:val="18"/>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636" w:type="dxa"/>
            <w:vMerge w:val="restart"/>
            <w:vAlign w:val="center"/>
          </w:tcPr>
          <w:p>
            <w:pPr>
              <w:spacing w:line="240" w:lineRule="exact"/>
              <w:jc w:val="center"/>
              <w:rPr>
                <w:rFonts w:hint="eastAsia"/>
                <w:sz w:val="18"/>
                <w:szCs w:val="18"/>
              </w:rPr>
            </w:pPr>
            <w:r>
              <w:rPr>
                <w:rFonts w:hint="eastAsia"/>
                <w:sz w:val="18"/>
                <w:szCs w:val="18"/>
              </w:rPr>
              <w:t>废气</w:t>
            </w:r>
          </w:p>
          <w:p>
            <w:pPr>
              <w:spacing w:line="240" w:lineRule="exact"/>
              <w:jc w:val="center"/>
              <w:rPr>
                <w:rFonts w:hint="eastAsia"/>
                <w:sz w:val="18"/>
                <w:szCs w:val="18"/>
              </w:rPr>
            </w:pPr>
            <w:r>
              <w:rPr>
                <w:rFonts w:hint="eastAsia"/>
                <w:sz w:val="18"/>
                <w:szCs w:val="18"/>
              </w:rPr>
              <w:t>治理</w:t>
            </w:r>
          </w:p>
        </w:tc>
        <w:tc>
          <w:tcPr>
            <w:tcW w:w="1972" w:type="dxa"/>
            <w:vAlign w:val="center"/>
          </w:tcPr>
          <w:p>
            <w:pPr>
              <w:spacing w:line="240" w:lineRule="exact"/>
              <w:rPr>
                <w:rFonts w:hint="eastAsia"/>
                <w:sz w:val="18"/>
                <w:szCs w:val="18"/>
              </w:rPr>
            </w:pPr>
            <w:r>
              <w:rPr>
                <w:rFonts w:hint="eastAsia"/>
                <w:sz w:val="18"/>
                <w:szCs w:val="18"/>
              </w:rPr>
              <w:t>石灰石破碎及输送、原辅料破碎、烘干、均化、输送、窑头、窑尾、磨粉、进出仓、熟料和水泥储存、水泥产品散装或包装工序等含尘废气</w:t>
            </w:r>
          </w:p>
        </w:tc>
        <w:tc>
          <w:tcPr>
            <w:tcW w:w="2792" w:type="dxa"/>
            <w:tcBorders>
              <w:bottom w:val="single" w:color="auto" w:sz="4" w:space="0"/>
            </w:tcBorders>
            <w:vAlign w:val="center"/>
          </w:tcPr>
          <w:p>
            <w:pPr>
              <w:spacing w:line="240" w:lineRule="exact"/>
              <w:jc w:val="center"/>
              <w:rPr>
                <w:rFonts w:hint="eastAsia"/>
                <w:sz w:val="18"/>
                <w:szCs w:val="18"/>
              </w:rPr>
            </w:pPr>
            <w:r>
              <w:rPr>
                <w:sz w:val="18"/>
                <w:szCs w:val="18"/>
              </w:rPr>
              <w:t>气箱脉冲袋</w:t>
            </w:r>
            <w:r>
              <w:rPr>
                <w:rFonts w:hint="eastAsia"/>
                <w:sz w:val="18"/>
                <w:szCs w:val="18"/>
              </w:rPr>
              <w:t>除</w:t>
            </w:r>
            <w:r>
              <w:rPr>
                <w:sz w:val="18"/>
                <w:szCs w:val="18"/>
              </w:rPr>
              <w:t>尘</w:t>
            </w:r>
            <w:r>
              <w:rPr>
                <w:rFonts w:hint="eastAsia"/>
                <w:sz w:val="18"/>
                <w:szCs w:val="18"/>
              </w:rPr>
              <w:t>（58）</w:t>
            </w:r>
          </w:p>
        </w:tc>
        <w:tc>
          <w:tcPr>
            <w:tcW w:w="2428" w:type="dxa"/>
            <w:vAlign w:val="center"/>
          </w:tcPr>
          <w:p>
            <w:pPr>
              <w:spacing w:line="240" w:lineRule="exact"/>
              <w:jc w:val="center"/>
              <w:rPr>
                <w:rFonts w:hint="eastAsia"/>
                <w:sz w:val="18"/>
                <w:szCs w:val="18"/>
              </w:rPr>
            </w:pPr>
            <w:r>
              <w:rPr>
                <w:rFonts w:hint="eastAsia"/>
                <w:sz w:val="18"/>
                <w:szCs w:val="18"/>
              </w:rPr>
              <w:t>达标</w:t>
            </w:r>
          </w:p>
        </w:tc>
        <w:tc>
          <w:tcPr>
            <w:tcW w:w="1209" w:type="dxa"/>
            <w:tcBorders>
              <w:bottom w:val="single" w:color="auto" w:sz="4" w:space="0"/>
            </w:tcBorders>
            <w:vAlign w:val="center"/>
          </w:tcPr>
          <w:p>
            <w:pPr>
              <w:spacing w:line="240" w:lineRule="exact"/>
              <w:jc w:val="center"/>
              <w:rPr>
                <w:rFonts w:hint="eastAsia"/>
                <w:sz w:val="18"/>
                <w:szCs w:val="18"/>
              </w:rPr>
            </w:pPr>
            <w:r>
              <w:rPr>
                <w:rFonts w:hint="eastAsia"/>
                <w:sz w:val="18"/>
                <w:szCs w:val="18"/>
              </w:rPr>
              <w:t>3060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636" w:type="dxa"/>
            <w:vMerge w:val="continue"/>
            <w:vAlign w:val="center"/>
          </w:tcPr>
          <w:p>
            <w:pPr>
              <w:spacing w:line="240" w:lineRule="exact"/>
              <w:jc w:val="center"/>
              <w:rPr>
                <w:rFonts w:hint="eastAsia"/>
                <w:sz w:val="18"/>
                <w:szCs w:val="18"/>
              </w:rPr>
            </w:pPr>
          </w:p>
        </w:tc>
        <w:tc>
          <w:tcPr>
            <w:tcW w:w="1972" w:type="dxa"/>
            <w:vAlign w:val="center"/>
          </w:tcPr>
          <w:p>
            <w:pPr>
              <w:spacing w:line="240" w:lineRule="exact"/>
              <w:jc w:val="center"/>
              <w:rPr>
                <w:rFonts w:hint="eastAsia"/>
                <w:sz w:val="18"/>
                <w:szCs w:val="18"/>
              </w:rPr>
            </w:pPr>
            <w:r>
              <w:rPr>
                <w:rFonts w:hint="eastAsia"/>
                <w:sz w:val="18"/>
                <w:szCs w:val="18"/>
              </w:rPr>
              <w:t>无组织排放</w:t>
            </w:r>
          </w:p>
        </w:tc>
        <w:tc>
          <w:tcPr>
            <w:tcW w:w="2792" w:type="dxa"/>
            <w:tcBorders>
              <w:bottom w:val="single" w:color="auto" w:sz="4" w:space="0"/>
            </w:tcBorders>
            <w:vAlign w:val="center"/>
          </w:tcPr>
          <w:p>
            <w:pPr>
              <w:spacing w:line="240" w:lineRule="exact"/>
              <w:ind w:left="-63" w:leftChars="-30" w:right="-63" w:rightChars="-30"/>
              <w:rPr>
                <w:rFonts w:hint="eastAsia"/>
                <w:sz w:val="18"/>
                <w:szCs w:val="18"/>
              </w:rPr>
            </w:pPr>
            <w:r>
              <w:rPr>
                <w:rFonts w:hint="eastAsia"/>
                <w:sz w:val="18"/>
                <w:szCs w:val="18"/>
              </w:rPr>
              <w:t>（1）石灰石、煤、硫酸渣、石膏等均要求采用堆棚储存。</w:t>
            </w:r>
          </w:p>
          <w:p>
            <w:pPr>
              <w:spacing w:line="240" w:lineRule="exact"/>
              <w:ind w:left="-63" w:leftChars="-30" w:right="-63" w:rightChars="-30"/>
              <w:rPr>
                <w:rFonts w:hint="eastAsia"/>
                <w:sz w:val="18"/>
                <w:szCs w:val="18"/>
              </w:rPr>
            </w:pPr>
            <w:r>
              <w:rPr>
                <w:rFonts w:hint="eastAsia"/>
                <w:sz w:val="18"/>
                <w:szCs w:val="18"/>
              </w:rPr>
              <w:t>（2）物料堆棚尽可能减少开敞面积，喷水降尘，以控制料棚粉尘无组织排放。</w:t>
            </w:r>
          </w:p>
          <w:p>
            <w:pPr>
              <w:spacing w:line="240" w:lineRule="exact"/>
              <w:rPr>
                <w:rFonts w:hint="eastAsia"/>
                <w:sz w:val="18"/>
                <w:szCs w:val="18"/>
              </w:rPr>
            </w:pPr>
            <w:r>
              <w:rPr>
                <w:rFonts w:hint="eastAsia"/>
                <w:sz w:val="18"/>
                <w:szCs w:val="18"/>
              </w:rPr>
              <w:t>（3）加强管理，以石灰石堆场为中心，设置200m的扬尘无组织排放卫生防护距离。在该范围内不得审批新建居民住宅区、学校、医院等敏感目标。</w:t>
            </w:r>
          </w:p>
        </w:tc>
        <w:tc>
          <w:tcPr>
            <w:tcW w:w="2428" w:type="dxa"/>
            <w:vAlign w:val="center"/>
          </w:tcPr>
          <w:p>
            <w:pPr>
              <w:spacing w:line="240" w:lineRule="exact"/>
              <w:jc w:val="center"/>
              <w:rPr>
                <w:rFonts w:hint="eastAsia"/>
                <w:sz w:val="18"/>
                <w:szCs w:val="18"/>
              </w:rPr>
            </w:pPr>
            <w:r>
              <w:rPr>
                <w:rFonts w:hint="eastAsia"/>
                <w:sz w:val="18"/>
                <w:szCs w:val="18"/>
              </w:rPr>
              <w:t>尽可能减小无组织排放粉尘的污染影响影响，厂界达标</w:t>
            </w:r>
          </w:p>
        </w:tc>
        <w:tc>
          <w:tcPr>
            <w:tcW w:w="1209" w:type="dxa"/>
            <w:tcBorders>
              <w:bottom w:val="single" w:color="auto" w:sz="4" w:space="0"/>
            </w:tcBorders>
            <w:vAlign w:val="center"/>
          </w:tcPr>
          <w:p>
            <w:pPr>
              <w:spacing w:line="240" w:lineRule="exact"/>
              <w:jc w:val="center"/>
              <w:rPr>
                <w:rFonts w:hint="eastAsia"/>
                <w:sz w:val="18"/>
                <w:szCs w:val="18"/>
              </w:rPr>
            </w:pPr>
            <w:r>
              <w:rPr>
                <w:rFonts w:hint="eastAsia"/>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636" w:type="dxa"/>
            <w:vAlign w:val="center"/>
          </w:tcPr>
          <w:p>
            <w:pPr>
              <w:spacing w:line="240" w:lineRule="exact"/>
              <w:jc w:val="center"/>
              <w:rPr>
                <w:rFonts w:hint="eastAsia"/>
                <w:sz w:val="18"/>
                <w:szCs w:val="18"/>
              </w:rPr>
            </w:pPr>
            <w:r>
              <w:rPr>
                <w:rFonts w:hint="eastAsia"/>
                <w:sz w:val="18"/>
                <w:szCs w:val="18"/>
              </w:rPr>
              <w:t>废水治理</w:t>
            </w:r>
          </w:p>
        </w:tc>
        <w:tc>
          <w:tcPr>
            <w:tcW w:w="1972" w:type="dxa"/>
            <w:vAlign w:val="center"/>
          </w:tcPr>
          <w:p>
            <w:pPr>
              <w:spacing w:line="240" w:lineRule="exact"/>
              <w:jc w:val="center"/>
              <w:rPr>
                <w:rFonts w:hint="eastAsia"/>
                <w:sz w:val="18"/>
                <w:szCs w:val="18"/>
              </w:rPr>
            </w:pPr>
            <w:r>
              <w:rPr>
                <w:rFonts w:hint="eastAsia"/>
                <w:sz w:val="18"/>
                <w:szCs w:val="18"/>
              </w:rPr>
              <w:t>污水处理系统</w:t>
            </w:r>
          </w:p>
        </w:tc>
        <w:tc>
          <w:tcPr>
            <w:tcW w:w="2792" w:type="dxa"/>
            <w:tcBorders>
              <w:bottom w:val="single" w:color="auto" w:sz="4" w:space="0"/>
            </w:tcBorders>
            <w:vAlign w:val="center"/>
          </w:tcPr>
          <w:p>
            <w:pPr>
              <w:spacing w:line="300" w:lineRule="exact"/>
              <w:ind w:left="-63" w:leftChars="-30" w:right="-63" w:rightChars="-30"/>
              <w:rPr>
                <w:rFonts w:hint="eastAsia"/>
                <w:sz w:val="18"/>
                <w:szCs w:val="18"/>
              </w:rPr>
            </w:pPr>
            <w:r>
              <w:rPr>
                <w:rFonts w:hint="eastAsia"/>
                <w:sz w:val="18"/>
                <w:szCs w:val="18"/>
              </w:rPr>
              <w:t>采用生物接触氧化装置处理</w:t>
            </w:r>
            <w:r>
              <w:rPr>
                <w:rFonts w:hint="eastAsia" w:ascii="宋体" w:hAnsi="宋体"/>
                <w:sz w:val="18"/>
                <w:szCs w:val="18"/>
              </w:rPr>
              <w:t>，新建处理规模为60 m</w:t>
            </w:r>
            <w:r>
              <w:rPr>
                <w:rFonts w:hint="eastAsia" w:ascii="宋体" w:hAnsi="宋体"/>
                <w:sz w:val="18"/>
                <w:szCs w:val="18"/>
                <w:vertAlign w:val="superscript"/>
              </w:rPr>
              <w:t>3</w:t>
            </w:r>
            <w:r>
              <w:rPr>
                <w:rFonts w:hint="eastAsia" w:ascii="宋体" w:hAnsi="宋体"/>
                <w:sz w:val="18"/>
                <w:szCs w:val="18"/>
              </w:rPr>
              <w:t>/d的</w:t>
            </w:r>
            <w:r>
              <w:rPr>
                <w:rFonts w:hint="eastAsia"/>
                <w:sz w:val="18"/>
                <w:szCs w:val="18"/>
              </w:rPr>
              <w:t>生物接触氧化装置</w:t>
            </w:r>
            <w:r>
              <w:rPr>
                <w:rFonts w:hint="eastAsia" w:ascii="宋体" w:hAnsi="宋体"/>
                <w:sz w:val="18"/>
                <w:szCs w:val="18"/>
              </w:rPr>
              <w:t>。</w:t>
            </w:r>
          </w:p>
        </w:tc>
        <w:tc>
          <w:tcPr>
            <w:tcW w:w="2428" w:type="dxa"/>
            <w:vAlign w:val="center"/>
          </w:tcPr>
          <w:p>
            <w:pPr>
              <w:spacing w:line="240" w:lineRule="exact"/>
              <w:rPr>
                <w:rFonts w:hint="eastAsia"/>
                <w:sz w:val="18"/>
                <w:szCs w:val="18"/>
              </w:rPr>
            </w:pPr>
            <w:r>
              <w:rPr>
                <w:rFonts w:hint="eastAsia"/>
                <w:sz w:val="18"/>
                <w:szCs w:val="18"/>
              </w:rPr>
              <w:t>废水处理达一级排放标准后排入厂区北侧北侧无名溪沟经玉石桥河最终汇入梁滩河。</w:t>
            </w:r>
          </w:p>
        </w:tc>
        <w:tc>
          <w:tcPr>
            <w:tcW w:w="1209" w:type="dxa"/>
            <w:tcBorders>
              <w:bottom w:val="single" w:color="auto" w:sz="4" w:space="0"/>
            </w:tcBorders>
            <w:vAlign w:val="center"/>
          </w:tcPr>
          <w:p>
            <w:pPr>
              <w:spacing w:line="240" w:lineRule="exact"/>
              <w:jc w:val="center"/>
              <w:rPr>
                <w:rFonts w:hint="eastAsia"/>
                <w:sz w:val="18"/>
                <w:szCs w:val="18"/>
              </w:rPr>
            </w:pPr>
            <w:r>
              <w:rPr>
                <w:rFonts w:hint="eastAsia"/>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636" w:type="dxa"/>
            <w:vMerge w:val="restart"/>
            <w:vAlign w:val="center"/>
          </w:tcPr>
          <w:p>
            <w:pPr>
              <w:spacing w:line="240" w:lineRule="exact"/>
              <w:jc w:val="center"/>
              <w:rPr>
                <w:rFonts w:hint="eastAsia"/>
                <w:sz w:val="18"/>
                <w:szCs w:val="18"/>
              </w:rPr>
            </w:pPr>
            <w:r>
              <w:rPr>
                <w:rFonts w:hint="eastAsia"/>
                <w:sz w:val="18"/>
                <w:szCs w:val="18"/>
              </w:rPr>
              <w:t>固体废物处置</w:t>
            </w:r>
          </w:p>
        </w:tc>
        <w:tc>
          <w:tcPr>
            <w:tcW w:w="1972" w:type="dxa"/>
            <w:vAlign w:val="center"/>
          </w:tcPr>
          <w:p>
            <w:pPr>
              <w:spacing w:line="240" w:lineRule="exact"/>
              <w:ind w:firstLine="420"/>
              <w:rPr>
                <w:rFonts w:hint="eastAsia"/>
                <w:sz w:val="18"/>
                <w:szCs w:val="18"/>
              </w:rPr>
            </w:pPr>
            <w:r>
              <w:rPr>
                <w:rFonts w:hint="eastAsia"/>
                <w:sz w:val="18"/>
                <w:szCs w:val="18"/>
              </w:rPr>
              <w:t>除尘灰</w:t>
            </w:r>
          </w:p>
        </w:tc>
        <w:tc>
          <w:tcPr>
            <w:tcW w:w="2792" w:type="dxa"/>
            <w:vAlign w:val="center"/>
          </w:tcPr>
          <w:p>
            <w:pPr>
              <w:spacing w:line="240" w:lineRule="exact"/>
              <w:ind w:firstLine="90" w:firstLineChars="50"/>
              <w:rPr>
                <w:rFonts w:hint="eastAsia"/>
                <w:sz w:val="18"/>
                <w:szCs w:val="18"/>
              </w:rPr>
            </w:pPr>
            <w:r>
              <w:rPr>
                <w:rFonts w:hint="eastAsia"/>
                <w:sz w:val="18"/>
                <w:szCs w:val="18"/>
              </w:rPr>
              <w:t>收集后作生产原料回用或产品外售利用，不排放</w:t>
            </w:r>
          </w:p>
        </w:tc>
        <w:tc>
          <w:tcPr>
            <w:tcW w:w="2428" w:type="dxa"/>
            <w:vMerge w:val="restart"/>
            <w:vAlign w:val="center"/>
          </w:tcPr>
          <w:p>
            <w:pPr>
              <w:spacing w:line="240" w:lineRule="exact"/>
              <w:jc w:val="center"/>
              <w:rPr>
                <w:rFonts w:hint="eastAsia" w:ascii="宋体" w:hAnsi="宋体"/>
                <w:sz w:val="18"/>
                <w:szCs w:val="18"/>
              </w:rPr>
            </w:pPr>
            <w:r>
              <w:rPr>
                <w:rFonts w:hint="eastAsia"/>
                <w:sz w:val="18"/>
                <w:szCs w:val="18"/>
              </w:rPr>
              <w:t>满足环保要求，防止二次污染</w:t>
            </w:r>
          </w:p>
        </w:tc>
        <w:tc>
          <w:tcPr>
            <w:tcW w:w="1209" w:type="dxa"/>
            <w:vAlign w:val="center"/>
          </w:tcPr>
          <w:p>
            <w:pPr>
              <w:spacing w:line="240" w:lineRule="exact"/>
              <w:jc w:val="center"/>
              <w:rPr>
                <w:rFonts w:hint="eastAsia"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636" w:type="dxa"/>
            <w:vMerge w:val="continue"/>
            <w:vAlign w:val="center"/>
          </w:tcPr>
          <w:p>
            <w:pPr>
              <w:spacing w:line="240" w:lineRule="exact"/>
              <w:jc w:val="center"/>
              <w:rPr>
                <w:rFonts w:hint="eastAsia"/>
                <w:sz w:val="18"/>
                <w:szCs w:val="18"/>
              </w:rPr>
            </w:pPr>
          </w:p>
        </w:tc>
        <w:tc>
          <w:tcPr>
            <w:tcW w:w="1972" w:type="dxa"/>
            <w:vAlign w:val="center"/>
          </w:tcPr>
          <w:p>
            <w:pPr>
              <w:spacing w:line="240" w:lineRule="exact"/>
              <w:rPr>
                <w:rFonts w:hint="eastAsia"/>
                <w:sz w:val="18"/>
                <w:szCs w:val="18"/>
              </w:rPr>
            </w:pPr>
            <w:r>
              <w:rPr>
                <w:rFonts w:hint="eastAsia"/>
                <w:sz w:val="18"/>
                <w:szCs w:val="18"/>
              </w:rPr>
              <w:t>生活污水污泥</w:t>
            </w:r>
          </w:p>
        </w:tc>
        <w:tc>
          <w:tcPr>
            <w:tcW w:w="2792" w:type="dxa"/>
            <w:vAlign w:val="center"/>
          </w:tcPr>
          <w:p>
            <w:pPr>
              <w:spacing w:line="240" w:lineRule="exact"/>
              <w:ind w:firstLine="90" w:firstLineChars="50"/>
              <w:rPr>
                <w:rFonts w:hint="eastAsia"/>
                <w:sz w:val="18"/>
                <w:szCs w:val="18"/>
              </w:rPr>
            </w:pPr>
            <w:r>
              <w:rPr>
                <w:rFonts w:hint="eastAsia"/>
                <w:sz w:val="18"/>
                <w:szCs w:val="18"/>
              </w:rPr>
              <w:t>直接送水泥回转窑作水泥原料煅烧，不排放</w:t>
            </w:r>
          </w:p>
        </w:tc>
        <w:tc>
          <w:tcPr>
            <w:tcW w:w="2428" w:type="dxa"/>
            <w:vMerge w:val="continue"/>
            <w:vAlign w:val="center"/>
          </w:tcPr>
          <w:p>
            <w:pPr>
              <w:spacing w:line="240" w:lineRule="exact"/>
              <w:jc w:val="center"/>
              <w:rPr>
                <w:rFonts w:hint="eastAsia" w:ascii="宋体" w:hAnsi="宋体"/>
                <w:sz w:val="18"/>
                <w:szCs w:val="18"/>
              </w:rPr>
            </w:pPr>
          </w:p>
        </w:tc>
        <w:tc>
          <w:tcPr>
            <w:tcW w:w="1209" w:type="dxa"/>
            <w:vAlign w:val="center"/>
          </w:tcPr>
          <w:p>
            <w:pPr>
              <w:spacing w:line="240" w:lineRule="exact"/>
              <w:jc w:val="center"/>
              <w:rPr>
                <w:rFonts w:hint="eastAsia"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636" w:type="dxa"/>
            <w:vMerge w:val="continue"/>
            <w:vAlign w:val="center"/>
          </w:tcPr>
          <w:p>
            <w:pPr>
              <w:spacing w:line="240" w:lineRule="exact"/>
              <w:jc w:val="center"/>
              <w:rPr>
                <w:rFonts w:hint="eastAsia"/>
                <w:sz w:val="18"/>
                <w:szCs w:val="18"/>
              </w:rPr>
            </w:pPr>
          </w:p>
        </w:tc>
        <w:tc>
          <w:tcPr>
            <w:tcW w:w="1972" w:type="dxa"/>
            <w:vAlign w:val="center"/>
          </w:tcPr>
          <w:p>
            <w:pPr>
              <w:spacing w:line="240" w:lineRule="exact"/>
              <w:ind w:firstLine="420"/>
              <w:rPr>
                <w:rFonts w:hint="eastAsia"/>
                <w:sz w:val="18"/>
                <w:szCs w:val="18"/>
              </w:rPr>
            </w:pPr>
            <w:r>
              <w:rPr>
                <w:rFonts w:hint="eastAsia"/>
                <w:sz w:val="18"/>
                <w:szCs w:val="18"/>
              </w:rPr>
              <w:t>生活垃圾</w:t>
            </w:r>
          </w:p>
        </w:tc>
        <w:tc>
          <w:tcPr>
            <w:tcW w:w="2792" w:type="dxa"/>
            <w:vAlign w:val="center"/>
          </w:tcPr>
          <w:p>
            <w:pPr>
              <w:spacing w:line="240" w:lineRule="exact"/>
              <w:ind w:firstLine="90" w:firstLineChars="50"/>
              <w:rPr>
                <w:rFonts w:hint="eastAsia"/>
                <w:sz w:val="18"/>
                <w:szCs w:val="18"/>
              </w:rPr>
            </w:pPr>
            <w:r>
              <w:rPr>
                <w:rFonts w:hint="eastAsia"/>
                <w:sz w:val="18"/>
                <w:szCs w:val="18"/>
              </w:rPr>
              <w:t>在厂区内设生活垃圾转运站，集中收集后，由青木关镇环卫部门送城市垃圾处理场卫生填埋，不排放</w:t>
            </w:r>
          </w:p>
        </w:tc>
        <w:tc>
          <w:tcPr>
            <w:tcW w:w="2428" w:type="dxa"/>
            <w:vMerge w:val="continue"/>
            <w:vAlign w:val="center"/>
          </w:tcPr>
          <w:p>
            <w:pPr>
              <w:spacing w:line="240" w:lineRule="exact"/>
              <w:jc w:val="center"/>
              <w:rPr>
                <w:rFonts w:hint="eastAsia" w:ascii="宋体" w:hAnsi="宋体"/>
                <w:sz w:val="18"/>
                <w:szCs w:val="18"/>
              </w:rPr>
            </w:pPr>
          </w:p>
        </w:tc>
        <w:tc>
          <w:tcPr>
            <w:tcW w:w="1209" w:type="dxa"/>
            <w:vAlign w:val="center"/>
          </w:tcPr>
          <w:p>
            <w:pPr>
              <w:spacing w:line="240" w:lineRule="exact"/>
              <w:jc w:val="center"/>
              <w:rPr>
                <w:rFonts w:hint="eastAsia" w:ascii="宋体" w:hAnsi="宋体"/>
                <w:sz w:val="18"/>
                <w:szCs w:val="18"/>
              </w:rPr>
            </w:pPr>
            <w:r>
              <w:rPr>
                <w:rFonts w:hint="eastAsia" w:ascii="宋体" w:hAnsi="宋体"/>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636" w:type="dxa"/>
            <w:vAlign w:val="center"/>
          </w:tcPr>
          <w:p>
            <w:pPr>
              <w:spacing w:line="280" w:lineRule="exact"/>
              <w:jc w:val="center"/>
              <w:rPr>
                <w:rFonts w:hint="eastAsia"/>
                <w:sz w:val="18"/>
                <w:szCs w:val="18"/>
              </w:rPr>
            </w:pPr>
            <w:r>
              <w:rPr>
                <w:rFonts w:hint="eastAsia"/>
                <w:sz w:val="18"/>
                <w:szCs w:val="18"/>
              </w:rPr>
              <w:t>噪声</w:t>
            </w:r>
          </w:p>
          <w:p>
            <w:pPr>
              <w:spacing w:line="280" w:lineRule="exact"/>
              <w:jc w:val="center"/>
              <w:rPr>
                <w:rFonts w:hint="eastAsia"/>
                <w:sz w:val="18"/>
                <w:szCs w:val="18"/>
              </w:rPr>
            </w:pPr>
            <w:r>
              <w:rPr>
                <w:rFonts w:hint="eastAsia"/>
                <w:sz w:val="18"/>
                <w:szCs w:val="18"/>
              </w:rPr>
              <w:t>治理</w:t>
            </w:r>
          </w:p>
        </w:tc>
        <w:tc>
          <w:tcPr>
            <w:tcW w:w="1972" w:type="dxa"/>
            <w:vAlign w:val="center"/>
          </w:tcPr>
          <w:p>
            <w:pPr>
              <w:spacing w:line="240" w:lineRule="exact"/>
              <w:jc w:val="center"/>
              <w:rPr>
                <w:rFonts w:hint="eastAsia" w:ascii="宋体" w:hAnsi="宋体"/>
                <w:sz w:val="18"/>
                <w:szCs w:val="18"/>
              </w:rPr>
            </w:pPr>
            <w:r>
              <w:rPr>
                <w:rFonts w:hint="eastAsia" w:ascii="宋体" w:hAnsi="宋体"/>
                <w:sz w:val="18"/>
                <w:szCs w:val="18"/>
              </w:rPr>
              <w:t>机械设备</w:t>
            </w:r>
          </w:p>
          <w:p>
            <w:pPr>
              <w:spacing w:line="240" w:lineRule="exact"/>
              <w:jc w:val="center"/>
              <w:rPr>
                <w:rFonts w:hint="eastAsia" w:ascii="宋体" w:hAnsi="宋体"/>
                <w:sz w:val="18"/>
                <w:szCs w:val="18"/>
              </w:rPr>
            </w:pPr>
          </w:p>
        </w:tc>
        <w:tc>
          <w:tcPr>
            <w:tcW w:w="2792" w:type="dxa"/>
            <w:vAlign w:val="center"/>
          </w:tcPr>
          <w:p>
            <w:pPr>
              <w:spacing w:line="240" w:lineRule="exact"/>
              <w:rPr>
                <w:rFonts w:hint="eastAsia"/>
                <w:sz w:val="18"/>
                <w:szCs w:val="18"/>
              </w:rPr>
            </w:pPr>
            <w:r>
              <w:rPr>
                <w:rFonts w:hint="eastAsia"/>
                <w:sz w:val="18"/>
                <w:szCs w:val="18"/>
              </w:rPr>
              <w:t>（1）隔声、消声、减振</w:t>
            </w:r>
          </w:p>
        </w:tc>
        <w:tc>
          <w:tcPr>
            <w:tcW w:w="2428" w:type="dxa"/>
            <w:vAlign w:val="center"/>
          </w:tcPr>
          <w:p>
            <w:pPr>
              <w:spacing w:line="240" w:lineRule="exact"/>
              <w:jc w:val="center"/>
              <w:rPr>
                <w:rFonts w:hint="eastAsia"/>
                <w:sz w:val="18"/>
                <w:szCs w:val="18"/>
              </w:rPr>
            </w:pPr>
            <w:r>
              <w:rPr>
                <w:rFonts w:hint="eastAsia"/>
                <w:sz w:val="18"/>
                <w:szCs w:val="18"/>
              </w:rPr>
              <w:t>噪声不扰民</w:t>
            </w:r>
          </w:p>
        </w:tc>
        <w:tc>
          <w:tcPr>
            <w:tcW w:w="1209" w:type="dxa"/>
            <w:vAlign w:val="center"/>
          </w:tcPr>
          <w:p>
            <w:pPr>
              <w:spacing w:line="240" w:lineRule="exact"/>
              <w:jc w:val="center"/>
              <w:rPr>
                <w:sz w:val="18"/>
                <w:szCs w:val="18"/>
              </w:rPr>
            </w:pPr>
            <w:r>
              <w:rPr>
                <w:rFonts w:hint="eastAsia"/>
                <w:sz w:val="18"/>
                <w:szCs w:val="1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5" w:hRule="atLeast"/>
          <w:jc w:val="center"/>
        </w:trPr>
        <w:tc>
          <w:tcPr>
            <w:tcW w:w="636" w:type="dxa"/>
            <w:vMerge w:val="restart"/>
            <w:vAlign w:val="center"/>
          </w:tcPr>
          <w:p>
            <w:pPr>
              <w:spacing w:line="280" w:lineRule="exact"/>
              <w:jc w:val="center"/>
              <w:rPr>
                <w:rFonts w:hint="eastAsia"/>
                <w:sz w:val="18"/>
                <w:szCs w:val="18"/>
              </w:rPr>
            </w:pPr>
            <w:r>
              <w:rPr>
                <w:rFonts w:hint="eastAsia"/>
                <w:sz w:val="18"/>
                <w:szCs w:val="18"/>
              </w:rPr>
              <w:t>环境</w:t>
            </w:r>
          </w:p>
          <w:p>
            <w:pPr>
              <w:spacing w:line="280" w:lineRule="exact"/>
              <w:jc w:val="center"/>
              <w:rPr>
                <w:rFonts w:hint="eastAsia"/>
                <w:sz w:val="18"/>
                <w:szCs w:val="18"/>
              </w:rPr>
            </w:pPr>
            <w:r>
              <w:rPr>
                <w:rFonts w:hint="eastAsia"/>
                <w:sz w:val="18"/>
                <w:szCs w:val="18"/>
              </w:rPr>
              <w:t>监测</w:t>
            </w:r>
          </w:p>
        </w:tc>
        <w:tc>
          <w:tcPr>
            <w:tcW w:w="1972" w:type="dxa"/>
            <w:vAlign w:val="center"/>
          </w:tcPr>
          <w:p>
            <w:pPr>
              <w:spacing w:line="240" w:lineRule="exact"/>
              <w:jc w:val="center"/>
              <w:rPr>
                <w:rFonts w:hint="eastAsia" w:ascii="宋体" w:hAnsi="宋体"/>
                <w:sz w:val="18"/>
                <w:szCs w:val="18"/>
              </w:rPr>
            </w:pPr>
            <w:r>
              <w:rPr>
                <w:rFonts w:hint="eastAsia" w:ascii="宋体" w:hAnsi="宋体"/>
                <w:sz w:val="18"/>
                <w:szCs w:val="18"/>
              </w:rPr>
              <w:t>监测常规设备</w:t>
            </w:r>
          </w:p>
        </w:tc>
        <w:tc>
          <w:tcPr>
            <w:tcW w:w="2792" w:type="dxa"/>
            <w:vAlign w:val="center"/>
          </w:tcPr>
          <w:p>
            <w:pPr>
              <w:spacing w:line="240" w:lineRule="exact"/>
              <w:jc w:val="center"/>
              <w:rPr>
                <w:rFonts w:hint="eastAsia"/>
                <w:sz w:val="18"/>
                <w:szCs w:val="18"/>
              </w:rPr>
            </w:pPr>
          </w:p>
        </w:tc>
        <w:tc>
          <w:tcPr>
            <w:tcW w:w="2428" w:type="dxa"/>
            <w:vAlign w:val="center"/>
          </w:tcPr>
          <w:p>
            <w:pPr>
              <w:spacing w:line="240" w:lineRule="exact"/>
              <w:jc w:val="center"/>
              <w:rPr>
                <w:rFonts w:hint="eastAsia"/>
                <w:sz w:val="18"/>
                <w:szCs w:val="18"/>
              </w:rPr>
            </w:pPr>
          </w:p>
        </w:tc>
        <w:tc>
          <w:tcPr>
            <w:tcW w:w="1209" w:type="dxa"/>
            <w:vAlign w:val="center"/>
          </w:tcPr>
          <w:p>
            <w:pPr>
              <w:spacing w:line="240" w:lineRule="exact"/>
              <w:jc w:val="center"/>
              <w:rPr>
                <w:rFonts w:hint="eastAsia"/>
                <w:sz w:val="18"/>
                <w:szCs w:val="18"/>
              </w:rPr>
            </w:pPr>
            <w:r>
              <w:rPr>
                <w:rFonts w:hint="eastAsia"/>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636" w:type="dxa"/>
            <w:vMerge w:val="continue"/>
            <w:vAlign w:val="center"/>
          </w:tcPr>
          <w:p>
            <w:pPr>
              <w:spacing w:line="280" w:lineRule="exact"/>
              <w:jc w:val="center"/>
              <w:rPr>
                <w:rFonts w:hint="eastAsia"/>
                <w:sz w:val="18"/>
                <w:szCs w:val="18"/>
              </w:rPr>
            </w:pPr>
          </w:p>
        </w:tc>
        <w:tc>
          <w:tcPr>
            <w:tcW w:w="1972" w:type="dxa"/>
            <w:vAlign w:val="center"/>
          </w:tcPr>
          <w:p>
            <w:pPr>
              <w:spacing w:line="240" w:lineRule="exact"/>
              <w:jc w:val="center"/>
              <w:rPr>
                <w:rFonts w:hint="eastAsia" w:ascii="宋体" w:hAnsi="宋体"/>
                <w:sz w:val="18"/>
                <w:szCs w:val="18"/>
              </w:rPr>
            </w:pPr>
            <w:r>
              <w:rPr>
                <w:rFonts w:ascii="宋体" w:hAnsi="宋体"/>
                <w:sz w:val="18"/>
                <w:szCs w:val="18"/>
              </w:rPr>
              <w:t>窑尾</w:t>
            </w:r>
            <w:r>
              <w:rPr>
                <w:rFonts w:hint="eastAsia" w:ascii="宋体" w:hAnsi="宋体"/>
                <w:sz w:val="18"/>
                <w:szCs w:val="18"/>
              </w:rPr>
              <w:t>、窑头</w:t>
            </w:r>
            <w:r>
              <w:rPr>
                <w:rFonts w:ascii="宋体" w:hAnsi="宋体"/>
                <w:sz w:val="18"/>
                <w:szCs w:val="18"/>
              </w:rPr>
              <w:t>废气</w:t>
            </w:r>
            <w:r>
              <w:rPr>
                <w:rFonts w:hint="eastAsia" w:ascii="宋体" w:hAnsi="宋体"/>
                <w:sz w:val="18"/>
                <w:szCs w:val="18"/>
              </w:rPr>
              <w:t>在线监测</w:t>
            </w:r>
          </w:p>
        </w:tc>
        <w:tc>
          <w:tcPr>
            <w:tcW w:w="2792" w:type="dxa"/>
            <w:vAlign w:val="center"/>
          </w:tcPr>
          <w:p>
            <w:pPr>
              <w:spacing w:line="240" w:lineRule="exact"/>
              <w:jc w:val="center"/>
              <w:rPr>
                <w:rFonts w:hint="eastAsia"/>
                <w:sz w:val="18"/>
                <w:szCs w:val="18"/>
              </w:rPr>
            </w:pPr>
          </w:p>
        </w:tc>
        <w:tc>
          <w:tcPr>
            <w:tcW w:w="2428" w:type="dxa"/>
            <w:vAlign w:val="center"/>
          </w:tcPr>
          <w:p>
            <w:pPr>
              <w:spacing w:line="240" w:lineRule="exact"/>
              <w:jc w:val="center"/>
              <w:rPr>
                <w:rFonts w:hint="eastAsia"/>
                <w:sz w:val="18"/>
                <w:szCs w:val="18"/>
              </w:rPr>
            </w:pPr>
          </w:p>
        </w:tc>
        <w:tc>
          <w:tcPr>
            <w:tcW w:w="1209" w:type="dxa"/>
            <w:vAlign w:val="center"/>
          </w:tcPr>
          <w:p>
            <w:pPr>
              <w:spacing w:line="240" w:lineRule="exact"/>
              <w:jc w:val="center"/>
              <w:rPr>
                <w:rFonts w:hint="eastAsia"/>
                <w:sz w:val="18"/>
                <w:szCs w:val="18"/>
              </w:rPr>
            </w:pPr>
            <w:r>
              <w:rPr>
                <w:rFonts w:hint="eastAsia"/>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636" w:type="dxa"/>
            <w:vMerge w:val="continue"/>
            <w:vAlign w:val="center"/>
          </w:tcPr>
          <w:p>
            <w:pPr>
              <w:spacing w:line="280" w:lineRule="exact"/>
              <w:jc w:val="center"/>
              <w:rPr>
                <w:rFonts w:hint="eastAsia"/>
                <w:sz w:val="18"/>
                <w:szCs w:val="18"/>
              </w:rPr>
            </w:pPr>
          </w:p>
        </w:tc>
        <w:tc>
          <w:tcPr>
            <w:tcW w:w="1972" w:type="dxa"/>
            <w:vAlign w:val="center"/>
          </w:tcPr>
          <w:p>
            <w:pPr>
              <w:spacing w:line="240" w:lineRule="exact"/>
              <w:jc w:val="center"/>
              <w:rPr>
                <w:rFonts w:hint="eastAsia" w:ascii="宋体" w:hAnsi="宋体"/>
                <w:sz w:val="18"/>
                <w:szCs w:val="18"/>
              </w:rPr>
            </w:pPr>
            <w:r>
              <w:rPr>
                <w:rFonts w:hint="eastAsia" w:ascii="宋体" w:hAnsi="宋体"/>
                <w:sz w:val="18"/>
                <w:szCs w:val="18"/>
              </w:rPr>
              <w:t>环保设施“三同时”竣工验收监测费用</w:t>
            </w:r>
          </w:p>
        </w:tc>
        <w:tc>
          <w:tcPr>
            <w:tcW w:w="2792" w:type="dxa"/>
            <w:vAlign w:val="center"/>
          </w:tcPr>
          <w:p>
            <w:pPr>
              <w:spacing w:line="240" w:lineRule="exact"/>
              <w:jc w:val="center"/>
              <w:rPr>
                <w:rFonts w:hint="eastAsia"/>
                <w:sz w:val="18"/>
                <w:szCs w:val="18"/>
              </w:rPr>
            </w:pPr>
          </w:p>
        </w:tc>
        <w:tc>
          <w:tcPr>
            <w:tcW w:w="2428" w:type="dxa"/>
            <w:vAlign w:val="center"/>
          </w:tcPr>
          <w:p>
            <w:pPr>
              <w:spacing w:line="240" w:lineRule="exact"/>
              <w:jc w:val="center"/>
              <w:rPr>
                <w:rFonts w:hint="eastAsia"/>
                <w:sz w:val="18"/>
                <w:szCs w:val="18"/>
              </w:rPr>
            </w:pPr>
          </w:p>
        </w:tc>
        <w:tc>
          <w:tcPr>
            <w:tcW w:w="1209" w:type="dxa"/>
            <w:vAlign w:val="center"/>
          </w:tcPr>
          <w:p>
            <w:pPr>
              <w:spacing w:line="240" w:lineRule="exact"/>
              <w:jc w:val="center"/>
              <w:rPr>
                <w:rFonts w:hint="eastAsia"/>
                <w:sz w:val="18"/>
                <w:szCs w:val="18"/>
              </w:rPr>
            </w:pPr>
            <w:r>
              <w:rPr>
                <w:rFonts w:hint="eastAsia"/>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636" w:type="dxa"/>
            <w:vAlign w:val="center"/>
          </w:tcPr>
          <w:p>
            <w:pPr>
              <w:spacing w:line="280" w:lineRule="exact"/>
              <w:jc w:val="center"/>
              <w:rPr>
                <w:rFonts w:hint="eastAsia"/>
                <w:sz w:val="18"/>
                <w:szCs w:val="18"/>
              </w:rPr>
            </w:pPr>
            <w:r>
              <w:rPr>
                <w:rFonts w:hint="eastAsia" w:ascii="宋体" w:hAnsi="宋体"/>
                <w:sz w:val="18"/>
                <w:szCs w:val="18"/>
              </w:rPr>
              <w:t>厂区绿化</w:t>
            </w:r>
          </w:p>
        </w:tc>
        <w:tc>
          <w:tcPr>
            <w:tcW w:w="1972" w:type="dxa"/>
            <w:vAlign w:val="center"/>
          </w:tcPr>
          <w:p>
            <w:pPr>
              <w:spacing w:line="240" w:lineRule="exact"/>
              <w:jc w:val="center"/>
              <w:rPr>
                <w:rFonts w:hint="eastAsia" w:ascii="宋体" w:hAnsi="宋体"/>
                <w:sz w:val="18"/>
                <w:szCs w:val="18"/>
              </w:rPr>
            </w:pPr>
          </w:p>
        </w:tc>
        <w:tc>
          <w:tcPr>
            <w:tcW w:w="2792" w:type="dxa"/>
            <w:vAlign w:val="center"/>
          </w:tcPr>
          <w:p>
            <w:pPr>
              <w:spacing w:line="240" w:lineRule="exact"/>
              <w:jc w:val="center"/>
              <w:rPr>
                <w:rFonts w:hint="eastAsia"/>
                <w:sz w:val="18"/>
                <w:szCs w:val="18"/>
              </w:rPr>
            </w:pPr>
          </w:p>
        </w:tc>
        <w:tc>
          <w:tcPr>
            <w:tcW w:w="2428" w:type="dxa"/>
            <w:vAlign w:val="center"/>
          </w:tcPr>
          <w:p>
            <w:pPr>
              <w:spacing w:line="240" w:lineRule="exact"/>
              <w:jc w:val="center"/>
              <w:rPr>
                <w:rFonts w:hint="eastAsia"/>
                <w:sz w:val="18"/>
                <w:szCs w:val="18"/>
              </w:rPr>
            </w:pPr>
          </w:p>
        </w:tc>
        <w:tc>
          <w:tcPr>
            <w:tcW w:w="1209" w:type="dxa"/>
            <w:vAlign w:val="center"/>
          </w:tcPr>
          <w:p>
            <w:pPr>
              <w:spacing w:line="240" w:lineRule="exact"/>
              <w:jc w:val="center"/>
              <w:rPr>
                <w:rFonts w:hint="eastAsia"/>
                <w:sz w:val="18"/>
                <w:szCs w:val="18"/>
              </w:rPr>
            </w:pPr>
            <w:r>
              <w:rPr>
                <w:rFonts w:hint="eastAsia"/>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636" w:type="dxa"/>
            <w:vAlign w:val="center"/>
          </w:tcPr>
          <w:p>
            <w:pPr>
              <w:spacing w:line="300" w:lineRule="exact"/>
              <w:ind w:left="-63" w:leftChars="-30" w:right="-63" w:rightChars="-30"/>
              <w:jc w:val="center"/>
              <w:rPr>
                <w:rFonts w:hint="eastAsia"/>
                <w:sz w:val="18"/>
                <w:szCs w:val="18"/>
              </w:rPr>
            </w:pPr>
            <w:r>
              <w:rPr>
                <w:rFonts w:hint="eastAsia"/>
                <w:sz w:val="18"/>
                <w:szCs w:val="18"/>
              </w:rPr>
              <w:t>施</w:t>
            </w:r>
          </w:p>
          <w:p>
            <w:pPr>
              <w:spacing w:line="300" w:lineRule="exact"/>
              <w:ind w:left="-63" w:leftChars="-30" w:right="-63" w:rightChars="-30"/>
              <w:jc w:val="center"/>
              <w:rPr>
                <w:rFonts w:hint="eastAsia"/>
                <w:sz w:val="18"/>
                <w:szCs w:val="18"/>
              </w:rPr>
            </w:pPr>
            <w:r>
              <w:rPr>
                <w:rFonts w:hint="eastAsia"/>
                <w:sz w:val="18"/>
                <w:szCs w:val="18"/>
              </w:rPr>
              <w:t>工</w:t>
            </w:r>
          </w:p>
          <w:p>
            <w:pPr>
              <w:spacing w:line="280" w:lineRule="exact"/>
              <w:jc w:val="center"/>
              <w:rPr>
                <w:rFonts w:hint="eastAsia"/>
                <w:sz w:val="18"/>
                <w:szCs w:val="18"/>
              </w:rPr>
            </w:pPr>
            <w:r>
              <w:rPr>
                <w:rFonts w:hint="eastAsia"/>
                <w:sz w:val="18"/>
                <w:szCs w:val="18"/>
              </w:rPr>
              <w:t>期</w:t>
            </w:r>
          </w:p>
        </w:tc>
        <w:tc>
          <w:tcPr>
            <w:tcW w:w="1972" w:type="dxa"/>
            <w:vAlign w:val="center"/>
          </w:tcPr>
          <w:p>
            <w:pPr>
              <w:spacing w:line="240" w:lineRule="exact"/>
              <w:jc w:val="center"/>
              <w:rPr>
                <w:rFonts w:hint="eastAsia" w:ascii="宋体" w:hAnsi="宋体"/>
                <w:sz w:val="18"/>
                <w:szCs w:val="18"/>
              </w:rPr>
            </w:pPr>
            <w:r>
              <w:rPr>
                <w:rFonts w:hint="eastAsia"/>
                <w:sz w:val="18"/>
                <w:szCs w:val="18"/>
              </w:rPr>
              <w:t>废水、扬尘、噪声防治措施、生态恢复措施</w:t>
            </w:r>
          </w:p>
        </w:tc>
        <w:tc>
          <w:tcPr>
            <w:tcW w:w="2792" w:type="dxa"/>
            <w:vAlign w:val="center"/>
          </w:tcPr>
          <w:p>
            <w:pPr>
              <w:spacing w:line="300" w:lineRule="exact"/>
              <w:ind w:left="-63" w:leftChars="-30" w:right="-63" w:rightChars="-30" w:firstLine="90" w:firstLineChars="50"/>
              <w:rPr>
                <w:rFonts w:hint="eastAsia"/>
                <w:sz w:val="18"/>
                <w:szCs w:val="18"/>
              </w:rPr>
            </w:pPr>
            <w:r>
              <w:rPr>
                <w:rFonts w:hint="eastAsia"/>
                <w:sz w:val="18"/>
                <w:szCs w:val="18"/>
              </w:rPr>
              <w:t>加强管理，洒水降尘，及时清扫路面尘土；禁止夜间施工；废水沉淀处理后尽量回用；妥善处理弃土；生态恢复和水保措施。</w:t>
            </w:r>
          </w:p>
        </w:tc>
        <w:tc>
          <w:tcPr>
            <w:tcW w:w="2428" w:type="dxa"/>
            <w:vAlign w:val="center"/>
          </w:tcPr>
          <w:p>
            <w:pPr>
              <w:spacing w:line="240" w:lineRule="exact"/>
              <w:jc w:val="center"/>
              <w:rPr>
                <w:rFonts w:hint="eastAsia"/>
                <w:sz w:val="18"/>
                <w:szCs w:val="18"/>
              </w:rPr>
            </w:pPr>
          </w:p>
        </w:tc>
        <w:tc>
          <w:tcPr>
            <w:tcW w:w="1209" w:type="dxa"/>
            <w:vAlign w:val="center"/>
          </w:tcPr>
          <w:p>
            <w:pPr>
              <w:spacing w:line="240" w:lineRule="exact"/>
              <w:jc w:val="center"/>
              <w:rPr>
                <w:rFonts w:hint="eastAsia"/>
                <w:sz w:val="18"/>
                <w:szCs w:val="18"/>
              </w:rPr>
            </w:pPr>
            <w:r>
              <w:rPr>
                <w:rFonts w:hint="eastAsia"/>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2608" w:type="dxa"/>
            <w:gridSpan w:val="2"/>
            <w:vAlign w:val="center"/>
          </w:tcPr>
          <w:p>
            <w:pPr>
              <w:spacing w:line="240" w:lineRule="exact"/>
              <w:jc w:val="center"/>
              <w:rPr>
                <w:rFonts w:hint="eastAsia" w:ascii="宋体" w:hAnsi="宋体"/>
                <w:sz w:val="18"/>
                <w:szCs w:val="18"/>
              </w:rPr>
            </w:pPr>
            <w:r>
              <w:rPr>
                <w:rFonts w:hint="eastAsia" w:ascii="宋体" w:hAnsi="宋体"/>
                <w:sz w:val="18"/>
                <w:szCs w:val="18"/>
              </w:rPr>
              <w:t>合计</w:t>
            </w:r>
          </w:p>
        </w:tc>
        <w:tc>
          <w:tcPr>
            <w:tcW w:w="2792" w:type="dxa"/>
            <w:vAlign w:val="center"/>
          </w:tcPr>
          <w:p>
            <w:pPr>
              <w:spacing w:line="240" w:lineRule="exact"/>
              <w:jc w:val="center"/>
              <w:rPr>
                <w:rFonts w:hint="eastAsia"/>
                <w:sz w:val="18"/>
                <w:szCs w:val="18"/>
              </w:rPr>
            </w:pPr>
          </w:p>
        </w:tc>
        <w:tc>
          <w:tcPr>
            <w:tcW w:w="2428" w:type="dxa"/>
            <w:vAlign w:val="center"/>
          </w:tcPr>
          <w:p>
            <w:pPr>
              <w:spacing w:line="240" w:lineRule="exact"/>
              <w:jc w:val="center"/>
              <w:rPr>
                <w:rFonts w:hint="eastAsia"/>
                <w:sz w:val="18"/>
                <w:szCs w:val="18"/>
              </w:rPr>
            </w:pPr>
          </w:p>
        </w:tc>
        <w:tc>
          <w:tcPr>
            <w:tcW w:w="1209" w:type="dxa"/>
            <w:vAlign w:val="center"/>
          </w:tcPr>
          <w:p>
            <w:pPr>
              <w:spacing w:line="240" w:lineRule="exact"/>
              <w:jc w:val="center"/>
              <w:rPr>
                <w:rFonts w:hint="eastAsia"/>
                <w:sz w:val="18"/>
                <w:szCs w:val="18"/>
              </w:rPr>
            </w:pPr>
            <w:r>
              <w:rPr>
                <w:rFonts w:hint="eastAsia"/>
                <w:sz w:val="18"/>
                <w:szCs w:val="18"/>
              </w:rPr>
              <w:t>3490</w:t>
            </w:r>
          </w:p>
        </w:tc>
      </w:tr>
    </w:tbl>
    <w:p>
      <w:pPr>
        <w:spacing w:before="120" w:beforeLines="50" w:line="280" w:lineRule="exact"/>
        <w:ind w:firstLine="420" w:firstLineChars="200"/>
        <w:rPr>
          <w:rFonts w:hint="eastAsia"/>
        </w:rPr>
      </w:pPr>
    </w:p>
    <w:p>
      <w:pPr>
        <w:spacing w:before="120" w:beforeLines="50" w:line="280" w:lineRule="exact"/>
        <w:ind w:firstLine="420" w:firstLineChars="200"/>
        <w:rPr>
          <w:rFonts w:hint="eastAsia"/>
        </w:rPr>
      </w:pPr>
      <w:r>
        <w:rPr>
          <w:rFonts w:hint="eastAsia"/>
        </w:rPr>
        <w:t>该表同时可作为技改项目环保设施“三同时”检查表。</w:t>
      </w:r>
    </w:p>
    <w:p>
      <w:pPr>
        <w:spacing w:line="280" w:lineRule="exact"/>
        <w:ind w:firstLine="1446" w:firstLineChars="686"/>
        <w:rPr>
          <w:rFonts w:hint="eastAsia"/>
          <w:b/>
        </w:rPr>
      </w:pPr>
    </w:p>
    <w:p>
      <w:pPr>
        <w:spacing w:line="280" w:lineRule="exact"/>
        <w:ind w:firstLine="1446" w:firstLineChars="686"/>
        <w:rPr>
          <w:rFonts w:hint="eastAsia"/>
          <w:b/>
        </w:rPr>
      </w:pPr>
    </w:p>
    <w:p>
      <w:pPr>
        <w:spacing w:line="280" w:lineRule="exact"/>
        <w:jc w:val="center"/>
        <w:rPr>
          <w:rFonts w:hint="eastAsia"/>
          <w:b/>
        </w:rPr>
      </w:pPr>
    </w:p>
    <w:p>
      <w:pPr>
        <w:spacing w:line="480" w:lineRule="exact"/>
        <w:outlineLvl w:val="0"/>
        <w:rPr>
          <w:b/>
          <w:sz w:val="28"/>
          <w:szCs w:val="28"/>
        </w:rPr>
        <w:sectPr>
          <w:pgSz w:w="11906" w:h="16838"/>
          <w:pgMar w:top="1440" w:right="1418" w:bottom="1440" w:left="1418" w:header="851" w:footer="992" w:gutter="0"/>
          <w:paperSrc w:first="20070" w:other="20070"/>
          <w:cols w:space="425" w:num="1"/>
          <w:docGrid w:linePitch="312" w:charSpace="0"/>
        </w:sectPr>
      </w:pPr>
      <w:bookmarkStart w:id="413" w:name="_Toc176784787"/>
      <w:bookmarkStart w:id="414" w:name="_Toc176686214"/>
      <w:bookmarkStart w:id="415" w:name="_Toc155859835"/>
      <w:bookmarkStart w:id="416" w:name="_Toc473281548"/>
      <w:bookmarkStart w:id="417" w:name="_Toc189814191"/>
      <w:bookmarkStart w:id="418" w:name="_Toc150759732"/>
    </w:p>
    <w:p>
      <w:pPr>
        <w:spacing w:line="480" w:lineRule="exact"/>
        <w:outlineLvl w:val="0"/>
        <w:rPr>
          <w:rFonts w:hint="eastAsia"/>
          <w:b/>
          <w:sz w:val="28"/>
          <w:szCs w:val="28"/>
        </w:rPr>
      </w:pPr>
      <w:bookmarkStart w:id="419" w:name="_Toc276372270"/>
      <w:r>
        <w:rPr>
          <w:rFonts w:hint="eastAsia"/>
          <w:b/>
          <w:sz w:val="28"/>
          <w:szCs w:val="28"/>
        </w:rPr>
        <w:t>11 环境影响经济损益分析</w:t>
      </w:r>
      <w:bookmarkEnd w:id="413"/>
      <w:bookmarkEnd w:id="414"/>
      <w:bookmarkEnd w:id="415"/>
      <w:bookmarkEnd w:id="416"/>
      <w:bookmarkEnd w:id="417"/>
      <w:bookmarkEnd w:id="418"/>
      <w:bookmarkEnd w:id="419"/>
    </w:p>
    <w:p>
      <w:pPr>
        <w:spacing w:line="480" w:lineRule="exact"/>
        <w:outlineLvl w:val="1"/>
        <w:rPr>
          <w:rFonts w:hint="eastAsia"/>
          <w:b/>
          <w:szCs w:val="20"/>
        </w:rPr>
      </w:pPr>
      <w:bookmarkStart w:id="420" w:name="_Toc155859837"/>
      <w:bookmarkStart w:id="421" w:name="_Toc176784789"/>
      <w:bookmarkStart w:id="422" w:name="_Toc150759734"/>
      <w:bookmarkStart w:id="423" w:name="_Toc176686216"/>
      <w:bookmarkStart w:id="424" w:name="_Toc189814193"/>
      <w:bookmarkStart w:id="425" w:name="_Toc276372271"/>
      <w:bookmarkStart w:id="426" w:name="_Toc473281550"/>
      <w:r>
        <w:rPr>
          <w:rFonts w:hint="eastAsia"/>
          <w:b/>
          <w:szCs w:val="20"/>
        </w:rPr>
        <w:t>11.1环境经济损益分析</w:t>
      </w:r>
      <w:bookmarkEnd w:id="420"/>
      <w:bookmarkEnd w:id="421"/>
      <w:bookmarkEnd w:id="422"/>
      <w:bookmarkEnd w:id="423"/>
      <w:bookmarkEnd w:id="424"/>
      <w:bookmarkEnd w:id="425"/>
      <w:bookmarkEnd w:id="426"/>
    </w:p>
    <w:p>
      <w:pPr>
        <w:spacing w:line="480" w:lineRule="exact"/>
        <w:rPr>
          <w:rFonts w:hint="eastAsia"/>
          <w:b/>
          <w:bCs/>
          <w:szCs w:val="20"/>
        </w:rPr>
      </w:pPr>
      <w:bookmarkStart w:id="427" w:name="_Toc155859838"/>
      <w:r>
        <w:rPr>
          <w:rFonts w:hint="eastAsia"/>
          <w:b/>
          <w:bCs/>
          <w:szCs w:val="20"/>
        </w:rPr>
        <w:t>11.1.1 环境保护费用</w:t>
      </w:r>
      <w:bookmarkEnd w:id="427"/>
    </w:p>
    <w:p>
      <w:pPr>
        <w:pStyle w:val="11"/>
        <w:spacing w:line="480" w:lineRule="exact"/>
        <w:ind w:left="0" w:firstLine="360" w:firstLineChars="150"/>
        <w:rPr>
          <w:rFonts w:hint="eastAsia"/>
          <w:sz w:val="24"/>
        </w:rPr>
      </w:pPr>
      <w:r>
        <w:rPr>
          <w:rFonts w:hint="eastAsia"/>
          <w:sz w:val="24"/>
        </w:rPr>
        <w:t>环境保护费用主要包括技改项目的环保投资和环保设施运行维护费用之和。</w:t>
      </w:r>
    </w:p>
    <w:p>
      <w:pPr>
        <w:spacing w:line="480" w:lineRule="exact"/>
        <w:ind w:firstLine="420" w:firstLineChars="200"/>
        <w:rPr>
          <w:rFonts w:hint="eastAsia" w:ascii="宋体" w:hAnsi="宋体"/>
          <w:bCs/>
        </w:rPr>
      </w:pPr>
      <w:r>
        <w:rPr>
          <w:rFonts w:hint="eastAsia" w:ascii="宋体" w:hAnsi="宋体"/>
          <w:bCs/>
        </w:rPr>
        <w:t>（1）环保投资</w:t>
      </w:r>
    </w:p>
    <w:p>
      <w:pPr>
        <w:spacing w:line="480" w:lineRule="exact"/>
        <w:ind w:firstLine="420" w:firstLineChars="200"/>
        <w:rPr>
          <w:rFonts w:hint="eastAsia" w:ascii="宋体" w:hAnsi="宋体"/>
        </w:rPr>
      </w:pPr>
      <w:r>
        <w:rPr>
          <w:rFonts w:hint="eastAsia"/>
        </w:rPr>
        <w:t>技改项目环保总投资为3490万元，占项目总投资的9.1％</w:t>
      </w:r>
      <w:r>
        <w:rPr>
          <w:rFonts w:hint="eastAsia" w:ascii="宋体" w:hAnsi="宋体"/>
          <w:snapToGrid w:val="0"/>
          <w:kern w:val="0"/>
        </w:rPr>
        <w:t>，</w:t>
      </w:r>
      <w:r>
        <w:rPr>
          <w:rFonts w:hint="eastAsia" w:ascii="宋体" w:hAnsi="宋体"/>
        </w:rPr>
        <w:t>主要用于水泥粉尘、生产废水、设备噪声治理和厂区绿化。</w:t>
      </w:r>
    </w:p>
    <w:p>
      <w:pPr>
        <w:spacing w:line="480" w:lineRule="exact"/>
        <w:ind w:firstLine="420" w:firstLineChars="200"/>
        <w:rPr>
          <w:rFonts w:hint="eastAsia" w:ascii="宋体" w:hAnsi="宋体"/>
        </w:rPr>
      </w:pPr>
      <w:r>
        <w:rPr>
          <w:rFonts w:hint="eastAsia" w:ascii="宋体" w:hAnsi="宋体"/>
        </w:rPr>
        <w:t>按10年的环保设施使用年限计算，则环保投资为349万元／</w:t>
      </w:r>
      <w:r>
        <w:rPr>
          <w:rFonts w:ascii="宋体" w:hAnsi="宋体"/>
        </w:rPr>
        <w:t>a</w:t>
      </w:r>
      <w:r>
        <w:rPr>
          <w:rFonts w:hint="eastAsia" w:ascii="宋体" w:hAnsi="宋体"/>
        </w:rPr>
        <w:t>。</w:t>
      </w:r>
    </w:p>
    <w:p>
      <w:pPr>
        <w:spacing w:line="480" w:lineRule="exact"/>
        <w:ind w:firstLine="420" w:firstLineChars="200"/>
        <w:rPr>
          <w:rFonts w:hint="eastAsia" w:ascii="宋体" w:hAnsi="宋体"/>
          <w:bCs/>
        </w:rPr>
      </w:pPr>
      <w:r>
        <w:rPr>
          <w:rFonts w:hint="eastAsia" w:ascii="宋体" w:hAnsi="宋体"/>
          <w:bCs/>
        </w:rPr>
        <w:t>（2）运行维护费用</w:t>
      </w:r>
    </w:p>
    <w:p>
      <w:pPr>
        <w:spacing w:line="480" w:lineRule="exact"/>
        <w:ind w:firstLine="420" w:firstLineChars="200"/>
        <w:rPr>
          <w:rFonts w:hint="eastAsia" w:ascii="宋体" w:hAnsi="宋体"/>
        </w:rPr>
      </w:pPr>
      <w:r>
        <w:rPr>
          <w:rFonts w:hint="eastAsia" w:ascii="宋体" w:hAnsi="宋体"/>
        </w:rPr>
        <w:t>运行费用是为充分保障环保设施的效率、维持其正常运行而发生的费用，主要包括人工费、水电费、药剂费、维护费、设备折旧费等，按一次性投资费用的12%估算，技改项目投运后，环保设施运行费用约为418.8万元／</w:t>
      </w:r>
      <w:r>
        <w:rPr>
          <w:rFonts w:ascii="宋体" w:hAnsi="宋体"/>
        </w:rPr>
        <w:t>a</w:t>
      </w:r>
      <w:r>
        <w:rPr>
          <w:rFonts w:hint="eastAsia" w:ascii="宋体" w:hAnsi="宋体"/>
        </w:rPr>
        <w:t>。</w:t>
      </w:r>
    </w:p>
    <w:p>
      <w:pPr>
        <w:spacing w:line="480" w:lineRule="exact"/>
        <w:ind w:firstLine="420" w:firstLineChars="200"/>
        <w:rPr>
          <w:rFonts w:hint="eastAsia" w:ascii="宋体" w:hAnsi="宋体"/>
        </w:rPr>
      </w:pPr>
      <w:r>
        <w:rPr>
          <w:rFonts w:hint="eastAsia" w:ascii="宋体" w:hAnsi="宋体"/>
        </w:rPr>
        <w:t>通过以上环保投资和运行费用估算，环保费用为767.8万元／</w:t>
      </w:r>
      <w:r>
        <w:rPr>
          <w:rFonts w:ascii="宋体" w:hAnsi="宋体"/>
        </w:rPr>
        <w:t>a</w:t>
      </w:r>
      <w:r>
        <w:rPr>
          <w:rFonts w:hint="eastAsia" w:ascii="宋体" w:hAnsi="宋体"/>
        </w:rPr>
        <w:t>。</w:t>
      </w:r>
    </w:p>
    <w:p>
      <w:pPr>
        <w:spacing w:line="480" w:lineRule="exact"/>
        <w:rPr>
          <w:rFonts w:hint="eastAsia"/>
          <w:b/>
          <w:bCs/>
          <w:szCs w:val="20"/>
        </w:rPr>
      </w:pPr>
      <w:bookmarkStart w:id="428" w:name="_Toc155859839"/>
      <w:bookmarkStart w:id="429" w:name="_Toc150759735"/>
      <w:r>
        <w:rPr>
          <w:rFonts w:hint="eastAsia"/>
          <w:b/>
          <w:bCs/>
          <w:szCs w:val="20"/>
        </w:rPr>
        <w:t>11.1</w:t>
      </w:r>
      <w:r>
        <w:rPr>
          <w:b/>
          <w:bCs/>
          <w:szCs w:val="20"/>
        </w:rPr>
        <w:t>.2</w:t>
      </w:r>
      <w:r>
        <w:rPr>
          <w:rFonts w:hint="eastAsia"/>
          <w:b/>
          <w:bCs/>
          <w:szCs w:val="20"/>
        </w:rPr>
        <w:t xml:space="preserve"> 效益指标</w:t>
      </w:r>
      <w:bookmarkEnd w:id="428"/>
      <w:bookmarkEnd w:id="429"/>
    </w:p>
    <w:p>
      <w:pPr>
        <w:spacing w:line="480" w:lineRule="exact"/>
        <w:ind w:firstLine="420" w:firstLineChars="200"/>
        <w:rPr>
          <w:rFonts w:hint="eastAsia" w:ascii="宋体" w:hAnsi="宋体"/>
        </w:rPr>
      </w:pPr>
      <w:r>
        <w:rPr>
          <w:rFonts w:hint="eastAsia" w:ascii="宋体" w:hAnsi="宋体"/>
        </w:rPr>
        <w:t>实施污染治理不仅可有效控制污染，在减少排放和加强回收的同时将带来一定的经济效益，体现于两方面：①直接经济效益，即废物回收利用所获得的经济效益；②间接经济效益，即环保措施实施后对环境、人群健康减少的损失和少缴纳的排污费。</w:t>
      </w:r>
    </w:p>
    <w:p>
      <w:pPr>
        <w:spacing w:line="480" w:lineRule="exact"/>
        <w:ind w:firstLine="210" w:firstLineChars="100"/>
        <w:rPr>
          <w:rFonts w:hint="eastAsia"/>
          <w:szCs w:val="20"/>
        </w:rPr>
      </w:pPr>
      <w:bookmarkStart w:id="430" w:name="_Toc222545656"/>
      <w:r>
        <w:rPr>
          <w:rFonts w:hint="eastAsia"/>
          <w:szCs w:val="20"/>
        </w:rPr>
        <w:t>（1）直接经济效益</w:t>
      </w:r>
      <w:bookmarkEnd w:id="430"/>
    </w:p>
    <w:p>
      <w:pPr>
        <w:spacing w:line="480" w:lineRule="exact"/>
        <w:ind w:firstLine="480"/>
        <w:rPr>
          <w:rFonts w:hint="eastAsia"/>
          <w:szCs w:val="20"/>
        </w:rPr>
      </w:pPr>
      <w:bookmarkStart w:id="431" w:name="_Toc222545657"/>
      <w:r>
        <w:rPr>
          <w:rFonts w:hint="eastAsia"/>
          <w:szCs w:val="20"/>
        </w:rPr>
        <w:t>水泥制造中粉尘是主要污染物，但是这些粉末本身就是资源、半成品和产品，收尘措施在减轻了大气污染的同时也回收了大量资源，可以获得可观的经济收益，见表11-1。</w:t>
      </w:r>
      <w:bookmarkEnd w:id="431"/>
    </w:p>
    <w:p>
      <w:pPr>
        <w:spacing w:line="480" w:lineRule="exact"/>
        <w:ind w:firstLine="480"/>
        <w:rPr>
          <w:rFonts w:hint="eastAsia"/>
          <w:szCs w:val="20"/>
        </w:rPr>
      </w:pPr>
      <w:bookmarkStart w:id="432" w:name="_Toc222545658"/>
      <w:r>
        <w:rPr>
          <w:rFonts w:hint="eastAsia"/>
          <w:szCs w:val="20"/>
        </w:rPr>
        <w:t>技改项目环保设施投资直接经济效益可达每年3092万元。</w:t>
      </w:r>
      <w:bookmarkEnd w:id="432"/>
    </w:p>
    <w:p>
      <w:pPr>
        <w:spacing w:line="480" w:lineRule="exact"/>
        <w:ind w:firstLine="480"/>
        <w:jc w:val="center"/>
        <w:rPr>
          <w:rFonts w:hint="eastAsia"/>
          <w:b/>
          <w:szCs w:val="20"/>
        </w:rPr>
      </w:pPr>
      <w:bookmarkStart w:id="433" w:name="_Toc222545659"/>
      <w:r>
        <w:rPr>
          <w:rFonts w:hint="eastAsia"/>
          <w:b/>
          <w:szCs w:val="20"/>
        </w:rPr>
        <w:t>表11-1 二线工程直接经济效益</w:t>
      </w:r>
      <w:bookmarkEnd w:id="433"/>
    </w:p>
    <w:tbl>
      <w:tblPr>
        <w:tblStyle w:val="21"/>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2"/>
        <w:gridCol w:w="1129"/>
        <w:gridCol w:w="1129"/>
        <w:gridCol w:w="1129"/>
        <w:gridCol w:w="849"/>
        <w:gridCol w:w="1129"/>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2" w:type="dxa"/>
            <w:vAlign w:val="top"/>
          </w:tcPr>
          <w:p>
            <w:pPr>
              <w:spacing w:line="480" w:lineRule="exact"/>
              <w:rPr>
                <w:sz w:val="21"/>
                <w:szCs w:val="21"/>
              </w:rPr>
            </w:pPr>
          </w:p>
        </w:tc>
        <w:tc>
          <w:tcPr>
            <w:tcW w:w="1129" w:type="dxa"/>
            <w:vAlign w:val="top"/>
          </w:tcPr>
          <w:p>
            <w:pPr>
              <w:spacing w:line="480" w:lineRule="exact"/>
              <w:rPr>
                <w:sz w:val="21"/>
                <w:szCs w:val="21"/>
              </w:rPr>
            </w:pPr>
            <w:bookmarkStart w:id="434" w:name="_Toc222545660"/>
            <w:r>
              <w:rPr>
                <w:sz w:val="21"/>
                <w:szCs w:val="21"/>
              </w:rPr>
              <w:t>原料尘</w:t>
            </w:r>
            <w:bookmarkEnd w:id="434"/>
          </w:p>
        </w:tc>
        <w:tc>
          <w:tcPr>
            <w:tcW w:w="1129" w:type="dxa"/>
            <w:vAlign w:val="top"/>
          </w:tcPr>
          <w:p>
            <w:pPr>
              <w:spacing w:line="480" w:lineRule="exact"/>
              <w:rPr>
                <w:sz w:val="21"/>
                <w:szCs w:val="21"/>
              </w:rPr>
            </w:pPr>
            <w:bookmarkStart w:id="435" w:name="_Toc222545661"/>
            <w:r>
              <w:rPr>
                <w:sz w:val="21"/>
                <w:szCs w:val="21"/>
              </w:rPr>
              <w:t>生料尘</w:t>
            </w:r>
            <w:bookmarkEnd w:id="435"/>
          </w:p>
        </w:tc>
        <w:tc>
          <w:tcPr>
            <w:tcW w:w="1129" w:type="dxa"/>
            <w:vAlign w:val="top"/>
          </w:tcPr>
          <w:p>
            <w:pPr>
              <w:spacing w:line="480" w:lineRule="exact"/>
              <w:rPr>
                <w:sz w:val="21"/>
                <w:szCs w:val="21"/>
              </w:rPr>
            </w:pPr>
            <w:bookmarkStart w:id="436" w:name="_Toc222545662"/>
            <w:r>
              <w:rPr>
                <w:sz w:val="21"/>
                <w:szCs w:val="21"/>
              </w:rPr>
              <w:t>熟料尘</w:t>
            </w:r>
            <w:bookmarkEnd w:id="436"/>
          </w:p>
        </w:tc>
        <w:tc>
          <w:tcPr>
            <w:tcW w:w="849" w:type="dxa"/>
            <w:vAlign w:val="top"/>
          </w:tcPr>
          <w:p>
            <w:pPr>
              <w:spacing w:line="480" w:lineRule="exact"/>
              <w:rPr>
                <w:sz w:val="21"/>
                <w:szCs w:val="21"/>
              </w:rPr>
            </w:pPr>
            <w:bookmarkStart w:id="437" w:name="_Toc222545663"/>
            <w:r>
              <w:rPr>
                <w:sz w:val="21"/>
                <w:szCs w:val="21"/>
              </w:rPr>
              <w:t>煤尘</w:t>
            </w:r>
            <w:bookmarkEnd w:id="437"/>
          </w:p>
        </w:tc>
        <w:tc>
          <w:tcPr>
            <w:tcW w:w="1129" w:type="dxa"/>
            <w:vAlign w:val="top"/>
          </w:tcPr>
          <w:p>
            <w:pPr>
              <w:spacing w:line="480" w:lineRule="exact"/>
              <w:rPr>
                <w:sz w:val="21"/>
                <w:szCs w:val="21"/>
              </w:rPr>
            </w:pPr>
            <w:bookmarkStart w:id="438" w:name="_Toc222545664"/>
            <w:r>
              <w:rPr>
                <w:sz w:val="21"/>
                <w:szCs w:val="21"/>
              </w:rPr>
              <w:t>水泥尘</w:t>
            </w:r>
            <w:bookmarkEnd w:id="438"/>
          </w:p>
        </w:tc>
        <w:tc>
          <w:tcPr>
            <w:tcW w:w="1189" w:type="dxa"/>
            <w:vAlign w:val="top"/>
          </w:tcPr>
          <w:p>
            <w:pPr>
              <w:spacing w:line="480" w:lineRule="exact"/>
              <w:rPr>
                <w:sz w:val="21"/>
                <w:szCs w:val="21"/>
              </w:rPr>
            </w:pPr>
            <w:bookmarkStart w:id="439" w:name="_Toc222545665"/>
            <w:r>
              <w:rPr>
                <w:sz w:val="21"/>
                <w:szCs w:val="21"/>
              </w:rPr>
              <w:t>合计</w:t>
            </w:r>
            <w:bookmarkEnd w:id="43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2" w:type="dxa"/>
            <w:vAlign w:val="top"/>
          </w:tcPr>
          <w:p>
            <w:pPr>
              <w:spacing w:line="480" w:lineRule="exact"/>
              <w:rPr>
                <w:sz w:val="21"/>
                <w:szCs w:val="21"/>
              </w:rPr>
            </w:pPr>
            <w:bookmarkStart w:id="440" w:name="_Toc222545666"/>
            <w:r>
              <w:rPr>
                <w:sz w:val="21"/>
                <w:szCs w:val="21"/>
              </w:rPr>
              <w:t>回收量（万t/a）</w:t>
            </w:r>
            <w:bookmarkEnd w:id="440"/>
          </w:p>
        </w:tc>
        <w:tc>
          <w:tcPr>
            <w:tcW w:w="1129" w:type="dxa"/>
            <w:vAlign w:val="top"/>
          </w:tcPr>
          <w:p>
            <w:pPr>
              <w:spacing w:line="480" w:lineRule="exact"/>
              <w:rPr>
                <w:sz w:val="21"/>
                <w:szCs w:val="21"/>
              </w:rPr>
            </w:pPr>
            <w:r>
              <w:rPr>
                <w:sz w:val="21"/>
                <w:szCs w:val="21"/>
              </w:rPr>
              <w:t>0.98</w:t>
            </w:r>
          </w:p>
        </w:tc>
        <w:tc>
          <w:tcPr>
            <w:tcW w:w="1129" w:type="dxa"/>
            <w:vAlign w:val="top"/>
          </w:tcPr>
          <w:p>
            <w:pPr>
              <w:spacing w:line="480" w:lineRule="exact"/>
              <w:rPr>
                <w:sz w:val="21"/>
                <w:szCs w:val="21"/>
              </w:rPr>
            </w:pPr>
            <w:r>
              <w:rPr>
                <w:sz w:val="21"/>
                <w:szCs w:val="21"/>
              </w:rPr>
              <w:t>8.44</w:t>
            </w:r>
          </w:p>
        </w:tc>
        <w:tc>
          <w:tcPr>
            <w:tcW w:w="1129" w:type="dxa"/>
            <w:vAlign w:val="top"/>
          </w:tcPr>
          <w:p>
            <w:pPr>
              <w:spacing w:line="480" w:lineRule="exact"/>
              <w:rPr>
                <w:sz w:val="21"/>
                <w:szCs w:val="21"/>
              </w:rPr>
            </w:pPr>
            <w:r>
              <w:rPr>
                <w:sz w:val="21"/>
                <w:szCs w:val="21"/>
              </w:rPr>
              <w:t>2.0</w:t>
            </w:r>
          </w:p>
        </w:tc>
        <w:tc>
          <w:tcPr>
            <w:tcW w:w="849" w:type="dxa"/>
            <w:vAlign w:val="top"/>
          </w:tcPr>
          <w:p>
            <w:pPr>
              <w:spacing w:line="480" w:lineRule="exact"/>
              <w:rPr>
                <w:sz w:val="21"/>
                <w:szCs w:val="21"/>
              </w:rPr>
            </w:pPr>
            <w:r>
              <w:rPr>
                <w:sz w:val="21"/>
                <w:szCs w:val="21"/>
              </w:rPr>
              <w:t>0.72</w:t>
            </w:r>
          </w:p>
        </w:tc>
        <w:tc>
          <w:tcPr>
            <w:tcW w:w="1129" w:type="dxa"/>
            <w:vAlign w:val="top"/>
          </w:tcPr>
          <w:p>
            <w:pPr>
              <w:spacing w:line="480" w:lineRule="exact"/>
              <w:rPr>
                <w:sz w:val="21"/>
                <w:szCs w:val="21"/>
              </w:rPr>
            </w:pPr>
            <w:r>
              <w:rPr>
                <w:sz w:val="21"/>
                <w:szCs w:val="21"/>
              </w:rPr>
              <w:t>6.21</w:t>
            </w:r>
          </w:p>
        </w:tc>
        <w:tc>
          <w:tcPr>
            <w:tcW w:w="1189" w:type="dxa"/>
            <w:vAlign w:val="center"/>
          </w:tcPr>
          <w:p>
            <w:pPr>
              <w:rPr>
                <w:rFonts w:cs="宋体"/>
                <w:sz w:val="21"/>
                <w:szCs w:val="21"/>
              </w:rPr>
            </w:pPr>
            <w:r>
              <w:rPr>
                <w:sz w:val="21"/>
                <w:szCs w:val="21"/>
              </w:rPr>
              <w:t>18.35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2" w:type="dxa"/>
            <w:vAlign w:val="top"/>
          </w:tcPr>
          <w:p>
            <w:pPr>
              <w:spacing w:line="480" w:lineRule="exact"/>
              <w:rPr>
                <w:sz w:val="21"/>
                <w:szCs w:val="21"/>
              </w:rPr>
            </w:pPr>
            <w:bookmarkStart w:id="441" w:name="_Toc222545672"/>
            <w:r>
              <w:rPr>
                <w:sz w:val="21"/>
                <w:szCs w:val="21"/>
              </w:rPr>
              <w:t>单位价格（元/t）</w:t>
            </w:r>
            <w:bookmarkEnd w:id="441"/>
          </w:p>
        </w:tc>
        <w:tc>
          <w:tcPr>
            <w:tcW w:w="1129" w:type="dxa"/>
            <w:vAlign w:val="top"/>
          </w:tcPr>
          <w:p>
            <w:pPr>
              <w:spacing w:line="480" w:lineRule="exact"/>
              <w:rPr>
                <w:sz w:val="21"/>
                <w:szCs w:val="21"/>
              </w:rPr>
            </w:pPr>
            <w:bookmarkStart w:id="442" w:name="_Toc222545673"/>
            <w:r>
              <w:rPr>
                <w:sz w:val="21"/>
                <w:szCs w:val="21"/>
              </w:rPr>
              <w:t>10</w:t>
            </w:r>
            <w:bookmarkEnd w:id="442"/>
          </w:p>
        </w:tc>
        <w:tc>
          <w:tcPr>
            <w:tcW w:w="1129" w:type="dxa"/>
            <w:vAlign w:val="top"/>
          </w:tcPr>
          <w:p>
            <w:pPr>
              <w:spacing w:line="480" w:lineRule="exact"/>
              <w:rPr>
                <w:sz w:val="21"/>
                <w:szCs w:val="21"/>
              </w:rPr>
            </w:pPr>
            <w:bookmarkStart w:id="443" w:name="_Toc222545674"/>
            <w:r>
              <w:rPr>
                <w:sz w:val="21"/>
                <w:szCs w:val="21"/>
              </w:rPr>
              <w:t>80</w:t>
            </w:r>
            <w:bookmarkEnd w:id="443"/>
          </w:p>
        </w:tc>
        <w:tc>
          <w:tcPr>
            <w:tcW w:w="1129" w:type="dxa"/>
            <w:vAlign w:val="top"/>
          </w:tcPr>
          <w:p>
            <w:pPr>
              <w:spacing w:line="480" w:lineRule="exact"/>
              <w:rPr>
                <w:sz w:val="21"/>
                <w:szCs w:val="21"/>
              </w:rPr>
            </w:pPr>
            <w:bookmarkStart w:id="444" w:name="_Toc222545675"/>
            <w:r>
              <w:rPr>
                <w:sz w:val="21"/>
                <w:szCs w:val="21"/>
              </w:rPr>
              <w:t>200</w:t>
            </w:r>
            <w:bookmarkEnd w:id="444"/>
          </w:p>
        </w:tc>
        <w:tc>
          <w:tcPr>
            <w:tcW w:w="849" w:type="dxa"/>
            <w:vAlign w:val="top"/>
          </w:tcPr>
          <w:p>
            <w:pPr>
              <w:spacing w:line="480" w:lineRule="exact"/>
              <w:rPr>
                <w:sz w:val="21"/>
                <w:szCs w:val="21"/>
              </w:rPr>
            </w:pPr>
            <w:bookmarkStart w:id="445" w:name="_Toc222545676"/>
            <w:r>
              <w:rPr>
                <w:sz w:val="21"/>
                <w:szCs w:val="21"/>
              </w:rPr>
              <w:t>200</w:t>
            </w:r>
            <w:bookmarkEnd w:id="445"/>
          </w:p>
        </w:tc>
        <w:tc>
          <w:tcPr>
            <w:tcW w:w="1129" w:type="dxa"/>
            <w:vAlign w:val="top"/>
          </w:tcPr>
          <w:p>
            <w:pPr>
              <w:spacing w:line="480" w:lineRule="exact"/>
              <w:rPr>
                <w:sz w:val="21"/>
                <w:szCs w:val="21"/>
              </w:rPr>
            </w:pPr>
            <w:bookmarkStart w:id="446" w:name="_Toc222545677"/>
            <w:r>
              <w:rPr>
                <w:sz w:val="21"/>
                <w:szCs w:val="21"/>
              </w:rPr>
              <w:t>300</w:t>
            </w:r>
            <w:bookmarkEnd w:id="446"/>
          </w:p>
        </w:tc>
        <w:tc>
          <w:tcPr>
            <w:tcW w:w="1189" w:type="dxa"/>
            <w:vAlign w:val="center"/>
          </w:tcPr>
          <w:p>
            <w:pPr>
              <w:rPr>
                <w:rFonts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32" w:type="dxa"/>
            <w:vAlign w:val="top"/>
          </w:tcPr>
          <w:p>
            <w:pPr>
              <w:spacing w:line="480" w:lineRule="exact"/>
              <w:rPr>
                <w:sz w:val="21"/>
                <w:szCs w:val="21"/>
              </w:rPr>
            </w:pPr>
            <w:bookmarkStart w:id="447" w:name="_Toc222545678"/>
            <w:r>
              <w:rPr>
                <w:sz w:val="21"/>
                <w:szCs w:val="21"/>
              </w:rPr>
              <w:t>回收效益（万元/a）</w:t>
            </w:r>
            <w:bookmarkEnd w:id="447"/>
          </w:p>
        </w:tc>
        <w:tc>
          <w:tcPr>
            <w:tcW w:w="1129" w:type="dxa"/>
            <w:vAlign w:val="top"/>
          </w:tcPr>
          <w:p>
            <w:pPr>
              <w:spacing w:line="480" w:lineRule="exact"/>
              <w:rPr>
                <w:sz w:val="21"/>
                <w:szCs w:val="21"/>
              </w:rPr>
            </w:pPr>
            <w:r>
              <w:rPr>
                <w:sz w:val="21"/>
                <w:szCs w:val="21"/>
              </w:rPr>
              <w:t>9.8</w:t>
            </w:r>
          </w:p>
        </w:tc>
        <w:tc>
          <w:tcPr>
            <w:tcW w:w="1129" w:type="dxa"/>
            <w:vAlign w:val="top"/>
          </w:tcPr>
          <w:p>
            <w:pPr>
              <w:spacing w:line="480" w:lineRule="exact"/>
              <w:rPr>
                <w:sz w:val="21"/>
                <w:szCs w:val="21"/>
              </w:rPr>
            </w:pPr>
            <w:r>
              <w:rPr>
                <w:sz w:val="21"/>
                <w:szCs w:val="21"/>
              </w:rPr>
              <w:t>675.2</w:t>
            </w:r>
          </w:p>
        </w:tc>
        <w:tc>
          <w:tcPr>
            <w:tcW w:w="1129" w:type="dxa"/>
            <w:vAlign w:val="top"/>
          </w:tcPr>
          <w:p>
            <w:pPr>
              <w:spacing w:line="480" w:lineRule="exact"/>
              <w:rPr>
                <w:sz w:val="21"/>
                <w:szCs w:val="21"/>
              </w:rPr>
            </w:pPr>
            <w:r>
              <w:rPr>
                <w:sz w:val="21"/>
                <w:szCs w:val="21"/>
              </w:rPr>
              <w:t>400</w:t>
            </w:r>
          </w:p>
        </w:tc>
        <w:tc>
          <w:tcPr>
            <w:tcW w:w="849" w:type="dxa"/>
            <w:vAlign w:val="top"/>
          </w:tcPr>
          <w:p>
            <w:pPr>
              <w:spacing w:line="480" w:lineRule="exact"/>
              <w:rPr>
                <w:sz w:val="21"/>
                <w:szCs w:val="21"/>
              </w:rPr>
            </w:pPr>
            <w:r>
              <w:rPr>
                <w:sz w:val="21"/>
                <w:szCs w:val="21"/>
              </w:rPr>
              <w:t>144</w:t>
            </w:r>
          </w:p>
        </w:tc>
        <w:tc>
          <w:tcPr>
            <w:tcW w:w="1129" w:type="dxa"/>
            <w:vAlign w:val="top"/>
          </w:tcPr>
          <w:p>
            <w:pPr>
              <w:spacing w:line="480" w:lineRule="exact"/>
              <w:rPr>
                <w:sz w:val="21"/>
                <w:szCs w:val="21"/>
              </w:rPr>
            </w:pPr>
            <w:r>
              <w:rPr>
                <w:sz w:val="21"/>
                <w:szCs w:val="21"/>
              </w:rPr>
              <w:t>1863</w:t>
            </w:r>
          </w:p>
        </w:tc>
        <w:tc>
          <w:tcPr>
            <w:tcW w:w="1189" w:type="dxa"/>
            <w:vAlign w:val="center"/>
          </w:tcPr>
          <w:p>
            <w:pPr>
              <w:rPr>
                <w:rFonts w:cs="宋体"/>
                <w:sz w:val="21"/>
                <w:szCs w:val="21"/>
              </w:rPr>
            </w:pPr>
            <w:r>
              <w:rPr>
                <w:sz w:val="21"/>
                <w:szCs w:val="21"/>
              </w:rPr>
              <w:t>3092</w:t>
            </w:r>
          </w:p>
        </w:tc>
      </w:tr>
    </w:tbl>
    <w:p>
      <w:pPr>
        <w:spacing w:line="480" w:lineRule="exact"/>
        <w:ind w:firstLine="315" w:firstLineChars="150"/>
        <w:rPr>
          <w:rFonts w:hint="eastAsia"/>
          <w:szCs w:val="20"/>
        </w:rPr>
      </w:pPr>
      <w:bookmarkStart w:id="448" w:name="_Toc222545684"/>
      <w:r>
        <w:rPr>
          <w:rFonts w:hint="eastAsia"/>
          <w:szCs w:val="20"/>
        </w:rPr>
        <w:t>（2）间接经济效益</w:t>
      </w:r>
      <w:bookmarkEnd w:id="448"/>
    </w:p>
    <w:p>
      <w:pPr>
        <w:spacing w:line="480" w:lineRule="exact"/>
        <w:ind w:firstLine="480"/>
        <w:rPr>
          <w:rFonts w:hint="eastAsia"/>
          <w:szCs w:val="20"/>
        </w:rPr>
      </w:pPr>
      <w:bookmarkStart w:id="449" w:name="_Toc222545685"/>
      <w:r>
        <w:rPr>
          <w:rFonts w:hint="eastAsia"/>
          <w:szCs w:val="20"/>
        </w:rPr>
        <w:t>排污对人群健康造成的污染损失、为环境污染支付的赔偿费等，在目前情况下，这些间接污染损失难以用货币定量化，可以量化的只考虑排污费。</w:t>
      </w:r>
      <w:bookmarkEnd w:id="449"/>
    </w:p>
    <w:p>
      <w:pPr>
        <w:spacing w:line="480" w:lineRule="exact"/>
        <w:ind w:firstLine="420" w:firstLineChars="200"/>
        <w:rPr>
          <w:rFonts w:hint="eastAsia" w:ascii="宋体" w:hAnsi="宋体"/>
        </w:rPr>
      </w:pPr>
      <w:r>
        <w:rPr>
          <w:rFonts w:hint="eastAsia" w:ascii="宋体" w:hAnsi="宋体"/>
        </w:rPr>
        <w:t>技改项目若不采取环保措施进行污染物有效削减，依据国家计委、财政部、国家环保总局、国家经贸委2003年2月28日第31号令《排污费征收标准管理办法》规定计算，企业应缴纳排污费5099.84万元/</w:t>
      </w:r>
      <w:r>
        <w:rPr>
          <w:rFonts w:ascii="宋体" w:hAnsi="宋体"/>
        </w:rPr>
        <w:t>a</w:t>
      </w:r>
      <w:r>
        <w:rPr>
          <w:rFonts w:hint="eastAsia" w:ascii="宋体" w:hAnsi="宋体"/>
        </w:rPr>
        <w:t>，详见表11-2。</w:t>
      </w:r>
    </w:p>
    <w:p>
      <w:pPr>
        <w:spacing w:line="440" w:lineRule="exact"/>
        <w:jc w:val="center"/>
        <w:rPr>
          <w:rFonts w:hint="eastAsia"/>
          <w:b/>
        </w:rPr>
      </w:pPr>
      <w:r>
        <w:rPr>
          <w:rFonts w:hint="eastAsia"/>
          <w:b/>
        </w:rPr>
        <w:t>表11-2  污染不治理应缴纳的排污费估算</w:t>
      </w:r>
    </w:p>
    <w:tbl>
      <w:tblPr>
        <w:tblStyle w:val="21"/>
        <w:tblW w:w="9016" w:type="dxa"/>
        <w:jc w:val="center"/>
        <w:tblInd w:w="2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1800"/>
        <w:gridCol w:w="1596"/>
        <w:gridCol w:w="1323"/>
        <w:gridCol w:w="1486"/>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0" w:type="dxa"/>
            <w:vAlign w:val="center"/>
          </w:tcPr>
          <w:p>
            <w:pPr>
              <w:spacing w:line="280" w:lineRule="exact"/>
              <w:jc w:val="center"/>
              <w:rPr>
                <w:rFonts w:hint="eastAsia"/>
              </w:rPr>
            </w:pPr>
            <w:r>
              <w:rPr>
                <w:rFonts w:hint="eastAsia"/>
              </w:rPr>
              <w:t>收费</w:t>
            </w:r>
          </w:p>
          <w:p>
            <w:pPr>
              <w:spacing w:line="280" w:lineRule="exact"/>
              <w:jc w:val="center"/>
              <w:rPr>
                <w:rFonts w:hint="eastAsia"/>
              </w:rPr>
            </w:pPr>
            <w:r>
              <w:rPr>
                <w:rFonts w:hint="eastAsia"/>
              </w:rPr>
              <w:t>类别</w:t>
            </w:r>
          </w:p>
        </w:tc>
        <w:tc>
          <w:tcPr>
            <w:tcW w:w="1800" w:type="dxa"/>
            <w:vAlign w:val="center"/>
          </w:tcPr>
          <w:p>
            <w:pPr>
              <w:spacing w:line="280" w:lineRule="exact"/>
              <w:jc w:val="center"/>
              <w:rPr>
                <w:rFonts w:hint="eastAsia"/>
              </w:rPr>
            </w:pPr>
            <w:r>
              <w:rPr>
                <w:rFonts w:hint="eastAsia"/>
              </w:rPr>
              <w:t>排污</w:t>
            </w:r>
          </w:p>
          <w:p>
            <w:pPr>
              <w:spacing w:line="280" w:lineRule="exact"/>
              <w:jc w:val="center"/>
              <w:rPr>
                <w:rFonts w:hint="eastAsia"/>
              </w:rPr>
            </w:pPr>
            <w:r>
              <w:rPr>
                <w:rFonts w:hint="eastAsia"/>
              </w:rPr>
              <w:t>收费因子</w:t>
            </w:r>
          </w:p>
        </w:tc>
        <w:tc>
          <w:tcPr>
            <w:tcW w:w="1596" w:type="dxa"/>
            <w:vAlign w:val="center"/>
          </w:tcPr>
          <w:p>
            <w:pPr>
              <w:spacing w:line="280" w:lineRule="exact"/>
              <w:jc w:val="center"/>
              <w:rPr>
                <w:rFonts w:hint="eastAsia"/>
              </w:rPr>
            </w:pPr>
            <w:r>
              <w:rPr>
                <w:rFonts w:hint="eastAsia"/>
              </w:rPr>
              <w:t>污染当量值</w:t>
            </w:r>
          </w:p>
          <w:p>
            <w:pPr>
              <w:spacing w:line="280" w:lineRule="exact"/>
              <w:jc w:val="center"/>
              <w:rPr>
                <w:rFonts w:hint="eastAsia"/>
              </w:rPr>
            </w:pPr>
            <w:r>
              <w:rPr>
                <w:rFonts w:hint="eastAsia"/>
              </w:rPr>
              <w:t>（</w:t>
            </w:r>
            <w:r>
              <w:t>Kg</w:t>
            </w:r>
            <w:r>
              <w:rPr>
                <w:rFonts w:hint="eastAsia"/>
              </w:rPr>
              <w:t>）</w:t>
            </w:r>
          </w:p>
        </w:tc>
        <w:tc>
          <w:tcPr>
            <w:tcW w:w="1323" w:type="dxa"/>
            <w:vAlign w:val="center"/>
          </w:tcPr>
          <w:p>
            <w:pPr>
              <w:spacing w:line="280" w:lineRule="exact"/>
              <w:jc w:val="center"/>
              <w:rPr>
                <w:rFonts w:hint="eastAsia"/>
              </w:rPr>
            </w:pPr>
            <w:r>
              <w:rPr>
                <w:rFonts w:hint="eastAsia"/>
              </w:rPr>
              <w:t>单位收费值</w:t>
            </w:r>
          </w:p>
          <w:p>
            <w:pPr>
              <w:spacing w:line="280" w:lineRule="exact"/>
              <w:jc w:val="center"/>
              <w:rPr>
                <w:rFonts w:hint="eastAsia"/>
              </w:rPr>
            </w:pPr>
            <w:r>
              <w:rPr>
                <w:rFonts w:hint="eastAsia"/>
              </w:rPr>
              <w:t>（元）</w:t>
            </w:r>
          </w:p>
        </w:tc>
        <w:tc>
          <w:tcPr>
            <w:tcW w:w="1486" w:type="dxa"/>
            <w:vAlign w:val="center"/>
          </w:tcPr>
          <w:p>
            <w:pPr>
              <w:spacing w:line="280" w:lineRule="exact"/>
              <w:jc w:val="center"/>
              <w:rPr>
                <w:rFonts w:hint="eastAsia"/>
              </w:rPr>
            </w:pPr>
            <w:r>
              <w:rPr>
                <w:rFonts w:hint="eastAsia"/>
              </w:rPr>
              <w:t>未治理（利用）多排污部分量t/a</w:t>
            </w:r>
          </w:p>
        </w:tc>
        <w:tc>
          <w:tcPr>
            <w:tcW w:w="1161" w:type="dxa"/>
            <w:vAlign w:val="center"/>
          </w:tcPr>
          <w:p>
            <w:pPr>
              <w:spacing w:line="280" w:lineRule="exact"/>
              <w:jc w:val="center"/>
              <w:rPr>
                <w:rFonts w:hint="eastAsia"/>
              </w:rPr>
            </w:pPr>
            <w:r>
              <w:rPr>
                <w:rFonts w:hint="eastAsia"/>
              </w:rPr>
              <w:t>多收费值</w:t>
            </w:r>
          </w:p>
          <w:p>
            <w:pPr>
              <w:spacing w:line="280" w:lineRule="exact"/>
              <w:jc w:val="center"/>
              <w:rPr>
                <w:rFonts w:hint="eastAsia"/>
              </w:rPr>
            </w:pPr>
            <w:r>
              <w:rPr>
                <w:rFonts w:hint="eastAsia"/>
              </w:rPr>
              <w:t>（万元/</w:t>
            </w:r>
            <w:r>
              <w:t>a</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50" w:type="dxa"/>
            <w:vAlign w:val="center"/>
          </w:tcPr>
          <w:p>
            <w:pPr>
              <w:spacing w:line="280" w:lineRule="exact"/>
              <w:jc w:val="center"/>
              <w:rPr>
                <w:rFonts w:hint="eastAsia"/>
              </w:rPr>
            </w:pPr>
            <w:r>
              <w:rPr>
                <w:rFonts w:hint="eastAsia"/>
              </w:rPr>
              <w:t>废气</w:t>
            </w:r>
          </w:p>
        </w:tc>
        <w:tc>
          <w:tcPr>
            <w:tcW w:w="1800" w:type="dxa"/>
            <w:vAlign w:val="center"/>
          </w:tcPr>
          <w:p>
            <w:pPr>
              <w:spacing w:line="240" w:lineRule="exact"/>
              <w:ind w:firstLine="67"/>
              <w:jc w:val="center"/>
              <w:rPr>
                <w:rFonts w:hint="eastAsia"/>
              </w:rPr>
            </w:pPr>
            <w:r>
              <w:rPr>
                <w:rFonts w:hint="eastAsia"/>
              </w:rPr>
              <w:t>烟粉尘</w:t>
            </w:r>
          </w:p>
        </w:tc>
        <w:tc>
          <w:tcPr>
            <w:tcW w:w="1596" w:type="dxa"/>
            <w:vAlign w:val="center"/>
          </w:tcPr>
          <w:p>
            <w:pPr>
              <w:spacing w:line="280" w:lineRule="exact"/>
              <w:jc w:val="center"/>
              <w:rPr>
                <w:rFonts w:hint="eastAsia"/>
              </w:rPr>
            </w:pPr>
            <w:r>
              <w:rPr>
                <w:rFonts w:hint="eastAsia"/>
              </w:rPr>
              <w:t>2.18</w:t>
            </w:r>
          </w:p>
        </w:tc>
        <w:tc>
          <w:tcPr>
            <w:tcW w:w="1323" w:type="dxa"/>
            <w:vAlign w:val="center"/>
          </w:tcPr>
          <w:p>
            <w:pPr>
              <w:spacing w:line="280" w:lineRule="exact"/>
              <w:jc w:val="center"/>
              <w:rPr>
                <w:rFonts w:hint="eastAsia"/>
              </w:rPr>
            </w:pPr>
            <w:r>
              <w:rPr>
                <w:rFonts w:hint="eastAsia"/>
              </w:rPr>
              <w:t>0.6</w:t>
            </w:r>
          </w:p>
        </w:tc>
        <w:tc>
          <w:tcPr>
            <w:tcW w:w="1486" w:type="dxa"/>
            <w:vAlign w:val="center"/>
          </w:tcPr>
          <w:p>
            <w:pPr>
              <w:spacing w:line="280" w:lineRule="exact"/>
              <w:jc w:val="center"/>
              <w:rPr>
                <w:rFonts w:hint="eastAsia"/>
              </w:rPr>
            </w:pPr>
            <w:r>
              <w:rPr>
                <w:rFonts w:hint="eastAsia" w:ascii="宋体" w:hAnsi="宋体"/>
              </w:rPr>
              <w:t>183500</w:t>
            </w:r>
          </w:p>
        </w:tc>
        <w:tc>
          <w:tcPr>
            <w:tcW w:w="1161" w:type="dxa"/>
            <w:vAlign w:val="center"/>
          </w:tcPr>
          <w:p>
            <w:pPr>
              <w:spacing w:line="280" w:lineRule="exact"/>
              <w:jc w:val="center"/>
              <w:rPr>
                <w:rFonts w:hint="eastAsia"/>
              </w:rPr>
            </w:pPr>
            <w:r>
              <w:rPr>
                <w:rFonts w:hint="eastAsia"/>
              </w:rPr>
              <w:t>5097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50" w:type="dxa"/>
            <w:vAlign w:val="center"/>
          </w:tcPr>
          <w:p>
            <w:pPr>
              <w:spacing w:line="280" w:lineRule="exact"/>
              <w:jc w:val="center"/>
              <w:rPr>
                <w:rFonts w:hint="eastAsia"/>
              </w:rPr>
            </w:pPr>
            <w:r>
              <w:rPr>
                <w:rFonts w:hint="eastAsia"/>
              </w:rPr>
              <w:t>废水</w:t>
            </w:r>
          </w:p>
        </w:tc>
        <w:tc>
          <w:tcPr>
            <w:tcW w:w="1800" w:type="dxa"/>
            <w:vAlign w:val="center"/>
          </w:tcPr>
          <w:p>
            <w:pPr>
              <w:spacing w:line="280" w:lineRule="atLeast"/>
              <w:jc w:val="center"/>
              <w:rPr>
                <w:rFonts w:hint="eastAsia"/>
                <w:szCs w:val="21"/>
              </w:rPr>
            </w:pPr>
            <w:r>
              <w:rPr>
                <w:rFonts w:hint="eastAsia"/>
                <w:szCs w:val="21"/>
              </w:rPr>
              <w:t>COD</w:t>
            </w:r>
          </w:p>
        </w:tc>
        <w:tc>
          <w:tcPr>
            <w:tcW w:w="1596" w:type="dxa"/>
            <w:vAlign w:val="center"/>
          </w:tcPr>
          <w:p>
            <w:pPr>
              <w:spacing w:line="280" w:lineRule="exact"/>
              <w:jc w:val="center"/>
              <w:rPr>
                <w:rFonts w:hint="eastAsia"/>
                <w:spacing w:val="-20"/>
              </w:rPr>
            </w:pPr>
            <w:r>
              <w:rPr>
                <w:rFonts w:hint="eastAsia"/>
                <w:spacing w:val="-20"/>
              </w:rPr>
              <w:t>1</w:t>
            </w:r>
          </w:p>
        </w:tc>
        <w:tc>
          <w:tcPr>
            <w:tcW w:w="1323" w:type="dxa"/>
            <w:vAlign w:val="center"/>
          </w:tcPr>
          <w:p>
            <w:pPr>
              <w:spacing w:line="280" w:lineRule="exact"/>
              <w:jc w:val="center"/>
              <w:rPr>
                <w:rFonts w:hint="eastAsia"/>
              </w:rPr>
            </w:pPr>
            <w:r>
              <w:rPr>
                <w:rFonts w:hint="eastAsia"/>
              </w:rPr>
              <w:t>0.7</w:t>
            </w:r>
          </w:p>
        </w:tc>
        <w:tc>
          <w:tcPr>
            <w:tcW w:w="1486" w:type="dxa"/>
            <w:vAlign w:val="center"/>
          </w:tcPr>
          <w:p>
            <w:pPr>
              <w:spacing w:line="280" w:lineRule="exact"/>
              <w:jc w:val="center"/>
              <w:rPr>
                <w:rFonts w:hint="eastAsia"/>
                <w:spacing w:val="-20"/>
              </w:rPr>
            </w:pPr>
            <w:r>
              <w:rPr>
                <w:rFonts w:hint="eastAsia"/>
                <w:spacing w:val="-20"/>
              </w:rPr>
              <w:t>2.62</w:t>
            </w:r>
          </w:p>
        </w:tc>
        <w:tc>
          <w:tcPr>
            <w:tcW w:w="1161" w:type="dxa"/>
            <w:vAlign w:val="center"/>
          </w:tcPr>
          <w:p>
            <w:pPr>
              <w:spacing w:line="280" w:lineRule="exact"/>
              <w:jc w:val="center"/>
              <w:rPr>
                <w:rFonts w:hint="eastAsia"/>
              </w:rPr>
            </w:pPr>
            <w:r>
              <w:rPr>
                <w:rFonts w:hint="eastAsia"/>
                <w:spacing w:val="-20"/>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650" w:type="dxa"/>
            <w:vAlign w:val="center"/>
          </w:tcPr>
          <w:p>
            <w:pPr>
              <w:spacing w:line="280" w:lineRule="exact"/>
              <w:jc w:val="center"/>
              <w:rPr>
                <w:rFonts w:hint="eastAsia"/>
              </w:rPr>
            </w:pPr>
            <w:r>
              <w:rPr>
                <w:rFonts w:hint="eastAsia"/>
              </w:rPr>
              <w:t>噪声</w:t>
            </w:r>
          </w:p>
        </w:tc>
        <w:tc>
          <w:tcPr>
            <w:tcW w:w="1800" w:type="dxa"/>
            <w:vAlign w:val="center"/>
          </w:tcPr>
          <w:p>
            <w:pPr>
              <w:spacing w:line="280" w:lineRule="exact"/>
              <w:jc w:val="center"/>
              <w:rPr>
                <w:rFonts w:hint="eastAsia"/>
              </w:rPr>
            </w:pPr>
            <w:r>
              <w:rPr>
                <w:rFonts w:hint="eastAsia"/>
              </w:rPr>
              <w:t>超标分贝</w:t>
            </w:r>
          </w:p>
        </w:tc>
        <w:tc>
          <w:tcPr>
            <w:tcW w:w="1596" w:type="dxa"/>
            <w:vAlign w:val="center"/>
          </w:tcPr>
          <w:p>
            <w:pPr>
              <w:spacing w:line="280" w:lineRule="exact"/>
              <w:jc w:val="center"/>
              <w:rPr>
                <w:rFonts w:hint="eastAsia"/>
                <w:spacing w:val="-20"/>
              </w:rPr>
            </w:pPr>
          </w:p>
        </w:tc>
        <w:tc>
          <w:tcPr>
            <w:tcW w:w="1323" w:type="dxa"/>
            <w:vAlign w:val="center"/>
          </w:tcPr>
          <w:p>
            <w:pPr>
              <w:spacing w:line="280" w:lineRule="exact"/>
              <w:jc w:val="center"/>
              <w:rPr>
                <w:rFonts w:hint="eastAsia"/>
              </w:rPr>
            </w:pPr>
            <w:r>
              <w:rPr>
                <w:rFonts w:hint="eastAsia"/>
              </w:rPr>
              <w:t>2200/月</w:t>
            </w:r>
          </w:p>
        </w:tc>
        <w:tc>
          <w:tcPr>
            <w:tcW w:w="1486" w:type="dxa"/>
            <w:vAlign w:val="center"/>
          </w:tcPr>
          <w:p>
            <w:pPr>
              <w:spacing w:line="280" w:lineRule="exact"/>
              <w:jc w:val="center"/>
              <w:rPr>
                <w:rFonts w:hint="eastAsia"/>
              </w:rPr>
            </w:pPr>
            <w:r>
              <w:rPr>
                <w:rFonts w:hint="eastAsia"/>
              </w:rPr>
              <w:t>/</w:t>
            </w:r>
          </w:p>
        </w:tc>
        <w:tc>
          <w:tcPr>
            <w:tcW w:w="1161" w:type="dxa"/>
            <w:vAlign w:val="center"/>
          </w:tcPr>
          <w:p>
            <w:pPr>
              <w:spacing w:line="280" w:lineRule="exact"/>
              <w:jc w:val="center"/>
              <w:rPr>
                <w:rFonts w:hint="eastAsia"/>
              </w:rPr>
            </w:pPr>
            <w:r>
              <w:rPr>
                <w:rFonts w:hint="eastAsia"/>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0" w:hRule="atLeast"/>
          <w:jc w:val="center"/>
        </w:trPr>
        <w:tc>
          <w:tcPr>
            <w:tcW w:w="1650" w:type="dxa"/>
            <w:vAlign w:val="center"/>
          </w:tcPr>
          <w:p>
            <w:pPr>
              <w:spacing w:line="280" w:lineRule="exact"/>
              <w:jc w:val="center"/>
              <w:rPr>
                <w:rFonts w:hint="eastAsia"/>
              </w:rPr>
            </w:pPr>
            <w:r>
              <w:rPr>
                <w:rFonts w:hint="eastAsia"/>
              </w:rPr>
              <w:t>固体废物</w:t>
            </w:r>
          </w:p>
        </w:tc>
        <w:tc>
          <w:tcPr>
            <w:tcW w:w="1800" w:type="dxa"/>
            <w:vAlign w:val="center"/>
          </w:tcPr>
          <w:p>
            <w:pPr>
              <w:spacing w:line="280" w:lineRule="exact"/>
              <w:jc w:val="center"/>
              <w:rPr>
                <w:rFonts w:hint="eastAsia"/>
              </w:rPr>
            </w:pPr>
            <w:r>
              <w:rPr>
                <w:rFonts w:hint="eastAsia"/>
              </w:rPr>
              <w:t>其他工业废渣</w:t>
            </w:r>
          </w:p>
        </w:tc>
        <w:tc>
          <w:tcPr>
            <w:tcW w:w="1596" w:type="dxa"/>
            <w:vAlign w:val="center"/>
          </w:tcPr>
          <w:p>
            <w:pPr>
              <w:spacing w:line="280" w:lineRule="exact"/>
              <w:jc w:val="center"/>
              <w:rPr>
                <w:rFonts w:hint="eastAsia"/>
              </w:rPr>
            </w:pPr>
          </w:p>
        </w:tc>
        <w:tc>
          <w:tcPr>
            <w:tcW w:w="1323" w:type="dxa"/>
            <w:vAlign w:val="center"/>
          </w:tcPr>
          <w:p>
            <w:pPr>
              <w:spacing w:line="0" w:lineRule="atLeast"/>
              <w:jc w:val="center"/>
              <w:rPr>
                <w:rFonts w:hint="eastAsia"/>
              </w:rPr>
            </w:pPr>
            <w:r>
              <w:rPr>
                <w:rFonts w:hint="eastAsia"/>
              </w:rPr>
              <w:t>25元/t</w:t>
            </w:r>
          </w:p>
        </w:tc>
        <w:tc>
          <w:tcPr>
            <w:tcW w:w="1486" w:type="dxa"/>
            <w:vAlign w:val="center"/>
          </w:tcPr>
          <w:p>
            <w:pPr>
              <w:spacing w:line="0" w:lineRule="atLeast"/>
              <w:jc w:val="center"/>
              <w:rPr>
                <w:rFonts w:hint="eastAsia"/>
              </w:rPr>
            </w:pPr>
            <w:r>
              <w:rPr>
                <w:rFonts w:hint="eastAsia"/>
              </w:rPr>
              <w:t>8.82</w:t>
            </w:r>
          </w:p>
        </w:tc>
        <w:tc>
          <w:tcPr>
            <w:tcW w:w="1161" w:type="dxa"/>
            <w:vAlign w:val="center"/>
          </w:tcPr>
          <w:p>
            <w:pPr>
              <w:spacing w:line="280" w:lineRule="exact"/>
              <w:jc w:val="center"/>
              <w:rPr>
                <w:rFonts w:hint="eastAsia"/>
              </w:rPr>
            </w:pPr>
            <w:r>
              <w:rPr>
                <w:rFonts w:hint="eastAsia"/>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450" w:type="dxa"/>
            <w:gridSpan w:val="2"/>
            <w:vAlign w:val="center"/>
          </w:tcPr>
          <w:p>
            <w:pPr>
              <w:spacing w:line="280" w:lineRule="exact"/>
              <w:jc w:val="center"/>
              <w:rPr>
                <w:rFonts w:hint="eastAsia"/>
              </w:rPr>
            </w:pPr>
            <w:r>
              <w:rPr>
                <w:rFonts w:hint="eastAsia"/>
              </w:rPr>
              <w:t>合计</w:t>
            </w:r>
          </w:p>
        </w:tc>
        <w:tc>
          <w:tcPr>
            <w:tcW w:w="1596" w:type="dxa"/>
            <w:vAlign w:val="center"/>
          </w:tcPr>
          <w:p>
            <w:pPr>
              <w:spacing w:line="280" w:lineRule="exact"/>
              <w:jc w:val="center"/>
              <w:rPr>
                <w:rFonts w:hint="eastAsia"/>
              </w:rPr>
            </w:pPr>
          </w:p>
        </w:tc>
        <w:tc>
          <w:tcPr>
            <w:tcW w:w="1323" w:type="dxa"/>
            <w:vAlign w:val="center"/>
          </w:tcPr>
          <w:p>
            <w:pPr>
              <w:spacing w:line="280" w:lineRule="exact"/>
              <w:jc w:val="center"/>
              <w:rPr>
                <w:rFonts w:hint="eastAsia"/>
              </w:rPr>
            </w:pPr>
          </w:p>
        </w:tc>
        <w:tc>
          <w:tcPr>
            <w:tcW w:w="1486" w:type="dxa"/>
            <w:vAlign w:val="center"/>
          </w:tcPr>
          <w:p>
            <w:pPr>
              <w:spacing w:line="280" w:lineRule="exact"/>
              <w:jc w:val="center"/>
              <w:rPr>
                <w:rFonts w:hint="eastAsia"/>
              </w:rPr>
            </w:pPr>
          </w:p>
        </w:tc>
        <w:tc>
          <w:tcPr>
            <w:tcW w:w="1161" w:type="dxa"/>
            <w:vAlign w:val="center"/>
          </w:tcPr>
          <w:p>
            <w:pPr>
              <w:spacing w:line="280" w:lineRule="exact"/>
              <w:jc w:val="center"/>
              <w:rPr>
                <w:rFonts w:hint="eastAsia"/>
              </w:rPr>
            </w:pPr>
            <w:r>
              <w:rPr>
                <w:rFonts w:hint="eastAsia"/>
              </w:rPr>
              <w:t>5099.84</w:t>
            </w:r>
          </w:p>
        </w:tc>
      </w:tr>
    </w:tbl>
    <w:p>
      <w:pPr>
        <w:spacing w:line="480" w:lineRule="exact"/>
        <w:ind w:firstLine="420" w:firstLineChars="200"/>
        <w:rPr>
          <w:rFonts w:hint="eastAsia" w:ascii="宋体" w:hAnsi="宋体"/>
        </w:rPr>
      </w:pPr>
    </w:p>
    <w:p>
      <w:pPr>
        <w:spacing w:line="480" w:lineRule="exact"/>
        <w:ind w:firstLine="420" w:firstLineChars="200"/>
        <w:rPr>
          <w:rFonts w:hint="eastAsia" w:ascii="宋体" w:hAnsi="宋体"/>
          <w:b/>
          <w:bCs/>
        </w:rPr>
      </w:pPr>
      <w:r>
        <w:rPr>
          <w:rFonts w:hint="eastAsia" w:ascii="宋体" w:hAnsi="宋体"/>
        </w:rPr>
        <w:t>因此，技改项目采取污染治理和综合利用，做到达标排放，可带来间接和直接经济效益8191.84万元/a。</w:t>
      </w:r>
    </w:p>
    <w:p>
      <w:pPr>
        <w:spacing w:line="480" w:lineRule="exact"/>
        <w:rPr>
          <w:rFonts w:hint="eastAsia"/>
          <w:b/>
          <w:bCs/>
          <w:szCs w:val="20"/>
        </w:rPr>
      </w:pPr>
      <w:r>
        <w:rPr>
          <w:rFonts w:hint="eastAsia"/>
          <w:b/>
          <w:bCs/>
          <w:szCs w:val="20"/>
        </w:rPr>
        <w:t>11</w:t>
      </w:r>
      <w:r>
        <w:rPr>
          <w:b/>
          <w:bCs/>
          <w:szCs w:val="20"/>
        </w:rPr>
        <w:t>.</w:t>
      </w:r>
      <w:r>
        <w:rPr>
          <w:rFonts w:hint="eastAsia"/>
          <w:b/>
          <w:bCs/>
          <w:szCs w:val="20"/>
        </w:rPr>
        <w:t>1</w:t>
      </w:r>
      <w:r>
        <w:rPr>
          <w:b/>
          <w:bCs/>
          <w:szCs w:val="20"/>
        </w:rPr>
        <w:t>.3</w:t>
      </w:r>
      <w:r>
        <w:rPr>
          <w:rFonts w:hint="eastAsia"/>
          <w:b/>
          <w:bCs/>
          <w:szCs w:val="20"/>
        </w:rPr>
        <w:t xml:space="preserve"> 环境损益分析</w:t>
      </w:r>
    </w:p>
    <w:p>
      <w:pPr>
        <w:spacing w:line="460" w:lineRule="exact"/>
        <w:ind w:firstLine="420" w:firstLineChars="200"/>
        <w:rPr>
          <w:rFonts w:hint="eastAsia" w:ascii="宋体" w:hAnsi="宋体"/>
        </w:rPr>
      </w:pPr>
      <w:r>
        <w:rPr>
          <w:rFonts w:hint="eastAsia" w:ascii="宋体" w:hAnsi="宋体"/>
        </w:rPr>
        <w:t>（1）年净效益</w:t>
      </w:r>
    </w:p>
    <w:p>
      <w:pPr>
        <w:spacing w:line="460" w:lineRule="exact"/>
        <w:ind w:firstLine="420" w:firstLineChars="200"/>
        <w:rPr>
          <w:rFonts w:hint="eastAsia" w:ascii="宋体" w:hAnsi="宋体"/>
        </w:rPr>
      </w:pPr>
      <w:r>
        <w:rPr>
          <w:rFonts w:hint="eastAsia" w:ascii="宋体" w:hAnsi="宋体"/>
        </w:rPr>
        <w:t>年净效益指技改项目达产年环境保护措施产生的经济效益扣除污染治理运行费用之差。即</w:t>
      </w:r>
    </w:p>
    <w:p>
      <w:pPr>
        <w:spacing w:line="460" w:lineRule="exact"/>
        <w:ind w:firstLine="420" w:firstLineChars="200"/>
        <w:rPr>
          <w:rFonts w:hint="eastAsia" w:ascii="宋体" w:hAnsi="宋体"/>
        </w:rPr>
      </w:pPr>
      <w:r>
        <w:rPr>
          <w:rFonts w:hint="eastAsia" w:ascii="宋体" w:hAnsi="宋体"/>
        </w:rPr>
        <w:t>年净效益=经济效益—费用指标=8191.84—767.8=7424.04万元</w:t>
      </w:r>
    </w:p>
    <w:p>
      <w:pPr>
        <w:spacing w:line="460" w:lineRule="exact"/>
        <w:ind w:firstLine="420" w:firstLineChars="200"/>
        <w:rPr>
          <w:rFonts w:ascii="宋体" w:hAnsi="宋体"/>
        </w:rPr>
      </w:pPr>
      <w:r>
        <w:rPr>
          <w:rFonts w:hint="eastAsia" w:ascii="宋体" w:hAnsi="宋体"/>
        </w:rPr>
        <w:t>故技改项目达产年环境保护措施产生的净效益为7424.04万元</w:t>
      </w:r>
      <w:r>
        <w:rPr>
          <w:rFonts w:ascii="宋体" w:hAnsi="宋体"/>
        </w:rPr>
        <w:t>/a</w:t>
      </w:r>
      <w:r>
        <w:rPr>
          <w:rFonts w:hint="eastAsia" w:ascii="宋体" w:hAnsi="宋体"/>
        </w:rPr>
        <w:t>。</w:t>
      </w:r>
    </w:p>
    <w:p>
      <w:pPr>
        <w:spacing w:line="460" w:lineRule="exact"/>
        <w:ind w:firstLine="420" w:firstLineChars="200"/>
        <w:rPr>
          <w:rFonts w:hint="eastAsia" w:ascii="宋体" w:hAnsi="宋体"/>
        </w:rPr>
      </w:pPr>
      <w:r>
        <w:rPr>
          <w:rFonts w:hint="eastAsia" w:ascii="宋体" w:hAnsi="宋体"/>
        </w:rPr>
        <w:t>（2）效益与费用比</w:t>
      </w:r>
    </w:p>
    <w:p>
      <w:pPr>
        <w:spacing w:line="460" w:lineRule="exact"/>
        <w:ind w:firstLine="420" w:firstLineChars="200"/>
        <w:rPr>
          <w:rFonts w:hint="eastAsia" w:ascii="宋体" w:hAnsi="宋体"/>
        </w:rPr>
      </w:pPr>
      <w:r>
        <w:rPr>
          <w:rFonts w:hint="eastAsia" w:ascii="宋体" w:hAnsi="宋体"/>
        </w:rPr>
        <w:t>环保措施效益7424.04万元／</w:t>
      </w:r>
      <w:r>
        <w:rPr>
          <w:rFonts w:ascii="宋体" w:hAnsi="宋体"/>
        </w:rPr>
        <w:t>a</w:t>
      </w:r>
      <w:r>
        <w:rPr>
          <w:rFonts w:hint="eastAsia" w:ascii="宋体" w:hAnsi="宋体"/>
        </w:rPr>
        <w:t>与其费用767.8万元／</w:t>
      </w:r>
      <w:r>
        <w:rPr>
          <w:rFonts w:ascii="宋体" w:hAnsi="宋体"/>
        </w:rPr>
        <w:t>a</w:t>
      </w:r>
      <w:r>
        <w:rPr>
          <w:rFonts w:hint="eastAsia" w:ascii="宋体" w:hAnsi="宋体"/>
        </w:rPr>
        <w:t>之比为9.7:</w:t>
      </w:r>
      <w:r>
        <w:rPr>
          <w:rFonts w:ascii="宋体" w:hAnsi="宋体"/>
        </w:rPr>
        <w:t>1</w:t>
      </w:r>
      <w:r>
        <w:rPr>
          <w:rFonts w:hint="eastAsia" w:ascii="宋体" w:hAnsi="宋体"/>
        </w:rPr>
        <w:t>，远大于1，表明技改项目的环保措施综合经济效益指标良好，可实现环保设施的经济运行。</w:t>
      </w:r>
    </w:p>
    <w:p>
      <w:pPr>
        <w:spacing w:line="460" w:lineRule="exact"/>
        <w:ind w:firstLine="420" w:firstLineChars="200"/>
        <w:rPr>
          <w:rFonts w:ascii="宋体" w:hAnsi="宋体"/>
        </w:rPr>
      </w:pPr>
      <w:r>
        <w:rPr>
          <w:rFonts w:hint="eastAsia" w:ascii="宋体" w:hAnsi="宋体"/>
        </w:rPr>
        <w:t>综上所述，无论是从年净效益分析，还是从效益与费用比分析，均表明技改项目的环保投资在经济上是可行的。</w:t>
      </w:r>
    </w:p>
    <w:p>
      <w:pPr>
        <w:spacing w:line="480" w:lineRule="exact"/>
        <w:outlineLvl w:val="1"/>
        <w:rPr>
          <w:rFonts w:hint="eastAsia"/>
          <w:b/>
          <w:szCs w:val="20"/>
        </w:rPr>
      </w:pPr>
      <w:bookmarkStart w:id="450" w:name="_Toc222545686"/>
      <w:bookmarkStart w:id="451" w:name="_Toc276372272"/>
      <w:bookmarkStart w:id="452" w:name="_Toc227983628"/>
      <w:r>
        <w:rPr>
          <w:rFonts w:hint="eastAsia"/>
          <w:b/>
          <w:szCs w:val="20"/>
        </w:rPr>
        <w:t>11.2 社会效益分析</w:t>
      </w:r>
      <w:bookmarkEnd w:id="450"/>
      <w:bookmarkEnd w:id="451"/>
      <w:bookmarkEnd w:id="452"/>
    </w:p>
    <w:p>
      <w:pPr>
        <w:tabs>
          <w:tab w:val="left" w:pos="840"/>
        </w:tabs>
        <w:spacing w:line="480" w:lineRule="exact"/>
        <w:ind w:firstLine="420" w:firstLineChars="200"/>
        <w:rPr>
          <w:rFonts w:ascii="宋体" w:hAnsi="宋体"/>
        </w:rPr>
      </w:pPr>
      <w:r>
        <w:rPr>
          <w:rFonts w:hint="eastAsia" w:ascii="宋体" w:hAnsi="宋体"/>
        </w:rPr>
        <w:t>（1）有利于资源的合理利用</w:t>
      </w:r>
    </w:p>
    <w:p>
      <w:pPr>
        <w:spacing w:line="360" w:lineRule="auto"/>
        <w:ind w:firstLine="420" w:firstLineChars="200"/>
        <w:rPr>
          <w:rFonts w:hint="eastAsia" w:ascii="宋体" w:hAnsi="宋体"/>
        </w:rPr>
      </w:pPr>
      <w:r>
        <w:rPr>
          <w:rFonts w:hint="eastAsia" w:ascii="宋体" w:hAnsi="宋体"/>
        </w:rPr>
        <w:t>技改项目位于青木关镇关口村，紧邻璧山县，</w:t>
      </w:r>
      <w:r>
        <w:rPr>
          <w:rFonts w:ascii="宋体" w:hAnsi="宋体"/>
        </w:rPr>
        <w:t>该县石灰石资源丰富，CaO含量高，品位好，成份稳定，是生产回转窑水泥的优质原料，距离项目建设地25公里，交通运输方便。重庆永荣青鹏煤业有限公司生产煤炭可作为燃料，同时采煤过程中产生的大量的煤矸石也是生产水泥的原料之一，此外砂岩、粉煤灰、矿渣等其他原料在附近储量都非常丰富，</w:t>
      </w:r>
      <w:r>
        <w:rPr>
          <w:rFonts w:hint="eastAsia" w:ascii="宋体" w:hAnsi="宋体"/>
        </w:rPr>
        <w:t>因此，该地区发展水泥工业具有得天独厚的条件，可将资源优势转化为经济优势，促进当地经济的发展。</w:t>
      </w:r>
    </w:p>
    <w:p>
      <w:pPr>
        <w:pStyle w:val="11"/>
        <w:ind w:left="0" w:firstLine="360" w:firstLineChars="150"/>
        <w:rPr>
          <w:rFonts w:hint="eastAsia" w:ascii="宋体" w:hAnsi="宋体"/>
          <w:sz w:val="24"/>
        </w:rPr>
      </w:pPr>
      <w:r>
        <w:rPr>
          <w:rFonts w:hint="eastAsia" w:ascii="宋体" w:hAnsi="宋体"/>
          <w:sz w:val="24"/>
        </w:rPr>
        <w:t>（2）有利于环境的改善</w:t>
      </w:r>
    </w:p>
    <w:p>
      <w:pPr>
        <w:spacing w:line="360" w:lineRule="auto"/>
        <w:ind w:firstLine="420" w:firstLineChars="200"/>
        <w:rPr>
          <w:rFonts w:hint="eastAsia" w:ascii="宋体" w:hAnsi="宋体"/>
        </w:rPr>
      </w:pPr>
      <w:r>
        <w:rPr>
          <w:rFonts w:ascii="宋体" w:hAnsi="宋体"/>
        </w:rPr>
        <w:t>重庆永荣青鹏煤业有限公司在长期的煤炭开采过程中伴随产生了大量的煤矸石和大量的矿井废水，煤矸石和矿井废水如不有效处理，将占用大量耕地、污染环境。</w:t>
      </w:r>
    </w:p>
    <w:p>
      <w:pPr>
        <w:adjustRightInd w:val="0"/>
        <w:snapToGrid w:val="0"/>
        <w:spacing w:line="360" w:lineRule="auto"/>
        <w:ind w:firstLine="617"/>
        <w:rPr>
          <w:rFonts w:ascii="宋体" w:hAnsi="宋体"/>
        </w:rPr>
      </w:pPr>
      <w:r>
        <w:rPr>
          <w:rFonts w:ascii="宋体" w:hAnsi="宋体"/>
        </w:rPr>
        <w:t>通过本</w:t>
      </w:r>
      <w:r>
        <w:rPr>
          <w:rFonts w:hint="eastAsia" w:ascii="宋体" w:hAnsi="宋体"/>
        </w:rPr>
        <w:t>技改</w:t>
      </w:r>
      <w:r>
        <w:rPr>
          <w:rFonts w:ascii="宋体" w:hAnsi="宋体"/>
        </w:rPr>
        <w:t>项目的</w:t>
      </w:r>
      <w:r>
        <w:rPr>
          <w:rFonts w:hint="eastAsia" w:ascii="宋体" w:hAnsi="宋体"/>
        </w:rPr>
        <w:t>实施</w:t>
      </w:r>
      <w:r>
        <w:rPr>
          <w:rFonts w:ascii="宋体" w:hAnsi="宋体"/>
        </w:rPr>
        <w:t>，可把</w:t>
      </w:r>
      <w:r>
        <w:rPr>
          <w:rFonts w:hint="eastAsia" w:ascii="宋体" w:hAnsi="宋体"/>
        </w:rPr>
        <w:t>本矿产的</w:t>
      </w:r>
      <w:r>
        <w:rPr>
          <w:rFonts w:ascii="宋体" w:hAnsi="宋体"/>
        </w:rPr>
        <w:t>煤矸石作为基本原料综合利用，</w:t>
      </w:r>
      <w:r>
        <w:rPr>
          <w:rFonts w:hint="eastAsia" w:ascii="宋体" w:hAnsi="宋体"/>
        </w:rPr>
        <w:t>同时对永荣矿业公司所属电厂的粉煤灰等废弃物得到有效利用；</w:t>
      </w:r>
      <w:r>
        <w:rPr>
          <w:rFonts w:ascii="宋体" w:hAnsi="宋体"/>
        </w:rPr>
        <w:t>矿井废水经处理后可用于设备冷却水循环利用，实现变废为宝，保护环境，可持续发展，可谓一举多得。</w:t>
      </w:r>
    </w:p>
    <w:p>
      <w:pPr>
        <w:autoSpaceDE w:val="0"/>
        <w:autoSpaceDN w:val="0"/>
        <w:adjustRightInd w:val="0"/>
        <w:snapToGrid w:val="0"/>
        <w:spacing w:line="360" w:lineRule="auto"/>
        <w:ind w:firstLine="564" w:firstLineChars="269"/>
        <w:rPr>
          <w:rFonts w:hint="eastAsia" w:ascii="宋体" w:hAnsi="宋体"/>
        </w:rPr>
      </w:pPr>
      <w:r>
        <w:rPr>
          <w:rFonts w:ascii="宋体" w:hAnsi="宋体"/>
        </w:rPr>
        <w:t>同时，本</w:t>
      </w:r>
      <w:r>
        <w:rPr>
          <w:rFonts w:hint="eastAsia" w:ascii="宋体" w:hAnsi="宋体"/>
        </w:rPr>
        <w:t>技改</w:t>
      </w:r>
      <w:r>
        <w:rPr>
          <w:rFonts w:ascii="宋体" w:hAnsi="宋体"/>
        </w:rPr>
        <w:t>项目的</w:t>
      </w:r>
      <w:r>
        <w:rPr>
          <w:rFonts w:hint="eastAsia" w:ascii="宋体" w:hAnsi="宋体"/>
        </w:rPr>
        <w:t>实施</w:t>
      </w:r>
      <w:r>
        <w:rPr>
          <w:rFonts w:ascii="宋体" w:hAnsi="宋体"/>
        </w:rPr>
        <w:t>采用了新型干法技术，环保收尘技术先进可靠，水泥粉尘排放较原立窑工艺大大减少，对改善大气环境污染有显著作用。</w:t>
      </w:r>
    </w:p>
    <w:p>
      <w:pPr>
        <w:spacing w:line="360" w:lineRule="auto"/>
        <w:ind w:firstLine="420" w:firstLineChars="200"/>
        <w:rPr>
          <w:rFonts w:hint="eastAsia" w:ascii="宋体" w:hAnsi="宋体"/>
        </w:rPr>
      </w:pPr>
      <w:r>
        <w:rPr>
          <w:rFonts w:hint="eastAsia" w:ascii="宋体" w:hAnsi="宋体"/>
        </w:rPr>
        <w:t>（3）有利于社会稳定</w:t>
      </w:r>
    </w:p>
    <w:p>
      <w:pPr>
        <w:adjustRightInd w:val="0"/>
        <w:snapToGrid w:val="0"/>
        <w:spacing w:line="360" w:lineRule="auto"/>
        <w:ind w:firstLine="570"/>
        <w:rPr>
          <w:rFonts w:ascii="宋体" w:hAnsi="宋体"/>
        </w:rPr>
      </w:pPr>
      <w:r>
        <w:rPr>
          <w:rFonts w:hint="eastAsia" w:ascii="宋体" w:hAnsi="宋体"/>
        </w:rPr>
        <w:t>青鹏煤业公司是一家</w:t>
      </w:r>
      <w:r>
        <w:rPr>
          <w:rFonts w:ascii="宋体" w:hAnsi="宋体"/>
        </w:rPr>
        <w:t>以水泥、煤炭生产加工和销售为一体的“双主业”国有企业</w:t>
      </w:r>
      <w:r>
        <w:rPr>
          <w:rFonts w:hint="eastAsia" w:ascii="宋体" w:hAnsi="宋体"/>
        </w:rPr>
        <w:t>，</w:t>
      </w:r>
      <w:r>
        <w:rPr>
          <w:rFonts w:ascii="宋体" w:hAnsi="宋体"/>
        </w:rPr>
        <w:t>现有职工</w:t>
      </w:r>
      <w:r>
        <w:rPr>
          <w:rFonts w:hint="eastAsia" w:ascii="宋体" w:hAnsi="宋体"/>
        </w:rPr>
        <w:t>2</w:t>
      </w:r>
      <w:r>
        <w:rPr>
          <w:rFonts w:ascii="宋体" w:hAnsi="宋体"/>
        </w:rPr>
        <w:t>000</w:t>
      </w:r>
      <w:r>
        <w:rPr>
          <w:rFonts w:hint="eastAsia" w:ascii="宋体" w:hAnsi="宋体"/>
        </w:rPr>
        <w:t>余</w:t>
      </w:r>
      <w:r>
        <w:rPr>
          <w:rFonts w:ascii="宋体" w:hAnsi="宋体"/>
        </w:rPr>
        <w:t>人，</w:t>
      </w:r>
      <w:r>
        <w:rPr>
          <w:rFonts w:hint="eastAsia" w:ascii="宋体" w:hAnsi="宋体"/>
        </w:rPr>
        <w:t>但其</w:t>
      </w:r>
      <w:r>
        <w:rPr>
          <w:rFonts w:ascii="宋体" w:hAnsi="宋体"/>
        </w:rPr>
        <w:t>煤炭开采优质原煤煤层极薄，开采地质条件变化难控，随原煤开采夹带的煤矸石量越来越多，开采成本逐年升高。企业要生存发展，只有发挥优势，扬长避短。目前公司下属的水泥实业公司现已成为全公司经济支柱，但由于水泥实业公司现有4条水泥生产线均为立窑生产线，面临着被淘汰的局面，企业面临着较大的困难。</w:t>
      </w:r>
      <w:r>
        <w:rPr>
          <w:rFonts w:hint="eastAsia" w:ascii="宋体" w:hAnsi="宋体"/>
        </w:rPr>
        <w:t>技改项目</w:t>
      </w:r>
      <w:r>
        <w:rPr>
          <w:rFonts w:ascii="宋体" w:hAnsi="宋体"/>
        </w:rPr>
        <w:t>投产后不但可以解决现有企业人员分流安置问题，</w:t>
      </w:r>
      <w:r>
        <w:rPr>
          <w:rFonts w:hint="eastAsia" w:ascii="宋体" w:hAnsi="宋体"/>
        </w:rPr>
        <w:t>增加职工经济收入，促进社会安定，</w:t>
      </w:r>
      <w:r>
        <w:rPr>
          <w:rFonts w:ascii="宋体" w:hAnsi="宋体"/>
        </w:rPr>
        <w:t>而且可以成为企业新的经济增长点，真正使企业在激烈的市场竟争中处于不败之地，从而进一步发展壮大。</w:t>
      </w:r>
    </w:p>
    <w:p>
      <w:pPr>
        <w:spacing w:line="360" w:lineRule="auto"/>
        <w:ind w:firstLine="420" w:firstLineChars="200"/>
        <w:rPr>
          <w:rFonts w:ascii="宋体" w:hAnsi="宋体"/>
        </w:rPr>
      </w:pPr>
      <w:r>
        <w:rPr>
          <w:rFonts w:hint="eastAsia" w:ascii="宋体" w:hAnsi="宋体"/>
        </w:rPr>
        <w:t>综上所述，技改项目的环保投资所获得的效益明显，既有经济效益，又做到了污染物达标排放，减轻了对环境的污染影响，具有良好的环境效益和社会效益。</w:t>
      </w:r>
    </w:p>
    <w:p>
      <w:pPr>
        <w:pStyle w:val="11"/>
        <w:spacing w:line="480" w:lineRule="exact"/>
        <w:rPr>
          <w:rFonts w:hint="eastAsia"/>
        </w:rPr>
      </w:pPr>
    </w:p>
    <w:p>
      <w:pPr>
        <w:spacing w:line="480" w:lineRule="exact"/>
        <w:ind w:firstLine="420" w:firstLineChars="200"/>
        <w:rPr>
          <w:rFonts w:hint="eastAsia" w:ascii="宋体" w:hAnsi="宋体"/>
        </w:rPr>
      </w:pPr>
    </w:p>
    <w:p>
      <w:pPr>
        <w:spacing w:line="480" w:lineRule="exact"/>
        <w:ind w:firstLine="420" w:firstLineChars="200"/>
        <w:rPr>
          <w:rFonts w:hint="eastAsia" w:ascii="宋体" w:hAnsi="宋体"/>
        </w:rPr>
      </w:pPr>
    </w:p>
    <w:p>
      <w:pPr>
        <w:spacing w:line="480" w:lineRule="exact"/>
        <w:ind w:firstLine="420" w:firstLineChars="200"/>
        <w:rPr>
          <w:rFonts w:hint="eastAsia" w:ascii="宋体" w:hAnsi="宋体"/>
        </w:rPr>
      </w:pPr>
    </w:p>
    <w:p>
      <w:pPr>
        <w:spacing w:line="480" w:lineRule="exact"/>
        <w:ind w:firstLine="420" w:firstLineChars="200"/>
        <w:rPr>
          <w:rFonts w:hint="eastAsia" w:ascii="Arial" w:hAnsi="Arial" w:cs="Arial"/>
        </w:rPr>
        <w:sectPr>
          <w:pgSz w:w="11906" w:h="16838"/>
          <w:pgMar w:top="1440" w:right="1418" w:bottom="1440" w:left="1418" w:header="851" w:footer="992" w:gutter="0"/>
          <w:paperSrc w:first="20070" w:other="20070"/>
          <w:cols w:space="425" w:num="1"/>
          <w:docGrid w:linePitch="312" w:charSpace="0"/>
        </w:sectPr>
      </w:pPr>
    </w:p>
    <w:p>
      <w:pPr>
        <w:spacing w:before="72" w:beforeLines="30" w:after="72" w:afterLines="30" w:line="460" w:lineRule="exact"/>
        <w:outlineLvl w:val="0"/>
        <w:rPr>
          <w:rFonts w:hint="eastAsia"/>
          <w:b/>
          <w:bCs/>
          <w:sz w:val="28"/>
          <w:szCs w:val="28"/>
        </w:rPr>
      </w:pPr>
      <w:bookmarkStart w:id="453" w:name="_Toc175479876"/>
      <w:bookmarkStart w:id="454" w:name="_Toc276372273"/>
      <w:bookmarkStart w:id="455" w:name="_Toc189814195"/>
      <w:bookmarkStart w:id="456" w:name="_Toc473281552"/>
      <w:bookmarkStart w:id="457" w:name="_Toc176686209"/>
      <w:bookmarkStart w:id="458" w:name="_Toc176784784"/>
      <w:bookmarkStart w:id="459" w:name="_Toc150759728"/>
      <w:bookmarkStart w:id="460" w:name="_Toc155859831"/>
      <w:r>
        <w:rPr>
          <w:rFonts w:hint="eastAsia"/>
          <w:b/>
          <w:bCs/>
          <w:sz w:val="28"/>
          <w:szCs w:val="28"/>
        </w:rPr>
        <w:t>12污染物排放总量控制分析</w:t>
      </w:r>
      <w:bookmarkEnd w:id="453"/>
      <w:bookmarkEnd w:id="454"/>
      <w:bookmarkEnd w:id="455"/>
      <w:bookmarkEnd w:id="456"/>
    </w:p>
    <w:p>
      <w:pPr>
        <w:tabs>
          <w:tab w:val="left" w:pos="3960"/>
          <w:tab w:val="left" w:pos="4500"/>
        </w:tabs>
        <w:spacing w:line="460" w:lineRule="atLeast"/>
        <w:outlineLvl w:val="1"/>
        <w:rPr>
          <w:b/>
        </w:rPr>
      </w:pPr>
      <w:bookmarkStart w:id="461" w:name="_Toc473281553"/>
      <w:bookmarkStart w:id="462" w:name="_Toc175479877"/>
      <w:bookmarkStart w:id="463" w:name="_Toc276372274"/>
      <w:bookmarkStart w:id="464" w:name="_Toc165607419"/>
      <w:bookmarkStart w:id="465" w:name="_Toc189814196"/>
      <w:r>
        <w:rPr>
          <w:b/>
        </w:rPr>
        <w:t>1</w:t>
      </w:r>
      <w:r>
        <w:rPr>
          <w:rFonts w:hint="eastAsia"/>
          <w:b/>
        </w:rPr>
        <w:t>2</w:t>
      </w:r>
      <w:r>
        <w:rPr>
          <w:b/>
        </w:rPr>
        <w:t>.1 污染物排放总量控制依据</w:t>
      </w:r>
      <w:bookmarkEnd w:id="461"/>
      <w:bookmarkEnd w:id="462"/>
      <w:bookmarkEnd w:id="463"/>
      <w:bookmarkEnd w:id="464"/>
      <w:bookmarkEnd w:id="465"/>
    </w:p>
    <w:p>
      <w:pPr>
        <w:spacing w:line="460" w:lineRule="atLeast"/>
        <w:ind w:firstLine="420" w:firstLineChars="200"/>
        <w:rPr>
          <w:rFonts w:ascii="宋体" w:hAnsi="宋体"/>
          <w:b/>
          <w:bCs/>
        </w:rPr>
      </w:pPr>
      <w:r>
        <w:rPr>
          <w:rFonts w:ascii="宋体" w:hAnsi="宋体"/>
        </w:rPr>
        <w:t>技改项目位于</w:t>
      </w:r>
      <w:r>
        <w:rPr>
          <w:rFonts w:hint="eastAsia"/>
          <w:spacing w:val="8"/>
        </w:rPr>
        <w:t>重庆市沙坪坝区青木关镇关口村</w:t>
      </w:r>
      <w:r>
        <w:rPr>
          <w:rFonts w:ascii="宋体" w:hAnsi="宋体"/>
        </w:rPr>
        <w:t>，属</w:t>
      </w:r>
      <w:r>
        <w:rPr>
          <w:rFonts w:hint="eastAsia" w:ascii="宋体" w:hAnsi="宋体"/>
        </w:rPr>
        <w:t>技改</w:t>
      </w:r>
      <w:r>
        <w:rPr>
          <w:rFonts w:ascii="宋体" w:hAnsi="宋体"/>
        </w:rPr>
        <w:t>项目，</w:t>
      </w:r>
      <w:r>
        <w:rPr>
          <w:rFonts w:hint="eastAsia" w:ascii="宋体" w:hAnsi="宋体"/>
        </w:rPr>
        <w:t>在</w:t>
      </w:r>
      <w:r>
        <w:rPr>
          <w:rFonts w:ascii="宋体" w:hAnsi="宋体"/>
        </w:rPr>
        <w:t>满足达标排放和环境功能区达标的</w:t>
      </w:r>
      <w:r>
        <w:rPr>
          <w:rFonts w:hint="eastAsia" w:ascii="宋体" w:hAnsi="宋体"/>
        </w:rPr>
        <w:t>前提下，污染物排放总量指标原则上应从</w:t>
      </w:r>
      <w:r>
        <w:rPr>
          <w:rFonts w:hint="eastAsia"/>
          <w:spacing w:val="8"/>
        </w:rPr>
        <w:t>沙坪坝区</w:t>
      </w:r>
      <w:r>
        <w:rPr>
          <w:rFonts w:hint="eastAsia" w:ascii="宋体" w:hAnsi="宋体"/>
        </w:rPr>
        <w:t>总量控制指标中调剂解决。</w:t>
      </w:r>
    </w:p>
    <w:p>
      <w:pPr>
        <w:tabs>
          <w:tab w:val="left" w:pos="3960"/>
          <w:tab w:val="left" w:pos="4500"/>
        </w:tabs>
        <w:spacing w:line="460" w:lineRule="atLeast"/>
        <w:outlineLvl w:val="1"/>
        <w:rPr>
          <w:b/>
        </w:rPr>
      </w:pPr>
      <w:bookmarkStart w:id="466" w:name="_Toc473281554"/>
      <w:bookmarkStart w:id="467" w:name="_Toc165607420"/>
      <w:bookmarkStart w:id="468" w:name="_Toc189814197"/>
      <w:bookmarkStart w:id="469" w:name="_Toc175479878"/>
      <w:bookmarkStart w:id="470" w:name="_Toc276372275"/>
      <w:r>
        <w:rPr>
          <w:b/>
        </w:rPr>
        <w:t>1</w:t>
      </w:r>
      <w:r>
        <w:rPr>
          <w:rFonts w:hint="eastAsia"/>
          <w:b/>
        </w:rPr>
        <w:t>2</w:t>
      </w:r>
      <w:r>
        <w:rPr>
          <w:b/>
        </w:rPr>
        <w:t>.2 总量控制因子</w:t>
      </w:r>
      <w:bookmarkEnd w:id="466"/>
      <w:bookmarkEnd w:id="467"/>
      <w:bookmarkEnd w:id="468"/>
      <w:bookmarkEnd w:id="469"/>
      <w:bookmarkEnd w:id="470"/>
    </w:p>
    <w:p>
      <w:pPr>
        <w:spacing w:line="460" w:lineRule="atLeast"/>
        <w:ind w:firstLine="420" w:firstLineChars="200"/>
        <w:rPr>
          <w:rFonts w:hint="eastAsia" w:ascii="宋体" w:hAnsi="宋体"/>
        </w:rPr>
      </w:pPr>
      <w:r>
        <w:t>根据“十</w:t>
      </w:r>
      <w:r>
        <w:rPr>
          <w:rFonts w:hint="eastAsia"/>
        </w:rPr>
        <w:t>一</w:t>
      </w:r>
      <w:r>
        <w:t>五”期间国家环保总局确定的</w:t>
      </w:r>
      <w:r>
        <w:rPr>
          <w:rFonts w:hint="eastAsia"/>
        </w:rPr>
        <w:t>2</w:t>
      </w:r>
      <w:r>
        <w:t>项污染物总量控制指标（SO</w:t>
      </w:r>
      <w:r>
        <w:rPr>
          <w:vertAlign w:val="subscript"/>
        </w:rPr>
        <w:t>2</w:t>
      </w:r>
      <w:r>
        <w:t>、COD），</w:t>
      </w:r>
      <w:r>
        <w:rPr>
          <w:rFonts w:hint="eastAsia"/>
        </w:rPr>
        <w:t>再考虑</w:t>
      </w:r>
      <w:r>
        <w:t>技改项目污染特征因子，确定总量控制因子共</w:t>
      </w:r>
      <w:r>
        <w:rPr>
          <w:rFonts w:hint="eastAsia"/>
        </w:rPr>
        <w:t>7</w:t>
      </w:r>
      <w:r>
        <w:t>项：</w:t>
      </w:r>
      <w:r>
        <w:rPr>
          <w:rFonts w:hint="eastAsia"/>
        </w:rPr>
        <w:t>SO</w:t>
      </w:r>
      <w:r>
        <w:rPr>
          <w:rFonts w:hint="eastAsia"/>
          <w:vertAlign w:val="subscript"/>
        </w:rPr>
        <w:t>2</w:t>
      </w:r>
      <w:r>
        <w:rPr>
          <w:rFonts w:hint="eastAsia"/>
        </w:rPr>
        <w:t>、NO</w:t>
      </w:r>
      <w:r>
        <w:rPr>
          <w:rFonts w:hint="eastAsia"/>
          <w:vertAlign w:val="subscript"/>
        </w:rPr>
        <w:t>2</w:t>
      </w:r>
      <w:r>
        <w:rPr>
          <w:rFonts w:hint="eastAsia"/>
        </w:rPr>
        <w:t>、烟粉尘、</w:t>
      </w:r>
      <w:r>
        <w:t>COD</w:t>
      </w:r>
      <w:r>
        <w:rPr>
          <w:rFonts w:hAnsi="宋体"/>
        </w:rPr>
        <w:t>、</w:t>
      </w:r>
      <w:r>
        <w:t>SS</w:t>
      </w:r>
      <w:r>
        <w:rPr>
          <w:rFonts w:hAnsi="宋体"/>
        </w:rPr>
        <w:t>、</w:t>
      </w:r>
      <w:r>
        <w:t>NH</w:t>
      </w:r>
      <w:r>
        <w:rPr>
          <w:vertAlign w:val="subscript"/>
        </w:rPr>
        <w:t>3</w:t>
      </w:r>
      <w:r>
        <w:t>-N</w:t>
      </w:r>
      <w:r>
        <w:rPr>
          <w:rFonts w:ascii="宋体" w:hAnsi="宋体"/>
        </w:rPr>
        <w:t>。</w:t>
      </w:r>
      <w:r>
        <w:rPr>
          <w:rFonts w:hint="eastAsia" w:ascii="宋体" w:hAnsi="宋体"/>
        </w:rPr>
        <w:t>工业固体废物均进行了有效的综合利用或按环保要求处置，</w:t>
      </w:r>
      <w:r>
        <w:rPr>
          <w:rFonts w:ascii="宋体" w:hAnsi="宋体"/>
        </w:rPr>
        <w:t>不外排，不进行总量控制。</w:t>
      </w:r>
    </w:p>
    <w:p>
      <w:pPr>
        <w:tabs>
          <w:tab w:val="left" w:pos="3960"/>
          <w:tab w:val="left" w:pos="4500"/>
        </w:tabs>
        <w:spacing w:line="460" w:lineRule="atLeast"/>
        <w:outlineLvl w:val="1"/>
        <w:rPr>
          <w:rFonts w:hint="eastAsia"/>
          <w:b/>
        </w:rPr>
      </w:pPr>
      <w:bookmarkStart w:id="471" w:name="_Toc473281555"/>
      <w:bookmarkStart w:id="472" w:name="_Toc175479879"/>
      <w:bookmarkStart w:id="473" w:name="_Toc189814198"/>
      <w:bookmarkStart w:id="474" w:name="_Toc276372276"/>
      <w:r>
        <w:rPr>
          <w:b/>
        </w:rPr>
        <w:t>1</w:t>
      </w:r>
      <w:r>
        <w:rPr>
          <w:rFonts w:hint="eastAsia"/>
          <w:b/>
        </w:rPr>
        <w:t>2</w:t>
      </w:r>
      <w:r>
        <w:rPr>
          <w:b/>
        </w:rPr>
        <w:t>.</w:t>
      </w:r>
      <w:r>
        <w:rPr>
          <w:rFonts w:hint="eastAsia"/>
          <w:b/>
        </w:rPr>
        <w:t>3</w:t>
      </w:r>
      <w:bookmarkEnd w:id="471"/>
      <w:bookmarkEnd w:id="472"/>
      <w:bookmarkEnd w:id="473"/>
      <w:bookmarkStart w:id="475" w:name="_Toc473281556"/>
      <w:bookmarkStart w:id="476" w:name="_Toc175479880"/>
      <w:bookmarkStart w:id="477" w:name="_Toc165607422"/>
      <w:bookmarkStart w:id="478" w:name="_Toc189814199"/>
      <w:r>
        <w:rPr>
          <w:rFonts w:hint="eastAsia"/>
          <w:b/>
        </w:rPr>
        <w:t>总量指标的</w:t>
      </w:r>
      <w:r>
        <w:rPr>
          <w:b/>
        </w:rPr>
        <w:t>解决途径</w:t>
      </w:r>
      <w:bookmarkEnd w:id="474"/>
      <w:bookmarkEnd w:id="475"/>
      <w:bookmarkEnd w:id="476"/>
      <w:bookmarkEnd w:id="477"/>
      <w:bookmarkEnd w:id="478"/>
    </w:p>
    <w:p>
      <w:pPr>
        <w:spacing w:line="460" w:lineRule="atLeast"/>
        <w:ind w:firstLine="420" w:firstLineChars="200"/>
        <w:rPr>
          <w:rFonts w:hint="eastAsia" w:ascii="宋体" w:hAnsi="宋体"/>
        </w:rPr>
      </w:pPr>
      <w:r>
        <w:rPr>
          <w:rFonts w:hint="eastAsia" w:ascii="宋体" w:hAnsi="宋体"/>
        </w:rPr>
        <w:t>技改项目建成后</w:t>
      </w:r>
      <w:r>
        <w:rPr>
          <w:rFonts w:hint="eastAsia"/>
        </w:rPr>
        <w:t>SO</w:t>
      </w:r>
      <w:r>
        <w:rPr>
          <w:rFonts w:hint="eastAsia"/>
          <w:vertAlign w:val="subscript"/>
        </w:rPr>
        <w:t>2</w:t>
      </w:r>
      <w:r>
        <w:rPr>
          <w:rFonts w:hint="eastAsia"/>
        </w:rPr>
        <w:t>和COD排放量分别为</w:t>
      </w:r>
      <w:r>
        <w:rPr>
          <w:rFonts w:hint="eastAsia"/>
        </w:rPr>
        <w:tab/>
      </w:r>
      <w:r>
        <w:rPr>
          <w:rFonts w:hint="eastAsia"/>
        </w:rPr>
        <w:t>216.44t/a和1.63t/a，公司立窑生产线SO</w:t>
      </w:r>
      <w:r>
        <w:rPr>
          <w:rFonts w:hint="eastAsia"/>
          <w:vertAlign w:val="subscript"/>
        </w:rPr>
        <w:t>2</w:t>
      </w:r>
      <w:r>
        <w:rPr>
          <w:rFonts w:hint="eastAsia"/>
        </w:rPr>
        <w:t>和COD总量为98t/a和10t/a，因此，COD总量指标公司可自行解决，而SO</w:t>
      </w:r>
      <w:r>
        <w:rPr>
          <w:rFonts w:hint="eastAsia"/>
          <w:vertAlign w:val="subscript"/>
        </w:rPr>
        <w:t>2</w:t>
      </w:r>
      <w:r>
        <w:rPr>
          <w:rFonts w:hint="eastAsia"/>
        </w:rPr>
        <w:t>总量指标尚差120t/a，沙坪坝区</w:t>
      </w:r>
      <w:r>
        <w:rPr>
          <w:rFonts w:hint="eastAsia" w:ascii="宋体" w:hAnsi="宋体"/>
        </w:rPr>
        <w:t>环保局通过关停重庆山洞水泥厂予以解决，该项目可腾出200</w:t>
      </w:r>
      <w:r>
        <w:rPr>
          <w:rFonts w:hint="eastAsia"/>
        </w:rPr>
        <w:t xml:space="preserve"> t/a SO</w:t>
      </w:r>
      <w:r>
        <w:rPr>
          <w:rFonts w:hint="eastAsia"/>
          <w:vertAlign w:val="subscript"/>
        </w:rPr>
        <w:t>2</w:t>
      </w:r>
      <w:r>
        <w:rPr>
          <w:rFonts w:hint="eastAsia"/>
        </w:rPr>
        <w:t>，沙坪坝区环保局将其中120 t/a调剂给本技改项目。</w:t>
      </w:r>
    </w:p>
    <w:p>
      <w:pPr>
        <w:spacing w:line="460" w:lineRule="atLeast"/>
        <w:ind w:firstLine="420" w:firstLineChars="200"/>
        <w:rPr>
          <w:rFonts w:hint="eastAsia" w:ascii="宋体" w:hAnsi="宋体"/>
        </w:rPr>
      </w:pPr>
      <w:r>
        <w:rPr>
          <w:rFonts w:hint="eastAsia" w:ascii="宋体" w:hAnsi="宋体"/>
        </w:rPr>
        <w:t>由于技改项目排放</w:t>
      </w:r>
      <w:r>
        <w:rPr>
          <w:rFonts w:hint="eastAsia"/>
        </w:rPr>
        <w:t>NO</w:t>
      </w:r>
      <w:r>
        <w:rPr>
          <w:rFonts w:hint="eastAsia"/>
          <w:vertAlign w:val="subscript"/>
        </w:rPr>
        <w:t>2</w:t>
      </w:r>
      <w:r>
        <w:rPr>
          <w:rFonts w:hint="eastAsia"/>
        </w:rPr>
        <w:t>、烟粉尘、</w:t>
      </w:r>
      <w:r>
        <w:t>SS</w:t>
      </w:r>
      <w:r>
        <w:rPr>
          <w:rFonts w:hAnsi="宋体"/>
        </w:rPr>
        <w:t>、</w:t>
      </w:r>
      <w:r>
        <w:t>NH</w:t>
      </w:r>
      <w:r>
        <w:rPr>
          <w:vertAlign w:val="subscript"/>
        </w:rPr>
        <w:t>3</w:t>
      </w:r>
      <w:r>
        <w:t>-N</w:t>
      </w:r>
      <w:r>
        <w:rPr>
          <w:rFonts w:hint="eastAsia" w:ascii="宋体" w:hAnsi="宋体"/>
        </w:rPr>
        <w:t>未纳入国家总量控制指标，所以不存在总量指标解决途径的问题。</w:t>
      </w:r>
    </w:p>
    <w:p>
      <w:pPr>
        <w:tabs>
          <w:tab w:val="left" w:pos="3960"/>
          <w:tab w:val="left" w:pos="4500"/>
        </w:tabs>
        <w:spacing w:line="460" w:lineRule="atLeast"/>
        <w:outlineLvl w:val="1"/>
        <w:rPr>
          <w:b/>
        </w:rPr>
      </w:pPr>
      <w:bookmarkStart w:id="479" w:name="_Toc175479881"/>
      <w:bookmarkStart w:id="480" w:name="_Toc189814200"/>
      <w:bookmarkStart w:id="481" w:name="_Toc473281557"/>
      <w:bookmarkStart w:id="482" w:name="_Toc276372277"/>
      <w:r>
        <w:rPr>
          <w:b/>
        </w:rPr>
        <w:t>1</w:t>
      </w:r>
      <w:r>
        <w:rPr>
          <w:rFonts w:hint="eastAsia"/>
          <w:b/>
        </w:rPr>
        <w:t>2</w:t>
      </w:r>
      <w:r>
        <w:rPr>
          <w:b/>
        </w:rPr>
        <w:t>.</w:t>
      </w:r>
      <w:r>
        <w:rPr>
          <w:rFonts w:hint="eastAsia"/>
          <w:b/>
        </w:rPr>
        <w:t>4</w:t>
      </w:r>
      <w:r>
        <w:rPr>
          <w:b/>
        </w:rPr>
        <w:t xml:space="preserve"> 污染物排放总量控制建议指标</w:t>
      </w:r>
      <w:bookmarkEnd w:id="479"/>
      <w:bookmarkEnd w:id="480"/>
      <w:bookmarkEnd w:id="481"/>
      <w:bookmarkEnd w:id="482"/>
    </w:p>
    <w:p>
      <w:pPr>
        <w:tabs>
          <w:tab w:val="left" w:pos="3960"/>
          <w:tab w:val="left" w:pos="4500"/>
        </w:tabs>
        <w:spacing w:line="460" w:lineRule="atLeast"/>
        <w:ind w:firstLine="420" w:firstLineChars="200"/>
        <w:rPr>
          <w:rFonts w:hint="eastAsia"/>
        </w:rPr>
      </w:pPr>
      <w:r>
        <w:rPr>
          <w:rFonts w:hint="eastAsia"/>
        </w:rPr>
        <w:t>根据以上分析，</w:t>
      </w:r>
      <w:r>
        <w:t>技改项目污染物排放总量按最终排放量控制是可行的，其总量控制建议指标为：</w:t>
      </w:r>
    </w:p>
    <w:p>
      <w:pPr>
        <w:spacing w:line="460" w:lineRule="exact"/>
        <w:ind w:firstLine="420" w:firstLineChars="200"/>
        <w:rPr>
          <w:rFonts w:hint="eastAsia"/>
        </w:rPr>
      </w:pPr>
      <w:r>
        <w:rPr>
          <w:rFonts w:hint="eastAsia"/>
        </w:rPr>
        <w:t>废气污染物总量控制指标：烟粉尘261.37</w:t>
      </w:r>
      <w:r>
        <w:t>t/a</w:t>
      </w:r>
      <w:r>
        <w:rPr>
          <w:rFonts w:hint="eastAsia"/>
        </w:rPr>
        <w:t>、SO</w:t>
      </w:r>
      <w:r>
        <w:rPr>
          <w:rFonts w:hint="eastAsia"/>
          <w:vertAlign w:val="subscript"/>
        </w:rPr>
        <w:t>2</w:t>
      </w:r>
      <w:r>
        <w:rPr>
          <w:rFonts w:hint="eastAsia"/>
        </w:rPr>
        <w:t>216.44</w:t>
      </w:r>
      <w:r>
        <w:t>t/a</w:t>
      </w:r>
      <w:r>
        <w:rPr>
          <w:rFonts w:hint="eastAsia"/>
        </w:rPr>
        <w:t>、NO</w:t>
      </w:r>
      <w:r>
        <w:rPr>
          <w:rFonts w:hint="eastAsia"/>
          <w:vertAlign w:val="subscript"/>
        </w:rPr>
        <w:t>2</w:t>
      </w:r>
      <w:r>
        <w:rPr>
          <w:rFonts w:hint="eastAsia"/>
        </w:rPr>
        <w:t>1799.88</w:t>
      </w:r>
      <w:r>
        <w:t>t/a</w:t>
      </w:r>
      <w:r>
        <w:rPr>
          <w:rFonts w:hint="eastAsia"/>
        </w:rPr>
        <w:t>。</w:t>
      </w:r>
    </w:p>
    <w:p>
      <w:pPr>
        <w:spacing w:line="460" w:lineRule="exact"/>
        <w:ind w:firstLine="420" w:firstLineChars="200"/>
        <w:rPr>
          <w:rFonts w:hint="eastAsia"/>
        </w:rPr>
      </w:pPr>
      <w:r>
        <w:rPr>
          <w:rFonts w:hint="eastAsia"/>
        </w:rPr>
        <w:t>废水污染物总量控制指标：</w:t>
      </w:r>
      <w:r>
        <w:t>COD</w:t>
      </w:r>
      <w:r>
        <w:rPr>
          <w:rFonts w:hint="eastAsia"/>
        </w:rPr>
        <w:t>1.63</w:t>
      </w:r>
      <w:r>
        <w:t>t/a</w:t>
      </w:r>
      <w:r>
        <w:rPr>
          <w:rFonts w:hAnsi="宋体"/>
        </w:rPr>
        <w:t>、</w:t>
      </w:r>
      <w:r>
        <w:t>SS</w:t>
      </w:r>
      <w:r>
        <w:rPr>
          <w:rFonts w:hint="eastAsia"/>
        </w:rPr>
        <w:t xml:space="preserve"> 0.92</w:t>
      </w:r>
      <w:r>
        <w:t>t/a</w:t>
      </w:r>
      <w:r>
        <w:rPr>
          <w:rFonts w:hAnsi="宋体"/>
        </w:rPr>
        <w:t>、</w:t>
      </w:r>
      <w:r>
        <w:t>NH</w:t>
      </w:r>
      <w:r>
        <w:rPr>
          <w:vertAlign w:val="subscript"/>
        </w:rPr>
        <w:t>3</w:t>
      </w:r>
      <w:r>
        <w:t>-N</w:t>
      </w:r>
      <w:r>
        <w:rPr>
          <w:rFonts w:hint="eastAsia"/>
        </w:rPr>
        <w:t xml:space="preserve"> 0.11</w:t>
      </w:r>
      <w:r>
        <w:t>t/a</w:t>
      </w:r>
      <w:r>
        <w:rPr>
          <w:rFonts w:ascii="宋体" w:hAnsi="宋体"/>
        </w:rPr>
        <w:t>。</w:t>
      </w:r>
    </w:p>
    <w:p>
      <w:pPr>
        <w:spacing w:line="480" w:lineRule="exact"/>
        <w:outlineLvl w:val="0"/>
        <w:rPr>
          <w:rFonts w:hint="eastAsia"/>
          <w:b/>
          <w:sz w:val="28"/>
          <w:szCs w:val="28"/>
        </w:rPr>
      </w:pPr>
      <w:bookmarkStart w:id="483" w:name="_Toc473281558"/>
    </w:p>
    <w:p>
      <w:pPr>
        <w:spacing w:line="480" w:lineRule="exact"/>
        <w:outlineLvl w:val="0"/>
        <w:rPr>
          <w:rFonts w:hint="eastAsia"/>
          <w:b/>
          <w:sz w:val="28"/>
          <w:szCs w:val="28"/>
        </w:rPr>
      </w:pPr>
    </w:p>
    <w:p>
      <w:pPr>
        <w:spacing w:line="480" w:lineRule="exact"/>
        <w:outlineLvl w:val="0"/>
        <w:rPr>
          <w:rFonts w:hint="eastAsia"/>
          <w:b/>
          <w:sz w:val="28"/>
          <w:szCs w:val="28"/>
        </w:rPr>
      </w:pPr>
    </w:p>
    <w:p>
      <w:pPr>
        <w:spacing w:line="480" w:lineRule="exact"/>
        <w:outlineLvl w:val="0"/>
        <w:rPr>
          <w:rFonts w:hint="eastAsia"/>
          <w:b/>
          <w:sz w:val="28"/>
          <w:szCs w:val="28"/>
        </w:rPr>
      </w:pPr>
    </w:p>
    <w:p>
      <w:pPr>
        <w:spacing w:line="480" w:lineRule="exact"/>
        <w:outlineLvl w:val="0"/>
        <w:rPr>
          <w:rFonts w:hint="eastAsia"/>
          <w:b/>
          <w:sz w:val="28"/>
          <w:szCs w:val="28"/>
        </w:rPr>
      </w:pPr>
    </w:p>
    <w:p>
      <w:pPr>
        <w:spacing w:line="480" w:lineRule="exact"/>
        <w:outlineLvl w:val="0"/>
        <w:rPr>
          <w:b/>
          <w:sz w:val="28"/>
          <w:szCs w:val="28"/>
        </w:rPr>
        <w:sectPr>
          <w:type w:val="oddPage"/>
          <w:pgSz w:w="11907" w:h="16840"/>
          <w:pgMar w:top="1134" w:right="1418" w:bottom="1134" w:left="1418" w:header="1134" w:footer="851" w:gutter="0"/>
          <w:paperSrc w:first="20070" w:other="20070"/>
          <w:cols w:space="720" w:num="1"/>
        </w:sectPr>
      </w:pPr>
      <w:bookmarkStart w:id="484" w:name="_Toc189814201"/>
    </w:p>
    <w:p>
      <w:pPr>
        <w:spacing w:line="360" w:lineRule="auto"/>
        <w:outlineLvl w:val="0"/>
        <w:rPr>
          <w:rFonts w:hint="eastAsia"/>
          <w:b/>
          <w:sz w:val="28"/>
          <w:szCs w:val="28"/>
        </w:rPr>
      </w:pPr>
      <w:bookmarkStart w:id="485" w:name="_Toc276372278"/>
      <w:r>
        <w:rPr>
          <w:rFonts w:hint="eastAsia"/>
          <w:b/>
          <w:sz w:val="28"/>
          <w:szCs w:val="28"/>
        </w:rPr>
        <w:t>13 产业政策与规划符合性</w:t>
      </w:r>
      <w:bookmarkEnd w:id="457"/>
      <w:bookmarkEnd w:id="458"/>
      <w:bookmarkEnd w:id="459"/>
      <w:bookmarkEnd w:id="460"/>
      <w:bookmarkEnd w:id="483"/>
      <w:bookmarkEnd w:id="484"/>
      <w:r>
        <w:rPr>
          <w:rFonts w:hint="eastAsia"/>
          <w:b/>
          <w:sz w:val="28"/>
          <w:szCs w:val="28"/>
        </w:rPr>
        <w:t>分析</w:t>
      </w:r>
      <w:bookmarkEnd w:id="485"/>
    </w:p>
    <w:p>
      <w:pPr>
        <w:spacing w:line="360" w:lineRule="auto"/>
        <w:outlineLvl w:val="1"/>
        <w:rPr>
          <w:rFonts w:hint="eastAsia"/>
          <w:b/>
          <w:szCs w:val="20"/>
        </w:rPr>
      </w:pPr>
      <w:bookmarkStart w:id="486" w:name="_Toc150759612"/>
      <w:bookmarkStart w:id="487" w:name="_Toc155859714"/>
      <w:bookmarkStart w:id="488" w:name="_Toc176686161"/>
      <w:bookmarkStart w:id="489" w:name="_Toc176784785"/>
      <w:bookmarkStart w:id="490" w:name="_Toc473281559"/>
      <w:bookmarkStart w:id="491" w:name="_Toc189814202"/>
      <w:bookmarkStart w:id="492" w:name="_Toc276372279"/>
      <w:bookmarkStart w:id="493" w:name="_Toc155859832"/>
      <w:bookmarkStart w:id="494" w:name="_Toc150759729"/>
      <w:bookmarkStart w:id="495" w:name="_Toc176686210"/>
      <w:r>
        <w:rPr>
          <w:rFonts w:hint="eastAsia"/>
          <w:b/>
          <w:szCs w:val="20"/>
        </w:rPr>
        <w:t>13.1 产业政策符合性</w:t>
      </w:r>
      <w:bookmarkEnd w:id="486"/>
      <w:bookmarkEnd w:id="487"/>
      <w:bookmarkEnd w:id="488"/>
      <w:r>
        <w:rPr>
          <w:rFonts w:hint="eastAsia"/>
          <w:b/>
          <w:szCs w:val="20"/>
        </w:rPr>
        <w:t>分析</w:t>
      </w:r>
      <w:bookmarkEnd w:id="489"/>
      <w:bookmarkEnd w:id="490"/>
      <w:bookmarkEnd w:id="491"/>
      <w:bookmarkEnd w:id="492"/>
    </w:p>
    <w:p>
      <w:pPr>
        <w:adjustRightInd w:val="0"/>
        <w:snapToGrid w:val="0"/>
        <w:spacing w:line="360" w:lineRule="auto"/>
        <w:ind w:firstLine="420" w:firstLineChars="200"/>
        <w:rPr>
          <w:rFonts w:hint="eastAsia"/>
        </w:rPr>
      </w:pPr>
      <w:r>
        <w:t>水泥是国民经济建设的重要基础原材料，近几年国内水泥工业得到了快速发展。为落实科学发展观，构建和谐社会，实施节能减排，优化结构，合理布局，加快推进水泥工业结构调整，引导水泥工业持续健康发展，国家</w:t>
      </w:r>
      <w:r>
        <w:rPr>
          <w:rFonts w:hint="eastAsia"/>
        </w:rPr>
        <w:t>和重庆市</w:t>
      </w:r>
      <w:r>
        <w:t>相继出台了《关于加快水泥工业结构调整的若干意见》、《水泥工业产业发展政策》、《水泥工业发展专项规划》、《国务院关于印发节能减排综合性工作方案的通知》、</w:t>
      </w:r>
      <w:r>
        <w:rPr>
          <w:rFonts w:hint="eastAsia"/>
        </w:rPr>
        <w:t>《国务院批转发改委等部门关于抑制部分行业产能过剩和重复建设引导产业健康发展若干意见的通知》、《国务院关于进一步加强淘汰落后产能工作的通知》、</w:t>
      </w:r>
      <w:r>
        <w:t>《重庆市水泥工业</w:t>
      </w:r>
      <w:r>
        <w:rPr>
          <w:rFonts w:hint="eastAsia"/>
        </w:rPr>
        <w:t>“</w:t>
      </w:r>
      <w:r>
        <w:t>十一五</w:t>
      </w:r>
      <w:r>
        <w:rPr>
          <w:rFonts w:hint="eastAsia"/>
        </w:rPr>
        <w:t>”</w:t>
      </w:r>
      <w:r>
        <w:t>发展规划》等政策和规划，为水泥工业的健康发展指明了方向。</w:t>
      </w:r>
    </w:p>
    <w:p>
      <w:pPr>
        <w:spacing w:line="360" w:lineRule="auto"/>
        <w:rPr>
          <w:b/>
          <w:bCs/>
          <w:szCs w:val="20"/>
        </w:rPr>
      </w:pPr>
      <w:r>
        <w:rPr>
          <w:rFonts w:hint="eastAsia"/>
          <w:b/>
          <w:bCs/>
          <w:szCs w:val="20"/>
        </w:rPr>
        <w:t>13</w:t>
      </w:r>
      <w:r>
        <w:rPr>
          <w:b/>
          <w:bCs/>
          <w:szCs w:val="20"/>
        </w:rPr>
        <w:t>.1.1与《产业结构调整指导目录》</w:t>
      </w:r>
      <w:r>
        <w:rPr>
          <w:rFonts w:hint="eastAsia"/>
          <w:b/>
          <w:bCs/>
          <w:szCs w:val="20"/>
        </w:rPr>
        <w:t>（</w:t>
      </w:r>
      <w:r>
        <w:rPr>
          <w:b/>
          <w:bCs/>
          <w:szCs w:val="20"/>
        </w:rPr>
        <w:t>2005年本</w:t>
      </w:r>
      <w:r>
        <w:rPr>
          <w:rFonts w:hint="eastAsia"/>
          <w:b/>
          <w:bCs/>
          <w:szCs w:val="20"/>
        </w:rPr>
        <w:t>）</w:t>
      </w:r>
      <w:r>
        <w:rPr>
          <w:b/>
          <w:bCs/>
          <w:szCs w:val="20"/>
        </w:rPr>
        <w:t>的符合性分析</w:t>
      </w:r>
    </w:p>
    <w:p>
      <w:pPr>
        <w:adjustRightInd w:val="0"/>
        <w:snapToGrid w:val="0"/>
        <w:spacing w:line="360" w:lineRule="auto"/>
        <w:ind w:firstLine="420" w:firstLineChars="200"/>
      </w:pPr>
      <w:r>
        <w:t>根据《产业结构调整指导目录》</w:t>
      </w:r>
      <w:r>
        <w:rPr>
          <w:rFonts w:hint="eastAsia"/>
        </w:rPr>
        <w:t>（</w:t>
      </w:r>
      <w:r>
        <w:t>2005年本</w:t>
      </w:r>
      <w:r>
        <w:rPr>
          <w:rFonts w:hint="eastAsia"/>
        </w:rPr>
        <w:t>）</w:t>
      </w:r>
      <w:r>
        <w:t>，建材行业属于鼓励类的内容包括：日产4000吨及以上（西部地区日产2000吨及以上）熟料新型干法水泥生产及装备和配套材料开发；新型干法水泥和新型墙体材料等建材产品生产中消纳工业废弃物、城市垃圾和污泥的无害化与资源化关键技术及装备开发。</w:t>
      </w:r>
    </w:p>
    <w:p>
      <w:pPr>
        <w:adjustRightInd w:val="0"/>
        <w:snapToGrid w:val="0"/>
        <w:spacing w:line="360" w:lineRule="auto"/>
        <w:ind w:firstLine="420" w:firstLineChars="200"/>
      </w:pPr>
      <w:r>
        <w:rPr>
          <w:rFonts w:hint="eastAsia"/>
        </w:rPr>
        <w:t>本技改项目</w:t>
      </w:r>
      <w:r>
        <w:t>生产线规模为日产2500t</w:t>
      </w:r>
      <w:r>
        <w:rPr>
          <w:rFonts w:hint="eastAsia"/>
        </w:rPr>
        <w:t>水泥熟料</w:t>
      </w:r>
      <w:r>
        <w:t>，该新型干法水泥生产线积极利用煤</w:t>
      </w:r>
      <w:r>
        <w:rPr>
          <w:rFonts w:hint="eastAsia"/>
        </w:rPr>
        <w:t>矸石、硫酸渣</w:t>
      </w:r>
      <w:r>
        <w:t>等固体废物，消纳了社会中产生的工业废弃物，符合《产业结构调整指导目录》</w:t>
      </w:r>
      <w:r>
        <w:rPr>
          <w:rFonts w:hint="eastAsia"/>
        </w:rPr>
        <w:t>中</w:t>
      </w:r>
      <w:r>
        <w:t>鼓励类</w:t>
      </w:r>
      <w:r>
        <w:rPr>
          <w:rFonts w:hint="eastAsia"/>
        </w:rPr>
        <w:t>项目</w:t>
      </w:r>
      <w:r>
        <w:t>的内容。</w:t>
      </w:r>
    </w:p>
    <w:p>
      <w:pPr>
        <w:spacing w:line="360" w:lineRule="auto"/>
        <w:rPr>
          <w:b/>
          <w:bCs/>
          <w:szCs w:val="20"/>
        </w:rPr>
      </w:pPr>
      <w:r>
        <w:rPr>
          <w:rFonts w:hint="eastAsia"/>
          <w:b/>
          <w:bCs/>
          <w:szCs w:val="20"/>
        </w:rPr>
        <w:t>13</w:t>
      </w:r>
      <w:r>
        <w:rPr>
          <w:b/>
          <w:bCs/>
          <w:szCs w:val="20"/>
        </w:rPr>
        <w:t>.1.2  与加快水泥工业结构调整的符合性分析</w:t>
      </w:r>
    </w:p>
    <w:p>
      <w:pPr>
        <w:adjustRightInd w:val="0"/>
        <w:snapToGrid w:val="0"/>
        <w:spacing w:line="360" w:lineRule="auto"/>
        <w:ind w:firstLine="420" w:firstLineChars="200"/>
      </w:pPr>
      <w:r>
        <w:t>2006年4月，八部门发布了《印发关于加快水泥工业结构调整的若干意见的通知》，以加快推进产能过剩行业结构调整，其主要精神是：2010年水泥预期产量12.5亿吨，其中新型干法水泥比重提高到70%，水泥散装率达到60％；新型干法水泥吨熟料热耗由130kg下降到110kg标准煤，采用余热发电生产线达40%，水泥单位产品综合能耗下降25％。</w:t>
      </w:r>
    </w:p>
    <w:p>
      <w:pPr>
        <w:spacing w:line="360" w:lineRule="auto"/>
        <w:ind w:firstLine="315" w:firstLineChars="150"/>
        <w:rPr>
          <w:rFonts w:hint="eastAsia"/>
        </w:rPr>
      </w:pPr>
      <w:r>
        <w:rPr>
          <w:rFonts w:hint="eastAsia"/>
        </w:rPr>
        <w:t>本技改项目</w:t>
      </w:r>
      <w:r>
        <w:t>是按照水泥工业结构调整要求，在充分消化吸收现有干法水泥实际生产经验和国内外先进技术的基础上的有序发展。工程积极采用新型干法水泥生产技术，水泥散装率为70％，吨熟料综合能耗为1</w:t>
      </w:r>
      <w:r>
        <w:rPr>
          <w:rFonts w:hint="eastAsia"/>
        </w:rPr>
        <w:t>07</w:t>
      </w:r>
      <w:r>
        <w:t xml:space="preserve"> kg标准煤；积极配套建设余热发电设施，实现了节能减排。</w:t>
      </w:r>
    </w:p>
    <w:p>
      <w:pPr>
        <w:spacing w:line="360" w:lineRule="auto"/>
        <w:rPr>
          <w:rFonts w:hint="eastAsia"/>
          <w:b/>
          <w:bCs/>
          <w:szCs w:val="20"/>
        </w:rPr>
      </w:pPr>
      <w:r>
        <w:rPr>
          <w:rFonts w:hint="eastAsia"/>
          <w:b/>
          <w:bCs/>
          <w:szCs w:val="20"/>
        </w:rPr>
        <w:t>13</w:t>
      </w:r>
      <w:r>
        <w:rPr>
          <w:b/>
          <w:bCs/>
          <w:szCs w:val="20"/>
        </w:rPr>
        <w:t>.1.3  与水泥工业产业发展政策</w:t>
      </w:r>
      <w:r>
        <w:rPr>
          <w:rFonts w:hint="eastAsia"/>
          <w:b/>
          <w:bCs/>
          <w:szCs w:val="20"/>
        </w:rPr>
        <w:t>的符合性分析</w:t>
      </w:r>
    </w:p>
    <w:p>
      <w:pPr>
        <w:adjustRightInd w:val="0"/>
        <w:snapToGrid w:val="0"/>
        <w:spacing w:line="360" w:lineRule="auto"/>
        <w:ind w:firstLine="420" w:firstLineChars="200"/>
      </w:pPr>
      <w:r>
        <w:t>2006年10月，国家发改委发布</w:t>
      </w:r>
      <w:r>
        <w:rPr>
          <w:rFonts w:hint="eastAsia"/>
        </w:rPr>
        <w:t>的</w:t>
      </w:r>
      <w:r>
        <w:t>《水泥工业产业发展政策》中提到：国家鼓励地方和企业以淘汰落后生产能力方式发展新型干法水泥，重点支持在有资源的地区建设日产4000吨及以上规模新型干法水泥项目，建设大型熟料基地；国家鼓励和支持企业发展循环经济，新型干法窑系统废气余热要进行回收利用，鼓励采用纯低温废气余热发电。</w:t>
      </w:r>
    </w:p>
    <w:p>
      <w:pPr>
        <w:adjustRightInd w:val="0"/>
        <w:snapToGrid w:val="0"/>
        <w:spacing w:line="360" w:lineRule="auto"/>
        <w:ind w:firstLine="420" w:firstLineChars="200"/>
        <w:rPr>
          <w:rFonts w:hint="eastAsia"/>
        </w:rPr>
      </w:pPr>
      <w:r>
        <w:rPr>
          <w:rFonts w:hint="eastAsia"/>
        </w:rPr>
        <w:t>本技改项目</w:t>
      </w:r>
      <w:r>
        <w:t>以淘汰落后</w:t>
      </w:r>
      <w:r>
        <w:rPr>
          <w:rFonts w:hint="eastAsia"/>
        </w:rPr>
        <w:t>的机立窑的</w:t>
      </w:r>
      <w:r>
        <w:t>方式发展新型干法水泥，规模为日产2500吨；</w:t>
      </w:r>
      <w:r>
        <w:rPr>
          <w:rFonts w:hint="eastAsia"/>
        </w:rPr>
        <w:t>同时</w:t>
      </w:r>
      <w:r>
        <w:t>积极利用低品位原燃材料以及</w:t>
      </w:r>
      <w:r>
        <w:rPr>
          <w:rFonts w:hint="eastAsia"/>
        </w:rPr>
        <w:t>矿渣和</w:t>
      </w:r>
      <w:r>
        <w:t>煤</w:t>
      </w:r>
      <w:r>
        <w:rPr>
          <w:rFonts w:hint="eastAsia"/>
        </w:rPr>
        <w:t>渣</w:t>
      </w:r>
      <w:r>
        <w:t>等固体废物，</w:t>
      </w:r>
      <w:r>
        <w:rPr>
          <w:rFonts w:hint="eastAsia"/>
        </w:rPr>
        <w:t>并采</w:t>
      </w:r>
      <w:r>
        <w:t>用低温废气进行余热发电。</w:t>
      </w:r>
      <w:r>
        <w:rPr>
          <w:rFonts w:hint="eastAsia"/>
        </w:rPr>
        <w:t>因此，技改项目符合《水泥工业产业发展政策》。</w:t>
      </w:r>
    </w:p>
    <w:p>
      <w:pPr>
        <w:spacing w:line="360" w:lineRule="auto"/>
        <w:rPr>
          <w:b/>
          <w:bCs/>
          <w:szCs w:val="20"/>
        </w:rPr>
      </w:pPr>
      <w:r>
        <w:rPr>
          <w:rFonts w:hint="eastAsia"/>
          <w:b/>
          <w:bCs/>
          <w:szCs w:val="20"/>
        </w:rPr>
        <w:t>13</w:t>
      </w:r>
      <w:r>
        <w:rPr>
          <w:b/>
          <w:bCs/>
          <w:szCs w:val="20"/>
        </w:rPr>
        <w:t>.1.4  与节能减排综合性工作方案的符合性分析</w:t>
      </w:r>
    </w:p>
    <w:p>
      <w:pPr>
        <w:adjustRightInd w:val="0"/>
        <w:snapToGrid w:val="0"/>
        <w:spacing w:line="360" w:lineRule="auto"/>
        <w:ind w:firstLine="420" w:firstLineChars="200"/>
        <w:rPr>
          <w:rFonts w:hint="eastAsia"/>
        </w:rPr>
      </w:pPr>
      <w:r>
        <w:t>2007年6月，国务院发布了《节能减排综合性工作方案》，该方案提出了节能减排的重要性和紧迫性，并提出要组织制订和完善粗钢、水泥等22项高耗能产品能耗限额强制性国家标准。2009年7月1日环境保护部发布</w:t>
      </w:r>
      <w:r>
        <w:rPr>
          <w:rFonts w:hint="eastAsia"/>
        </w:rPr>
        <w:t>了</w:t>
      </w:r>
      <w:r>
        <w:t>《清洁生产标准 水泥工业》</w:t>
      </w:r>
      <w:r>
        <w:rPr>
          <w:rFonts w:hint="eastAsia"/>
        </w:rPr>
        <w:t xml:space="preserve"> </w:t>
      </w:r>
      <w:r>
        <w:t>HJ 467－2009</w:t>
      </w:r>
      <w:r>
        <w:rPr>
          <w:rFonts w:hint="eastAsia"/>
        </w:rPr>
        <w:t>，该标准从</w:t>
      </w:r>
      <w:r>
        <w:t>生产工艺装备</w:t>
      </w:r>
      <w:r>
        <w:rPr>
          <w:rFonts w:hint="eastAsia"/>
        </w:rPr>
        <w:t>、资源能源利用指标、</w:t>
      </w:r>
      <w:r>
        <w:t>产品指标</w:t>
      </w:r>
      <w:r>
        <w:rPr>
          <w:rFonts w:hint="eastAsia"/>
        </w:rPr>
        <w:t>、</w:t>
      </w:r>
      <w:r>
        <w:t>污染物产生指标</w:t>
      </w:r>
      <w:r>
        <w:rPr>
          <w:rFonts w:hint="eastAsia"/>
        </w:rPr>
        <w:t>、废物回收利用指标及环境管理要求等方面提出了水泥行业的清洁生产标准。</w:t>
      </w:r>
    </w:p>
    <w:p>
      <w:pPr>
        <w:autoSpaceDE w:val="0"/>
        <w:autoSpaceDN w:val="0"/>
        <w:adjustRightInd w:val="0"/>
        <w:snapToGrid w:val="0"/>
        <w:spacing w:line="360" w:lineRule="auto"/>
        <w:ind w:firstLine="420" w:firstLineChars="200"/>
        <w:jc w:val="left"/>
      </w:pPr>
      <w:r>
        <w:rPr>
          <w:rFonts w:hint="eastAsia"/>
        </w:rPr>
        <w:t>本技改</w:t>
      </w:r>
      <w:r>
        <w:t>项目积极采取先进的生产工艺装备，积极回收利用资源能源，产品指标、污染物产生指标及废物回收利用指标国内先进</w:t>
      </w:r>
      <w:r>
        <w:rPr>
          <w:rFonts w:hint="eastAsia"/>
        </w:rPr>
        <w:t>水平</w:t>
      </w:r>
      <w:r>
        <w:t>，生产线热损耗少，余热得到充分回收利用，符合国家节能减排的发展要求。</w:t>
      </w:r>
    </w:p>
    <w:p>
      <w:pPr>
        <w:spacing w:line="360" w:lineRule="auto"/>
        <w:rPr>
          <w:b/>
          <w:bCs/>
          <w:szCs w:val="20"/>
        </w:rPr>
      </w:pPr>
      <w:r>
        <w:rPr>
          <w:rFonts w:hint="eastAsia"/>
          <w:b/>
          <w:bCs/>
          <w:szCs w:val="20"/>
        </w:rPr>
        <w:t>13</w:t>
      </w:r>
      <w:r>
        <w:rPr>
          <w:b/>
          <w:bCs/>
          <w:szCs w:val="20"/>
        </w:rPr>
        <w:t>.1.5  与淘汰落后产能</w:t>
      </w:r>
      <w:r>
        <w:rPr>
          <w:rFonts w:hint="eastAsia"/>
          <w:b/>
          <w:bCs/>
          <w:szCs w:val="20"/>
        </w:rPr>
        <w:t>、抑制部分行业产能过剩和重复建设</w:t>
      </w:r>
      <w:r>
        <w:rPr>
          <w:b/>
          <w:bCs/>
          <w:szCs w:val="20"/>
        </w:rPr>
        <w:t>的符合性分析</w:t>
      </w:r>
    </w:p>
    <w:p>
      <w:pPr>
        <w:adjustRightInd w:val="0"/>
        <w:snapToGrid w:val="0"/>
        <w:spacing w:line="360" w:lineRule="auto"/>
        <w:ind w:firstLine="420" w:firstLineChars="200"/>
        <w:rPr>
          <w:rFonts w:hint="eastAsia"/>
        </w:rPr>
      </w:pPr>
      <w:r>
        <w:rPr>
          <w:rFonts w:hint="eastAsia"/>
        </w:rPr>
        <w:t>《国务院关于进一步加强淘汰落后产能工作的通知》（国发〔2010〕7号）文规定的：“坚持新增产能与淘汰产能‘等量置换’或‘减量置换’的原则”。“支持企业升级改造，充分发挥科技对产业升级的支撑作用，统筹安排技术改造资金，以质量品种、节能降耗、环境保护、改善装备、安全生产为重点，对落后产能进行改造”。</w:t>
      </w:r>
    </w:p>
    <w:p>
      <w:pPr>
        <w:adjustRightInd w:val="0"/>
        <w:snapToGrid w:val="0"/>
        <w:spacing w:line="360" w:lineRule="auto"/>
        <w:ind w:firstLine="420" w:firstLineChars="200"/>
        <w:rPr>
          <w:rFonts w:hint="eastAsia"/>
        </w:rPr>
      </w:pPr>
      <w:r>
        <w:rPr>
          <w:rFonts w:hint="eastAsia"/>
        </w:rPr>
        <w:t>2009年《国务院批转发改委等部门关于抑制部分行业产能过剩和重复建设引导产业健康发展若干意见的通知》（国发〔2009〕38号）文规定的：“严格控制新增水泥产能，执行等量淘汰落后产能的原则，各省（区、市）必须尽快制定三年内彻底淘汰落后产能时间表。”“落后水泥产能比较多的省份，要加大对企业联合重组的支持力度，通过等量置换落后产能建设新线，推动淘汰落后工作。”“</w:t>
      </w:r>
      <w:r>
        <w:t>新项目水泥熟料烧成热耗要低于105公斤标煤/吨熟料,水泥综合电耗小于90千瓦时/吨水泥</w:t>
      </w:r>
      <w:r>
        <w:rPr>
          <w:rFonts w:hint="eastAsia"/>
        </w:rPr>
        <w:t>；</w:t>
      </w:r>
      <w:r>
        <w:t>废气粉尘排放浓度小于50毫克/标准立方米</w:t>
      </w:r>
      <w:r>
        <w:rPr>
          <w:rFonts w:hint="eastAsia"/>
        </w:rPr>
        <w:t>”</w:t>
      </w:r>
      <w:r>
        <w:t>。</w:t>
      </w:r>
    </w:p>
    <w:p>
      <w:pPr>
        <w:adjustRightInd w:val="0"/>
        <w:snapToGrid w:val="0"/>
        <w:spacing w:line="360" w:lineRule="auto"/>
        <w:ind w:right="21" w:firstLine="420" w:firstLineChars="200"/>
        <w:rPr>
          <w:rFonts w:hint="eastAsia"/>
        </w:rPr>
      </w:pPr>
      <w:r>
        <w:rPr>
          <w:rFonts w:hint="eastAsia"/>
        </w:rPr>
        <w:t>沙坪坝区</w:t>
      </w:r>
      <w:r>
        <w:t>现有</w:t>
      </w:r>
      <w:r>
        <w:rPr>
          <w:rFonts w:hint="eastAsia"/>
        </w:rPr>
        <w:t>地王、泰琦、青木关、山洞、中梁、青鹏6</w:t>
      </w:r>
      <w:r>
        <w:t>家机立窑水泥厂</w:t>
      </w:r>
      <w:r>
        <w:rPr>
          <w:rFonts w:hint="eastAsia"/>
        </w:rPr>
        <w:t>，产能为180万吨，由于本技改项目的实施，沙坪坝区政府拟对上述6家落后水泥产能进行关闭，因此</w:t>
      </w:r>
      <w:r>
        <w:t>技改后，</w:t>
      </w:r>
      <w:r>
        <w:rPr>
          <w:rFonts w:hint="eastAsia"/>
        </w:rPr>
        <w:t>沙坪坝区</w:t>
      </w:r>
      <w:r>
        <w:t>减少立窑水泥</w:t>
      </w:r>
      <w:r>
        <w:rPr>
          <w:rFonts w:hint="eastAsia"/>
        </w:rPr>
        <w:t>180</w:t>
      </w:r>
      <w:r>
        <w:t>万吨</w:t>
      </w:r>
      <w:r>
        <w:rPr>
          <w:rFonts w:hint="eastAsia"/>
        </w:rPr>
        <w:t>/年</w:t>
      </w:r>
      <w:r>
        <w:t>，增加新型干法</w:t>
      </w:r>
      <w:r>
        <w:rPr>
          <w:rFonts w:hint="eastAsia"/>
        </w:rPr>
        <w:t>旋窑</w:t>
      </w:r>
      <w:r>
        <w:t>水泥100万吨，</w:t>
      </w:r>
      <w:r>
        <w:rPr>
          <w:rFonts w:hint="eastAsia"/>
        </w:rPr>
        <w:t>净减80万吨/年，</w:t>
      </w:r>
      <w:r>
        <w:t>对重庆市水泥工业的产业结构、产品结构、企业规模结构的调整具有积极的推动作用</w:t>
      </w:r>
      <w:r>
        <w:rPr>
          <w:rFonts w:hint="eastAsia"/>
        </w:rPr>
        <w:t>，符合新增产能与淘汰产能“减量置换”的原则。技改项目</w:t>
      </w:r>
      <w:r>
        <w:t>水泥熟料烧成热耗</w:t>
      </w:r>
      <w:r>
        <w:rPr>
          <w:rFonts w:hint="eastAsia"/>
        </w:rPr>
        <w:t>为</w:t>
      </w:r>
      <w:r>
        <w:t>10</w:t>
      </w:r>
      <w:r>
        <w:rPr>
          <w:rFonts w:hint="eastAsia"/>
        </w:rPr>
        <w:t>4</w:t>
      </w:r>
      <w:r>
        <w:t>公斤标煤/吨熟料,水泥综合电耗小于</w:t>
      </w:r>
      <w:r>
        <w:rPr>
          <w:rFonts w:hint="eastAsia"/>
        </w:rPr>
        <w:t>89</w:t>
      </w:r>
      <w:r>
        <w:t>千瓦时/吨水泥</w:t>
      </w:r>
      <w:r>
        <w:rPr>
          <w:rFonts w:hint="eastAsia"/>
        </w:rPr>
        <w:t>，</w:t>
      </w:r>
      <w:r>
        <w:t>废气粉尘排放浓度小于</w:t>
      </w:r>
      <w:r>
        <w:rPr>
          <w:rFonts w:hint="eastAsia"/>
        </w:rPr>
        <w:t>30</w:t>
      </w:r>
      <w:r>
        <w:t>毫克/标准立方米</w:t>
      </w:r>
      <w:r>
        <w:rPr>
          <w:rFonts w:hint="eastAsia"/>
        </w:rPr>
        <w:t>，符合其能耗和污染物排放指标的要求。</w:t>
      </w:r>
    </w:p>
    <w:p>
      <w:pPr>
        <w:spacing w:line="360" w:lineRule="auto"/>
        <w:outlineLvl w:val="1"/>
        <w:rPr>
          <w:b/>
          <w:bCs/>
          <w:szCs w:val="20"/>
        </w:rPr>
      </w:pPr>
      <w:bookmarkStart w:id="496" w:name="_Toc276372280"/>
      <w:bookmarkStart w:id="497" w:name="_Toc238263250"/>
      <w:r>
        <w:rPr>
          <w:rFonts w:hint="eastAsia"/>
          <w:b/>
          <w:bCs/>
          <w:szCs w:val="20"/>
        </w:rPr>
        <w:t>13</w:t>
      </w:r>
      <w:r>
        <w:rPr>
          <w:b/>
          <w:bCs/>
          <w:szCs w:val="20"/>
        </w:rPr>
        <w:t>.2  规划符合性分析</w:t>
      </w:r>
      <w:bookmarkEnd w:id="496"/>
      <w:bookmarkEnd w:id="497"/>
    </w:p>
    <w:p>
      <w:pPr>
        <w:spacing w:line="360" w:lineRule="auto"/>
        <w:rPr>
          <w:rFonts w:hint="eastAsia"/>
          <w:b/>
          <w:bCs/>
          <w:szCs w:val="20"/>
        </w:rPr>
      </w:pPr>
      <w:r>
        <w:rPr>
          <w:rFonts w:hint="eastAsia"/>
          <w:b/>
          <w:bCs/>
          <w:szCs w:val="20"/>
        </w:rPr>
        <w:t>13</w:t>
      </w:r>
      <w:r>
        <w:rPr>
          <w:b/>
          <w:bCs/>
          <w:szCs w:val="20"/>
        </w:rPr>
        <w:t xml:space="preserve">.2.1  </w:t>
      </w:r>
      <w:r>
        <w:rPr>
          <w:rFonts w:hint="eastAsia"/>
          <w:b/>
          <w:bCs/>
          <w:szCs w:val="20"/>
        </w:rPr>
        <w:t>与《水泥工业发展专项规划》的符合性分析</w:t>
      </w:r>
    </w:p>
    <w:p>
      <w:pPr>
        <w:adjustRightInd w:val="0"/>
        <w:snapToGrid w:val="0"/>
        <w:spacing w:line="360" w:lineRule="auto"/>
        <w:ind w:firstLine="420" w:firstLineChars="200"/>
      </w:pPr>
      <w:r>
        <w:t>《水泥工业发展专项规划》中提到：水泥工业的发展要坚持资源保护和综合利用，走循环经济道路，要重视资源综合利用，鼓励企业利用低品位原、燃材料以及砂岩、固体废弃物等替代粘土配料，支持采用工业废渣做原料和混合材；推广节能粉磨、余热发电、利用水泥窑处理工业废弃物及分类好的生活垃圾等技术，发展循环经济；坚持合理布局和发展西部，统筹地区发展，西部地区新型干法水泥发展薄弱，应重点支持，要以减少运输压力和满足本地区需求为原则，发展建设日产2000吨以上的新型干法水泥，加快淘汰落后，促进西部地区水泥工业结构升级。</w:t>
      </w:r>
    </w:p>
    <w:p>
      <w:pPr>
        <w:adjustRightInd w:val="0"/>
        <w:snapToGrid w:val="0"/>
        <w:spacing w:line="360" w:lineRule="auto"/>
        <w:ind w:firstLine="420" w:firstLineChars="200"/>
        <w:rPr>
          <w:rFonts w:hint="eastAsia"/>
        </w:rPr>
      </w:pPr>
      <w:r>
        <w:rPr>
          <w:rFonts w:hint="eastAsia"/>
        </w:rPr>
        <w:t>本技改项目注重资源的综合利用，以煤矸石、硫酸渣等为原料，生产用水全部循环使用，除尘灰全部回收利用，并利用余热发电，发展循环经济。本项目在西部地区建设新型干法水泥生产线，有利于西部地区的经济开发，能够促进西部地区水泥工业的产业结构调整，因此，本技改项目符合《水泥工业发展专项规划》。</w:t>
      </w:r>
    </w:p>
    <w:p>
      <w:pPr>
        <w:spacing w:line="360" w:lineRule="auto"/>
        <w:rPr>
          <w:b/>
          <w:bCs/>
          <w:szCs w:val="20"/>
        </w:rPr>
      </w:pPr>
      <w:r>
        <w:rPr>
          <w:rFonts w:hint="eastAsia"/>
          <w:b/>
          <w:bCs/>
          <w:szCs w:val="20"/>
        </w:rPr>
        <w:t>13</w:t>
      </w:r>
      <w:r>
        <w:rPr>
          <w:b/>
          <w:bCs/>
          <w:szCs w:val="20"/>
        </w:rPr>
        <w:t>.2.2  与重庆市水泥工业规划的符合性分析</w:t>
      </w:r>
    </w:p>
    <w:p>
      <w:pPr>
        <w:adjustRightInd w:val="0"/>
        <w:snapToGrid w:val="0"/>
        <w:spacing w:line="360" w:lineRule="auto"/>
        <w:ind w:firstLine="420" w:firstLineChars="200"/>
      </w:pPr>
      <w:r>
        <w:t>2006年12月，重庆市经济委员会印发了《重庆市水泥工业</w:t>
      </w:r>
      <w:r>
        <w:rPr>
          <w:rFonts w:hint="eastAsia"/>
        </w:rPr>
        <w:t>“</w:t>
      </w:r>
      <w:r>
        <w:t>十一五</w:t>
      </w:r>
      <w:r>
        <w:rPr>
          <w:rFonts w:hint="eastAsia"/>
        </w:rPr>
        <w:t>”</w:t>
      </w:r>
      <w:r>
        <w:t>发展规划》，该规划指出：</w:t>
      </w:r>
      <w:r>
        <w:rPr>
          <w:rFonts w:hint="eastAsia"/>
        </w:rPr>
        <w:t>“</w:t>
      </w:r>
      <w:r>
        <w:t>十一五</w:t>
      </w:r>
      <w:r>
        <w:rPr>
          <w:rFonts w:hint="eastAsia"/>
        </w:rPr>
        <w:t>”</w:t>
      </w:r>
      <w:r>
        <w:t>重庆市水泥工业布局主要沿长江、乌江、嘉陵江及石灰石资源丰富的地区布点，重点支持发展日产2500</w:t>
      </w:r>
      <w:r>
        <w:rPr>
          <w:rFonts w:hint="eastAsia"/>
        </w:rPr>
        <w:t>t</w:t>
      </w:r>
      <w:r>
        <w:t>及以上的新型干法水泥生产线；都市发达经济圈原则上不再新上水泥项目。</w:t>
      </w:r>
    </w:p>
    <w:p>
      <w:pPr>
        <w:adjustRightInd w:val="0"/>
        <w:snapToGrid w:val="0"/>
        <w:spacing w:line="360" w:lineRule="auto"/>
        <w:ind w:firstLine="420" w:firstLineChars="200"/>
      </w:pPr>
      <w:r>
        <w:t>2008年12月，重庆市人民政府发布了《关于促进水泥工业结构调整的实施意见》，该意见明确指出：优化区域布局，</w:t>
      </w:r>
      <w:r>
        <w:rPr>
          <w:rFonts w:hint="eastAsia"/>
        </w:rPr>
        <w:t>1</w:t>
      </w:r>
      <w:r>
        <w:t>小时经济圈内主城9区不再核准新型干法水泥项目，渝东南、渝东北产业基础弱，工业发展困难，可支持发展新型干法水泥；以淘汰落后产能的方式发展新型干法水泥，原则上淘汰落后产能规模应占新上项目规模的50%以上，达不到50%的不予核准；严格核准资料要求，项目业主需提供满足项目开采30年以上的石灰石及配料资源保证和开采许可证、淘汰落后水泥产能方案等资料。</w:t>
      </w:r>
    </w:p>
    <w:p>
      <w:pPr>
        <w:autoSpaceDE w:val="0"/>
        <w:autoSpaceDN w:val="0"/>
        <w:adjustRightInd w:val="0"/>
        <w:spacing w:line="360" w:lineRule="auto"/>
        <w:ind w:firstLine="420" w:firstLineChars="200"/>
        <w:jc w:val="left"/>
        <w:rPr>
          <w:rFonts w:hint="eastAsia"/>
        </w:rPr>
      </w:pPr>
      <w:r>
        <w:rPr>
          <w:rFonts w:hint="eastAsia"/>
        </w:rPr>
        <w:t>技改</w:t>
      </w:r>
      <w:r>
        <w:t>项目以淘汰落后产能的方式发展新型干法水泥</w:t>
      </w:r>
      <w:r>
        <w:rPr>
          <w:rFonts w:hint="eastAsia"/>
        </w:rPr>
        <w:t>（见附件）</w:t>
      </w:r>
      <w:r>
        <w:t>，</w:t>
      </w:r>
      <w:r>
        <w:rPr>
          <w:rFonts w:hint="eastAsia"/>
        </w:rPr>
        <w:t>且</w:t>
      </w:r>
      <w:r>
        <w:t>淘汰落后产能规模</w:t>
      </w:r>
      <w:r>
        <w:rPr>
          <w:rFonts w:hint="eastAsia"/>
        </w:rPr>
        <w:t>超过</w:t>
      </w:r>
      <w:r>
        <w:t>新上项目规模</w:t>
      </w:r>
      <w:r>
        <w:rPr>
          <w:rFonts w:hint="eastAsia"/>
        </w:rPr>
        <w:t>，符合</w:t>
      </w:r>
      <w:r>
        <w:t>淘汰落后产能规模应占新上项目规模的50%以上</w:t>
      </w:r>
      <w:r>
        <w:rPr>
          <w:rFonts w:hint="eastAsia"/>
        </w:rPr>
        <w:t>的要求。技改项目所需的石灰石由重庆璧山县富强矿业有限公司定点供应，该公司的石灰石矿山位于重庆市璧山县福禄镇浸河村一社，距技改项目约25km。经重庆市立地科技发展有限公司勘测计算，该矿山水泥灰岩储量为15707万吨，能够满足年产100万吨水泥厂石灰石资源消耗142.8年，重庆永荣青鹏煤业有限公司与重庆璧山县富强矿业有限公司签定了长期的供销合同，因此技改项目所需的石灰石是有保障的，矿山的储量也满足30年以上的要求，因此技改项目符合重庆市水泥工业相关规划。</w:t>
      </w:r>
    </w:p>
    <w:p>
      <w:pPr>
        <w:spacing w:line="360" w:lineRule="auto"/>
        <w:rPr>
          <w:rFonts w:hint="eastAsia"/>
          <w:b/>
          <w:bCs/>
          <w:szCs w:val="20"/>
        </w:rPr>
      </w:pPr>
      <w:r>
        <w:rPr>
          <w:rFonts w:hint="eastAsia"/>
          <w:b/>
          <w:bCs/>
          <w:szCs w:val="20"/>
        </w:rPr>
        <w:t>13.2.3 与重庆市大气污染联防联控方案的符合性</w:t>
      </w:r>
    </w:p>
    <w:p>
      <w:pPr>
        <w:spacing w:line="360" w:lineRule="auto"/>
        <w:ind w:firstLine="482"/>
        <w:rPr>
          <w:rFonts w:hint="eastAsia"/>
          <w:b/>
          <w:szCs w:val="20"/>
        </w:rPr>
      </w:pPr>
      <w:r>
        <w:rPr>
          <w:rFonts w:hint="eastAsia"/>
        </w:rPr>
        <w:t>按照《重庆市大气污染联防联控工作改善区域空气质量实施方案》</w:t>
      </w:r>
      <w:r>
        <w:t>我市大气污染联防联控工作的重点区域是渝中、江北、沙坪坝、九龙坡、大渡口、南岸、北碚、渝北、巴南</w:t>
      </w:r>
      <w:r>
        <w:rPr>
          <w:rFonts w:hint="eastAsia"/>
        </w:rPr>
        <w:t>等创建国家环保模范城市的</w:t>
      </w:r>
      <w:r>
        <w:t>主城</w:t>
      </w:r>
      <w:r>
        <w:rPr>
          <w:rFonts w:hint="eastAsia"/>
        </w:rPr>
        <w:t>九区（含</w:t>
      </w:r>
      <w:r>
        <w:t>北部新区</w:t>
      </w:r>
      <w:r>
        <w:rPr>
          <w:rFonts w:hint="eastAsia"/>
        </w:rPr>
        <w:t>）行政区域；全</w:t>
      </w:r>
      <w:r>
        <w:t>市大气污染联防联控的重点污染物是颗粒物、二氧化硫、氮氧化物、挥发性有机物等，重点行业是火电、钢铁、水泥、化工、</w:t>
      </w:r>
      <w:r>
        <w:rPr>
          <w:rFonts w:hint="eastAsia"/>
        </w:rPr>
        <w:t>采矿、</w:t>
      </w:r>
      <w:r>
        <w:t>有色</w:t>
      </w:r>
      <w:r>
        <w:rPr>
          <w:rFonts w:hint="eastAsia"/>
        </w:rPr>
        <w:t>、城市建筑施工工地</w:t>
      </w:r>
      <w:r>
        <w:t>等</w:t>
      </w:r>
      <w:r>
        <w:rPr>
          <w:rFonts w:hint="eastAsia"/>
        </w:rPr>
        <w:t>；主城区范围禁止新建和扩建钢铁、火电、水泥和工业燃煤设施。</w:t>
      </w:r>
      <w:r>
        <w:rPr>
          <w:rFonts w:hint="eastAsia"/>
          <w:b/>
          <w:szCs w:val="20"/>
        </w:rPr>
        <w:t xml:space="preserve">     </w:t>
      </w:r>
    </w:p>
    <w:p>
      <w:pPr>
        <w:spacing w:line="360" w:lineRule="auto"/>
        <w:ind w:firstLine="482"/>
        <w:rPr>
          <w:rFonts w:hint="eastAsia"/>
        </w:rPr>
      </w:pPr>
      <w:r>
        <w:rPr>
          <w:rFonts w:hint="eastAsia"/>
        </w:rPr>
        <w:t>本技改项目为2500t/d的熟料水泥生产线，且位于</w:t>
      </w:r>
      <w:r>
        <w:t>沙坪坝</w:t>
      </w:r>
      <w:r>
        <w:rPr>
          <w:rFonts w:hint="eastAsia"/>
        </w:rPr>
        <w:t>区青木关镇，属于重点控制区域内的重点控制行业，但由于本项目是在关闭包括本公司在内的立窑生产线（共180万吨产能）的基础上建设的，同时设计时充分考虑了环保的相关要求，如燃用低硫煤，所有产尘点均设置了除尘设施，并严格执行《重庆市水泥工业大气污染物排放标准》（DB50/251-2007）的相关要求，烟（粉）尘排放浓度均控制在30mg/m</w:t>
      </w:r>
      <w:r>
        <w:rPr>
          <w:rFonts w:hint="eastAsia"/>
          <w:vertAlign w:val="superscript"/>
        </w:rPr>
        <w:t>3</w:t>
      </w:r>
      <w:r>
        <w:rPr>
          <w:rFonts w:hint="eastAsia"/>
        </w:rPr>
        <w:t>以下，技改项目实施后，其排放的主要污染物较技改前有较大幅度的削减，对环境的影响也在不同程度下得到了减缓。 因此，技改项目的建设符合重庆市大气污染联防联控的相关要求。</w:t>
      </w:r>
    </w:p>
    <w:p>
      <w:pPr>
        <w:spacing w:line="360" w:lineRule="auto"/>
        <w:outlineLvl w:val="1"/>
        <w:rPr>
          <w:rFonts w:hint="eastAsia" w:ascii="宋体" w:hAnsi="宋体"/>
          <w:b/>
          <w:bCs/>
        </w:rPr>
      </w:pPr>
      <w:bookmarkStart w:id="498" w:name="_Toc196543404"/>
      <w:bookmarkStart w:id="499" w:name="_Toc198438514"/>
      <w:bookmarkStart w:id="500" w:name="_Toc276372281"/>
      <w:r>
        <w:rPr>
          <w:rFonts w:hint="eastAsia"/>
          <w:b/>
          <w:szCs w:val="20"/>
        </w:rPr>
        <w:t xml:space="preserve">13.3 </w:t>
      </w:r>
      <w:r>
        <w:rPr>
          <w:rFonts w:hint="eastAsia" w:ascii="宋体" w:hAnsi="宋体"/>
          <w:b/>
          <w:bCs/>
        </w:rPr>
        <w:t>重庆市工业项目环境准入规定符合性</w:t>
      </w:r>
      <w:bookmarkEnd w:id="498"/>
      <w:bookmarkEnd w:id="499"/>
      <w:r>
        <w:rPr>
          <w:rFonts w:hint="eastAsia" w:ascii="宋体" w:hAnsi="宋体"/>
          <w:b/>
          <w:bCs/>
        </w:rPr>
        <w:t>分析</w:t>
      </w:r>
      <w:bookmarkEnd w:id="500"/>
    </w:p>
    <w:p>
      <w:pPr>
        <w:adjustRightInd w:val="0"/>
        <w:snapToGrid w:val="0"/>
        <w:spacing w:line="360" w:lineRule="auto"/>
        <w:ind w:firstLine="420" w:firstLineChars="200"/>
      </w:pPr>
      <w:r>
        <w:t>重庆市政府于2008年4月发布了《重庆市工业项目环境准入规定》（渝办发[2008]62号），其主要目的是为了促进全市产业结构调整，统筹环境保护与经济发展。此规定中与</w:t>
      </w:r>
      <w:r>
        <w:rPr>
          <w:rFonts w:hint="eastAsia"/>
        </w:rPr>
        <w:t>技改</w:t>
      </w:r>
      <w:r>
        <w:t>项目有直接关系的主要内容如下：</w:t>
      </w:r>
    </w:p>
    <w:p>
      <w:pPr>
        <w:autoSpaceDE w:val="0"/>
        <w:autoSpaceDN w:val="0"/>
        <w:spacing w:line="360" w:lineRule="auto"/>
        <w:ind w:firstLine="420" w:firstLineChars="200"/>
        <w:rPr>
          <w:rFonts w:hint="eastAsia"/>
        </w:rPr>
      </w:pPr>
      <w:r>
        <w:t>工业项目应符合产业政策，不得采用国家和我市淘汰的或禁止使用的工艺、技术和设备；工业项目清洁生产水平不得低于国家清洁生产标准的国内基本水平；</w:t>
      </w:r>
      <w:r>
        <w:rPr>
          <w:rFonts w:hint="eastAsia"/>
        </w:rPr>
        <w:t>“一小时经济圈”内工业项目的清洁生产水平应达到国家清洁生产标准的国内先进水平。</w:t>
      </w:r>
      <w:r>
        <w:t>工业项目选址应符合产业发展规划、城乡总体规划、土地利用规划等相关规划，</w:t>
      </w:r>
      <w:r>
        <w:rPr>
          <w:rFonts w:hint="eastAsia"/>
        </w:rPr>
        <w:t>禁止在自然保护区、饮用水源保护区、风景名胜区、森林公园、文物古迹、居住文教区等环境敏感区内建设工业项目</w:t>
      </w:r>
      <w:r>
        <w:t>；</w:t>
      </w:r>
      <w:r>
        <w:rPr>
          <w:rFonts w:hint="eastAsia"/>
        </w:rPr>
        <w:t>工业项目排放污染物必须达到国家和地方规定的污染物排放标准；</w:t>
      </w:r>
      <w:r>
        <w:t>工业项目选址区域应有相应的环境容量，新增排污量的工业项目必须落实污染物排放总量指标来源。</w:t>
      </w:r>
      <w:r>
        <w:rPr>
          <w:rFonts w:hint="eastAsia"/>
        </w:rPr>
        <w:t>内环线以内禁止建设燃煤项目，内环线与绕城高速公路之间区域禁止建设大气污染严重的项目，都市区常年主导风上风向区域严格限制大气污染严重的项目。</w:t>
      </w:r>
    </w:p>
    <w:p>
      <w:pPr>
        <w:adjustRightInd w:val="0"/>
        <w:snapToGrid w:val="0"/>
        <w:spacing w:line="360" w:lineRule="auto"/>
        <w:ind w:firstLine="420" w:firstLineChars="200"/>
      </w:pPr>
      <w:r>
        <w:rPr>
          <w:rFonts w:hint="eastAsia"/>
        </w:rPr>
        <w:t>技改</w:t>
      </w:r>
      <w:r>
        <w:t>项目符合国家产业政策，选用国家鼓励的生产工艺和技术，设计积极采用国内先进的装备，采取一系列节能减排、循环经济等措施，项目实施后清洁生产将达到国内先进水平；</w:t>
      </w:r>
      <w:r>
        <w:rPr>
          <w:rFonts w:hint="eastAsia"/>
        </w:rPr>
        <w:t>技改</w:t>
      </w:r>
      <w:r>
        <w:t>项目</w:t>
      </w:r>
      <w:r>
        <w:rPr>
          <w:rFonts w:hint="eastAsia"/>
        </w:rPr>
        <w:t>位于沙坪坝区青木关镇，其厂址处于外环高速以外，都市区常年主导风的侧风向，且不在“四山”控制范围内，不在城市规划范围内，符合重庆市城市总体规划和“四山”控制规划。</w:t>
      </w:r>
      <w:r>
        <w:t>项目所在区域有一定的环境容量，</w:t>
      </w:r>
      <w:r>
        <w:rPr>
          <w:rFonts w:hint="eastAsia"/>
        </w:rPr>
        <w:t>技改</w:t>
      </w:r>
      <w:r>
        <w:t>项目新增的SO</w:t>
      </w:r>
      <w:r>
        <w:rPr>
          <w:vertAlign w:val="subscript"/>
        </w:rPr>
        <w:t>2</w:t>
      </w:r>
      <w:r>
        <w:t>排放量</w:t>
      </w:r>
      <w:r>
        <w:rPr>
          <w:rFonts w:hint="eastAsia"/>
        </w:rPr>
        <w:t>从</w:t>
      </w:r>
      <w:r>
        <w:t>关闭</w:t>
      </w:r>
      <w:r>
        <w:rPr>
          <w:rFonts w:hint="eastAsia"/>
        </w:rPr>
        <w:t>山洞水泥厂</w:t>
      </w:r>
      <w:r>
        <w:t>削减的SO</w:t>
      </w:r>
      <w:r>
        <w:rPr>
          <w:vertAlign w:val="subscript"/>
        </w:rPr>
        <w:t>2</w:t>
      </w:r>
      <w:r>
        <w:rPr>
          <w:rFonts w:hint="eastAsia"/>
        </w:rPr>
        <w:t>中</w:t>
      </w:r>
      <w:r>
        <w:t>解决。</w:t>
      </w:r>
    </w:p>
    <w:p>
      <w:pPr>
        <w:adjustRightInd w:val="0"/>
        <w:snapToGrid w:val="0"/>
        <w:spacing w:line="360" w:lineRule="auto"/>
        <w:ind w:firstLine="420" w:firstLineChars="200"/>
        <w:sectPr>
          <w:pgSz w:w="11907" w:h="16840"/>
          <w:pgMar w:top="1134" w:right="1418" w:bottom="1134" w:left="1418" w:header="1134" w:footer="851" w:gutter="0"/>
          <w:paperSrc w:first="20070" w:other="20070"/>
          <w:cols w:space="720" w:num="1"/>
        </w:sectPr>
      </w:pPr>
      <w:r>
        <w:t>由此可见，</w:t>
      </w:r>
      <w:r>
        <w:rPr>
          <w:rFonts w:hint="eastAsia"/>
        </w:rPr>
        <w:t>技改项目</w:t>
      </w:r>
      <w:r>
        <w:t>符合《重庆市工业项目环境准入规定》有关要求。</w:t>
      </w:r>
    </w:p>
    <w:p>
      <w:pPr>
        <w:spacing w:line="360" w:lineRule="auto"/>
        <w:outlineLvl w:val="0"/>
        <w:rPr>
          <w:b/>
          <w:sz w:val="28"/>
          <w:szCs w:val="28"/>
        </w:rPr>
      </w:pPr>
      <w:bookmarkStart w:id="501" w:name="_Toc276372282"/>
      <w:bookmarkStart w:id="502" w:name="_Toc238263252"/>
      <w:r>
        <w:rPr>
          <w:b/>
          <w:sz w:val="28"/>
          <w:szCs w:val="28"/>
        </w:rPr>
        <w:t>1</w:t>
      </w:r>
      <w:r>
        <w:rPr>
          <w:rFonts w:hint="eastAsia"/>
          <w:b/>
          <w:sz w:val="28"/>
          <w:szCs w:val="28"/>
        </w:rPr>
        <w:t>4</w:t>
      </w:r>
      <w:r>
        <w:rPr>
          <w:b/>
          <w:sz w:val="28"/>
          <w:szCs w:val="28"/>
        </w:rPr>
        <w:t xml:space="preserve">  </w:t>
      </w:r>
      <w:r>
        <w:rPr>
          <w:b/>
          <w:bCs/>
        </w:rPr>
        <w:t>厂址</w:t>
      </w:r>
      <w:r>
        <w:rPr>
          <w:rFonts w:hint="eastAsia"/>
          <w:b/>
          <w:sz w:val="28"/>
          <w:szCs w:val="28"/>
        </w:rPr>
        <w:t>选择</w:t>
      </w:r>
      <w:r>
        <w:rPr>
          <w:b/>
          <w:sz w:val="28"/>
          <w:szCs w:val="28"/>
        </w:rPr>
        <w:t>合理性分析</w:t>
      </w:r>
      <w:bookmarkEnd w:id="501"/>
      <w:bookmarkEnd w:id="502"/>
    </w:p>
    <w:p>
      <w:pPr>
        <w:spacing w:line="360" w:lineRule="auto"/>
        <w:outlineLvl w:val="1"/>
        <w:rPr>
          <w:rFonts w:hint="eastAsia"/>
          <w:b/>
          <w:szCs w:val="20"/>
        </w:rPr>
      </w:pPr>
      <w:bookmarkStart w:id="503" w:name="_Toc276372283"/>
      <w:r>
        <w:rPr>
          <w:rFonts w:hint="eastAsia"/>
          <w:b/>
          <w:szCs w:val="20"/>
        </w:rPr>
        <w:t>14.1与地方规划符合性</w:t>
      </w:r>
      <w:bookmarkEnd w:id="503"/>
    </w:p>
    <w:p>
      <w:pPr>
        <w:autoSpaceDE w:val="0"/>
        <w:autoSpaceDN w:val="0"/>
        <w:spacing w:line="360" w:lineRule="auto"/>
        <w:ind w:firstLine="420" w:firstLineChars="200"/>
        <w:rPr>
          <w:rFonts w:hint="eastAsia"/>
        </w:rPr>
      </w:pPr>
      <w:r>
        <w:rPr>
          <w:rFonts w:hint="eastAsia" w:hAnsi="宋体"/>
        </w:rPr>
        <w:t>技改项目在拆</w:t>
      </w:r>
      <w:r>
        <w:rPr>
          <w:rFonts w:hAnsi="宋体"/>
        </w:rPr>
        <w:t>原</w:t>
      </w:r>
      <w:r>
        <w:rPr>
          <w:rFonts w:hint="eastAsia" w:hAnsi="宋体"/>
        </w:rPr>
        <w:t>除立窑的基础上原址建设新型干法水泥生产线，</w:t>
      </w:r>
      <w:r>
        <w:rPr>
          <w:rFonts w:hAnsi="宋体"/>
          <w:kern w:val="28"/>
          <w:sz w:val="28"/>
          <w:szCs w:val="28"/>
        </w:rPr>
        <w:t>该址的土地</w:t>
      </w:r>
      <w:r>
        <w:rPr>
          <w:rFonts w:hint="eastAsia" w:hAnsi="宋体"/>
        </w:rPr>
        <w:t>属于工业用地，项目不需要新</w:t>
      </w:r>
      <w:r>
        <w:rPr>
          <w:rFonts w:hAnsi="宋体"/>
        </w:rPr>
        <w:t>征用土地，不占耕地和林木地。</w:t>
      </w:r>
      <w:r>
        <w:rPr>
          <w:rFonts w:hint="eastAsia" w:hAnsi="宋体"/>
        </w:rPr>
        <w:t>技改项目</w:t>
      </w:r>
      <w:r>
        <w:rPr>
          <w:rFonts w:hint="eastAsia" w:ascii="宋体" w:hAnsi="宋体"/>
        </w:rPr>
        <w:t>不在城市规划范围内，不属于城市发展组团范围，与重庆市城市总体规划不冲突，符合重庆市城市总体规划。按照“四山管制”要求，</w:t>
      </w:r>
      <w:r>
        <w:rPr>
          <w:rFonts w:ascii="宋体" w:hAnsi="宋体"/>
        </w:rPr>
        <w:t>缙云山</w:t>
      </w:r>
      <w:r>
        <w:rPr>
          <w:rFonts w:hint="eastAsia" w:ascii="宋体" w:hAnsi="宋体"/>
        </w:rPr>
        <w:t>管制区在青木关段按原始地面标高350米控制，技改项目在厂区布置时严格按照“四山管制”要求，所有装置及厂房均布置在350米以下，因此，技改项目不在“四山管制”范围内。</w:t>
      </w:r>
      <w:r>
        <w:rPr>
          <w:rFonts w:hint="eastAsia"/>
        </w:rPr>
        <w:t>按照重庆市主城区蓝天行动实施方案（2008-2012年），青木关镇为B类控制区，按照实施方案要求，在B类控制区内禁止新建和扩建火电机组、有色和冶炼企业及机立窑、湿法窑、立波尔窑、干法中空窑等水泥生产线以及其他严重污染大气环境的工业设施。本技改项目为新型干法水泥生产线，不属于禁止类的水泥生产线项目，因此，其建设与“蓝天行动方案”不冲突。重庆市规划局以选字第500106201000043号文的形式同意其建设选址。</w:t>
      </w:r>
    </w:p>
    <w:p>
      <w:pPr>
        <w:spacing w:line="360" w:lineRule="auto"/>
        <w:outlineLvl w:val="1"/>
        <w:rPr>
          <w:b/>
          <w:szCs w:val="20"/>
        </w:rPr>
      </w:pPr>
      <w:bookmarkStart w:id="504" w:name="_Toc150759730"/>
      <w:bookmarkStart w:id="505" w:name="_Toc276372284"/>
      <w:bookmarkStart w:id="506" w:name="_Toc155859833"/>
      <w:bookmarkStart w:id="507" w:name="_Toc176686211"/>
      <w:r>
        <w:rPr>
          <w:rFonts w:hint="eastAsia"/>
          <w:b/>
          <w:szCs w:val="20"/>
        </w:rPr>
        <w:t>14.2</w:t>
      </w:r>
      <w:r>
        <w:rPr>
          <w:b/>
          <w:szCs w:val="20"/>
        </w:rPr>
        <w:t xml:space="preserve"> </w:t>
      </w:r>
      <w:r>
        <w:rPr>
          <w:rFonts w:hint="eastAsia"/>
          <w:b/>
          <w:szCs w:val="20"/>
        </w:rPr>
        <w:t>厂址自然环境条件</w:t>
      </w:r>
      <w:bookmarkEnd w:id="504"/>
      <w:bookmarkEnd w:id="505"/>
      <w:bookmarkEnd w:id="506"/>
      <w:bookmarkEnd w:id="507"/>
    </w:p>
    <w:p>
      <w:pPr>
        <w:spacing w:line="360" w:lineRule="auto"/>
        <w:ind w:firstLine="420" w:firstLineChars="200"/>
      </w:pPr>
      <w:r>
        <w:rPr>
          <w:rFonts w:hint="eastAsia"/>
        </w:rPr>
        <w:t>（</w:t>
      </w:r>
      <w:r>
        <w:t>1</w:t>
      </w:r>
      <w:r>
        <w:rPr>
          <w:rFonts w:hint="eastAsia"/>
        </w:rPr>
        <w:t>）原燃材料来源有保证</w:t>
      </w:r>
    </w:p>
    <w:p>
      <w:pPr>
        <w:adjustRightInd w:val="0"/>
        <w:snapToGrid w:val="0"/>
        <w:spacing w:line="360" w:lineRule="auto"/>
        <w:ind w:right="21" w:firstLine="570"/>
      </w:pPr>
      <w:r>
        <w:t>本</w:t>
      </w:r>
      <w:r>
        <w:rPr>
          <w:rFonts w:hint="eastAsia"/>
        </w:rPr>
        <w:t>技改</w:t>
      </w:r>
      <w:r>
        <w:t>项目石灰石</w:t>
      </w:r>
      <w:r>
        <w:rPr>
          <w:rFonts w:hint="eastAsia"/>
        </w:rPr>
        <w:t>由重庆璧山县富强矿业有限公司定点供应，该公司的石灰石矿山位于重庆市璧山县福禄镇浸河村一社，该矿山</w:t>
      </w:r>
      <w:r>
        <w:t>石灰石资源丰富，CaO含量高，品位好，成份稳定，是生产回转窑水泥的优质原料，距离项目建设地25公里，交通运输方便。重庆永荣青鹏煤业有限公司生产煤炭可作为燃料，同时采煤过程中产生的大量的煤矸石也是生产水泥的原料之一，此外砂岩、粉煤灰、矿渣等其他原料在附近储量都非常丰富，</w:t>
      </w:r>
      <w:r>
        <w:rPr>
          <w:rFonts w:hint="eastAsia"/>
        </w:rPr>
        <w:t>尤其正在研究开发污泥掺合水泥的新技术，减少污泥污染的问题，</w:t>
      </w:r>
      <w:r>
        <w:t>所有原燃材料均能就地就近解决，</w:t>
      </w:r>
      <w:r>
        <w:rPr>
          <w:rFonts w:hint="eastAsia"/>
        </w:rPr>
        <w:t>技改</w:t>
      </w:r>
      <w:r>
        <w:t>项目</w:t>
      </w:r>
      <w:r>
        <w:rPr>
          <w:rFonts w:hint="eastAsia"/>
        </w:rPr>
        <w:t>实施</w:t>
      </w:r>
      <w:r>
        <w:t>地具备了发展水泥工业的得天独厚的条件。</w:t>
      </w:r>
    </w:p>
    <w:p>
      <w:pPr>
        <w:spacing w:line="360" w:lineRule="auto"/>
        <w:ind w:firstLine="420" w:firstLineChars="200"/>
      </w:pPr>
      <w:r>
        <w:rPr>
          <w:rFonts w:hint="eastAsia"/>
        </w:rPr>
        <w:t>（2）公用工程依托设施较好</w:t>
      </w:r>
    </w:p>
    <w:p>
      <w:pPr>
        <w:adjustRightInd w:val="0"/>
        <w:snapToGrid w:val="0"/>
        <w:spacing w:line="360" w:lineRule="auto"/>
        <w:ind w:firstLine="455" w:firstLineChars="217"/>
      </w:pPr>
      <w:r>
        <w:t>电源由重庆市沙坪坝区供电局供给，拟从距矿区3公里远的该局马铁线T接一回路35KV架空线路至本公司，新建35KV总降压站，（35KV总降压站拟由供电局设计及施工）。新建35KV降压站和矿井总降压站形成双回路供电线路，保障生产线用电，满足生产需要。根据重庆市电力供应状况，完全能满足本工程用电需要。</w:t>
      </w:r>
    </w:p>
    <w:p>
      <w:pPr>
        <w:adjustRightInd w:val="0"/>
        <w:snapToGrid w:val="0"/>
        <w:spacing w:line="360" w:lineRule="auto"/>
        <w:ind w:firstLine="555"/>
      </w:pPr>
      <w:r>
        <w:rPr>
          <w:rFonts w:hint="eastAsia"/>
        </w:rPr>
        <w:t>生产、生活及消防用水</w:t>
      </w:r>
      <w:r>
        <w:t>拟利用本公司煤矿井下排水，经净化后作为全厂的生产和消防用水水源。现矿井废水流量大（日均</w:t>
      </w:r>
      <w:r>
        <w:rPr>
          <w:rFonts w:hint="eastAsia"/>
        </w:rPr>
        <w:t>4</w:t>
      </w:r>
      <w:r>
        <w:t>000t以上），水量充足，完全能满足本项目生产及消防用水要求。</w:t>
      </w:r>
    </w:p>
    <w:p>
      <w:pPr>
        <w:spacing w:line="360" w:lineRule="auto"/>
        <w:ind w:firstLine="420" w:firstLineChars="200"/>
      </w:pPr>
      <w:r>
        <w:rPr>
          <w:rFonts w:hint="eastAsia"/>
        </w:rPr>
        <w:t>（3）具有较好的运输条件</w:t>
      </w:r>
    </w:p>
    <w:p>
      <w:pPr>
        <w:autoSpaceDE w:val="0"/>
        <w:autoSpaceDN w:val="0"/>
        <w:adjustRightInd w:val="0"/>
        <w:snapToGrid w:val="0"/>
        <w:spacing w:line="360" w:lineRule="auto"/>
        <w:ind w:firstLine="564" w:firstLineChars="269"/>
      </w:pPr>
      <w:r>
        <w:rPr>
          <w:rFonts w:hint="eastAsia"/>
        </w:rPr>
        <w:t>技改</w:t>
      </w:r>
      <w:r>
        <w:t>项目地点位于重庆市沙坪坝区青木关镇</w:t>
      </w:r>
      <w:r>
        <w:rPr>
          <w:rFonts w:hint="eastAsia"/>
        </w:rPr>
        <w:t>关口村境内</w:t>
      </w:r>
      <w:r>
        <w:t>，地处重庆市的西北郊二环路以外，是沙坪坝区与郊县璧山</w:t>
      </w:r>
      <w:r>
        <w:rPr>
          <w:rFonts w:hint="eastAsia"/>
        </w:rPr>
        <w:t>大路镇</w:t>
      </w:r>
      <w:r>
        <w:t>交界，直径百米即璧山县境</w:t>
      </w:r>
      <w:r>
        <w:rPr>
          <w:rFonts w:hint="eastAsia"/>
        </w:rPr>
        <w:t>地</w:t>
      </w:r>
      <w:r>
        <w:t>，距璧山县城1</w:t>
      </w:r>
      <w:r>
        <w:rPr>
          <w:rFonts w:hint="eastAsia"/>
        </w:rPr>
        <w:t>0</w:t>
      </w:r>
      <w:r>
        <w:t>公里，老成渝公路和遂渝高速公路从矿区穿过，公司驻地与成渝高速公路和襄渝铁路西永火车站有公路相连，距遂渝高速公路璧山站1.5公里，交通非常方便，十分适合发展对运输条件要求高的水泥产品，特别是距离水泥市场容量最大的重庆主城</w:t>
      </w:r>
      <w:r>
        <w:rPr>
          <w:rFonts w:hint="eastAsia"/>
        </w:rPr>
        <w:t>九</w:t>
      </w:r>
      <w:r>
        <w:t>区</w:t>
      </w:r>
      <w:r>
        <w:rPr>
          <w:rFonts w:hint="eastAsia"/>
        </w:rPr>
        <w:t>基本能辐射去</w:t>
      </w:r>
      <w:r>
        <w:t>，产品的销售具有较强的成本竞争优势。</w:t>
      </w:r>
    </w:p>
    <w:p>
      <w:pPr>
        <w:spacing w:line="360" w:lineRule="auto"/>
        <w:outlineLvl w:val="1"/>
        <w:rPr>
          <w:b/>
          <w:szCs w:val="20"/>
        </w:rPr>
      </w:pPr>
      <w:bookmarkStart w:id="508" w:name="_Toc276372285"/>
      <w:r>
        <w:rPr>
          <w:rFonts w:hint="eastAsia"/>
          <w:b/>
          <w:szCs w:val="20"/>
        </w:rPr>
        <w:t>14.3</w:t>
      </w:r>
      <w:r>
        <w:rPr>
          <w:b/>
          <w:szCs w:val="20"/>
        </w:rPr>
        <w:t>环境要素承载力分析</w:t>
      </w:r>
      <w:bookmarkEnd w:id="508"/>
    </w:p>
    <w:p>
      <w:pPr>
        <w:adjustRightInd w:val="0"/>
        <w:snapToGrid w:val="0"/>
        <w:spacing w:line="360" w:lineRule="auto"/>
        <w:ind w:firstLine="420" w:firstLineChars="200"/>
        <w:rPr>
          <w:rFonts w:hAnsi="宋体"/>
        </w:rPr>
      </w:pPr>
      <w:r>
        <w:rPr>
          <w:rFonts w:hAnsi="宋体"/>
        </w:rPr>
        <w:t>环境质量现状监测结果表明，</w:t>
      </w:r>
      <w:r>
        <w:rPr>
          <w:rFonts w:hint="eastAsia" w:hAnsi="宋体"/>
        </w:rPr>
        <w:t>青鹏煤业有限公司</w:t>
      </w:r>
      <w:r>
        <w:rPr>
          <w:rFonts w:hAnsi="宋体"/>
        </w:rPr>
        <w:t>所在区域环境空气中SO</w:t>
      </w:r>
      <w:r>
        <w:rPr>
          <w:rFonts w:hAnsi="宋体"/>
          <w:vertAlign w:val="subscript"/>
        </w:rPr>
        <w:t>2</w:t>
      </w:r>
      <w:r>
        <w:rPr>
          <w:rFonts w:hAnsi="宋体"/>
        </w:rPr>
        <w:t>、NO</w:t>
      </w:r>
      <w:r>
        <w:rPr>
          <w:rFonts w:hAnsi="宋体"/>
          <w:vertAlign w:val="subscript"/>
        </w:rPr>
        <w:t>2</w:t>
      </w:r>
      <w:r>
        <w:rPr>
          <w:rFonts w:hAnsi="宋体"/>
        </w:rPr>
        <w:t>、PM</w:t>
      </w:r>
      <w:r>
        <w:rPr>
          <w:rFonts w:hAnsi="宋体"/>
          <w:vertAlign w:val="subscript"/>
        </w:rPr>
        <w:t>10</w:t>
      </w:r>
      <w:r>
        <w:rPr>
          <w:rFonts w:hAnsi="宋体"/>
        </w:rPr>
        <w:t>均满足环境空气质量二级标准；声环境质量现状监测表明，项目所在区域</w:t>
      </w:r>
      <w:r>
        <w:rPr>
          <w:rFonts w:hint="eastAsia" w:hAnsi="宋体"/>
        </w:rPr>
        <w:t>监测点</w:t>
      </w:r>
      <w:r>
        <w:rPr>
          <w:rFonts w:hAnsi="宋体"/>
        </w:rPr>
        <w:t>昼</w:t>
      </w:r>
      <w:r>
        <w:rPr>
          <w:rFonts w:hint="eastAsia" w:hAnsi="宋体"/>
        </w:rPr>
        <w:t>夜</w:t>
      </w:r>
      <w:r>
        <w:rPr>
          <w:rFonts w:hAnsi="宋体"/>
        </w:rPr>
        <w:t>间噪声均满足标准要求；根据</w:t>
      </w:r>
      <w:r>
        <w:rPr>
          <w:rFonts w:hint="eastAsia" w:hAnsi="宋体"/>
        </w:rPr>
        <w:t>厂区北侧无名溪沟</w:t>
      </w:r>
      <w:r>
        <w:rPr>
          <w:rFonts w:hAnsi="宋体"/>
        </w:rPr>
        <w:t>断面例行监测结果，各项指标均满足</w:t>
      </w:r>
      <w:r>
        <w:rPr>
          <w:rFonts w:hint="eastAsia" w:hAnsi="宋体"/>
        </w:rPr>
        <w:t>Ⅲ</w:t>
      </w:r>
      <w:r>
        <w:rPr>
          <w:rFonts w:hAnsi="宋体"/>
        </w:rPr>
        <w:t>类水域标准。</w:t>
      </w:r>
    </w:p>
    <w:p>
      <w:pPr>
        <w:adjustRightInd w:val="0"/>
        <w:snapToGrid w:val="0"/>
        <w:spacing w:line="360" w:lineRule="auto"/>
        <w:ind w:firstLine="420" w:firstLineChars="200"/>
        <w:rPr>
          <w:rFonts w:hAnsi="宋体"/>
        </w:rPr>
      </w:pPr>
      <w:r>
        <w:rPr>
          <w:rFonts w:hAnsi="宋体"/>
        </w:rPr>
        <w:t>根据环境空气质量影响预测，</w:t>
      </w:r>
      <w:r>
        <w:rPr>
          <w:rFonts w:hint="eastAsia" w:hAnsi="宋体"/>
        </w:rPr>
        <w:t>技改</w:t>
      </w:r>
      <w:r>
        <w:rPr>
          <w:rFonts w:hAnsi="宋体"/>
        </w:rPr>
        <w:t>项目实施后外排的大气污染物对周边大气环境影响较小，各评价点的大气环境质量能满足功能区划要求；</w:t>
      </w:r>
      <w:r>
        <w:rPr>
          <w:rFonts w:hint="eastAsia" w:hAnsi="宋体"/>
        </w:rPr>
        <w:t>技改</w:t>
      </w:r>
      <w:r>
        <w:rPr>
          <w:rFonts w:hAnsi="宋体"/>
        </w:rPr>
        <w:t>项目对主要噪声源均采取有效的控制措施，项目实施后的</w:t>
      </w:r>
      <w:r>
        <w:rPr>
          <w:rFonts w:hint="eastAsia" w:hAnsi="宋体"/>
        </w:rPr>
        <w:t>昼间厂界噪声均能达标；夜间噪声西厂界超标，但由于西厂界外无声环境敏感点，因此不会造成噪声扰民现象的发生</w:t>
      </w:r>
      <w:r>
        <w:rPr>
          <w:rFonts w:hAnsi="宋体"/>
        </w:rPr>
        <w:t>；全厂设置完善的水处理设施，</w:t>
      </w:r>
      <w:r>
        <w:rPr>
          <w:rFonts w:hint="eastAsia" w:hAnsi="宋体"/>
        </w:rPr>
        <w:t>技改</w:t>
      </w:r>
      <w:r>
        <w:rPr>
          <w:rFonts w:hAnsi="宋体"/>
        </w:rPr>
        <w:t>项目实施后全厂</w:t>
      </w:r>
      <w:r>
        <w:rPr>
          <w:rFonts w:hint="eastAsia" w:hAnsi="宋体"/>
        </w:rPr>
        <w:t>生产</w:t>
      </w:r>
      <w:r>
        <w:rPr>
          <w:rFonts w:hAnsi="宋体"/>
        </w:rPr>
        <w:t>废水零排放，</w:t>
      </w:r>
      <w:r>
        <w:rPr>
          <w:rFonts w:hint="eastAsia" w:hAnsi="宋体"/>
        </w:rPr>
        <w:t>生活辅助设施污水经过二级生化处理达标后排入北侧</w:t>
      </w:r>
      <w:r>
        <w:rPr>
          <w:rFonts w:hint="eastAsia" w:ascii="宋体" w:hAnsi="宋体"/>
        </w:rPr>
        <w:t>无名溪沟经玉石桥河最终汇入梁滩河</w:t>
      </w:r>
      <w:r>
        <w:rPr>
          <w:rFonts w:hint="eastAsia" w:hAnsi="宋体"/>
        </w:rPr>
        <w:t>，</w:t>
      </w:r>
      <w:r>
        <w:rPr>
          <w:rFonts w:hAnsi="宋体"/>
        </w:rPr>
        <w:t>不会对地表水环境造成影响；加强固体废物的综合利用，生产过程产生的固体废物均回收利用。由此可见，</w:t>
      </w:r>
      <w:r>
        <w:rPr>
          <w:rFonts w:hint="eastAsia" w:hAnsi="宋体"/>
        </w:rPr>
        <w:t>技改项目</w:t>
      </w:r>
      <w:r>
        <w:rPr>
          <w:rFonts w:hAnsi="宋体"/>
        </w:rPr>
        <w:t>所在地环境质量状况较好，项目实施对周边环境影响较小，有利于</w:t>
      </w:r>
      <w:r>
        <w:rPr>
          <w:rFonts w:hint="eastAsia" w:hAnsi="宋体"/>
        </w:rPr>
        <w:t>技改项目</w:t>
      </w:r>
      <w:r>
        <w:rPr>
          <w:rFonts w:hAnsi="宋体"/>
        </w:rPr>
        <w:t>的建设。</w:t>
      </w:r>
    </w:p>
    <w:p>
      <w:pPr>
        <w:adjustRightInd w:val="0"/>
        <w:snapToGrid w:val="0"/>
        <w:spacing w:line="360" w:lineRule="auto"/>
        <w:ind w:firstLine="420" w:firstLineChars="200"/>
        <w:rPr>
          <w:sz w:val="28"/>
          <w:szCs w:val="28"/>
        </w:rPr>
        <w:sectPr>
          <w:pgSz w:w="11906" w:h="16838"/>
          <w:pgMar w:top="1701" w:right="1418" w:bottom="1418" w:left="1418" w:header="1134" w:footer="1134" w:gutter="0"/>
          <w:paperSrc w:first="20070" w:other="20070"/>
          <w:cols w:space="425" w:num="1"/>
          <w:docGrid w:linePitch="312" w:charSpace="0"/>
        </w:sectPr>
      </w:pPr>
      <w:r>
        <w:rPr>
          <w:rFonts w:hAnsi="宋体"/>
        </w:rPr>
        <w:t>由以上分析可知，</w:t>
      </w:r>
      <w:r>
        <w:rPr>
          <w:rFonts w:hint="eastAsia" w:hAnsi="宋体"/>
        </w:rPr>
        <w:t>技改项目</w:t>
      </w:r>
      <w:r>
        <w:rPr>
          <w:rFonts w:hAnsi="宋体"/>
        </w:rPr>
        <w:t>周边配套建设条件较好，具有较好的环境承载能力，</w:t>
      </w:r>
      <w:r>
        <w:rPr>
          <w:rFonts w:hint="eastAsia" w:hAnsi="宋体"/>
        </w:rPr>
        <w:t>技改项目</w:t>
      </w:r>
      <w:r>
        <w:rPr>
          <w:rFonts w:hAnsi="宋体"/>
        </w:rPr>
        <w:t>选址上总体可行。</w:t>
      </w:r>
    </w:p>
    <w:bookmarkEnd w:id="493"/>
    <w:bookmarkEnd w:id="494"/>
    <w:bookmarkEnd w:id="495"/>
    <w:p>
      <w:pPr>
        <w:spacing w:line="360" w:lineRule="auto"/>
        <w:outlineLvl w:val="0"/>
        <w:rPr>
          <w:b/>
          <w:sz w:val="28"/>
          <w:szCs w:val="28"/>
        </w:rPr>
      </w:pPr>
      <w:bookmarkStart w:id="509" w:name="_Toc276372286"/>
      <w:bookmarkStart w:id="510" w:name="_Toc473281561"/>
      <w:bookmarkStart w:id="511" w:name="_Toc176686218"/>
      <w:bookmarkStart w:id="512" w:name="_Toc176784791"/>
      <w:bookmarkStart w:id="513" w:name="_Toc150759738"/>
      <w:bookmarkStart w:id="514" w:name="_Toc189814205"/>
      <w:bookmarkStart w:id="515" w:name="_Toc155859842"/>
      <w:r>
        <w:rPr>
          <w:rFonts w:hint="eastAsia"/>
          <w:b/>
          <w:sz w:val="28"/>
          <w:szCs w:val="28"/>
        </w:rPr>
        <w:t>15 环境管理与监测计划</w:t>
      </w:r>
      <w:bookmarkEnd w:id="509"/>
      <w:bookmarkEnd w:id="510"/>
      <w:bookmarkEnd w:id="511"/>
      <w:bookmarkEnd w:id="512"/>
      <w:bookmarkEnd w:id="513"/>
      <w:bookmarkEnd w:id="514"/>
      <w:bookmarkEnd w:id="515"/>
    </w:p>
    <w:p>
      <w:pPr>
        <w:spacing w:line="360" w:lineRule="auto"/>
        <w:ind w:firstLine="420"/>
        <w:rPr>
          <w:rFonts w:hint="eastAsia" w:hAnsi="宋体"/>
        </w:rPr>
      </w:pPr>
      <w:r>
        <w:rPr>
          <w:rFonts w:hAnsi="宋体"/>
        </w:rPr>
        <w:t>本评价将按照ISO14000环境管理系列标准的要求，对技改项目的环境管理和监测以及环境管理体系的建立提出建设性的建议。</w:t>
      </w:r>
    </w:p>
    <w:p>
      <w:pPr>
        <w:spacing w:line="360" w:lineRule="auto"/>
        <w:outlineLvl w:val="1"/>
        <w:rPr>
          <w:b/>
          <w:szCs w:val="20"/>
        </w:rPr>
      </w:pPr>
      <w:bookmarkStart w:id="516" w:name="_Toc276372287"/>
      <w:bookmarkStart w:id="517" w:name="_Toc189814206"/>
      <w:bookmarkStart w:id="518" w:name="_Toc473281562"/>
      <w:bookmarkStart w:id="519" w:name="_Toc175479886"/>
      <w:bookmarkStart w:id="520" w:name="_Toc173557773"/>
      <w:bookmarkStart w:id="521" w:name="_Toc173557896"/>
      <w:bookmarkStart w:id="522" w:name="_Toc160867203"/>
      <w:r>
        <w:rPr>
          <w:b/>
          <w:szCs w:val="20"/>
        </w:rPr>
        <w:t>1</w:t>
      </w:r>
      <w:r>
        <w:rPr>
          <w:rFonts w:hint="eastAsia"/>
          <w:b/>
          <w:szCs w:val="20"/>
        </w:rPr>
        <w:t>5</w:t>
      </w:r>
      <w:r>
        <w:rPr>
          <w:b/>
          <w:szCs w:val="20"/>
        </w:rPr>
        <w:t>.</w:t>
      </w:r>
      <w:r>
        <w:rPr>
          <w:rFonts w:hint="eastAsia"/>
          <w:b/>
          <w:szCs w:val="20"/>
        </w:rPr>
        <w:t>1</w:t>
      </w:r>
      <w:r>
        <w:rPr>
          <w:b/>
          <w:szCs w:val="20"/>
        </w:rPr>
        <w:t xml:space="preserve"> ISO14000简介</w:t>
      </w:r>
      <w:bookmarkEnd w:id="516"/>
    </w:p>
    <w:p>
      <w:pPr>
        <w:spacing w:line="360" w:lineRule="auto"/>
        <w:ind w:firstLine="420"/>
        <w:rPr>
          <w:rFonts w:hAnsi="宋体"/>
        </w:rPr>
      </w:pPr>
      <w:bookmarkStart w:id="523" w:name="_Toc37649383"/>
      <w:bookmarkStart w:id="524" w:name="_Toc37649131"/>
      <w:bookmarkStart w:id="525" w:name="_Toc49002322"/>
      <w:bookmarkStart w:id="526" w:name="_Toc49005180"/>
      <w:bookmarkStart w:id="527" w:name="_Toc152222729"/>
      <w:bookmarkStart w:id="528" w:name="_Toc49053731"/>
      <w:bookmarkStart w:id="529" w:name="_Toc232520461"/>
      <w:bookmarkStart w:id="530" w:name="_Toc49053640"/>
      <w:r>
        <w:rPr>
          <w:rFonts w:hAnsi="宋体"/>
        </w:rPr>
        <w:t>ISO14000系列标准是国际标准组织制定的国际通用标准，属于环境管理的范畴，是环境保护领域的最新管理工具和手段，也是可持续发展理论指导思想下的积极成果。该系列主要由5个标准组成，即ISO14001～ISO14005，其中最主要的核心是ISO14001标准，即《环境管理体系——规范与指南》。该标准旨在通过规范的环境管理体系的建立和环境管理工作的开展，达到主动积极地开展环境保护工作。实践表明，我国的许多环境问题主要是由于管理不善造成的，虽然我国一直把强化环境管理作为环境保护工作的一项重要内容，但是在今后相当长的一段时间里，强化环境管理实现政府调控和市场经济相结合的完善管理体系，仍将是我国环境保护政策体系的中心环节。</w:t>
      </w:r>
    </w:p>
    <w:p>
      <w:pPr>
        <w:spacing w:line="360" w:lineRule="auto"/>
        <w:ind w:firstLine="420"/>
        <w:rPr>
          <w:rFonts w:hAnsi="宋体"/>
        </w:rPr>
      </w:pPr>
      <w:r>
        <w:rPr>
          <w:rFonts w:hAnsi="宋体"/>
        </w:rPr>
        <w:t>本</w:t>
      </w:r>
      <w:r>
        <w:rPr>
          <w:rFonts w:hint="eastAsia" w:hAnsi="宋体"/>
        </w:rPr>
        <w:t>技改项目</w:t>
      </w:r>
      <w:r>
        <w:rPr>
          <w:rFonts w:hAnsi="宋体"/>
        </w:rPr>
        <w:t>的建设贯彻执行ISO14000系列标准的要求，建立环境管理体系，开展环境管理工作。</w:t>
      </w:r>
    </w:p>
    <w:bookmarkEnd w:id="523"/>
    <w:bookmarkEnd w:id="524"/>
    <w:bookmarkEnd w:id="525"/>
    <w:bookmarkEnd w:id="526"/>
    <w:bookmarkEnd w:id="527"/>
    <w:bookmarkEnd w:id="528"/>
    <w:bookmarkEnd w:id="529"/>
    <w:bookmarkEnd w:id="530"/>
    <w:p>
      <w:pPr>
        <w:spacing w:line="360" w:lineRule="auto"/>
        <w:outlineLvl w:val="2"/>
        <w:rPr>
          <w:b/>
        </w:rPr>
      </w:pPr>
      <w:r>
        <w:rPr>
          <w:rFonts w:hint="eastAsia"/>
          <w:b/>
        </w:rPr>
        <w:t>15.1.1</w:t>
      </w:r>
      <w:r>
        <w:rPr>
          <w:b/>
        </w:rPr>
        <w:t>环境管理机构及职责</w:t>
      </w:r>
      <w:bookmarkEnd w:id="517"/>
      <w:bookmarkEnd w:id="518"/>
      <w:bookmarkEnd w:id="519"/>
      <w:bookmarkEnd w:id="520"/>
      <w:bookmarkEnd w:id="521"/>
      <w:bookmarkEnd w:id="522"/>
    </w:p>
    <w:p>
      <w:pPr>
        <w:spacing w:line="360" w:lineRule="auto"/>
        <w:ind w:firstLine="420"/>
        <w:rPr>
          <w:rFonts w:hAnsi="宋体"/>
        </w:rPr>
      </w:pPr>
      <w:bookmarkStart w:id="531" w:name="_Toc173557774"/>
      <w:bookmarkStart w:id="532" w:name="_Toc160867204"/>
      <w:bookmarkStart w:id="533" w:name="_Toc173557897"/>
      <w:r>
        <w:rPr>
          <w:rFonts w:hint="eastAsia" w:hAnsi="宋体"/>
        </w:rPr>
        <w:t>青鹏煤业公司目前已</w:t>
      </w:r>
      <w:r>
        <w:rPr>
          <w:rFonts w:hAnsi="宋体"/>
        </w:rPr>
        <w:t>设置</w:t>
      </w:r>
      <w:r>
        <w:rPr>
          <w:rFonts w:hint="eastAsia" w:hAnsi="宋体"/>
        </w:rPr>
        <w:t>了</w:t>
      </w:r>
      <w:r>
        <w:rPr>
          <w:rFonts w:hAnsi="宋体"/>
        </w:rPr>
        <w:t>生产安全环保部门和环境保护管理人员，负责全厂的日常环境保护管理、污染治理设施管理、环境保护宣传、教育及</w:t>
      </w:r>
      <w:r>
        <w:rPr>
          <w:rFonts w:hint="eastAsia" w:hAnsi="宋体"/>
        </w:rPr>
        <w:t>其</w:t>
      </w:r>
      <w:r>
        <w:rPr>
          <w:rFonts w:hAnsi="宋体"/>
        </w:rPr>
        <w:t>有关的环境保护对外协调工作。</w:t>
      </w:r>
    </w:p>
    <w:p>
      <w:pPr>
        <w:spacing w:line="360" w:lineRule="auto"/>
        <w:outlineLvl w:val="2"/>
        <w:rPr>
          <w:b/>
        </w:rPr>
      </w:pPr>
      <w:r>
        <w:rPr>
          <w:b/>
        </w:rPr>
        <w:t>15.1.</w:t>
      </w:r>
      <w:r>
        <w:rPr>
          <w:rFonts w:hint="eastAsia"/>
          <w:b/>
        </w:rPr>
        <w:t>2</w:t>
      </w:r>
      <w:r>
        <w:rPr>
          <w:b/>
        </w:rPr>
        <w:t xml:space="preserve">  施工期环境管理计划</w:t>
      </w:r>
    </w:p>
    <w:p>
      <w:pPr>
        <w:spacing w:line="360" w:lineRule="auto"/>
        <w:ind w:firstLine="420"/>
        <w:rPr>
          <w:rFonts w:hAnsi="宋体"/>
        </w:rPr>
      </w:pPr>
      <w:r>
        <w:rPr>
          <w:rFonts w:hAnsi="宋体"/>
        </w:rPr>
        <w:t>施工期环境管理的中心工作是：在抓好环境保护设施建设的同时，防止和控制施工活动对环境造成污染和破坏，具体内容是：</w:t>
      </w:r>
    </w:p>
    <w:p>
      <w:pPr>
        <w:spacing w:line="360" w:lineRule="auto"/>
        <w:ind w:firstLine="420"/>
        <w:rPr>
          <w:rFonts w:hAnsi="宋体"/>
          <w:spacing w:val="-4"/>
        </w:rPr>
      </w:pPr>
      <w:r>
        <w:rPr>
          <w:rFonts w:hint="eastAsia" w:hAnsi="宋体"/>
          <w:spacing w:val="-4"/>
        </w:rPr>
        <w:t>（1）</w:t>
      </w:r>
      <w:r>
        <w:rPr>
          <w:rFonts w:hAnsi="宋体"/>
          <w:spacing w:val="-4"/>
        </w:rPr>
        <w:t>确定</w:t>
      </w:r>
      <w:r>
        <w:rPr>
          <w:rFonts w:hint="eastAsia" w:hAnsi="宋体"/>
          <w:spacing w:val="-4"/>
        </w:rPr>
        <w:t>技改项目</w:t>
      </w:r>
      <w:r>
        <w:rPr>
          <w:rFonts w:hAnsi="宋体"/>
          <w:spacing w:val="-4"/>
        </w:rPr>
        <w:t>建设环境保护的管理制度和实施办法，指导施工过程的环境保护工作，并在</w:t>
      </w:r>
      <w:r>
        <w:rPr>
          <w:rFonts w:hint="eastAsia" w:hAnsi="宋体"/>
          <w:spacing w:val="-4"/>
        </w:rPr>
        <w:t>项目</w:t>
      </w:r>
      <w:r>
        <w:rPr>
          <w:rFonts w:hAnsi="宋体"/>
          <w:spacing w:val="-4"/>
        </w:rPr>
        <w:t>施工过程中督促执行，检查执行情况，及时发现问题，提出改进措施及建议。</w:t>
      </w:r>
    </w:p>
    <w:p>
      <w:pPr>
        <w:spacing w:line="360" w:lineRule="auto"/>
        <w:ind w:firstLine="420"/>
        <w:rPr>
          <w:rFonts w:hAnsi="宋体"/>
        </w:rPr>
      </w:pPr>
      <w:r>
        <w:rPr>
          <w:rFonts w:hint="eastAsia" w:hAnsi="宋体"/>
        </w:rPr>
        <w:t>（2）</w:t>
      </w:r>
      <w:r>
        <w:rPr>
          <w:rFonts w:hAnsi="宋体"/>
        </w:rPr>
        <w:t>贯彻落实建设项目的</w:t>
      </w:r>
      <w:r>
        <w:rPr>
          <w:rFonts w:hint="eastAsia" w:hAnsi="宋体"/>
        </w:rPr>
        <w:t>“</w:t>
      </w:r>
      <w:r>
        <w:rPr>
          <w:rFonts w:hAnsi="宋体"/>
        </w:rPr>
        <w:t>三同时</w:t>
      </w:r>
      <w:r>
        <w:rPr>
          <w:rFonts w:hint="eastAsia" w:hAnsi="宋体"/>
        </w:rPr>
        <w:t>”</w:t>
      </w:r>
      <w:r>
        <w:rPr>
          <w:rFonts w:hAnsi="宋体"/>
        </w:rPr>
        <w:t>原则，切实按照设计要求予以实施，以确保环保设施的建设，使项目达到预期效果。</w:t>
      </w:r>
    </w:p>
    <w:p>
      <w:pPr>
        <w:spacing w:line="360" w:lineRule="auto"/>
        <w:ind w:firstLine="420"/>
        <w:rPr>
          <w:rFonts w:hAnsi="宋体"/>
        </w:rPr>
      </w:pPr>
      <w:r>
        <w:rPr>
          <w:rFonts w:hint="eastAsia" w:hAnsi="宋体"/>
        </w:rPr>
        <w:t>（3）</w:t>
      </w:r>
      <w:r>
        <w:rPr>
          <w:rFonts w:hAnsi="宋体"/>
        </w:rPr>
        <w:t>负责对施工过程中的污染源管理，搞好施工过程的组织管理，合理安排和组织施工机械的运行及施工作业时间，最大限度地减少工程施工作业产生噪声、振动、扬尘等对环境的不利影响。</w:t>
      </w:r>
    </w:p>
    <w:p>
      <w:pPr>
        <w:spacing w:line="360" w:lineRule="auto"/>
        <w:ind w:firstLine="420"/>
        <w:rPr>
          <w:rFonts w:hAnsi="宋体"/>
        </w:rPr>
      </w:pPr>
      <w:r>
        <w:rPr>
          <w:rFonts w:hint="eastAsia" w:hAnsi="宋体"/>
        </w:rPr>
        <w:t>（4）</w:t>
      </w:r>
      <w:r>
        <w:rPr>
          <w:rFonts w:hAnsi="宋体"/>
        </w:rPr>
        <w:t>对施工过程中产生的废料、垃圾、施工车辆冲洗废水等进行集中统一管理和处置，防止其对环境造成不利影响。</w:t>
      </w:r>
    </w:p>
    <w:p>
      <w:pPr>
        <w:spacing w:line="360" w:lineRule="auto"/>
        <w:ind w:firstLine="420"/>
        <w:rPr>
          <w:rFonts w:hAnsi="宋体"/>
        </w:rPr>
      </w:pPr>
      <w:r>
        <w:rPr>
          <w:rFonts w:hint="eastAsia" w:hAnsi="宋体"/>
        </w:rPr>
        <w:t>（5）</w:t>
      </w:r>
      <w:r>
        <w:rPr>
          <w:rFonts w:hAnsi="宋体"/>
        </w:rPr>
        <w:t>合理组织施工，防止土石方开挖后雨水冲刷造成的水土流失。</w:t>
      </w:r>
    </w:p>
    <w:p>
      <w:pPr>
        <w:spacing w:line="360" w:lineRule="auto"/>
        <w:ind w:firstLine="420"/>
        <w:rPr>
          <w:rFonts w:hAnsi="宋体"/>
        </w:rPr>
      </w:pPr>
      <w:r>
        <w:rPr>
          <w:rFonts w:hint="eastAsia" w:hAnsi="宋体"/>
        </w:rPr>
        <w:t>（6）</w:t>
      </w:r>
      <w:r>
        <w:rPr>
          <w:rFonts w:hAnsi="宋体"/>
        </w:rPr>
        <w:t>参与施工运输作业的管理，防止运输过程中施工废物沿途洒落，影响</w:t>
      </w:r>
      <w:r>
        <w:rPr>
          <w:rFonts w:hint="eastAsia" w:hAnsi="宋体"/>
        </w:rPr>
        <w:t>周边</w:t>
      </w:r>
      <w:r>
        <w:rPr>
          <w:rFonts w:hAnsi="宋体"/>
        </w:rPr>
        <w:t>环境卫生及产生大量的二次扬尘。</w:t>
      </w:r>
    </w:p>
    <w:p>
      <w:pPr>
        <w:spacing w:line="360" w:lineRule="auto"/>
        <w:outlineLvl w:val="2"/>
        <w:rPr>
          <w:b/>
        </w:rPr>
      </w:pPr>
      <w:bookmarkStart w:id="534" w:name="_Toc232520464"/>
      <w:bookmarkStart w:id="535" w:name="_Toc231894576"/>
      <w:r>
        <w:rPr>
          <w:b/>
        </w:rPr>
        <w:t>15.1.</w:t>
      </w:r>
      <w:r>
        <w:rPr>
          <w:rFonts w:hint="eastAsia"/>
          <w:b/>
        </w:rPr>
        <w:t>3</w:t>
      </w:r>
      <w:r>
        <w:rPr>
          <w:b/>
        </w:rPr>
        <w:t xml:space="preserve">  营运期环境管理计划</w:t>
      </w:r>
      <w:bookmarkEnd w:id="534"/>
      <w:bookmarkEnd w:id="535"/>
    </w:p>
    <w:p>
      <w:pPr>
        <w:spacing w:line="360" w:lineRule="auto"/>
        <w:ind w:firstLine="420"/>
        <w:rPr>
          <w:rFonts w:hAnsi="宋体"/>
        </w:rPr>
      </w:pPr>
      <w:r>
        <w:rPr>
          <w:rFonts w:hAnsi="宋体"/>
        </w:rPr>
        <w:t>营运期环境管理的主要任务是：</w:t>
      </w:r>
    </w:p>
    <w:p>
      <w:pPr>
        <w:spacing w:line="360" w:lineRule="auto"/>
        <w:ind w:firstLine="420"/>
        <w:rPr>
          <w:rFonts w:hAnsi="宋体"/>
        </w:rPr>
      </w:pPr>
      <w:r>
        <w:rPr>
          <w:rFonts w:hint="eastAsia" w:hAnsi="宋体"/>
        </w:rPr>
        <w:t>（1）</w:t>
      </w:r>
      <w:r>
        <w:rPr>
          <w:rFonts w:hAnsi="宋体"/>
        </w:rPr>
        <w:t>结合公司的实际，制定明确的、符合自身特点的环境方针，承诺对自身污染的预防，并遵守执行国家、地方的有法律、法规以及其它的有关规定。环境方针</w:t>
      </w:r>
      <w:r>
        <w:rPr>
          <w:rFonts w:hint="eastAsia" w:hAnsi="宋体"/>
        </w:rPr>
        <w:t>尽可能</w:t>
      </w:r>
      <w:r>
        <w:rPr>
          <w:rFonts w:hAnsi="宋体"/>
        </w:rPr>
        <w:t>文件化，便于公众获取。</w:t>
      </w:r>
    </w:p>
    <w:p>
      <w:pPr>
        <w:spacing w:line="360" w:lineRule="auto"/>
        <w:ind w:firstLine="420"/>
        <w:rPr>
          <w:rFonts w:hAnsi="宋体"/>
        </w:rPr>
      </w:pPr>
      <w:r>
        <w:rPr>
          <w:rFonts w:hint="eastAsia" w:hAnsi="宋体"/>
        </w:rPr>
        <w:t>（2）</w:t>
      </w:r>
      <w:r>
        <w:rPr>
          <w:rFonts w:hAnsi="宋体"/>
        </w:rPr>
        <w:t>根据制定的环境方针，制定公司的环境管理规章制度，确定公司各个部门、各岗位的环境保护目标和可量化的指标，使全部员工都参与到环境保护工作之中。</w:t>
      </w:r>
    </w:p>
    <w:p>
      <w:pPr>
        <w:spacing w:line="360" w:lineRule="auto"/>
        <w:ind w:firstLine="420"/>
        <w:rPr>
          <w:rFonts w:hAnsi="宋体"/>
        </w:rPr>
      </w:pPr>
      <w:r>
        <w:rPr>
          <w:rFonts w:hint="eastAsia" w:hAnsi="宋体"/>
        </w:rPr>
        <w:t>（3）</w:t>
      </w:r>
      <w:r>
        <w:rPr>
          <w:rFonts w:hAnsi="宋体"/>
        </w:rPr>
        <w:t>建立健全</w:t>
      </w:r>
      <w:r>
        <w:rPr>
          <w:rFonts w:hint="eastAsia" w:hAnsi="宋体"/>
        </w:rPr>
        <w:t>技改项目</w:t>
      </w:r>
      <w:r>
        <w:rPr>
          <w:rFonts w:hAnsi="宋体"/>
        </w:rPr>
        <w:t>运行过程中的污染源档案、环境保护设施的处理工艺流程和设备档案，切实掌握环保设施的运行情况，保证其安全正常运行；掌握其运行过程中存在的潜在不利因素，及时提出改进措施及建议。</w:t>
      </w:r>
    </w:p>
    <w:p>
      <w:pPr>
        <w:spacing w:line="360" w:lineRule="auto"/>
        <w:ind w:firstLine="420"/>
        <w:rPr>
          <w:rFonts w:hAnsi="宋体"/>
        </w:rPr>
      </w:pPr>
      <w:r>
        <w:rPr>
          <w:rFonts w:hint="eastAsia" w:hAnsi="宋体"/>
        </w:rPr>
        <w:t>（4）</w:t>
      </w:r>
      <w:r>
        <w:rPr>
          <w:rFonts w:hAnsi="宋体"/>
        </w:rPr>
        <w:t>做好环境保护宣传教育和技术培训等工作，增强职工的环境保护意识。</w:t>
      </w:r>
    </w:p>
    <w:p>
      <w:pPr>
        <w:spacing w:line="360" w:lineRule="auto"/>
        <w:ind w:firstLine="420"/>
        <w:rPr>
          <w:rFonts w:hAnsi="宋体"/>
        </w:rPr>
      </w:pPr>
      <w:r>
        <w:rPr>
          <w:rFonts w:hint="eastAsia" w:hAnsi="宋体"/>
        </w:rPr>
        <w:t>（5）</w:t>
      </w:r>
      <w:r>
        <w:rPr>
          <w:rFonts w:hAnsi="宋体"/>
        </w:rPr>
        <w:t>为了掌握全厂环保工作情况，了解管理体系中可能存在的问题，工厂</w:t>
      </w:r>
      <w:r>
        <w:rPr>
          <w:rFonts w:hint="eastAsia" w:hAnsi="宋体"/>
        </w:rPr>
        <w:t>拟</w:t>
      </w:r>
      <w:r>
        <w:rPr>
          <w:rFonts w:hAnsi="宋体"/>
        </w:rPr>
        <w:t>每年进行一次内部评审，检查环境管理工作的问题和不足，及时提出改进意见。内部评审工作自</w:t>
      </w:r>
      <w:r>
        <w:rPr>
          <w:rFonts w:hint="eastAsia" w:hAnsi="宋体"/>
        </w:rPr>
        <w:t>行</w:t>
      </w:r>
      <w:r>
        <w:rPr>
          <w:rFonts w:hAnsi="宋体"/>
        </w:rPr>
        <w:t>进行</w:t>
      </w:r>
      <w:r>
        <w:rPr>
          <w:rFonts w:hint="eastAsia" w:hAnsi="宋体"/>
        </w:rPr>
        <w:t>或</w:t>
      </w:r>
      <w:r>
        <w:rPr>
          <w:rFonts w:hAnsi="宋体"/>
        </w:rPr>
        <w:t>请有关咨询机构帮助进行。时机和条件具备时，</w:t>
      </w:r>
      <w:r>
        <w:rPr>
          <w:rFonts w:hint="eastAsia" w:hAnsi="宋体"/>
        </w:rPr>
        <w:t>将</w:t>
      </w:r>
      <w:r>
        <w:rPr>
          <w:rFonts w:hAnsi="宋体"/>
        </w:rPr>
        <w:t>进行ISO14000的认证，使自己的环境管理工作得到公认。</w:t>
      </w:r>
    </w:p>
    <w:p>
      <w:pPr>
        <w:spacing w:line="360" w:lineRule="auto"/>
        <w:outlineLvl w:val="1"/>
        <w:rPr>
          <w:b/>
        </w:rPr>
      </w:pPr>
      <w:bookmarkStart w:id="536" w:name="_Toc276372288"/>
      <w:bookmarkStart w:id="537" w:name="_Toc238263275"/>
      <w:r>
        <w:rPr>
          <w:b/>
        </w:rPr>
        <w:t>15.2  环境监测</w:t>
      </w:r>
      <w:bookmarkEnd w:id="536"/>
      <w:bookmarkEnd w:id="537"/>
    </w:p>
    <w:p>
      <w:pPr>
        <w:spacing w:line="360" w:lineRule="auto"/>
        <w:outlineLvl w:val="2"/>
        <w:rPr>
          <w:b/>
        </w:rPr>
      </w:pPr>
      <w:r>
        <w:rPr>
          <w:b/>
        </w:rPr>
        <w:t>15.2.1  环境监测机构</w:t>
      </w:r>
    </w:p>
    <w:p>
      <w:pPr>
        <w:spacing w:line="360" w:lineRule="auto"/>
        <w:ind w:firstLine="420"/>
        <w:rPr>
          <w:rFonts w:hAnsi="宋体"/>
        </w:rPr>
      </w:pPr>
      <w:bookmarkStart w:id="538" w:name="_Toc158348244"/>
      <w:r>
        <w:rPr>
          <w:rFonts w:hAnsi="宋体"/>
        </w:rPr>
        <w:t>本</w:t>
      </w:r>
      <w:r>
        <w:rPr>
          <w:rFonts w:hint="eastAsia" w:hAnsi="宋体"/>
        </w:rPr>
        <w:t>技改项目</w:t>
      </w:r>
      <w:r>
        <w:rPr>
          <w:rFonts w:hAnsi="宋体"/>
        </w:rPr>
        <w:t>的环境监测工作</w:t>
      </w:r>
      <w:r>
        <w:rPr>
          <w:rFonts w:hint="eastAsia" w:hAnsi="宋体"/>
        </w:rPr>
        <w:t>将</w:t>
      </w:r>
      <w:r>
        <w:rPr>
          <w:rFonts w:hAnsi="宋体"/>
        </w:rPr>
        <w:t>委托当地有资质的环境监测单位承担。</w:t>
      </w:r>
    </w:p>
    <w:p>
      <w:pPr>
        <w:spacing w:line="360" w:lineRule="auto"/>
        <w:outlineLvl w:val="2"/>
        <w:rPr>
          <w:rFonts w:hint="eastAsia"/>
          <w:b/>
        </w:rPr>
      </w:pPr>
      <w:r>
        <w:rPr>
          <w:b/>
        </w:rPr>
        <w:t>15.2.2  环境监测计划</w:t>
      </w:r>
    </w:p>
    <w:p>
      <w:pPr>
        <w:spacing w:line="360" w:lineRule="auto"/>
        <w:ind w:firstLine="315" w:firstLineChars="150"/>
        <w:rPr>
          <w:rFonts w:hAnsi="宋体"/>
        </w:rPr>
      </w:pPr>
      <w:r>
        <w:rPr>
          <w:rFonts w:hint="eastAsia" w:hAnsi="宋体"/>
        </w:rPr>
        <w:t>（1）</w:t>
      </w:r>
      <w:r>
        <w:rPr>
          <w:rFonts w:hAnsi="宋体"/>
        </w:rPr>
        <w:t>施工期环境</w:t>
      </w:r>
      <w:bookmarkEnd w:id="538"/>
      <w:r>
        <w:rPr>
          <w:rFonts w:hAnsi="宋体"/>
        </w:rPr>
        <w:t>监测</w:t>
      </w:r>
    </w:p>
    <w:p>
      <w:pPr>
        <w:adjustRightInd w:val="0"/>
        <w:snapToGrid w:val="0"/>
        <w:spacing w:line="360" w:lineRule="auto"/>
        <w:ind w:firstLine="420" w:firstLineChars="200"/>
        <w:rPr>
          <w:rFonts w:hAnsi="宋体"/>
        </w:rPr>
      </w:pPr>
      <w:r>
        <w:rPr>
          <w:rFonts w:hint="eastAsia" w:hAnsi="宋体"/>
        </w:rPr>
        <w:t>①</w:t>
      </w:r>
      <w:r>
        <w:rPr>
          <w:rFonts w:hAnsi="宋体"/>
        </w:rPr>
        <w:t>环境空气质量监测：了解施工活动对空气环境质量的影响，作为本工程投入运行之前空气质量的环境背景资料。监测项目主要有：TSP、NO2、SO2、PM10。</w:t>
      </w:r>
    </w:p>
    <w:p>
      <w:pPr>
        <w:adjustRightInd w:val="0"/>
        <w:snapToGrid w:val="0"/>
        <w:spacing w:line="360" w:lineRule="auto"/>
        <w:ind w:firstLine="420" w:firstLineChars="200"/>
        <w:rPr>
          <w:rFonts w:hint="eastAsia" w:hAnsi="宋体"/>
        </w:rPr>
      </w:pPr>
      <w:r>
        <w:rPr>
          <w:rFonts w:hint="eastAsia" w:hAnsi="宋体"/>
        </w:rPr>
        <w:t>②</w:t>
      </w:r>
      <w:r>
        <w:rPr>
          <w:rFonts w:hAnsi="宋体"/>
        </w:rPr>
        <w:t>施工期噪声监测：了解施工机械设备噪声及其对周围环境的影响，制定切实可行的噪声控制措施。监测项目主要是施工场界噪声。噪声监测点设置根据施工区范围和周围环境特征确定。</w:t>
      </w:r>
      <w:bookmarkStart w:id="539" w:name="_Toc158348245"/>
    </w:p>
    <w:p>
      <w:pPr>
        <w:adjustRightInd w:val="0"/>
        <w:snapToGrid w:val="0"/>
        <w:spacing w:line="360" w:lineRule="auto"/>
        <w:ind w:firstLine="420" w:firstLineChars="200"/>
        <w:rPr>
          <w:rFonts w:hAnsi="宋体"/>
        </w:rPr>
      </w:pPr>
      <w:r>
        <w:rPr>
          <w:rFonts w:hint="eastAsia" w:hAnsi="宋体"/>
        </w:rPr>
        <w:t>（2）</w:t>
      </w:r>
      <w:r>
        <w:rPr>
          <w:rFonts w:hAnsi="宋体"/>
        </w:rPr>
        <w:t>营运期环境</w:t>
      </w:r>
      <w:bookmarkEnd w:id="539"/>
      <w:r>
        <w:rPr>
          <w:rFonts w:hAnsi="宋体"/>
        </w:rPr>
        <w:t>监测</w:t>
      </w:r>
    </w:p>
    <w:p>
      <w:pPr>
        <w:adjustRightInd w:val="0"/>
        <w:snapToGrid w:val="0"/>
        <w:spacing w:line="360" w:lineRule="auto"/>
        <w:ind w:firstLine="420" w:firstLineChars="200"/>
        <w:rPr>
          <w:rFonts w:hAnsi="宋体"/>
        </w:rPr>
      </w:pPr>
      <w:r>
        <w:rPr>
          <w:rFonts w:hAnsi="宋体"/>
        </w:rPr>
        <w:t>本</w:t>
      </w:r>
      <w:r>
        <w:rPr>
          <w:rFonts w:hint="eastAsia" w:hAnsi="宋体"/>
        </w:rPr>
        <w:t>技改项目</w:t>
      </w:r>
      <w:r>
        <w:rPr>
          <w:rFonts w:hAnsi="宋体"/>
        </w:rPr>
        <w:t>营运期环境监测的任务主要是厂区污染源监测和厂址所在区域环境质量监测。污染源监测包括废气、废水和噪声的污染源监测，以及环保设施的运行情况监测，了解环保设施的运行状况，发现超标等问题及时采取措施解决。区域环境质量监测主要是对厂址所在范围内的环境空气质量进行监测。根据监测结果，进行统计分析，建立污染源及治理设施档案，为环境保护管理提供科学依据。</w:t>
      </w:r>
    </w:p>
    <w:p>
      <w:pPr>
        <w:adjustRightInd w:val="0"/>
        <w:snapToGrid w:val="0"/>
        <w:spacing w:line="360" w:lineRule="auto"/>
        <w:ind w:firstLine="420" w:firstLineChars="200"/>
        <w:rPr>
          <w:rFonts w:hAnsi="宋体"/>
        </w:rPr>
      </w:pPr>
      <w:r>
        <w:rPr>
          <w:rFonts w:hAnsi="宋体"/>
        </w:rPr>
        <w:t>监测项目及制度如下：</w:t>
      </w:r>
    </w:p>
    <w:p>
      <w:pPr>
        <w:adjustRightInd w:val="0"/>
        <w:snapToGrid w:val="0"/>
        <w:spacing w:line="360" w:lineRule="auto"/>
        <w:ind w:firstLine="420" w:firstLineChars="200"/>
        <w:rPr>
          <w:rFonts w:hAnsi="宋体"/>
        </w:rPr>
      </w:pPr>
      <w:r>
        <w:rPr>
          <w:rFonts w:hint="eastAsia" w:hAnsi="宋体"/>
        </w:rPr>
        <w:t>①</w:t>
      </w:r>
      <w:r>
        <w:rPr>
          <w:rFonts w:hAnsi="宋体"/>
        </w:rPr>
        <w:t>废气</w:t>
      </w:r>
    </w:p>
    <w:p>
      <w:pPr>
        <w:adjustRightInd w:val="0"/>
        <w:snapToGrid w:val="0"/>
        <w:spacing w:line="360" w:lineRule="auto"/>
        <w:ind w:firstLine="420" w:firstLineChars="200"/>
        <w:rPr>
          <w:rFonts w:hAnsi="宋体"/>
        </w:rPr>
      </w:pPr>
      <w:r>
        <w:rPr>
          <w:rFonts w:hAnsi="宋体"/>
        </w:rPr>
        <w:t>监测项目：</w:t>
      </w:r>
    </w:p>
    <w:p>
      <w:pPr>
        <w:adjustRightInd w:val="0"/>
        <w:snapToGrid w:val="0"/>
        <w:spacing w:line="360" w:lineRule="auto"/>
        <w:ind w:firstLine="420" w:firstLineChars="200"/>
        <w:rPr>
          <w:rFonts w:hAnsi="宋体"/>
        </w:rPr>
      </w:pPr>
      <w:r>
        <w:rPr>
          <w:rFonts w:hAnsi="宋体"/>
        </w:rPr>
        <w:t>窑</w:t>
      </w:r>
      <w:r>
        <w:rPr>
          <w:rFonts w:hint="eastAsia" w:hAnsi="宋体"/>
        </w:rPr>
        <w:t>头、窑尾</w:t>
      </w:r>
      <w:r>
        <w:rPr>
          <w:rFonts w:hAnsi="宋体"/>
        </w:rPr>
        <w:t>废气处理系统的烟气量、烟气温度、颗粒物、SO</w:t>
      </w:r>
      <w:r>
        <w:rPr>
          <w:rFonts w:hAnsi="宋体"/>
          <w:vertAlign w:val="subscript"/>
        </w:rPr>
        <w:t>2</w:t>
      </w:r>
      <w:r>
        <w:rPr>
          <w:rFonts w:hAnsi="宋体"/>
        </w:rPr>
        <w:t>、NO</w:t>
      </w:r>
      <w:r>
        <w:rPr>
          <w:rFonts w:hAnsi="宋体"/>
          <w:vertAlign w:val="subscript"/>
        </w:rPr>
        <w:t>X</w:t>
      </w:r>
      <w:r>
        <w:rPr>
          <w:rFonts w:hAnsi="宋体"/>
        </w:rPr>
        <w:t>浓度以及除尘系统的除尘效率等，设置自动监测系统，对烟气中的烟尘、SO</w:t>
      </w:r>
      <w:r>
        <w:rPr>
          <w:rFonts w:hAnsi="宋体"/>
          <w:vertAlign w:val="subscript"/>
        </w:rPr>
        <w:t>2</w:t>
      </w:r>
      <w:r>
        <w:rPr>
          <w:rFonts w:hAnsi="宋体"/>
        </w:rPr>
        <w:t>、NO</w:t>
      </w:r>
      <w:r>
        <w:rPr>
          <w:rFonts w:hAnsi="宋体"/>
          <w:vertAlign w:val="subscript"/>
        </w:rPr>
        <w:t>X</w:t>
      </w:r>
      <w:r>
        <w:rPr>
          <w:rFonts w:hAnsi="宋体"/>
        </w:rPr>
        <w:t>排放浓度进行连续监测。</w:t>
      </w:r>
      <w:r>
        <w:rPr>
          <w:rFonts w:hint="eastAsia" w:hAnsi="宋体"/>
        </w:rPr>
        <w:t>技改项目</w:t>
      </w:r>
      <w:r>
        <w:rPr>
          <w:rFonts w:hAnsi="宋体"/>
        </w:rPr>
        <w:t>所有粉尘净化系统的废气量、排气温度、粉尘浓度及除尘系统的除尘效率等。</w:t>
      </w:r>
    </w:p>
    <w:p>
      <w:pPr>
        <w:adjustRightInd w:val="0"/>
        <w:snapToGrid w:val="0"/>
        <w:spacing w:line="360" w:lineRule="auto"/>
        <w:ind w:firstLine="420" w:firstLineChars="200"/>
        <w:rPr>
          <w:rFonts w:hAnsi="宋体"/>
        </w:rPr>
      </w:pPr>
      <w:r>
        <w:rPr>
          <w:rFonts w:hAnsi="宋体"/>
        </w:rPr>
        <w:t>监测点：在</w:t>
      </w:r>
      <w:r>
        <w:rPr>
          <w:rFonts w:hint="eastAsia" w:hAnsi="宋体"/>
        </w:rPr>
        <w:t>技改项目</w:t>
      </w:r>
      <w:r>
        <w:rPr>
          <w:rFonts w:hAnsi="宋体"/>
        </w:rPr>
        <w:t>设置的</w:t>
      </w:r>
      <w:r>
        <w:rPr>
          <w:rFonts w:hint="eastAsia" w:hAnsi="宋体"/>
        </w:rPr>
        <w:t>58座</w:t>
      </w:r>
      <w:r>
        <w:rPr>
          <w:rFonts w:hAnsi="宋体"/>
        </w:rPr>
        <w:t>排气筒上设置采样孔和采样监测平台，采样孔位置的设置按GB/T16157－1996执行。</w:t>
      </w:r>
    </w:p>
    <w:p>
      <w:pPr>
        <w:adjustRightInd w:val="0"/>
        <w:snapToGrid w:val="0"/>
        <w:spacing w:line="360" w:lineRule="auto"/>
        <w:ind w:firstLine="420" w:firstLineChars="200"/>
        <w:rPr>
          <w:rFonts w:hAnsi="宋体"/>
        </w:rPr>
      </w:pPr>
      <w:r>
        <w:rPr>
          <w:rFonts w:hAnsi="宋体"/>
        </w:rPr>
        <w:t>在厂界外当地主导风上、下风向20m处各设一个厂外环境空气质量（无组织面源）监测点。</w:t>
      </w:r>
    </w:p>
    <w:p>
      <w:pPr>
        <w:adjustRightInd w:val="0"/>
        <w:snapToGrid w:val="0"/>
        <w:spacing w:line="360" w:lineRule="auto"/>
        <w:ind w:firstLine="420" w:firstLineChars="200"/>
        <w:rPr>
          <w:rFonts w:hAnsi="宋体"/>
        </w:rPr>
      </w:pPr>
      <w:r>
        <w:rPr>
          <w:rFonts w:hAnsi="宋体"/>
        </w:rPr>
        <w:t>监测频率：项目调试阶段应加强各监测点的监测；正常生产时期每</w:t>
      </w:r>
      <w:r>
        <w:rPr>
          <w:rFonts w:hint="eastAsia" w:hAnsi="宋体"/>
        </w:rPr>
        <w:t>半年</w:t>
      </w:r>
      <w:r>
        <w:rPr>
          <w:rFonts w:hAnsi="宋体"/>
        </w:rPr>
        <w:t>监测</w:t>
      </w:r>
      <w:r>
        <w:rPr>
          <w:rFonts w:hint="eastAsia" w:hAnsi="宋体"/>
        </w:rPr>
        <w:t>1</w:t>
      </w:r>
      <w:r>
        <w:rPr>
          <w:rFonts w:hAnsi="宋体"/>
        </w:rPr>
        <w:t>次。</w:t>
      </w:r>
    </w:p>
    <w:p>
      <w:pPr>
        <w:snapToGrid w:val="0"/>
        <w:spacing w:line="360" w:lineRule="auto"/>
        <w:ind w:firstLine="420" w:firstLineChars="200"/>
        <w:rPr>
          <w:rFonts w:hAnsi="宋体"/>
        </w:rPr>
      </w:pPr>
      <w:r>
        <w:rPr>
          <w:rFonts w:hint="eastAsia" w:hAnsi="宋体"/>
        </w:rPr>
        <w:t>②</w:t>
      </w:r>
      <w:r>
        <w:rPr>
          <w:rFonts w:hAnsi="宋体"/>
        </w:rPr>
        <w:t>废水</w:t>
      </w:r>
    </w:p>
    <w:p>
      <w:pPr>
        <w:snapToGrid w:val="0"/>
        <w:spacing w:line="360" w:lineRule="auto"/>
        <w:ind w:firstLine="564"/>
        <w:rPr>
          <w:rFonts w:hAnsi="宋体"/>
        </w:rPr>
      </w:pPr>
      <w:r>
        <w:rPr>
          <w:rFonts w:hAnsi="宋体"/>
        </w:rPr>
        <w:t>监测项目：SS、COD、</w:t>
      </w:r>
      <w:r>
        <w:rPr>
          <w:rFonts w:hint="eastAsia" w:hAnsi="宋体"/>
        </w:rPr>
        <w:t>氨氮</w:t>
      </w:r>
      <w:r>
        <w:rPr>
          <w:rFonts w:hAnsi="宋体"/>
        </w:rPr>
        <w:t>、废水量。</w:t>
      </w:r>
    </w:p>
    <w:p>
      <w:pPr>
        <w:snapToGrid w:val="0"/>
        <w:spacing w:line="360" w:lineRule="auto"/>
        <w:ind w:firstLine="564"/>
        <w:rPr>
          <w:rFonts w:hAnsi="宋体"/>
        </w:rPr>
      </w:pPr>
      <w:r>
        <w:rPr>
          <w:rFonts w:hAnsi="宋体"/>
        </w:rPr>
        <w:t>采样位置：生活污水生化处理装置进口和出口。</w:t>
      </w:r>
    </w:p>
    <w:p>
      <w:pPr>
        <w:snapToGrid w:val="0"/>
        <w:spacing w:line="360" w:lineRule="auto"/>
        <w:ind w:firstLine="564"/>
        <w:rPr>
          <w:rFonts w:hAnsi="宋体"/>
        </w:rPr>
      </w:pPr>
      <w:r>
        <w:rPr>
          <w:rFonts w:hAnsi="宋体"/>
        </w:rPr>
        <w:t>监测频率：每年监测1次。</w:t>
      </w:r>
    </w:p>
    <w:p>
      <w:pPr>
        <w:adjustRightInd w:val="0"/>
        <w:snapToGrid w:val="0"/>
        <w:spacing w:line="360" w:lineRule="auto"/>
        <w:ind w:firstLine="420" w:firstLineChars="200"/>
        <w:rPr>
          <w:rFonts w:hAnsi="宋体"/>
        </w:rPr>
      </w:pPr>
      <w:r>
        <w:rPr>
          <w:rFonts w:hint="eastAsia" w:hAnsi="宋体"/>
        </w:rPr>
        <w:t>③</w:t>
      </w:r>
      <w:r>
        <w:rPr>
          <w:rFonts w:hAnsi="宋体"/>
        </w:rPr>
        <w:t>噪声</w:t>
      </w:r>
    </w:p>
    <w:p>
      <w:pPr>
        <w:adjustRightInd w:val="0"/>
        <w:snapToGrid w:val="0"/>
        <w:spacing w:line="360" w:lineRule="auto"/>
        <w:ind w:firstLine="420" w:firstLineChars="200"/>
        <w:rPr>
          <w:rFonts w:hAnsi="宋体"/>
        </w:rPr>
      </w:pPr>
      <w:r>
        <w:rPr>
          <w:rFonts w:hAnsi="宋体"/>
        </w:rPr>
        <w:t>监测项目：厂界噪声。</w:t>
      </w:r>
    </w:p>
    <w:p>
      <w:pPr>
        <w:adjustRightInd w:val="0"/>
        <w:snapToGrid w:val="0"/>
        <w:spacing w:line="360" w:lineRule="auto"/>
        <w:ind w:firstLine="420" w:firstLineChars="200"/>
        <w:rPr>
          <w:rFonts w:hAnsi="宋体"/>
        </w:rPr>
      </w:pPr>
      <w:r>
        <w:rPr>
          <w:rFonts w:hAnsi="宋体"/>
        </w:rPr>
        <w:t>监测点：厂界噪声测点。</w:t>
      </w:r>
    </w:p>
    <w:p>
      <w:pPr>
        <w:adjustRightInd w:val="0"/>
        <w:snapToGrid w:val="0"/>
        <w:spacing w:line="360" w:lineRule="auto"/>
        <w:ind w:firstLine="420" w:firstLineChars="200"/>
        <w:rPr>
          <w:rFonts w:hAnsi="宋体"/>
        </w:rPr>
      </w:pPr>
      <w:r>
        <w:rPr>
          <w:rFonts w:hAnsi="宋体"/>
        </w:rPr>
        <w:t>监测频率：</w:t>
      </w:r>
      <w:r>
        <w:rPr>
          <w:rFonts w:hint="eastAsia" w:hAnsi="宋体"/>
        </w:rPr>
        <w:t>项目</w:t>
      </w:r>
      <w:r>
        <w:rPr>
          <w:rFonts w:hAnsi="宋体"/>
        </w:rPr>
        <w:t>正常运行期厂界噪声每</w:t>
      </w:r>
      <w:r>
        <w:rPr>
          <w:rFonts w:hint="eastAsia" w:hAnsi="宋体"/>
        </w:rPr>
        <w:t>半年</w:t>
      </w:r>
      <w:r>
        <w:rPr>
          <w:rFonts w:hAnsi="宋体"/>
        </w:rPr>
        <w:t>监测</w:t>
      </w:r>
      <w:r>
        <w:rPr>
          <w:rFonts w:hint="eastAsia" w:hAnsi="宋体"/>
        </w:rPr>
        <w:t>1</w:t>
      </w:r>
      <w:r>
        <w:rPr>
          <w:rFonts w:hAnsi="宋体"/>
        </w:rPr>
        <w:t>次。</w:t>
      </w:r>
    </w:p>
    <w:p>
      <w:pPr>
        <w:spacing w:line="360" w:lineRule="auto"/>
        <w:outlineLvl w:val="1"/>
        <w:rPr>
          <w:b/>
        </w:rPr>
      </w:pPr>
      <w:bookmarkStart w:id="540" w:name="_Toc238263276"/>
      <w:bookmarkStart w:id="541" w:name="_Toc276372289"/>
      <w:r>
        <w:rPr>
          <w:b/>
        </w:rPr>
        <w:t>15.3  环保管理、监测人员的培训计划</w:t>
      </w:r>
      <w:bookmarkEnd w:id="540"/>
      <w:bookmarkEnd w:id="541"/>
    </w:p>
    <w:p>
      <w:pPr>
        <w:adjustRightInd w:val="0"/>
        <w:snapToGrid w:val="0"/>
        <w:spacing w:line="360" w:lineRule="auto"/>
        <w:ind w:firstLine="420" w:firstLineChars="200"/>
        <w:rPr>
          <w:rFonts w:hAnsi="宋体"/>
        </w:rPr>
      </w:pPr>
      <w:r>
        <w:rPr>
          <w:rFonts w:hint="eastAsia" w:hAnsi="宋体"/>
        </w:rPr>
        <w:t>青鹏公司</w:t>
      </w:r>
      <w:r>
        <w:rPr>
          <w:rFonts w:hAnsi="宋体"/>
        </w:rPr>
        <w:t>从事环保工作的专职人员</w:t>
      </w:r>
      <w:r>
        <w:rPr>
          <w:rFonts w:hint="eastAsia" w:hAnsi="宋体"/>
        </w:rPr>
        <w:t>应加强</w:t>
      </w:r>
      <w:r>
        <w:rPr>
          <w:rFonts w:hAnsi="宋体"/>
        </w:rPr>
        <w:t>专业培训，</w:t>
      </w:r>
      <w:r>
        <w:rPr>
          <w:rFonts w:hint="eastAsia" w:hAnsi="宋体"/>
        </w:rPr>
        <w:t>具备</w:t>
      </w:r>
      <w:r>
        <w:rPr>
          <w:rFonts w:hAnsi="宋体"/>
        </w:rPr>
        <w:t>一定的环境保护专业知识，了解公司的主要生产工艺和产生的废水、废气、噪声等污染的治理技术，确保废水、废气、噪声等污染物的达标排放和处理设备的正常运转。同时加强从事环保工作的专职人员的环境保护法律、法规教育，提高工作责任感，杜绝人为因素造成的环保事故发生。</w:t>
      </w:r>
    </w:p>
    <w:p>
      <w:pPr>
        <w:spacing w:line="360" w:lineRule="auto"/>
        <w:outlineLvl w:val="1"/>
        <w:rPr>
          <w:b/>
        </w:rPr>
      </w:pPr>
      <w:bookmarkStart w:id="542" w:name="_Toc238263277"/>
      <w:bookmarkStart w:id="543" w:name="_Toc276372290"/>
      <w:r>
        <w:rPr>
          <w:b/>
        </w:rPr>
        <w:t>15.4  环境保护竣工验收</w:t>
      </w:r>
      <w:bookmarkEnd w:id="542"/>
      <w:bookmarkEnd w:id="543"/>
    </w:p>
    <w:bookmarkEnd w:id="531"/>
    <w:bookmarkEnd w:id="532"/>
    <w:bookmarkEnd w:id="533"/>
    <w:p>
      <w:pPr>
        <w:spacing w:line="360" w:lineRule="auto"/>
        <w:rPr>
          <w:b/>
        </w:rPr>
      </w:pPr>
      <w:r>
        <w:rPr>
          <w:rFonts w:hint="eastAsia"/>
          <w:b/>
        </w:rPr>
        <w:t>15.4.1</w:t>
      </w:r>
      <w:r>
        <w:rPr>
          <w:b/>
        </w:rPr>
        <w:t>环保竣工验收要求</w:t>
      </w:r>
    </w:p>
    <w:p>
      <w:pPr>
        <w:spacing w:line="360" w:lineRule="auto"/>
        <w:ind w:firstLine="420" w:firstLineChars="200"/>
        <w:rPr>
          <w:rFonts w:ascii="宋体" w:hAnsi="宋体"/>
        </w:rPr>
      </w:pPr>
      <w:r>
        <w:rPr>
          <w:rFonts w:ascii="宋体" w:hAnsi="宋体"/>
        </w:rPr>
        <w:t>技改项目完工后，企业应向当地环保部门提出试生产申请，试生产申请经环境保护行政主管部门同意后，建设单位方可进行试生产。当自试生产之日起3个月内，向有审批权的环境保护行政主管部门申请该建设项目竣工环境保护验收，同时提交环境保护验收监测报告。项目竣工环境保护验收通过后，建设单位方可正式投产运行。</w:t>
      </w:r>
    </w:p>
    <w:p>
      <w:pPr>
        <w:spacing w:line="360" w:lineRule="auto"/>
        <w:ind w:firstLine="420" w:firstLineChars="200"/>
        <w:rPr>
          <w:rFonts w:hint="eastAsia" w:ascii="宋体" w:hAnsi="宋体"/>
          <w:b/>
        </w:rPr>
      </w:pPr>
      <w:r>
        <w:rPr>
          <w:rFonts w:ascii="宋体" w:hAnsi="宋体"/>
        </w:rPr>
        <w:t>技改项目环保设施验收内容及要求见表1</w:t>
      </w:r>
      <w:r>
        <w:rPr>
          <w:rFonts w:hint="eastAsia" w:ascii="宋体" w:hAnsi="宋体"/>
        </w:rPr>
        <w:t>5</w:t>
      </w:r>
      <w:r>
        <w:rPr>
          <w:rFonts w:ascii="宋体" w:hAnsi="宋体"/>
        </w:rPr>
        <w:t>-</w:t>
      </w:r>
      <w:r>
        <w:rPr>
          <w:rFonts w:hint="eastAsia" w:ascii="宋体" w:hAnsi="宋体"/>
        </w:rPr>
        <w:t>1</w:t>
      </w:r>
      <w:r>
        <w:rPr>
          <w:rFonts w:ascii="宋体" w:hAnsi="宋体"/>
        </w:rPr>
        <w:t>。</w:t>
      </w:r>
    </w:p>
    <w:p>
      <w:pPr>
        <w:spacing w:line="480" w:lineRule="exact"/>
        <w:jc w:val="center"/>
        <w:rPr>
          <w:rFonts w:ascii="宋体" w:hAnsi="宋体"/>
          <w:b/>
        </w:rPr>
      </w:pPr>
      <w:r>
        <w:rPr>
          <w:rFonts w:hint="eastAsia" w:ascii="宋体" w:hAnsi="宋体"/>
          <w:b/>
        </w:rPr>
        <w:t>表15</w:t>
      </w:r>
      <w:r>
        <w:rPr>
          <w:rFonts w:ascii="宋体" w:hAnsi="宋体"/>
          <w:b/>
        </w:rPr>
        <w:t>-</w:t>
      </w:r>
      <w:r>
        <w:rPr>
          <w:rFonts w:hint="eastAsia" w:ascii="宋体" w:hAnsi="宋体"/>
          <w:b/>
        </w:rPr>
        <w:t>1</w:t>
      </w:r>
      <w:r>
        <w:rPr>
          <w:rFonts w:ascii="宋体" w:hAnsi="宋体"/>
          <w:b/>
        </w:rPr>
        <w:t xml:space="preserve">  </w:t>
      </w:r>
      <w:r>
        <w:rPr>
          <w:rFonts w:hint="eastAsia" w:ascii="宋体" w:hAnsi="宋体"/>
          <w:b/>
        </w:rPr>
        <w:t>技改项目环保设施验收内容及要求一览表</w:t>
      </w:r>
    </w:p>
    <w:tbl>
      <w:tblPr>
        <w:tblStyle w:val="21"/>
        <w:tblW w:w="92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521"/>
        <w:gridCol w:w="1638"/>
        <w:gridCol w:w="3527"/>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9" w:hRule="atLeast"/>
          <w:jc w:val="center"/>
        </w:trPr>
        <w:tc>
          <w:tcPr>
            <w:tcW w:w="50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21"/>
                <w:szCs w:val="21"/>
              </w:rPr>
            </w:pPr>
            <w:r>
              <w:rPr>
                <w:sz w:val="21"/>
                <w:szCs w:val="21"/>
              </w:rPr>
              <w:t>类别</w:t>
            </w:r>
          </w:p>
        </w:tc>
        <w:tc>
          <w:tcPr>
            <w:tcW w:w="15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21"/>
                <w:szCs w:val="21"/>
              </w:rPr>
            </w:pPr>
            <w:r>
              <w:rPr>
                <w:rFonts w:hint="eastAsia"/>
                <w:sz w:val="21"/>
                <w:szCs w:val="21"/>
              </w:rPr>
              <w:t>污染源</w:t>
            </w:r>
          </w:p>
        </w:tc>
        <w:tc>
          <w:tcPr>
            <w:tcW w:w="16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21"/>
                <w:szCs w:val="21"/>
              </w:rPr>
            </w:pPr>
            <w:r>
              <w:rPr>
                <w:rFonts w:hint="eastAsia"/>
                <w:sz w:val="21"/>
                <w:szCs w:val="21"/>
              </w:rPr>
              <w:t>监测位置</w:t>
            </w:r>
          </w:p>
        </w:tc>
        <w:tc>
          <w:tcPr>
            <w:tcW w:w="352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21"/>
                <w:szCs w:val="21"/>
              </w:rPr>
            </w:pPr>
            <w:r>
              <w:rPr>
                <w:rFonts w:hint="eastAsia"/>
                <w:sz w:val="21"/>
                <w:szCs w:val="21"/>
              </w:rPr>
              <w:t>治理措施</w:t>
            </w:r>
          </w:p>
        </w:tc>
        <w:tc>
          <w:tcPr>
            <w:tcW w:w="20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21"/>
                <w:szCs w:val="21"/>
              </w:rPr>
            </w:pPr>
            <w:r>
              <w:rPr>
                <w:rFonts w:hint="eastAsia"/>
                <w:sz w:val="21"/>
                <w:szCs w:val="21"/>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9" w:hRule="atLeast"/>
          <w:jc w:val="center"/>
        </w:trPr>
        <w:tc>
          <w:tcPr>
            <w:tcW w:w="505" w:type="dxa"/>
            <w:vMerge w:val="restart"/>
            <w:tcBorders>
              <w:top w:val="single" w:color="auto" w:sz="4" w:space="0"/>
              <w:left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废气</w:t>
            </w:r>
          </w:p>
        </w:tc>
        <w:tc>
          <w:tcPr>
            <w:tcW w:w="15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18"/>
                <w:szCs w:val="18"/>
              </w:rPr>
              <w:t>石灰石破碎</w:t>
            </w:r>
          </w:p>
        </w:tc>
        <w:tc>
          <w:tcPr>
            <w:tcW w:w="16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vAlign w:val="center"/>
          </w:tcPr>
          <w:p>
            <w:pPr>
              <w:pStyle w:val="33"/>
              <w:spacing w:line="320" w:lineRule="exact"/>
              <w:rPr>
                <w:color w:val="auto"/>
                <w:sz w:val="21"/>
                <w:szCs w:val="21"/>
              </w:rPr>
            </w:pPr>
            <w:r>
              <w:rPr>
                <w:color w:val="auto"/>
                <w:sz w:val="21"/>
                <w:szCs w:val="21"/>
              </w:rPr>
              <w:t>气箱脉冲袋收尘器</w:t>
            </w:r>
            <w:r>
              <w:rPr>
                <w:rFonts w:hint="eastAsia"/>
                <w:color w:val="auto"/>
                <w:sz w:val="21"/>
                <w:szCs w:val="21"/>
              </w:rPr>
              <w:t>，1套</w:t>
            </w:r>
          </w:p>
        </w:tc>
        <w:tc>
          <w:tcPr>
            <w:tcW w:w="20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21"/>
                <w:szCs w:val="21"/>
              </w:rPr>
            </w:pPr>
            <w:r>
              <w:rPr>
                <w:rFonts w:hint="eastAsia"/>
                <w:sz w:val="21"/>
                <w:szCs w:val="21"/>
              </w:rPr>
              <w:t>石灰石化</w:t>
            </w:r>
          </w:p>
        </w:tc>
        <w:tc>
          <w:tcPr>
            <w:tcW w:w="16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vAlign w:val="center"/>
          </w:tcPr>
          <w:p>
            <w:pPr>
              <w:pStyle w:val="33"/>
              <w:spacing w:line="320" w:lineRule="exact"/>
              <w:rPr>
                <w:color w:val="auto"/>
                <w:sz w:val="21"/>
                <w:szCs w:val="21"/>
              </w:rPr>
            </w:pPr>
            <w:r>
              <w:rPr>
                <w:color w:val="auto"/>
                <w:sz w:val="21"/>
                <w:szCs w:val="21"/>
              </w:rPr>
              <w:t>气箱脉冲袋收尘器</w:t>
            </w:r>
            <w:r>
              <w:rPr>
                <w:rFonts w:hint="eastAsia"/>
                <w:color w:val="auto"/>
                <w:sz w:val="21"/>
                <w:szCs w:val="21"/>
              </w:rPr>
              <w:t>，1套</w:t>
            </w:r>
          </w:p>
        </w:tc>
        <w:tc>
          <w:tcPr>
            <w:tcW w:w="20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18"/>
                <w:szCs w:val="18"/>
              </w:rPr>
              <w:t>原煤均化及输送</w:t>
            </w:r>
          </w:p>
        </w:tc>
        <w:tc>
          <w:tcPr>
            <w:tcW w:w="16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vAlign w:val="center"/>
          </w:tcPr>
          <w:p>
            <w:pPr>
              <w:pStyle w:val="33"/>
              <w:spacing w:line="320" w:lineRule="exact"/>
              <w:rPr>
                <w:color w:val="auto"/>
                <w:sz w:val="21"/>
                <w:szCs w:val="21"/>
              </w:rPr>
            </w:pPr>
            <w:r>
              <w:rPr>
                <w:color w:val="auto"/>
                <w:sz w:val="21"/>
                <w:szCs w:val="21"/>
              </w:rPr>
              <w:t>气箱脉冲袋收尘器</w:t>
            </w:r>
            <w:r>
              <w:rPr>
                <w:rFonts w:hint="eastAsia"/>
                <w:color w:val="auto"/>
                <w:sz w:val="21"/>
                <w:szCs w:val="21"/>
              </w:rPr>
              <w:t>，3套</w:t>
            </w:r>
          </w:p>
        </w:tc>
        <w:tc>
          <w:tcPr>
            <w:tcW w:w="20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18"/>
                <w:szCs w:val="18"/>
              </w:rPr>
            </w:pPr>
            <w:r>
              <w:rPr>
                <w:rFonts w:hint="eastAsia"/>
                <w:sz w:val="18"/>
                <w:szCs w:val="18"/>
              </w:rPr>
              <w:t>辅料均化及输送</w:t>
            </w:r>
          </w:p>
        </w:tc>
        <w:tc>
          <w:tcPr>
            <w:tcW w:w="16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vAlign w:val="center"/>
          </w:tcPr>
          <w:p>
            <w:pPr>
              <w:pStyle w:val="33"/>
              <w:spacing w:line="320" w:lineRule="exact"/>
              <w:rPr>
                <w:color w:val="auto"/>
                <w:sz w:val="21"/>
                <w:szCs w:val="21"/>
              </w:rPr>
            </w:pPr>
            <w:r>
              <w:rPr>
                <w:color w:val="auto"/>
                <w:sz w:val="21"/>
                <w:szCs w:val="21"/>
              </w:rPr>
              <w:t>气箱脉冲袋收尘器</w:t>
            </w:r>
            <w:r>
              <w:rPr>
                <w:rFonts w:hint="eastAsia"/>
                <w:color w:val="auto"/>
                <w:sz w:val="21"/>
                <w:szCs w:val="21"/>
              </w:rPr>
              <w:t>，3套</w:t>
            </w:r>
          </w:p>
        </w:tc>
        <w:tc>
          <w:tcPr>
            <w:tcW w:w="20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原料配料库顶</w:t>
            </w:r>
          </w:p>
        </w:tc>
        <w:tc>
          <w:tcPr>
            <w:tcW w:w="16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vAlign w:val="center"/>
          </w:tcPr>
          <w:p>
            <w:pPr>
              <w:pStyle w:val="33"/>
              <w:spacing w:line="320" w:lineRule="exact"/>
              <w:rPr>
                <w:color w:val="auto"/>
                <w:sz w:val="21"/>
                <w:szCs w:val="21"/>
              </w:rPr>
            </w:pPr>
            <w:r>
              <w:rPr>
                <w:color w:val="auto"/>
                <w:sz w:val="21"/>
                <w:szCs w:val="21"/>
              </w:rPr>
              <w:t>气箱脉冲袋收尘器</w:t>
            </w:r>
            <w:r>
              <w:rPr>
                <w:rFonts w:hint="eastAsia"/>
                <w:color w:val="auto"/>
                <w:sz w:val="21"/>
                <w:szCs w:val="21"/>
              </w:rPr>
              <w:t>，4套</w:t>
            </w:r>
          </w:p>
        </w:tc>
        <w:tc>
          <w:tcPr>
            <w:tcW w:w="20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原料配料库底</w:t>
            </w:r>
          </w:p>
        </w:tc>
        <w:tc>
          <w:tcPr>
            <w:tcW w:w="16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vAlign w:val="center"/>
          </w:tcPr>
          <w:p>
            <w:pPr>
              <w:pStyle w:val="33"/>
              <w:spacing w:line="320" w:lineRule="exact"/>
              <w:rPr>
                <w:color w:val="auto"/>
                <w:sz w:val="21"/>
                <w:szCs w:val="21"/>
              </w:rPr>
            </w:pPr>
            <w:r>
              <w:rPr>
                <w:color w:val="auto"/>
                <w:sz w:val="21"/>
                <w:szCs w:val="21"/>
              </w:rPr>
              <w:t>气箱脉冲袋收尘器</w:t>
            </w:r>
            <w:r>
              <w:rPr>
                <w:rFonts w:hint="eastAsia"/>
                <w:color w:val="auto"/>
                <w:sz w:val="21"/>
                <w:szCs w:val="21"/>
              </w:rPr>
              <w:t>，4套</w:t>
            </w:r>
          </w:p>
        </w:tc>
        <w:tc>
          <w:tcPr>
            <w:tcW w:w="20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sz w:val="21"/>
                <w:szCs w:val="21"/>
              </w:rPr>
              <w:t>窑尾废气</w:t>
            </w:r>
          </w:p>
        </w:tc>
        <w:tc>
          <w:tcPr>
            <w:tcW w:w="16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vAlign w:val="center"/>
          </w:tcPr>
          <w:p>
            <w:pPr>
              <w:pStyle w:val="33"/>
              <w:spacing w:line="320" w:lineRule="exact"/>
              <w:ind w:left="440"/>
              <w:jc w:val="both"/>
              <w:rPr>
                <w:rFonts w:hint="eastAsia"/>
                <w:color w:val="auto"/>
                <w:sz w:val="21"/>
                <w:szCs w:val="21"/>
              </w:rPr>
            </w:pPr>
            <w:r>
              <w:rPr>
                <w:color w:val="auto"/>
                <w:sz w:val="21"/>
                <w:szCs w:val="21"/>
              </w:rPr>
              <w:t>气箱脉冲袋收尘器</w:t>
            </w:r>
            <w:r>
              <w:rPr>
                <w:rFonts w:hint="eastAsia"/>
                <w:color w:val="auto"/>
                <w:sz w:val="21"/>
                <w:szCs w:val="21"/>
              </w:rPr>
              <w:t>，1套</w:t>
            </w:r>
          </w:p>
          <w:p>
            <w:pPr>
              <w:pStyle w:val="33"/>
              <w:spacing w:line="320" w:lineRule="exact"/>
              <w:rPr>
                <w:rFonts w:hint="eastAsia"/>
                <w:color w:val="auto"/>
                <w:sz w:val="21"/>
                <w:szCs w:val="21"/>
              </w:rPr>
            </w:pPr>
            <w:r>
              <w:rPr>
                <w:rFonts w:hint="eastAsia"/>
                <w:color w:val="auto"/>
                <w:sz w:val="21"/>
                <w:szCs w:val="21"/>
              </w:rPr>
              <w:t>在线监测装置，1套</w:t>
            </w:r>
          </w:p>
        </w:tc>
        <w:tc>
          <w:tcPr>
            <w:tcW w:w="20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烟气量、烟尘、SO</w:t>
            </w:r>
            <w:r>
              <w:rPr>
                <w:rFonts w:hint="eastAsia"/>
                <w:sz w:val="21"/>
                <w:szCs w:val="21"/>
                <w:vertAlign w:val="subscript"/>
              </w:rPr>
              <w:t>2</w:t>
            </w:r>
            <w:r>
              <w:rPr>
                <w:rFonts w:hint="eastAsia"/>
                <w:sz w:val="21"/>
                <w:szCs w:val="21"/>
              </w:rPr>
              <w:t>、</w:t>
            </w:r>
            <w:r>
              <w:rPr>
                <w:sz w:val="21"/>
                <w:szCs w:val="21"/>
              </w:rPr>
              <w:t>NO</w:t>
            </w:r>
            <w:r>
              <w:rPr>
                <w:rFonts w:hint="eastAsia"/>
                <w:sz w:val="21"/>
                <w:szCs w:val="21"/>
                <w:vertAlign w:val="subscript"/>
              </w:rPr>
              <w:t>2</w:t>
            </w:r>
            <w:r>
              <w:rPr>
                <w:rFonts w:hint="eastAsia"/>
                <w:sz w:val="21"/>
                <w:szCs w:val="21"/>
              </w:rPr>
              <w:t>、烟气温度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vAlign w:val="center"/>
          </w:tcPr>
          <w:p>
            <w:pPr>
              <w:jc w:val="center"/>
              <w:rPr>
                <w:rFonts w:hint="eastAsia"/>
                <w:sz w:val="18"/>
                <w:szCs w:val="18"/>
              </w:rPr>
            </w:pPr>
            <w:r>
              <w:rPr>
                <w:rFonts w:hint="eastAsia"/>
                <w:sz w:val="18"/>
                <w:szCs w:val="18"/>
              </w:rPr>
              <w:t>生料均化库顶</w:t>
            </w:r>
          </w:p>
        </w:tc>
        <w:tc>
          <w:tcPr>
            <w:tcW w:w="16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vAlign w:val="center"/>
          </w:tcPr>
          <w:p>
            <w:pPr>
              <w:pStyle w:val="33"/>
              <w:spacing w:line="320" w:lineRule="exact"/>
              <w:rPr>
                <w:color w:val="auto"/>
                <w:sz w:val="21"/>
                <w:szCs w:val="21"/>
              </w:rPr>
            </w:pPr>
            <w:r>
              <w:rPr>
                <w:color w:val="auto"/>
                <w:sz w:val="21"/>
                <w:szCs w:val="21"/>
              </w:rPr>
              <w:t>气箱脉冲袋收尘器</w:t>
            </w:r>
            <w:r>
              <w:rPr>
                <w:rFonts w:hint="eastAsia"/>
                <w:color w:val="auto"/>
                <w:sz w:val="21"/>
                <w:szCs w:val="21"/>
              </w:rPr>
              <w:t>，2套</w:t>
            </w:r>
          </w:p>
        </w:tc>
        <w:tc>
          <w:tcPr>
            <w:tcW w:w="20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vAlign w:val="center"/>
          </w:tcPr>
          <w:p>
            <w:pPr>
              <w:jc w:val="center"/>
              <w:rPr>
                <w:rFonts w:hint="eastAsia"/>
                <w:sz w:val="18"/>
                <w:szCs w:val="18"/>
              </w:rPr>
            </w:pPr>
            <w:r>
              <w:rPr>
                <w:rFonts w:hint="eastAsia"/>
                <w:sz w:val="18"/>
                <w:szCs w:val="18"/>
              </w:rPr>
              <w:t>生料均化库底</w:t>
            </w:r>
          </w:p>
        </w:tc>
        <w:tc>
          <w:tcPr>
            <w:tcW w:w="16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vAlign w:val="center"/>
          </w:tcPr>
          <w:p>
            <w:pPr>
              <w:pStyle w:val="33"/>
              <w:spacing w:line="320" w:lineRule="exact"/>
              <w:rPr>
                <w:color w:val="auto"/>
                <w:sz w:val="21"/>
                <w:szCs w:val="21"/>
              </w:rPr>
            </w:pPr>
            <w:r>
              <w:rPr>
                <w:color w:val="auto"/>
                <w:sz w:val="21"/>
                <w:szCs w:val="21"/>
              </w:rPr>
              <w:t>气箱脉冲袋收尘器</w:t>
            </w:r>
            <w:r>
              <w:rPr>
                <w:rFonts w:hint="eastAsia"/>
                <w:color w:val="auto"/>
                <w:sz w:val="21"/>
                <w:szCs w:val="21"/>
              </w:rPr>
              <w:t>，2套</w:t>
            </w:r>
          </w:p>
        </w:tc>
        <w:tc>
          <w:tcPr>
            <w:tcW w:w="20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sz w:val="21"/>
                <w:szCs w:val="21"/>
              </w:rPr>
              <w:t>窑头废气</w:t>
            </w:r>
          </w:p>
        </w:tc>
        <w:tc>
          <w:tcPr>
            <w:tcW w:w="16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vAlign w:val="center"/>
          </w:tcPr>
          <w:p>
            <w:pPr>
              <w:pStyle w:val="33"/>
              <w:spacing w:line="320" w:lineRule="exact"/>
              <w:rPr>
                <w:rFonts w:hint="eastAsia"/>
                <w:color w:val="auto"/>
                <w:sz w:val="21"/>
                <w:szCs w:val="21"/>
              </w:rPr>
            </w:pPr>
            <w:r>
              <w:rPr>
                <w:color w:val="auto"/>
                <w:sz w:val="21"/>
                <w:szCs w:val="21"/>
              </w:rPr>
              <w:t>气箱脉冲袋收尘器</w:t>
            </w:r>
            <w:r>
              <w:rPr>
                <w:rFonts w:hint="eastAsia"/>
                <w:color w:val="auto"/>
                <w:sz w:val="21"/>
                <w:szCs w:val="21"/>
              </w:rPr>
              <w:t>，1套</w:t>
            </w:r>
          </w:p>
          <w:p>
            <w:pPr>
              <w:pStyle w:val="33"/>
              <w:spacing w:line="320" w:lineRule="exact"/>
              <w:rPr>
                <w:rFonts w:hint="eastAsia"/>
                <w:color w:val="auto"/>
                <w:sz w:val="21"/>
                <w:szCs w:val="21"/>
              </w:rPr>
            </w:pPr>
            <w:r>
              <w:rPr>
                <w:rFonts w:hint="eastAsia"/>
                <w:color w:val="auto"/>
                <w:sz w:val="21"/>
                <w:szCs w:val="21"/>
              </w:rPr>
              <w:t>在线监测装置，1套</w:t>
            </w:r>
          </w:p>
        </w:tc>
        <w:tc>
          <w:tcPr>
            <w:tcW w:w="20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烟气量、烟气温度、粉尘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熟料库底</w:t>
            </w:r>
          </w:p>
        </w:tc>
        <w:tc>
          <w:tcPr>
            <w:tcW w:w="16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vAlign w:val="center"/>
          </w:tcPr>
          <w:p>
            <w:pPr>
              <w:pStyle w:val="33"/>
              <w:spacing w:line="320" w:lineRule="exact"/>
              <w:rPr>
                <w:color w:val="auto"/>
                <w:sz w:val="21"/>
                <w:szCs w:val="21"/>
              </w:rPr>
            </w:pPr>
            <w:r>
              <w:rPr>
                <w:color w:val="auto"/>
                <w:sz w:val="21"/>
                <w:szCs w:val="21"/>
              </w:rPr>
              <w:t>气箱脉冲袋收尘器</w:t>
            </w:r>
            <w:r>
              <w:rPr>
                <w:rFonts w:hint="eastAsia"/>
                <w:color w:val="auto"/>
                <w:sz w:val="21"/>
                <w:szCs w:val="21"/>
              </w:rPr>
              <w:t>，2套</w:t>
            </w:r>
          </w:p>
        </w:tc>
        <w:tc>
          <w:tcPr>
            <w:tcW w:w="20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熟料库顶</w:t>
            </w:r>
          </w:p>
        </w:tc>
        <w:tc>
          <w:tcPr>
            <w:tcW w:w="16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vAlign w:val="center"/>
          </w:tcPr>
          <w:p>
            <w:pPr>
              <w:pStyle w:val="33"/>
              <w:spacing w:line="320" w:lineRule="exact"/>
              <w:rPr>
                <w:color w:val="auto"/>
                <w:sz w:val="21"/>
                <w:szCs w:val="21"/>
              </w:rPr>
            </w:pPr>
            <w:r>
              <w:rPr>
                <w:color w:val="auto"/>
                <w:sz w:val="21"/>
                <w:szCs w:val="21"/>
              </w:rPr>
              <w:t>气箱脉冲袋收尘器</w:t>
            </w:r>
            <w:r>
              <w:rPr>
                <w:rFonts w:hint="eastAsia"/>
                <w:color w:val="auto"/>
                <w:sz w:val="21"/>
                <w:szCs w:val="21"/>
              </w:rPr>
              <w:t>，2套</w:t>
            </w:r>
          </w:p>
        </w:tc>
        <w:tc>
          <w:tcPr>
            <w:tcW w:w="20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vAlign w:val="center"/>
          </w:tcPr>
          <w:p>
            <w:pPr>
              <w:jc w:val="center"/>
              <w:rPr>
                <w:rFonts w:hint="eastAsia"/>
                <w:sz w:val="18"/>
                <w:szCs w:val="18"/>
              </w:rPr>
            </w:pPr>
            <w:r>
              <w:rPr>
                <w:rFonts w:hint="eastAsia"/>
                <w:sz w:val="18"/>
                <w:szCs w:val="18"/>
              </w:rPr>
              <w:t>煤粉制备</w:t>
            </w:r>
          </w:p>
        </w:tc>
        <w:tc>
          <w:tcPr>
            <w:tcW w:w="16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vAlign w:val="center"/>
          </w:tcPr>
          <w:p>
            <w:pPr>
              <w:pStyle w:val="33"/>
              <w:spacing w:line="320" w:lineRule="exact"/>
              <w:rPr>
                <w:color w:val="auto"/>
                <w:sz w:val="21"/>
                <w:szCs w:val="21"/>
              </w:rPr>
            </w:pPr>
            <w:r>
              <w:rPr>
                <w:rFonts w:hint="eastAsia"/>
                <w:color w:val="auto"/>
              </w:rPr>
              <w:t>防爆型袋式除尘器，</w:t>
            </w:r>
            <w:r>
              <w:rPr>
                <w:rFonts w:hint="eastAsia"/>
                <w:color w:val="auto"/>
                <w:sz w:val="21"/>
                <w:szCs w:val="21"/>
              </w:rPr>
              <w:t>1套</w:t>
            </w:r>
          </w:p>
        </w:tc>
        <w:tc>
          <w:tcPr>
            <w:tcW w:w="20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vAlign w:val="center"/>
          </w:tcPr>
          <w:p>
            <w:pPr>
              <w:jc w:val="center"/>
              <w:rPr>
                <w:rFonts w:hint="eastAsia"/>
                <w:sz w:val="18"/>
                <w:szCs w:val="18"/>
              </w:rPr>
            </w:pPr>
            <w:r>
              <w:rPr>
                <w:rFonts w:hint="eastAsia"/>
                <w:sz w:val="18"/>
                <w:szCs w:val="18"/>
              </w:rPr>
              <w:t>水泥配料</w:t>
            </w:r>
          </w:p>
        </w:tc>
        <w:tc>
          <w:tcPr>
            <w:tcW w:w="16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vAlign w:val="center"/>
          </w:tcPr>
          <w:p>
            <w:pPr>
              <w:pStyle w:val="33"/>
              <w:spacing w:line="320" w:lineRule="exact"/>
              <w:rPr>
                <w:color w:val="auto"/>
                <w:sz w:val="21"/>
                <w:szCs w:val="21"/>
              </w:rPr>
            </w:pPr>
            <w:r>
              <w:rPr>
                <w:color w:val="auto"/>
                <w:sz w:val="21"/>
                <w:szCs w:val="21"/>
              </w:rPr>
              <w:t>气箱脉冲袋收尘器</w:t>
            </w:r>
            <w:r>
              <w:rPr>
                <w:rFonts w:hint="eastAsia"/>
                <w:color w:val="auto"/>
                <w:sz w:val="21"/>
                <w:szCs w:val="21"/>
              </w:rPr>
              <w:t>，5套</w:t>
            </w:r>
          </w:p>
        </w:tc>
        <w:tc>
          <w:tcPr>
            <w:tcW w:w="20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vAlign w:val="center"/>
          </w:tcPr>
          <w:p>
            <w:pPr>
              <w:jc w:val="center"/>
              <w:rPr>
                <w:rFonts w:hint="eastAsia"/>
                <w:sz w:val="18"/>
                <w:szCs w:val="18"/>
              </w:rPr>
            </w:pPr>
            <w:r>
              <w:rPr>
                <w:rFonts w:hint="eastAsia"/>
                <w:sz w:val="18"/>
                <w:szCs w:val="18"/>
              </w:rPr>
              <w:t>水泥配料</w:t>
            </w:r>
          </w:p>
        </w:tc>
        <w:tc>
          <w:tcPr>
            <w:tcW w:w="16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vAlign w:val="center"/>
          </w:tcPr>
          <w:p>
            <w:pPr>
              <w:pStyle w:val="33"/>
              <w:spacing w:line="320" w:lineRule="exact"/>
              <w:rPr>
                <w:color w:val="auto"/>
                <w:sz w:val="21"/>
                <w:szCs w:val="21"/>
              </w:rPr>
            </w:pPr>
            <w:r>
              <w:rPr>
                <w:color w:val="auto"/>
                <w:sz w:val="21"/>
                <w:szCs w:val="21"/>
              </w:rPr>
              <w:t>气箱脉冲袋收尘器</w:t>
            </w:r>
            <w:r>
              <w:rPr>
                <w:rFonts w:hint="eastAsia"/>
                <w:color w:val="auto"/>
                <w:sz w:val="21"/>
                <w:szCs w:val="21"/>
              </w:rPr>
              <w:t>，5套</w:t>
            </w:r>
          </w:p>
        </w:tc>
        <w:tc>
          <w:tcPr>
            <w:tcW w:w="20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水泥粉磨</w:t>
            </w:r>
          </w:p>
        </w:tc>
        <w:tc>
          <w:tcPr>
            <w:tcW w:w="16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vAlign w:val="center"/>
          </w:tcPr>
          <w:p>
            <w:pPr>
              <w:pStyle w:val="33"/>
              <w:spacing w:line="320" w:lineRule="exact"/>
              <w:rPr>
                <w:color w:val="auto"/>
                <w:sz w:val="21"/>
                <w:szCs w:val="21"/>
              </w:rPr>
            </w:pPr>
            <w:r>
              <w:rPr>
                <w:color w:val="auto"/>
                <w:sz w:val="21"/>
                <w:szCs w:val="21"/>
              </w:rPr>
              <w:t>气箱脉冲袋收尘器</w:t>
            </w:r>
            <w:r>
              <w:rPr>
                <w:rFonts w:hint="eastAsia"/>
                <w:color w:val="auto"/>
                <w:sz w:val="21"/>
                <w:szCs w:val="21"/>
              </w:rPr>
              <w:t>，1套</w:t>
            </w:r>
          </w:p>
        </w:tc>
        <w:tc>
          <w:tcPr>
            <w:tcW w:w="20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水泥库顶</w:t>
            </w:r>
          </w:p>
        </w:tc>
        <w:tc>
          <w:tcPr>
            <w:tcW w:w="16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vAlign w:val="center"/>
          </w:tcPr>
          <w:p>
            <w:pPr>
              <w:pStyle w:val="33"/>
              <w:spacing w:line="320" w:lineRule="exact"/>
              <w:rPr>
                <w:color w:val="auto"/>
                <w:sz w:val="21"/>
                <w:szCs w:val="21"/>
              </w:rPr>
            </w:pPr>
            <w:r>
              <w:rPr>
                <w:color w:val="auto"/>
                <w:sz w:val="21"/>
                <w:szCs w:val="21"/>
              </w:rPr>
              <w:t>气箱脉冲袋收尘器</w:t>
            </w:r>
            <w:r>
              <w:rPr>
                <w:rFonts w:hint="eastAsia"/>
                <w:color w:val="auto"/>
                <w:sz w:val="21"/>
                <w:szCs w:val="21"/>
              </w:rPr>
              <w:t>，6套</w:t>
            </w:r>
          </w:p>
        </w:tc>
        <w:tc>
          <w:tcPr>
            <w:tcW w:w="20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水泥库底</w:t>
            </w:r>
          </w:p>
        </w:tc>
        <w:tc>
          <w:tcPr>
            <w:tcW w:w="16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vAlign w:val="center"/>
          </w:tcPr>
          <w:p>
            <w:pPr>
              <w:pStyle w:val="33"/>
              <w:spacing w:line="320" w:lineRule="exact"/>
              <w:rPr>
                <w:color w:val="auto"/>
                <w:sz w:val="21"/>
                <w:szCs w:val="21"/>
              </w:rPr>
            </w:pPr>
            <w:r>
              <w:rPr>
                <w:color w:val="auto"/>
                <w:sz w:val="21"/>
                <w:szCs w:val="21"/>
              </w:rPr>
              <w:t>气箱脉冲袋收尘器</w:t>
            </w:r>
            <w:r>
              <w:rPr>
                <w:rFonts w:hint="eastAsia"/>
                <w:color w:val="auto"/>
                <w:sz w:val="21"/>
                <w:szCs w:val="21"/>
              </w:rPr>
              <w:t>，6套</w:t>
            </w:r>
          </w:p>
        </w:tc>
        <w:tc>
          <w:tcPr>
            <w:tcW w:w="20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sz w:val="21"/>
                <w:szCs w:val="21"/>
              </w:rPr>
              <w:t>水泥</w:t>
            </w:r>
            <w:r>
              <w:rPr>
                <w:rFonts w:hint="eastAsia"/>
                <w:sz w:val="21"/>
                <w:szCs w:val="21"/>
              </w:rPr>
              <w:t>散装</w:t>
            </w:r>
          </w:p>
        </w:tc>
        <w:tc>
          <w:tcPr>
            <w:tcW w:w="16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vAlign w:val="center"/>
          </w:tcPr>
          <w:p>
            <w:pPr>
              <w:pStyle w:val="33"/>
              <w:spacing w:line="320" w:lineRule="exact"/>
              <w:rPr>
                <w:rFonts w:hint="eastAsia"/>
                <w:color w:val="auto"/>
                <w:sz w:val="21"/>
                <w:szCs w:val="21"/>
              </w:rPr>
            </w:pPr>
            <w:r>
              <w:rPr>
                <w:color w:val="auto"/>
                <w:sz w:val="21"/>
                <w:szCs w:val="21"/>
              </w:rPr>
              <w:t>气箱脉冲袋收尘器</w:t>
            </w:r>
            <w:r>
              <w:rPr>
                <w:rFonts w:hint="eastAsia"/>
                <w:color w:val="auto"/>
                <w:sz w:val="21"/>
                <w:szCs w:val="21"/>
              </w:rPr>
              <w:t>，2套</w:t>
            </w:r>
          </w:p>
        </w:tc>
        <w:tc>
          <w:tcPr>
            <w:tcW w:w="20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sz w:val="21"/>
                <w:szCs w:val="21"/>
              </w:rPr>
              <w:t>水泥包装</w:t>
            </w:r>
          </w:p>
        </w:tc>
        <w:tc>
          <w:tcPr>
            <w:tcW w:w="163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vAlign w:val="center"/>
          </w:tcPr>
          <w:p>
            <w:pPr>
              <w:pStyle w:val="33"/>
              <w:spacing w:line="320" w:lineRule="exact"/>
              <w:rPr>
                <w:color w:val="auto"/>
                <w:sz w:val="21"/>
                <w:szCs w:val="21"/>
              </w:rPr>
            </w:pPr>
            <w:r>
              <w:rPr>
                <w:color w:val="auto"/>
                <w:sz w:val="21"/>
                <w:szCs w:val="21"/>
              </w:rPr>
              <w:t>气箱脉冲袋收尘器</w:t>
            </w:r>
            <w:r>
              <w:rPr>
                <w:rFonts w:hint="eastAsia"/>
                <w:color w:val="auto"/>
                <w:sz w:val="21"/>
                <w:szCs w:val="21"/>
              </w:rPr>
              <w:t>，4套</w:t>
            </w:r>
          </w:p>
        </w:tc>
        <w:tc>
          <w:tcPr>
            <w:tcW w:w="209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9" w:hRule="atLeast"/>
          <w:jc w:val="center"/>
        </w:trPr>
        <w:tc>
          <w:tcPr>
            <w:tcW w:w="505" w:type="dxa"/>
            <w:vMerge w:val="continue"/>
            <w:tcBorders>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宋体" w:hAnsi="宋体"/>
                <w:sz w:val="21"/>
                <w:szCs w:val="21"/>
              </w:rPr>
            </w:pPr>
          </w:p>
        </w:tc>
        <w:tc>
          <w:tcPr>
            <w:tcW w:w="152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20" w:lineRule="exact"/>
              <w:rPr>
                <w:sz w:val="21"/>
                <w:szCs w:val="21"/>
              </w:rPr>
            </w:pPr>
            <w:r>
              <w:rPr>
                <w:rFonts w:hint="eastAsia"/>
                <w:sz w:val="21"/>
                <w:szCs w:val="21"/>
              </w:rPr>
              <w:t>无组织排放气</w:t>
            </w:r>
          </w:p>
        </w:tc>
        <w:tc>
          <w:tcPr>
            <w:tcW w:w="163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20" w:lineRule="exact"/>
              <w:rPr>
                <w:sz w:val="21"/>
                <w:szCs w:val="21"/>
              </w:rPr>
            </w:pPr>
            <w:r>
              <w:rPr>
                <w:rFonts w:hint="eastAsia"/>
                <w:sz w:val="21"/>
                <w:szCs w:val="21"/>
              </w:rPr>
              <w:t>厂界（上风向</w:t>
            </w:r>
            <w:r>
              <w:rPr>
                <w:sz w:val="21"/>
                <w:szCs w:val="21"/>
              </w:rPr>
              <w:t>1</w:t>
            </w:r>
            <w:r>
              <w:rPr>
                <w:rFonts w:hint="eastAsia"/>
                <w:sz w:val="21"/>
                <w:szCs w:val="21"/>
              </w:rPr>
              <w:t>点、下风向</w:t>
            </w:r>
            <w:r>
              <w:rPr>
                <w:sz w:val="21"/>
                <w:szCs w:val="21"/>
              </w:rPr>
              <w:t>4</w:t>
            </w:r>
            <w:r>
              <w:rPr>
                <w:rFonts w:hint="eastAsia"/>
                <w:sz w:val="21"/>
                <w:szCs w:val="21"/>
              </w:rPr>
              <w:t>点）</w:t>
            </w:r>
          </w:p>
        </w:tc>
        <w:tc>
          <w:tcPr>
            <w:tcW w:w="352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20" w:lineRule="exact"/>
              <w:rPr>
                <w:sz w:val="21"/>
                <w:szCs w:val="21"/>
              </w:rPr>
            </w:pPr>
            <w:r>
              <w:rPr>
                <w:rFonts w:hint="eastAsia"/>
                <w:sz w:val="21"/>
                <w:szCs w:val="21"/>
              </w:rPr>
              <w:t>加强管理；堆场配置喷淋系统</w:t>
            </w:r>
          </w:p>
        </w:tc>
        <w:tc>
          <w:tcPr>
            <w:tcW w:w="20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20" w:lineRule="exact"/>
              <w:jc w:val="center"/>
              <w:rPr>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9" w:hRule="atLeast"/>
          <w:jc w:val="center"/>
        </w:trPr>
        <w:tc>
          <w:tcPr>
            <w:tcW w:w="505" w:type="dxa"/>
            <w:tcBorders>
              <w:left w:val="single" w:color="auto" w:sz="4" w:space="0"/>
              <w:right w:val="single" w:color="auto" w:sz="4" w:space="0"/>
            </w:tcBorders>
            <w:shd w:val="clear" w:color="auto" w:fill="auto"/>
            <w:vAlign w:val="center"/>
          </w:tcPr>
          <w:p>
            <w:pPr>
              <w:spacing w:line="300" w:lineRule="exact"/>
              <w:jc w:val="center"/>
              <w:rPr>
                <w:rFonts w:hint="eastAsia" w:ascii="宋体" w:hAnsi="宋体"/>
                <w:sz w:val="21"/>
                <w:szCs w:val="21"/>
              </w:rPr>
            </w:pPr>
            <w:r>
              <w:rPr>
                <w:rFonts w:hint="eastAsia" w:ascii="宋体" w:hAnsi="宋体"/>
                <w:sz w:val="21"/>
                <w:szCs w:val="21"/>
              </w:rPr>
              <w:t>废水</w:t>
            </w:r>
          </w:p>
        </w:tc>
        <w:tc>
          <w:tcPr>
            <w:tcW w:w="152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hint="eastAsia"/>
                <w:sz w:val="21"/>
                <w:szCs w:val="21"/>
              </w:rPr>
            </w:pPr>
            <w:r>
              <w:rPr>
                <w:rFonts w:hint="eastAsia"/>
                <w:sz w:val="21"/>
                <w:szCs w:val="21"/>
              </w:rPr>
              <w:t>辅助设施及生活污水</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hint="eastAsia" w:ascii="宋体" w:hAnsi="宋体"/>
                <w:sz w:val="21"/>
                <w:szCs w:val="21"/>
              </w:rPr>
            </w:pPr>
            <w:r>
              <w:rPr>
                <w:rFonts w:hint="eastAsia"/>
                <w:sz w:val="21"/>
                <w:szCs w:val="21"/>
              </w:rPr>
              <w:t>生活污水处理池</w:t>
            </w:r>
            <w:r>
              <w:rPr>
                <w:rFonts w:hint="eastAsia" w:ascii="宋体" w:hAnsi="宋体"/>
                <w:sz w:val="21"/>
                <w:szCs w:val="21"/>
              </w:rPr>
              <w:t>排放口</w:t>
            </w:r>
          </w:p>
        </w:tc>
        <w:tc>
          <w:tcPr>
            <w:tcW w:w="3527" w:type="dxa"/>
            <w:tcBorders>
              <w:left w:val="single" w:color="auto" w:sz="4" w:space="0"/>
              <w:right w:val="single" w:color="auto" w:sz="4" w:space="0"/>
            </w:tcBorders>
            <w:shd w:val="clear" w:color="auto" w:fill="auto"/>
            <w:vAlign w:val="center"/>
          </w:tcPr>
          <w:p>
            <w:pPr>
              <w:spacing w:line="300" w:lineRule="exact"/>
              <w:jc w:val="center"/>
              <w:rPr>
                <w:rFonts w:hint="eastAsia" w:ascii="宋体" w:hAnsi="宋体"/>
                <w:sz w:val="21"/>
                <w:szCs w:val="21"/>
              </w:rPr>
            </w:pPr>
            <w:r>
              <w:rPr>
                <w:rFonts w:hint="eastAsia" w:ascii="宋体" w:hAnsi="宋体"/>
                <w:sz w:val="21"/>
                <w:szCs w:val="21"/>
              </w:rPr>
              <w:t>经处理达标后，</w:t>
            </w:r>
            <w:r>
              <w:rPr>
                <w:rFonts w:hint="eastAsia"/>
                <w:sz w:val="21"/>
                <w:szCs w:val="21"/>
              </w:rPr>
              <w:t>从厂区北侧</w:t>
            </w:r>
            <w:r>
              <w:rPr>
                <w:rFonts w:hint="eastAsia" w:ascii="宋体" w:hAnsi="宋体"/>
                <w:sz w:val="21"/>
                <w:szCs w:val="21"/>
              </w:rPr>
              <w:t>总废水排放口排入无名溪沟</w:t>
            </w:r>
          </w:p>
        </w:tc>
        <w:tc>
          <w:tcPr>
            <w:tcW w:w="209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21"/>
                <w:szCs w:val="21"/>
              </w:rPr>
            </w:pPr>
            <w:r>
              <w:rPr>
                <w:rFonts w:hint="eastAsia"/>
                <w:sz w:val="21"/>
                <w:szCs w:val="21"/>
              </w:rPr>
              <w:t>COD、SS、NH</w:t>
            </w:r>
            <w:r>
              <w:rPr>
                <w:rFonts w:hint="eastAsia"/>
                <w:sz w:val="21"/>
                <w:szCs w:val="21"/>
                <w:vertAlign w:val="subscript"/>
              </w:rPr>
              <w:t>3</w:t>
            </w:r>
            <w:r>
              <w:rPr>
                <w:rFonts w:hint="eastAsia"/>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1" w:hRule="atLeast"/>
          <w:jc w:val="center"/>
        </w:trPr>
        <w:tc>
          <w:tcPr>
            <w:tcW w:w="50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21"/>
                <w:szCs w:val="21"/>
              </w:rPr>
            </w:pPr>
            <w:r>
              <w:rPr>
                <w:rFonts w:hint="eastAsia" w:ascii="宋体" w:hAnsi="宋体"/>
                <w:sz w:val="21"/>
                <w:szCs w:val="21"/>
              </w:rPr>
              <w:t>噪声</w:t>
            </w:r>
          </w:p>
        </w:tc>
        <w:tc>
          <w:tcPr>
            <w:tcW w:w="152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21"/>
                <w:szCs w:val="21"/>
              </w:rPr>
            </w:pPr>
            <w:r>
              <w:rPr>
                <w:rFonts w:hint="eastAsia" w:ascii="宋体" w:hAnsi="宋体"/>
                <w:sz w:val="21"/>
                <w:szCs w:val="21"/>
              </w:rPr>
              <w:t>高噪声设施</w:t>
            </w:r>
          </w:p>
        </w:tc>
        <w:tc>
          <w:tcPr>
            <w:tcW w:w="1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21"/>
                <w:szCs w:val="21"/>
              </w:rPr>
            </w:pPr>
            <w:r>
              <w:rPr>
                <w:rFonts w:hint="eastAsia" w:ascii="宋体" w:hAnsi="宋体"/>
                <w:sz w:val="21"/>
                <w:szCs w:val="21"/>
              </w:rPr>
              <w:t>厂界</w:t>
            </w:r>
          </w:p>
        </w:tc>
        <w:tc>
          <w:tcPr>
            <w:tcW w:w="352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21"/>
                <w:szCs w:val="21"/>
              </w:rPr>
            </w:pPr>
            <w:r>
              <w:rPr>
                <w:rFonts w:hint="eastAsia" w:ascii="宋体" w:hAnsi="宋体"/>
                <w:sz w:val="21"/>
                <w:szCs w:val="21"/>
              </w:rPr>
              <w:t>隔声、消声、减振、绿化措施</w:t>
            </w:r>
          </w:p>
        </w:tc>
        <w:tc>
          <w:tcPr>
            <w:tcW w:w="209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21"/>
                <w:szCs w:val="21"/>
              </w:rPr>
            </w:pPr>
            <w:r>
              <w:rPr>
                <w:rFonts w:hint="eastAsia" w:ascii="宋体" w:hAnsi="宋体"/>
                <w:sz w:val="21"/>
                <w:szCs w:val="21"/>
              </w:rPr>
              <w:t>等效声级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2" w:hRule="atLeast"/>
          <w:jc w:val="center"/>
        </w:trPr>
        <w:tc>
          <w:tcPr>
            <w:tcW w:w="505"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sz w:val="21"/>
                <w:szCs w:val="21"/>
              </w:rPr>
            </w:pPr>
            <w:r>
              <w:rPr>
                <w:rFonts w:hint="eastAsia" w:ascii="宋体" w:hAnsi="宋体"/>
                <w:sz w:val="21"/>
                <w:szCs w:val="21"/>
              </w:rPr>
              <w:t>固体</w:t>
            </w:r>
          </w:p>
          <w:p>
            <w:pPr>
              <w:spacing w:line="300" w:lineRule="exact"/>
              <w:jc w:val="center"/>
              <w:rPr>
                <w:rFonts w:ascii="宋体" w:hAnsi="宋体"/>
                <w:sz w:val="21"/>
                <w:szCs w:val="21"/>
              </w:rPr>
            </w:pPr>
            <w:r>
              <w:rPr>
                <w:rFonts w:hint="eastAsia" w:ascii="宋体" w:hAnsi="宋体"/>
                <w:sz w:val="21"/>
                <w:szCs w:val="21"/>
              </w:rPr>
              <w:t>废物</w:t>
            </w:r>
          </w:p>
        </w:tc>
        <w:tc>
          <w:tcPr>
            <w:tcW w:w="152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sz w:val="21"/>
                <w:szCs w:val="21"/>
              </w:rPr>
            </w:pPr>
            <w:r>
              <w:rPr>
                <w:rFonts w:hint="eastAsia"/>
                <w:sz w:val="21"/>
                <w:szCs w:val="21"/>
              </w:rPr>
              <w:t>除尘灰</w:t>
            </w:r>
          </w:p>
        </w:tc>
        <w:tc>
          <w:tcPr>
            <w:tcW w:w="1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352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sz w:val="21"/>
                <w:szCs w:val="21"/>
              </w:rPr>
            </w:pPr>
            <w:r>
              <w:rPr>
                <w:rFonts w:hint="eastAsia"/>
                <w:sz w:val="21"/>
                <w:szCs w:val="21"/>
              </w:rPr>
              <w:t>收集后作生产原料回用或产品外售利用，不排放</w:t>
            </w:r>
          </w:p>
        </w:tc>
        <w:tc>
          <w:tcPr>
            <w:tcW w:w="2096" w:type="dxa"/>
            <w:tcBorders>
              <w:top w:val="single" w:color="auto" w:sz="4" w:space="0"/>
              <w:left w:val="single" w:color="auto" w:sz="4" w:space="0"/>
              <w:bottom w:val="single" w:color="auto" w:sz="4" w:space="0"/>
              <w:right w:val="single" w:color="auto" w:sz="4" w:space="0"/>
            </w:tcBorders>
            <w:vAlign w:val="center"/>
          </w:tcPr>
          <w:p>
            <w:pPr>
              <w:pStyle w:val="33"/>
              <w:rPr>
                <w:rFonts w:hint="eastAsia"/>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2" w:hRule="atLeast"/>
          <w:jc w:val="center"/>
        </w:trPr>
        <w:tc>
          <w:tcPr>
            <w:tcW w:w="5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hint="eastAsia" w:ascii="宋体" w:hAnsi="宋体"/>
                <w:sz w:val="21"/>
                <w:szCs w:val="21"/>
              </w:rPr>
            </w:pPr>
          </w:p>
        </w:tc>
        <w:tc>
          <w:tcPr>
            <w:tcW w:w="152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hint="eastAsia"/>
                <w:sz w:val="21"/>
                <w:szCs w:val="21"/>
              </w:rPr>
            </w:pPr>
            <w:r>
              <w:rPr>
                <w:rFonts w:hint="eastAsia"/>
                <w:sz w:val="21"/>
                <w:szCs w:val="21"/>
              </w:rPr>
              <w:t>生活污水污泥</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3527" w:type="dxa"/>
            <w:tcBorders>
              <w:left w:val="single" w:color="auto" w:sz="4" w:space="0"/>
              <w:bottom w:val="single" w:color="auto" w:sz="4" w:space="0"/>
              <w:right w:val="single" w:color="auto" w:sz="4" w:space="0"/>
            </w:tcBorders>
            <w:shd w:val="clear" w:color="auto" w:fill="auto"/>
            <w:vAlign w:val="center"/>
          </w:tcPr>
          <w:p>
            <w:pPr>
              <w:spacing w:line="240" w:lineRule="exact"/>
              <w:jc w:val="center"/>
              <w:rPr>
                <w:rFonts w:hint="eastAsia"/>
                <w:sz w:val="21"/>
                <w:szCs w:val="21"/>
              </w:rPr>
            </w:pPr>
            <w:r>
              <w:rPr>
                <w:rFonts w:hint="eastAsia"/>
                <w:sz w:val="21"/>
                <w:szCs w:val="21"/>
              </w:rPr>
              <w:t>直接送水泥回转窑作水泥原料煅烧，不排放</w:t>
            </w:r>
          </w:p>
        </w:tc>
        <w:tc>
          <w:tcPr>
            <w:tcW w:w="2096" w:type="dxa"/>
            <w:tcBorders>
              <w:top w:val="single" w:color="auto" w:sz="4" w:space="0"/>
              <w:left w:val="single" w:color="auto" w:sz="4" w:space="0"/>
              <w:bottom w:val="single" w:color="auto" w:sz="4" w:space="0"/>
              <w:right w:val="single" w:color="auto" w:sz="4" w:space="0"/>
            </w:tcBorders>
            <w:vAlign w:val="center"/>
          </w:tcPr>
          <w:p>
            <w:pPr>
              <w:pStyle w:val="33"/>
              <w:rPr>
                <w:rFonts w:hint="eastAsia"/>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 w:hRule="atLeast"/>
          <w:jc w:val="center"/>
        </w:trPr>
        <w:tc>
          <w:tcPr>
            <w:tcW w:w="50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宋体" w:hAnsi="宋体"/>
                <w:sz w:val="21"/>
                <w:szCs w:val="21"/>
              </w:rPr>
            </w:pPr>
          </w:p>
        </w:tc>
        <w:tc>
          <w:tcPr>
            <w:tcW w:w="1521" w:type="dxa"/>
            <w:tcBorders>
              <w:top w:val="single" w:color="auto" w:sz="4" w:space="0"/>
              <w:left w:val="single" w:color="auto" w:sz="4" w:space="0"/>
              <w:bottom w:val="single" w:color="auto" w:sz="4" w:space="0"/>
              <w:right w:val="single" w:color="auto" w:sz="4" w:space="0"/>
            </w:tcBorders>
            <w:vAlign w:val="center"/>
          </w:tcPr>
          <w:p>
            <w:pPr>
              <w:spacing w:line="240" w:lineRule="exact"/>
              <w:rPr>
                <w:rFonts w:hint="eastAsia"/>
                <w:sz w:val="21"/>
                <w:szCs w:val="21"/>
              </w:rPr>
            </w:pPr>
            <w:r>
              <w:rPr>
                <w:rFonts w:hint="eastAsia"/>
                <w:sz w:val="21"/>
                <w:szCs w:val="21"/>
              </w:rPr>
              <w:t>生活垃圾</w:t>
            </w:r>
          </w:p>
        </w:tc>
        <w:tc>
          <w:tcPr>
            <w:tcW w:w="1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3527" w:type="dxa"/>
            <w:tcBorders>
              <w:top w:val="single" w:color="auto" w:sz="4" w:space="0"/>
              <w:left w:val="single" w:color="auto" w:sz="4" w:space="0"/>
              <w:bottom w:val="single" w:color="auto" w:sz="4" w:space="0"/>
              <w:right w:val="single" w:color="auto" w:sz="4" w:space="0"/>
            </w:tcBorders>
            <w:vAlign w:val="center"/>
          </w:tcPr>
          <w:p>
            <w:pPr>
              <w:spacing w:line="240" w:lineRule="exact"/>
              <w:ind w:firstLine="420"/>
              <w:jc w:val="center"/>
              <w:rPr>
                <w:rFonts w:hint="eastAsia"/>
                <w:sz w:val="21"/>
                <w:szCs w:val="21"/>
              </w:rPr>
            </w:pPr>
            <w:r>
              <w:rPr>
                <w:rFonts w:hint="eastAsia"/>
                <w:sz w:val="21"/>
                <w:szCs w:val="21"/>
              </w:rPr>
              <w:t>在厂区内设生活垃圾转运站，集中收集后，由青木关镇环卫部门送城市垃圾处理场卫生填埋，不排放</w:t>
            </w:r>
          </w:p>
        </w:tc>
        <w:tc>
          <w:tcPr>
            <w:tcW w:w="2096" w:type="dxa"/>
            <w:tcBorders>
              <w:top w:val="single" w:color="auto" w:sz="4" w:space="0"/>
              <w:left w:val="single" w:color="auto" w:sz="4" w:space="0"/>
              <w:bottom w:val="single" w:color="auto" w:sz="4" w:space="0"/>
              <w:right w:val="single" w:color="auto" w:sz="4" w:space="0"/>
            </w:tcBorders>
            <w:vAlign w:val="center"/>
          </w:tcPr>
          <w:p>
            <w:pPr>
              <w:pStyle w:val="33"/>
              <w:rPr>
                <w:rFonts w:hint="eastAsia"/>
                <w:color w:val="auto"/>
                <w:sz w:val="21"/>
                <w:szCs w:val="21"/>
              </w:rPr>
            </w:pPr>
            <w:r>
              <w:rPr>
                <w:rFonts w:hint="eastAsia"/>
                <w:color w:val="auto"/>
                <w:sz w:val="21"/>
                <w:szCs w:val="21"/>
              </w:rPr>
              <w:t>/</w:t>
            </w:r>
          </w:p>
        </w:tc>
      </w:tr>
    </w:tbl>
    <w:p>
      <w:pPr>
        <w:spacing w:line="360" w:lineRule="auto"/>
        <w:rPr>
          <w:rFonts w:hint="eastAsia"/>
          <w:b/>
        </w:rPr>
      </w:pPr>
      <w:r>
        <w:rPr>
          <w:rFonts w:hint="eastAsia"/>
          <w:b/>
        </w:rPr>
        <w:t>15.4.2</w:t>
      </w:r>
      <w:r>
        <w:rPr>
          <w:b/>
        </w:rPr>
        <w:t>环保竣工验收标准</w:t>
      </w:r>
    </w:p>
    <w:p>
      <w:pPr>
        <w:spacing w:line="360" w:lineRule="auto"/>
        <w:ind w:firstLine="420" w:firstLineChars="200"/>
        <w:rPr>
          <w:rFonts w:hint="eastAsia" w:ascii="宋体" w:hAnsi="宋体"/>
        </w:rPr>
      </w:pPr>
      <w:r>
        <w:rPr>
          <w:rFonts w:ascii="宋体" w:hAnsi="宋体"/>
        </w:rPr>
        <w:t>技改项目环保设施验收</w:t>
      </w:r>
      <w:r>
        <w:rPr>
          <w:rFonts w:hint="eastAsia" w:ascii="宋体" w:hAnsi="宋体"/>
        </w:rPr>
        <w:t>标准见表15-2-1——15-2-4。</w:t>
      </w:r>
    </w:p>
    <w:p>
      <w:pPr>
        <w:spacing w:line="460" w:lineRule="exact"/>
        <w:ind w:firstLine="1337" w:firstLineChars="637"/>
        <w:rPr>
          <w:rFonts w:hint="eastAsia" w:ascii="宋体" w:hAnsi="宋体"/>
          <w:b/>
        </w:rPr>
      </w:pPr>
      <w:r>
        <w:rPr>
          <w:rFonts w:hint="eastAsia" w:ascii="宋体" w:hAnsi="宋体"/>
          <w:b/>
        </w:rPr>
        <w:t>表15-2-1      技改项目废气治理</w:t>
      </w:r>
      <w:r>
        <w:rPr>
          <w:rFonts w:ascii="宋体" w:hAnsi="宋体"/>
          <w:b/>
        </w:rPr>
        <w:t>设施验收</w:t>
      </w:r>
      <w:r>
        <w:rPr>
          <w:rFonts w:hint="eastAsia" w:ascii="宋体" w:hAnsi="宋体"/>
          <w:b/>
        </w:rPr>
        <w:t>标准</w:t>
      </w:r>
    </w:p>
    <w:tbl>
      <w:tblPr>
        <w:tblStyle w:val="21"/>
        <w:tblW w:w="91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318"/>
        <w:gridCol w:w="1937"/>
        <w:gridCol w:w="1417"/>
        <w:gridCol w:w="1155"/>
        <w:gridCol w:w="20"/>
        <w:gridCol w:w="1176"/>
        <w:gridCol w:w="7"/>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318" w:type="dxa"/>
            <w:vMerge w:val="restart"/>
            <w:vAlign w:val="center"/>
          </w:tcPr>
          <w:p>
            <w:pPr>
              <w:spacing w:line="320" w:lineRule="exact"/>
              <w:jc w:val="center"/>
              <w:rPr>
                <w:sz w:val="18"/>
                <w:szCs w:val="18"/>
              </w:rPr>
            </w:pPr>
            <w:r>
              <w:rPr>
                <w:rFonts w:hint="eastAsia"/>
                <w:sz w:val="18"/>
                <w:szCs w:val="18"/>
              </w:rPr>
              <w:t>污染源</w:t>
            </w:r>
          </w:p>
        </w:tc>
        <w:tc>
          <w:tcPr>
            <w:tcW w:w="1937" w:type="dxa"/>
            <w:vMerge w:val="restart"/>
            <w:vAlign w:val="center"/>
          </w:tcPr>
          <w:p>
            <w:pPr>
              <w:spacing w:line="320" w:lineRule="exact"/>
              <w:jc w:val="center"/>
              <w:rPr>
                <w:sz w:val="18"/>
                <w:szCs w:val="18"/>
              </w:rPr>
            </w:pPr>
            <w:r>
              <w:rPr>
                <w:rFonts w:hint="eastAsia" w:ascii="宋体" w:hAnsi="宋体"/>
                <w:sz w:val="18"/>
                <w:szCs w:val="18"/>
              </w:rPr>
              <w:t>排放标准及标准号</w:t>
            </w:r>
          </w:p>
        </w:tc>
        <w:tc>
          <w:tcPr>
            <w:tcW w:w="1417" w:type="dxa"/>
            <w:vMerge w:val="restart"/>
            <w:vAlign w:val="center"/>
          </w:tcPr>
          <w:p>
            <w:pPr>
              <w:spacing w:line="320" w:lineRule="exact"/>
              <w:jc w:val="center"/>
              <w:rPr>
                <w:sz w:val="18"/>
                <w:szCs w:val="18"/>
              </w:rPr>
            </w:pPr>
            <w:r>
              <w:rPr>
                <w:rFonts w:hint="eastAsia"/>
                <w:sz w:val="18"/>
                <w:szCs w:val="18"/>
              </w:rPr>
              <w:t>污染因子</w:t>
            </w:r>
          </w:p>
        </w:tc>
        <w:tc>
          <w:tcPr>
            <w:tcW w:w="2351" w:type="dxa"/>
            <w:gridSpan w:val="3"/>
            <w:vAlign w:val="center"/>
          </w:tcPr>
          <w:p>
            <w:pPr>
              <w:spacing w:line="240" w:lineRule="exact"/>
              <w:jc w:val="center"/>
              <w:rPr>
                <w:rFonts w:ascii="宋体" w:hAnsi="宋体"/>
                <w:sz w:val="18"/>
                <w:szCs w:val="18"/>
              </w:rPr>
            </w:pPr>
            <w:r>
              <w:rPr>
                <w:rFonts w:hint="eastAsia" w:ascii="宋体" w:hAnsi="宋体"/>
                <w:sz w:val="18"/>
                <w:szCs w:val="18"/>
              </w:rPr>
              <w:t>有组织排放</w:t>
            </w:r>
          </w:p>
        </w:tc>
        <w:tc>
          <w:tcPr>
            <w:tcW w:w="1104" w:type="dxa"/>
            <w:gridSpan w:val="2"/>
            <w:vAlign w:val="top"/>
          </w:tcPr>
          <w:p>
            <w:pPr>
              <w:spacing w:line="320" w:lineRule="exact"/>
              <w:jc w:val="center"/>
              <w:rPr>
                <w:rFonts w:hint="eastAsia"/>
                <w:sz w:val="18"/>
                <w:szCs w:val="18"/>
              </w:rPr>
            </w:pPr>
            <w:r>
              <w:rPr>
                <w:rFonts w:hint="eastAsia"/>
                <w:sz w:val="18"/>
                <w:szCs w:val="18"/>
              </w:rPr>
              <w:t>总量指标</w:t>
            </w:r>
          </w:p>
          <w:p>
            <w:pPr>
              <w:spacing w:line="320" w:lineRule="exact"/>
              <w:jc w:val="center"/>
              <w:rPr>
                <w:rFonts w:hint="eastAsia"/>
                <w:sz w:val="18"/>
                <w:szCs w:val="18"/>
              </w:rPr>
            </w:pPr>
            <w:r>
              <w:rPr>
                <w:rFonts w:hint="eastAsia"/>
                <w:sz w:val="18"/>
                <w:szCs w:val="18"/>
              </w:rPr>
              <w:t>（</w:t>
            </w:r>
            <w:r>
              <w:rPr>
                <w:rFonts w:hint="eastAsia" w:ascii="宋体" w:hAnsi="宋体"/>
                <w:sz w:val="18"/>
                <w:szCs w:val="18"/>
              </w:rPr>
              <w:t>t/a</w:t>
            </w: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318" w:type="dxa"/>
            <w:vMerge w:val="continue"/>
            <w:shd w:val="clear" w:color="auto" w:fill="auto"/>
            <w:vAlign w:val="center"/>
          </w:tcPr>
          <w:p>
            <w:pPr>
              <w:spacing w:line="320" w:lineRule="exact"/>
              <w:jc w:val="center"/>
              <w:rPr>
                <w:rFonts w:hint="eastAsia"/>
                <w:sz w:val="18"/>
                <w:szCs w:val="18"/>
              </w:rPr>
            </w:pPr>
          </w:p>
        </w:tc>
        <w:tc>
          <w:tcPr>
            <w:tcW w:w="1937" w:type="dxa"/>
            <w:vMerge w:val="continue"/>
            <w:shd w:val="clear" w:color="auto" w:fill="auto"/>
            <w:vAlign w:val="center"/>
          </w:tcPr>
          <w:p>
            <w:pPr>
              <w:spacing w:line="320" w:lineRule="exact"/>
              <w:jc w:val="center"/>
              <w:rPr>
                <w:rFonts w:hint="eastAsia" w:ascii="宋体" w:hAnsi="宋体"/>
                <w:sz w:val="18"/>
                <w:szCs w:val="18"/>
              </w:rPr>
            </w:pPr>
          </w:p>
        </w:tc>
        <w:tc>
          <w:tcPr>
            <w:tcW w:w="1417" w:type="dxa"/>
            <w:vMerge w:val="continue"/>
            <w:shd w:val="clear" w:color="auto" w:fill="auto"/>
            <w:vAlign w:val="center"/>
          </w:tcPr>
          <w:p>
            <w:pPr>
              <w:spacing w:line="320" w:lineRule="exact"/>
              <w:jc w:val="center"/>
              <w:rPr>
                <w:rFonts w:hint="eastAsia"/>
                <w:sz w:val="18"/>
                <w:szCs w:val="18"/>
              </w:rPr>
            </w:pPr>
          </w:p>
        </w:tc>
        <w:tc>
          <w:tcPr>
            <w:tcW w:w="1155" w:type="dxa"/>
            <w:shd w:val="clear" w:color="auto" w:fill="auto"/>
            <w:vAlign w:val="center"/>
          </w:tcPr>
          <w:p>
            <w:pPr>
              <w:spacing w:line="240" w:lineRule="exact"/>
              <w:jc w:val="center"/>
              <w:rPr>
                <w:rFonts w:ascii="宋体" w:hAnsi="宋体"/>
                <w:sz w:val="18"/>
                <w:szCs w:val="18"/>
              </w:rPr>
            </w:pPr>
            <w:r>
              <w:rPr>
                <w:rFonts w:hint="eastAsia" w:ascii="宋体" w:hAnsi="宋体"/>
                <w:sz w:val="18"/>
                <w:szCs w:val="18"/>
              </w:rPr>
              <w:t>排放口</w:t>
            </w:r>
          </w:p>
          <w:p>
            <w:pPr>
              <w:spacing w:line="240" w:lineRule="exact"/>
              <w:jc w:val="center"/>
              <w:rPr>
                <w:rFonts w:ascii="宋体" w:hAnsi="宋体"/>
                <w:sz w:val="18"/>
                <w:szCs w:val="18"/>
              </w:rPr>
            </w:pPr>
            <w:r>
              <w:rPr>
                <w:rFonts w:hint="eastAsia" w:ascii="宋体" w:hAnsi="宋体"/>
                <w:sz w:val="18"/>
                <w:szCs w:val="18"/>
              </w:rPr>
              <w:t>高度（m）</w:t>
            </w:r>
          </w:p>
        </w:tc>
        <w:tc>
          <w:tcPr>
            <w:tcW w:w="1203" w:type="dxa"/>
            <w:gridSpan w:val="3"/>
            <w:shd w:val="clear" w:color="auto" w:fill="auto"/>
            <w:vAlign w:val="center"/>
          </w:tcPr>
          <w:p>
            <w:pPr>
              <w:spacing w:line="240" w:lineRule="exact"/>
              <w:jc w:val="center"/>
              <w:rPr>
                <w:rFonts w:ascii="宋体" w:hAnsi="宋体"/>
                <w:sz w:val="18"/>
                <w:szCs w:val="18"/>
              </w:rPr>
            </w:pPr>
            <w:r>
              <w:rPr>
                <w:rFonts w:hint="eastAsia" w:ascii="宋体" w:hAnsi="宋体"/>
                <w:sz w:val="18"/>
                <w:szCs w:val="18"/>
              </w:rPr>
              <w:t>排放浓度（mg/m</w:t>
            </w:r>
            <w:r>
              <w:rPr>
                <w:rFonts w:hint="eastAsia" w:ascii="宋体" w:hAnsi="宋体"/>
                <w:sz w:val="18"/>
                <w:szCs w:val="18"/>
                <w:vertAlign w:val="superscript"/>
              </w:rPr>
              <w:t>3</w:t>
            </w:r>
            <w:r>
              <w:rPr>
                <w:rFonts w:hint="eastAsia" w:ascii="宋体" w:hAnsi="宋体"/>
                <w:sz w:val="18"/>
                <w:szCs w:val="18"/>
              </w:rPr>
              <w:t>）</w:t>
            </w:r>
          </w:p>
        </w:tc>
        <w:tc>
          <w:tcPr>
            <w:tcW w:w="1097" w:type="dxa"/>
            <w:vAlign w:val="top"/>
          </w:tcPr>
          <w:p>
            <w:pPr>
              <w:spacing w:line="3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318" w:type="dxa"/>
            <w:shd w:val="clear" w:color="auto" w:fill="auto"/>
            <w:vAlign w:val="center"/>
          </w:tcPr>
          <w:p>
            <w:pPr>
              <w:spacing w:line="320" w:lineRule="exact"/>
              <w:jc w:val="center"/>
              <w:rPr>
                <w:rFonts w:hint="eastAsia"/>
                <w:sz w:val="18"/>
                <w:szCs w:val="18"/>
              </w:rPr>
            </w:pPr>
            <w:r>
              <w:rPr>
                <w:rFonts w:hint="eastAsia"/>
                <w:sz w:val="18"/>
                <w:szCs w:val="18"/>
              </w:rPr>
              <w:t>石灰石破碎</w:t>
            </w:r>
          </w:p>
        </w:tc>
        <w:tc>
          <w:tcPr>
            <w:tcW w:w="1937" w:type="dxa"/>
            <w:vMerge w:val="restart"/>
            <w:shd w:val="clear" w:color="auto" w:fill="auto"/>
            <w:vAlign w:val="center"/>
          </w:tcPr>
          <w:p>
            <w:pPr>
              <w:spacing w:line="320" w:lineRule="exact"/>
              <w:rPr>
                <w:rFonts w:hint="eastAsia" w:ascii="宋体" w:hAnsi="宋体"/>
                <w:sz w:val="18"/>
                <w:szCs w:val="18"/>
              </w:rPr>
            </w:pPr>
            <w:r>
              <w:rPr>
                <w:rFonts w:hint="eastAsia"/>
                <w:sz w:val="18"/>
                <w:szCs w:val="18"/>
              </w:rPr>
              <w:t>执行《重庆市水泥工业大气污染物排放标准》（DB50/251-2007）表1规定的</w:t>
            </w:r>
            <w:r>
              <w:rPr>
                <w:sz w:val="18"/>
                <w:szCs w:val="18"/>
              </w:rPr>
              <w:t>Ⅱ</w:t>
            </w:r>
            <w:r>
              <w:rPr>
                <w:rFonts w:hint="eastAsia"/>
                <w:sz w:val="18"/>
                <w:szCs w:val="18"/>
              </w:rPr>
              <w:t>时段限值</w:t>
            </w:r>
          </w:p>
        </w:tc>
        <w:tc>
          <w:tcPr>
            <w:tcW w:w="1417" w:type="dxa"/>
            <w:shd w:val="clear" w:color="auto" w:fill="auto"/>
            <w:vAlign w:val="center"/>
          </w:tcPr>
          <w:p>
            <w:pPr>
              <w:spacing w:line="320" w:lineRule="exact"/>
              <w:jc w:val="center"/>
              <w:rPr>
                <w:rFonts w:hint="eastAsia"/>
                <w:sz w:val="18"/>
                <w:szCs w:val="18"/>
              </w:rPr>
            </w:pPr>
            <w:r>
              <w:rPr>
                <w:rFonts w:hint="eastAsia"/>
                <w:sz w:val="18"/>
                <w:szCs w:val="18"/>
                <w:lang w:val="de-DE"/>
              </w:rPr>
              <w:t>粉尘</w:t>
            </w:r>
          </w:p>
        </w:tc>
        <w:tc>
          <w:tcPr>
            <w:tcW w:w="1155" w:type="dxa"/>
            <w:shd w:val="clear" w:color="auto" w:fill="auto"/>
            <w:vAlign w:val="center"/>
          </w:tcPr>
          <w:p>
            <w:pPr>
              <w:spacing w:line="240" w:lineRule="exact"/>
              <w:jc w:val="center"/>
              <w:rPr>
                <w:rFonts w:hint="eastAsia" w:ascii="宋体" w:hAnsi="宋体"/>
                <w:sz w:val="18"/>
                <w:szCs w:val="18"/>
              </w:rPr>
            </w:pPr>
            <w:r>
              <w:rPr>
                <w:rFonts w:hint="eastAsia" w:ascii="宋体" w:hAnsi="宋体"/>
                <w:sz w:val="18"/>
                <w:szCs w:val="18"/>
              </w:rPr>
              <w:t>35</w:t>
            </w:r>
          </w:p>
        </w:tc>
        <w:tc>
          <w:tcPr>
            <w:tcW w:w="1203" w:type="dxa"/>
            <w:gridSpan w:val="3"/>
            <w:shd w:val="clear" w:color="auto" w:fill="auto"/>
            <w:vAlign w:val="center"/>
          </w:tcPr>
          <w:p>
            <w:pPr>
              <w:spacing w:line="240" w:lineRule="exact"/>
              <w:jc w:val="center"/>
              <w:rPr>
                <w:rFonts w:hint="eastAsia" w:ascii="宋体" w:hAnsi="宋体"/>
                <w:sz w:val="18"/>
                <w:szCs w:val="18"/>
              </w:rPr>
            </w:pPr>
            <w:r>
              <w:rPr>
                <w:rFonts w:hint="eastAsia" w:ascii="宋体" w:hAnsi="宋体"/>
                <w:sz w:val="18"/>
                <w:szCs w:val="18"/>
              </w:rPr>
              <w:t>30</w:t>
            </w:r>
          </w:p>
        </w:tc>
        <w:tc>
          <w:tcPr>
            <w:tcW w:w="1097" w:type="dxa"/>
            <w:vAlign w:val="top"/>
          </w:tcPr>
          <w:p>
            <w:pPr>
              <w:spacing w:line="320" w:lineRule="exact"/>
              <w:jc w:val="center"/>
              <w:rPr>
                <w:rFonts w:hint="eastAsia"/>
                <w:sz w:val="18"/>
                <w:szCs w:val="18"/>
              </w:rPr>
            </w:pPr>
            <w:r>
              <w:rPr>
                <w:rFonts w:hint="eastAsia"/>
                <w:sz w:val="18"/>
                <w:szCs w:val="18"/>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318" w:type="dxa"/>
            <w:shd w:val="clear" w:color="auto" w:fill="auto"/>
            <w:vAlign w:val="center"/>
          </w:tcPr>
          <w:p>
            <w:pPr>
              <w:spacing w:line="320" w:lineRule="exact"/>
              <w:jc w:val="center"/>
              <w:rPr>
                <w:rFonts w:hint="eastAsia"/>
                <w:sz w:val="18"/>
                <w:szCs w:val="18"/>
              </w:rPr>
            </w:pPr>
            <w:r>
              <w:rPr>
                <w:rFonts w:hint="eastAsia"/>
                <w:sz w:val="18"/>
                <w:szCs w:val="18"/>
              </w:rPr>
              <w:t>石灰石均化</w:t>
            </w:r>
          </w:p>
        </w:tc>
        <w:tc>
          <w:tcPr>
            <w:tcW w:w="1937" w:type="dxa"/>
            <w:vMerge w:val="continue"/>
            <w:shd w:val="clear" w:color="auto" w:fill="auto"/>
            <w:vAlign w:val="center"/>
          </w:tcPr>
          <w:p>
            <w:pPr>
              <w:spacing w:line="320" w:lineRule="exact"/>
              <w:jc w:val="center"/>
              <w:rPr>
                <w:rFonts w:hint="eastAsia" w:ascii="宋体" w:hAnsi="宋体"/>
                <w:sz w:val="18"/>
                <w:szCs w:val="18"/>
              </w:rPr>
            </w:pPr>
          </w:p>
        </w:tc>
        <w:tc>
          <w:tcPr>
            <w:tcW w:w="1417" w:type="dxa"/>
            <w:shd w:val="clear" w:color="auto" w:fill="auto"/>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vAlign w:val="center"/>
          </w:tcPr>
          <w:p>
            <w:pPr>
              <w:spacing w:line="240" w:lineRule="exact"/>
              <w:jc w:val="center"/>
              <w:rPr>
                <w:rFonts w:hint="eastAsia" w:ascii="宋体" w:hAnsi="宋体"/>
                <w:sz w:val="18"/>
                <w:szCs w:val="18"/>
              </w:rPr>
            </w:pPr>
            <w:r>
              <w:rPr>
                <w:rFonts w:hint="eastAsia"/>
                <w:sz w:val="18"/>
                <w:szCs w:val="18"/>
              </w:rPr>
              <w:t>15</w:t>
            </w:r>
          </w:p>
        </w:tc>
        <w:tc>
          <w:tcPr>
            <w:tcW w:w="1203" w:type="dxa"/>
            <w:gridSpan w:val="3"/>
            <w:shd w:val="clear" w:color="auto" w:fill="auto"/>
            <w:vAlign w:val="center"/>
          </w:tcPr>
          <w:p>
            <w:pPr>
              <w:spacing w:line="240" w:lineRule="exact"/>
              <w:jc w:val="center"/>
              <w:rPr>
                <w:rFonts w:hint="eastAsia" w:ascii="宋体" w:hAnsi="宋体"/>
                <w:sz w:val="18"/>
                <w:szCs w:val="18"/>
              </w:rPr>
            </w:pPr>
            <w:r>
              <w:rPr>
                <w:rFonts w:hint="eastAsia" w:ascii="宋体" w:hAnsi="宋体"/>
                <w:sz w:val="18"/>
                <w:szCs w:val="18"/>
              </w:rPr>
              <w:t>30</w:t>
            </w:r>
          </w:p>
        </w:tc>
        <w:tc>
          <w:tcPr>
            <w:tcW w:w="1097" w:type="dxa"/>
            <w:vAlign w:val="top"/>
          </w:tcPr>
          <w:p>
            <w:pPr>
              <w:spacing w:line="320" w:lineRule="exact"/>
              <w:jc w:val="center"/>
              <w:rPr>
                <w:rFonts w:hint="eastAsia"/>
                <w:sz w:val="18"/>
                <w:szCs w:val="18"/>
              </w:rPr>
            </w:pPr>
            <w:r>
              <w:rPr>
                <w:rFonts w:hint="eastAsia"/>
                <w:snapToGrid w:val="0"/>
                <w:kern w:val="0"/>
                <w:sz w:val="18"/>
                <w:szCs w:val="18"/>
              </w:rPr>
              <w:t>0.79</w:t>
            </w:r>
            <w:r>
              <w:rPr>
                <w:rFonts w:hint="eastAsia" w:ascii="宋体" w:hAnsi="宋体"/>
                <w:snapToGrid w:val="0"/>
                <w:kern w:val="0"/>
                <w:sz w:val="18"/>
                <w:szCs w:val="18"/>
              </w:rPr>
              <w:t>×</w:t>
            </w:r>
            <w:r>
              <w:rPr>
                <w:rFonts w:hint="eastAsia"/>
                <w:snapToGrid w:val="0"/>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318" w:type="dxa"/>
            <w:shd w:val="clear" w:color="auto" w:fill="auto"/>
            <w:vAlign w:val="center"/>
          </w:tcPr>
          <w:p>
            <w:pPr>
              <w:jc w:val="center"/>
              <w:rPr>
                <w:rFonts w:ascii="宋体" w:hAnsi="宋体" w:cs="宋体"/>
                <w:sz w:val="18"/>
                <w:szCs w:val="18"/>
              </w:rPr>
            </w:pPr>
            <w:r>
              <w:rPr>
                <w:rFonts w:hint="eastAsia"/>
                <w:sz w:val="18"/>
                <w:szCs w:val="18"/>
              </w:rPr>
              <w:t>原煤均化及输送</w:t>
            </w:r>
          </w:p>
        </w:tc>
        <w:tc>
          <w:tcPr>
            <w:tcW w:w="1937" w:type="dxa"/>
            <w:vMerge w:val="continue"/>
            <w:shd w:val="clear" w:color="auto" w:fill="auto"/>
            <w:vAlign w:val="center"/>
          </w:tcPr>
          <w:p>
            <w:pPr>
              <w:spacing w:line="320" w:lineRule="exact"/>
              <w:jc w:val="center"/>
              <w:rPr>
                <w:rFonts w:hint="eastAsia" w:ascii="宋体" w:hAnsi="宋体"/>
                <w:sz w:val="18"/>
                <w:szCs w:val="18"/>
              </w:rPr>
            </w:pPr>
          </w:p>
        </w:tc>
        <w:tc>
          <w:tcPr>
            <w:tcW w:w="1417" w:type="dxa"/>
            <w:shd w:val="clear" w:color="auto" w:fill="auto"/>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vAlign w:val="center"/>
          </w:tcPr>
          <w:p>
            <w:pPr>
              <w:spacing w:line="240" w:lineRule="exact"/>
              <w:jc w:val="center"/>
              <w:rPr>
                <w:rFonts w:hint="eastAsia"/>
                <w:sz w:val="18"/>
                <w:szCs w:val="18"/>
              </w:rPr>
            </w:pPr>
            <w:r>
              <w:rPr>
                <w:rFonts w:hint="eastAsia"/>
                <w:sz w:val="18"/>
                <w:szCs w:val="18"/>
              </w:rPr>
              <w:t>15</w:t>
            </w:r>
          </w:p>
        </w:tc>
        <w:tc>
          <w:tcPr>
            <w:tcW w:w="1203" w:type="dxa"/>
            <w:gridSpan w:val="3"/>
            <w:shd w:val="clear" w:color="auto" w:fill="auto"/>
            <w:vAlign w:val="center"/>
          </w:tcPr>
          <w:p>
            <w:pPr>
              <w:spacing w:line="240" w:lineRule="exact"/>
              <w:jc w:val="center"/>
              <w:rPr>
                <w:rFonts w:hint="eastAsia" w:ascii="宋体" w:hAnsi="宋体"/>
                <w:sz w:val="18"/>
                <w:szCs w:val="18"/>
              </w:rPr>
            </w:pPr>
            <w:r>
              <w:rPr>
                <w:rFonts w:hint="eastAsia" w:ascii="宋体" w:hAnsi="宋体"/>
                <w:sz w:val="18"/>
                <w:szCs w:val="18"/>
              </w:rPr>
              <w:t>30</w:t>
            </w:r>
          </w:p>
        </w:tc>
        <w:tc>
          <w:tcPr>
            <w:tcW w:w="1097" w:type="dxa"/>
            <w:vAlign w:val="top"/>
          </w:tcPr>
          <w:p>
            <w:pPr>
              <w:spacing w:line="320" w:lineRule="exact"/>
              <w:jc w:val="center"/>
              <w:rPr>
                <w:rFonts w:hint="eastAsia"/>
                <w:snapToGrid w:val="0"/>
                <w:kern w:val="0"/>
                <w:sz w:val="18"/>
                <w:szCs w:val="18"/>
              </w:rPr>
            </w:pPr>
            <w:r>
              <w:rPr>
                <w:rFonts w:hint="eastAsia"/>
                <w:snapToGrid w:val="0"/>
                <w:kern w:val="0"/>
                <w:sz w:val="18"/>
                <w:szCs w:val="18"/>
              </w:rPr>
              <w:t>0.42</w:t>
            </w:r>
            <w:r>
              <w:rPr>
                <w:rFonts w:hint="eastAsia" w:ascii="宋体" w:hAnsi="宋体"/>
                <w:snapToGrid w:val="0"/>
                <w:kern w:val="0"/>
                <w:sz w:val="18"/>
                <w:szCs w:val="18"/>
              </w:rPr>
              <w:t>×</w:t>
            </w:r>
            <w:r>
              <w:rPr>
                <w:rFonts w:hint="eastAsia"/>
                <w:snapToGrid w:val="0"/>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318" w:type="dxa"/>
            <w:shd w:val="clear" w:color="auto" w:fill="auto"/>
            <w:vAlign w:val="center"/>
          </w:tcPr>
          <w:p>
            <w:pPr>
              <w:jc w:val="center"/>
              <w:rPr>
                <w:rFonts w:hint="eastAsia"/>
                <w:sz w:val="18"/>
                <w:szCs w:val="18"/>
              </w:rPr>
            </w:pPr>
            <w:r>
              <w:rPr>
                <w:rFonts w:hint="eastAsia"/>
                <w:sz w:val="18"/>
                <w:szCs w:val="18"/>
              </w:rPr>
              <w:t>辅料均化及输送</w:t>
            </w:r>
          </w:p>
        </w:tc>
        <w:tc>
          <w:tcPr>
            <w:tcW w:w="1937" w:type="dxa"/>
            <w:vMerge w:val="continue"/>
            <w:shd w:val="clear" w:color="auto" w:fill="auto"/>
            <w:vAlign w:val="center"/>
          </w:tcPr>
          <w:p>
            <w:pPr>
              <w:spacing w:line="320" w:lineRule="exact"/>
              <w:jc w:val="center"/>
              <w:rPr>
                <w:rFonts w:hint="eastAsia" w:ascii="宋体" w:hAnsi="宋体"/>
                <w:sz w:val="18"/>
                <w:szCs w:val="18"/>
              </w:rPr>
            </w:pPr>
          </w:p>
        </w:tc>
        <w:tc>
          <w:tcPr>
            <w:tcW w:w="1417" w:type="dxa"/>
            <w:shd w:val="clear" w:color="auto" w:fill="auto"/>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vAlign w:val="center"/>
          </w:tcPr>
          <w:p>
            <w:pPr>
              <w:spacing w:line="240" w:lineRule="exact"/>
              <w:jc w:val="center"/>
              <w:rPr>
                <w:rFonts w:hint="eastAsia"/>
                <w:sz w:val="18"/>
                <w:szCs w:val="18"/>
              </w:rPr>
            </w:pPr>
            <w:r>
              <w:rPr>
                <w:rFonts w:hint="eastAsia"/>
                <w:sz w:val="18"/>
                <w:szCs w:val="18"/>
              </w:rPr>
              <w:t>15</w:t>
            </w:r>
          </w:p>
        </w:tc>
        <w:tc>
          <w:tcPr>
            <w:tcW w:w="1203" w:type="dxa"/>
            <w:gridSpan w:val="3"/>
            <w:shd w:val="clear" w:color="auto" w:fill="auto"/>
            <w:vAlign w:val="center"/>
          </w:tcPr>
          <w:p>
            <w:pPr>
              <w:spacing w:line="240" w:lineRule="exact"/>
              <w:jc w:val="center"/>
              <w:rPr>
                <w:rFonts w:hint="eastAsia" w:ascii="宋体" w:hAnsi="宋体"/>
                <w:sz w:val="18"/>
                <w:szCs w:val="18"/>
              </w:rPr>
            </w:pPr>
            <w:r>
              <w:rPr>
                <w:rFonts w:hint="eastAsia" w:ascii="宋体" w:hAnsi="宋体"/>
                <w:sz w:val="18"/>
                <w:szCs w:val="18"/>
              </w:rPr>
              <w:t>30</w:t>
            </w:r>
          </w:p>
        </w:tc>
        <w:tc>
          <w:tcPr>
            <w:tcW w:w="1097" w:type="dxa"/>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0.43</w:t>
            </w:r>
            <w:r>
              <w:rPr>
                <w:rFonts w:hint="eastAsia" w:ascii="宋体" w:hAnsi="宋体"/>
                <w:snapToGrid w:val="0"/>
                <w:kern w:val="0"/>
                <w:sz w:val="18"/>
                <w:szCs w:val="18"/>
              </w:rPr>
              <w:t>×</w:t>
            </w:r>
            <w:r>
              <w:rPr>
                <w:rFonts w:hint="eastAsia"/>
                <w:snapToGrid w:val="0"/>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318" w:type="dxa"/>
            <w:shd w:val="clear" w:color="auto" w:fill="auto"/>
            <w:vAlign w:val="center"/>
          </w:tcPr>
          <w:p>
            <w:pPr>
              <w:jc w:val="center"/>
              <w:rPr>
                <w:rFonts w:hint="eastAsia"/>
                <w:sz w:val="18"/>
                <w:szCs w:val="18"/>
              </w:rPr>
            </w:pPr>
            <w:r>
              <w:rPr>
                <w:rFonts w:hint="eastAsia"/>
                <w:sz w:val="18"/>
                <w:szCs w:val="18"/>
              </w:rPr>
              <w:t>原料配料库顶</w:t>
            </w:r>
          </w:p>
        </w:tc>
        <w:tc>
          <w:tcPr>
            <w:tcW w:w="1937" w:type="dxa"/>
            <w:vMerge w:val="continue"/>
            <w:shd w:val="clear" w:color="auto" w:fill="auto"/>
            <w:vAlign w:val="center"/>
          </w:tcPr>
          <w:p>
            <w:pPr>
              <w:spacing w:line="320" w:lineRule="exact"/>
              <w:jc w:val="center"/>
              <w:rPr>
                <w:rFonts w:hint="eastAsia" w:ascii="宋体" w:hAnsi="宋体"/>
                <w:sz w:val="18"/>
                <w:szCs w:val="18"/>
              </w:rPr>
            </w:pPr>
          </w:p>
        </w:tc>
        <w:tc>
          <w:tcPr>
            <w:tcW w:w="1417" w:type="dxa"/>
            <w:shd w:val="clear" w:color="auto" w:fill="auto"/>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vAlign w:val="center"/>
          </w:tcPr>
          <w:p>
            <w:pPr>
              <w:jc w:val="center"/>
              <w:rPr>
                <w:sz w:val="18"/>
                <w:szCs w:val="18"/>
              </w:rPr>
            </w:pPr>
            <w:r>
              <w:rPr>
                <w:rFonts w:hint="eastAsia"/>
                <w:sz w:val="18"/>
                <w:szCs w:val="18"/>
              </w:rPr>
              <w:t>30</w:t>
            </w:r>
          </w:p>
        </w:tc>
        <w:tc>
          <w:tcPr>
            <w:tcW w:w="1203" w:type="dxa"/>
            <w:gridSpan w:val="3"/>
            <w:shd w:val="clear" w:color="auto" w:fill="auto"/>
            <w:vAlign w:val="center"/>
          </w:tcPr>
          <w:p>
            <w:pPr>
              <w:spacing w:line="240" w:lineRule="exact"/>
              <w:jc w:val="center"/>
              <w:rPr>
                <w:rFonts w:hint="eastAsia" w:ascii="宋体" w:hAnsi="宋体"/>
                <w:sz w:val="18"/>
                <w:szCs w:val="18"/>
              </w:rPr>
            </w:pPr>
            <w:r>
              <w:rPr>
                <w:rFonts w:hint="eastAsia" w:ascii="宋体" w:hAnsi="宋体"/>
                <w:sz w:val="18"/>
                <w:szCs w:val="18"/>
              </w:rPr>
              <w:t>30</w:t>
            </w:r>
          </w:p>
        </w:tc>
        <w:tc>
          <w:tcPr>
            <w:tcW w:w="1097" w:type="dxa"/>
            <w:vAlign w:val="center"/>
          </w:tcPr>
          <w:p>
            <w:pPr>
              <w:snapToGrid w:val="0"/>
              <w:spacing w:line="360" w:lineRule="exact"/>
              <w:jc w:val="center"/>
              <w:rPr>
                <w:rFonts w:hint="eastAsia"/>
                <w:sz w:val="18"/>
                <w:szCs w:val="18"/>
              </w:rPr>
            </w:pPr>
            <w:r>
              <w:rPr>
                <w:rFonts w:hint="eastAsia"/>
                <w:sz w:val="18"/>
                <w:szCs w:val="18"/>
              </w:rPr>
              <w:t>1.12×4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318" w:type="dxa"/>
            <w:shd w:val="clear" w:color="auto" w:fill="auto"/>
            <w:vAlign w:val="center"/>
          </w:tcPr>
          <w:p>
            <w:pPr>
              <w:jc w:val="center"/>
              <w:rPr>
                <w:rFonts w:hint="eastAsia"/>
                <w:sz w:val="18"/>
                <w:szCs w:val="18"/>
              </w:rPr>
            </w:pPr>
            <w:r>
              <w:rPr>
                <w:rFonts w:hint="eastAsia"/>
                <w:sz w:val="18"/>
                <w:szCs w:val="18"/>
              </w:rPr>
              <w:t>原料配料库底</w:t>
            </w:r>
          </w:p>
        </w:tc>
        <w:tc>
          <w:tcPr>
            <w:tcW w:w="1937" w:type="dxa"/>
            <w:vMerge w:val="continue"/>
            <w:shd w:val="clear" w:color="auto" w:fill="auto"/>
            <w:vAlign w:val="center"/>
          </w:tcPr>
          <w:p>
            <w:pPr>
              <w:spacing w:line="320" w:lineRule="exact"/>
              <w:jc w:val="center"/>
              <w:rPr>
                <w:rFonts w:hint="eastAsia" w:ascii="宋体" w:hAnsi="宋体"/>
                <w:sz w:val="18"/>
                <w:szCs w:val="18"/>
              </w:rPr>
            </w:pPr>
          </w:p>
        </w:tc>
        <w:tc>
          <w:tcPr>
            <w:tcW w:w="1417" w:type="dxa"/>
            <w:shd w:val="clear" w:color="auto" w:fill="auto"/>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vAlign w:val="center"/>
          </w:tcPr>
          <w:p>
            <w:pPr>
              <w:jc w:val="center"/>
              <w:rPr>
                <w:rFonts w:hint="eastAsia"/>
                <w:sz w:val="18"/>
                <w:szCs w:val="18"/>
              </w:rPr>
            </w:pPr>
            <w:r>
              <w:rPr>
                <w:rFonts w:hint="eastAsia"/>
                <w:sz w:val="18"/>
                <w:szCs w:val="18"/>
              </w:rPr>
              <w:t>15</w:t>
            </w:r>
          </w:p>
        </w:tc>
        <w:tc>
          <w:tcPr>
            <w:tcW w:w="1203" w:type="dxa"/>
            <w:gridSpan w:val="3"/>
            <w:shd w:val="clear" w:color="auto" w:fill="auto"/>
            <w:vAlign w:val="center"/>
          </w:tcPr>
          <w:p>
            <w:pPr>
              <w:spacing w:line="240" w:lineRule="exact"/>
              <w:jc w:val="center"/>
              <w:rPr>
                <w:rFonts w:hint="eastAsia" w:ascii="宋体" w:hAnsi="宋体"/>
                <w:sz w:val="18"/>
                <w:szCs w:val="18"/>
              </w:rPr>
            </w:pPr>
            <w:r>
              <w:rPr>
                <w:rFonts w:hint="eastAsia" w:ascii="宋体" w:hAnsi="宋体"/>
                <w:sz w:val="18"/>
                <w:szCs w:val="18"/>
              </w:rPr>
              <w:t>30</w:t>
            </w:r>
          </w:p>
        </w:tc>
        <w:tc>
          <w:tcPr>
            <w:tcW w:w="1097" w:type="dxa"/>
            <w:vAlign w:val="center"/>
          </w:tcPr>
          <w:p>
            <w:pPr>
              <w:snapToGrid w:val="0"/>
              <w:spacing w:line="360" w:lineRule="exact"/>
              <w:jc w:val="center"/>
              <w:rPr>
                <w:rFonts w:hint="eastAsia"/>
                <w:sz w:val="18"/>
                <w:szCs w:val="18"/>
              </w:rPr>
            </w:pPr>
            <w:r>
              <w:rPr>
                <w:rFonts w:hint="eastAsia"/>
                <w:sz w:val="18"/>
                <w:szCs w:val="18"/>
              </w:rPr>
              <w:t>1.12×4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2318" w:type="dxa"/>
            <w:vMerge w:val="restart"/>
            <w:shd w:val="clear" w:color="auto" w:fill="auto"/>
            <w:vAlign w:val="center"/>
          </w:tcPr>
          <w:p>
            <w:pPr>
              <w:spacing w:line="320" w:lineRule="exact"/>
              <w:jc w:val="center"/>
              <w:rPr>
                <w:rFonts w:hint="eastAsia"/>
                <w:sz w:val="18"/>
                <w:szCs w:val="18"/>
                <w:lang w:val="de-DE"/>
              </w:rPr>
            </w:pPr>
            <w:r>
              <w:rPr>
                <w:sz w:val="18"/>
                <w:szCs w:val="18"/>
              </w:rPr>
              <w:t>窑尾废气</w:t>
            </w:r>
          </w:p>
        </w:tc>
        <w:tc>
          <w:tcPr>
            <w:tcW w:w="1937" w:type="dxa"/>
            <w:vMerge w:val="continue"/>
            <w:shd w:val="clear" w:color="auto" w:fill="auto"/>
            <w:vAlign w:val="center"/>
          </w:tcPr>
          <w:p>
            <w:pPr>
              <w:spacing w:line="320" w:lineRule="exact"/>
              <w:jc w:val="center"/>
              <w:rPr>
                <w:sz w:val="18"/>
                <w:szCs w:val="18"/>
                <w:lang w:val="de-DE"/>
              </w:rPr>
            </w:pPr>
          </w:p>
        </w:tc>
        <w:tc>
          <w:tcPr>
            <w:tcW w:w="1417" w:type="dxa"/>
            <w:shd w:val="clear" w:color="auto" w:fill="auto"/>
            <w:vAlign w:val="center"/>
          </w:tcPr>
          <w:p>
            <w:pPr>
              <w:spacing w:line="320" w:lineRule="exact"/>
              <w:jc w:val="center"/>
              <w:rPr>
                <w:rFonts w:hint="eastAsia"/>
                <w:sz w:val="18"/>
                <w:szCs w:val="18"/>
                <w:lang w:val="de-DE"/>
              </w:rPr>
            </w:pPr>
            <w:r>
              <w:rPr>
                <w:rFonts w:hint="eastAsia"/>
                <w:sz w:val="18"/>
                <w:szCs w:val="18"/>
                <w:lang w:val="de-DE"/>
              </w:rPr>
              <w:t>烟尘</w:t>
            </w:r>
          </w:p>
        </w:tc>
        <w:tc>
          <w:tcPr>
            <w:tcW w:w="1155" w:type="dxa"/>
            <w:vMerge w:val="restart"/>
            <w:shd w:val="clear" w:color="auto" w:fill="auto"/>
            <w:vAlign w:val="center"/>
          </w:tcPr>
          <w:p>
            <w:pPr>
              <w:spacing w:line="320" w:lineRule="exact"/>
              <w:jc w:val="center"/>
              <w:rPr>
                <w:rFonts w:hint="eastAsia" w:ascii="宋体" w:hAnsi="宋体"/>
                <w:sz w:val="18"/>
                <w:szCs w:val="18"/>
              </w:rPr>
            </w:pPr>
            <w:r>
              <w:rPr>
                <w:rFonts w:hint="eastAsia" w:ascii="宋体" w:hAnsi="宋体"/>
                <w:sz w:val="18"/>
                <w:szCs w:val="18"/>
              </w:rPr>
              <w:t>110</w:t>
            </w:r>
          </w:p>
        </w:tc>
        <w:tc>
          <w:tcPr>
            <w:tcW w:w="1203" w:type="dxa"/>
            <w:gridSpan w:val="3"/>
            <w:shd w:val="clear" w:color="auto" w:fill="auto"/>
            <w:vAlign w:val="center"/>
          </w:tcPr>
          <w:p>
            <w:pPr>
              <w:spacing w:line="320" w:lineRule="exact"/>
              <w:jc w:val="center"/>
              <w:rPr>
                <w:rFonts w:hint="eastAsia" w:ascii="宋体" w:hAnsi="宋体"/>
                <w:sz w:val="18"/>
                <w:szCs w:val="18"/>
              </w:rPr>
            </w:pPr>
            <w:r>
              <w:rPr>
                <w:rFonts w:hint="eastAsia" w:ascii="宋体" w:hAnsi="宋体"/>
                <w:sz w:val="18"/>
                <w:szCs w:val="18"/>
              </w:rPr>
              <w:t>30</w:t>
            </w:r>
          </w:p>
        </w:tc>
        <w:tc>
          <w:tcPr>
            <w:tcW w:w="1097" w:type="dxa"/>
            <w:vAlign w:val="center"/>
          </w:tcPr>
          <w:p>
            <w:pPr>
              <w:snapToGrid w:val="0"/>
              <w:spacing w:line="360" w:lineRule="exact"/>
              <w:jc w:val="center"/>
              <w:rPr>
                <w:rFonts w:hint="eastAsia"/>
                <w:sz w:val="18"/>
                <w:szCs w:val="18"/>
              </w:rPr>
            </w:pPr>
            <w:r>
              <w:rPr>
                <w:rFonts w:hint="eastAsia"/>
                <w:sz w:val="18"/>
                <w:szCs w:val="18"/>
              </w:rPr>
              <w:t>77.15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318" w:type="dxa"/>
            <w:vMerge w:val="continue"/>
            <w:shd w:val="clear" w:color="auto" w:fill="auto"/>
            <w:vAlign w:val="center"/>
          </w:tcPr>
          <w:p>
            <w:pPr>
              <w:spacing w:line="320" w:lineRule="exact"/>
              <w:jc w:val="center"/>
              <w:rPr>
                <w:sz w:val="18"/>
                <w:szCs w:val="18"/>
              </w:rPr>
            </w:pPr>
          </w:p>
        </w:tc>
        <w:tc>
          <w:tcPr>
            <w:tcW w:w="1937" w:type="dxa"/>
            <w:vMerge w:val="continue"/>
            <w:shd w:val="clear" w:color="auto" w:fill="auto"/>
            <w:vAlign w:val="center"/>
          </w:tcPr>
          <w:p>
            <w:pPr>
              <w:spacing w:line="320" w:lineRule="exact"/>
              <w:jc w:val="center"/>
              <w:rPr>
                <w:sz w:val="18"/>
                <w:szCs w:val="18"/>
                <w:lang w:val="de-DE"/>
              </w:rPr>
            </w:pPr>
          </w:p>
        </w:tc>
        <w:tc>
          <w:tcPr>
            <w:tcW w:w="1417" w:type="dxa"/>
            <w:shd w:val="clear" w:color="auto" w:fill="auto"/>
            <w:vAlign w:val="center"/>
          </w:tcPr>
          <w:p>
            <w:pPr>
              <w:spacing w:line="320" w:lineRule="exact"/>
              <w:jc w:val="center"/>
              <w:rPr>
                <w:rFonts w:hint="eastAsia"/>
                <w:sz w:val="18"/>
                <w:szCs w:val="18"/>
                <w:lang w:val="de-DE"/>
              </w:rPr>
            </w:pPr>
            <w:r>
              <w:rPr>
                <w:rFonts w:hint="eastAsia"/>
                <w:sz w:val="18"/>
                <w:szCs w:val="18"/>
                <w:lang w:val="de-DE"/>
              </w:rPr>
              <w:t>SO</w:t>
            </w:r>
            <w:r>
              <w:rPr>
                <w:rFonts w:hint="eastAsia"/>
                <w:sz w:val="18"/>
                <w:szCs w:val="18"/>
                <w:vertAlign w:val="subscript"/>
                <w:lang w:val="de-DE"/>
              </w:rPr>
              <w:t>2</w:t>
            </w:r>
          </w:p>
        </w:tc>
        <w:tc>
          <w:tcPr>
            <w:tcW w:w="1155" w:type="dxa"/>
            <w:vMerge w:val="continue"/>
            <w:shd w:val="clear" w:color="auto" w:fill="auto"/>
            <w:vAlign w:val="center"/>
          </w:tcPr>
          <w:p>
            <w:pPr>
              <w:spacing w:line="320" w:lineRule="exact"/>
              <w:jc w:val="center"/>
              <w:rPr>
                <w:rFonts w:hint="eastAsia"/>
                <w:sz w:val="18"/>
                <w:szCs w:val="18"/>
                <w:lang w:val="de-DE"/>
              </w:rPr>
            </w:pPr>
          </w:p>
        </w:tc>
        <w:tc>
          <w:tcPr>
            <w:tcW w:w="1203" w:type="dxa"/>
            <w:gridSpan w:val="3"/>
            <w:shd w:val="clear" w:color="auto" w:fill="auto"/>
            <w:vAlign w:val="center"/>
          </w:tcPr>
          <w:p>
            <w:pPr>
              <w:spacing w:line="320" w:lineRule="exact"/>
              <w:jc w:val="center"/>
              <w:rPr>
                <w:rFonts w:hint="eastAsia"/>
                <w:sz w:val="18"/>
                <w:szCs w:val="18"/>
                <w:lang w:val="de-DE"/>
              </w:rPr>
            </w:pPr>
            <w:r>
              <w:rPr>
                <w:rFonts w:hint="eastAsia"/>
                <w:sz w:val="18"/>
                <w:szCs w:val="18"/>
                <w:lang w:val="de-DE"/>
              </w:rPr>
              <w:t>200</w:t>
            </w:r>
          </w:p>
        </w:tc>
        <w:tc>
          <w:tcPr>
            <w:tcW w:w="1097" w:type="dxa"/>
            <w:vAlign w:val="center"/>
          </w:tcPr>
          <w:p>
            <w:pPr>
              <w:jc w:val="center"/>
              <w:rPr>
                <w:rFonts w:hint="eastAsia"/>
                <w:sz w:val="18"/>
                <w:szCs w:val="18"/>
              </w:rPr>
            </w:pPr>
            <w:r>
              <w:rPr>
                <w:rFonts w:hint="eastAsia"/>
                <w:sz w:val="18"/>
                <w:szCs w:val="18"/>
              </w:rPr>
              <w:t>216.44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318" w:type="dxa"/>
            <w:vMerge w:val="continue"/>
            <w:shd w:val="clear" w:color="auto" w:fill="auto"/>
            <w:vAlign w:val="center"/>
          </w:tcPr>
          <w:p>
            <w:pPr>
              <w:spacing w:line="320" w:lineRule="exact"/>
              <w:jc w:val="center"/>
              <w:rPr>
                <w:sz w:val="18"/>
                <w:szCs w:val="18"/>
              </w:rPr>
            </w:pPr>
          </w:p>
        </w:tc>
        <w:tc>
          <w:tcPr>
            <w:tcW w:w="1937" w:type="dxa"/>
            <w:vMerge w:val="continue"/>
            <w:shd w:val="clear" w:color="auto" w:fill="auto"/>
            <w:vAlign w:val="center"/>
          </w:tcPr>
          <w:p>
            <w:pPr>
              <w:spacing w:line="320" w:lineRule="exact"/>
              <w:jc w:val="center"/>
              <w:rPr>
                <w:sz w:val="18"/>
                <w:szCs w:val="18"/>
                <w:lang w:val="de-DE"/>
              </w:rPr>
            </w:pPr>
          </w:p>
        </w:tc>
        <w:tc>
          <w:tcPr>
            <w:tcW w:w="1417" w:type="dxa"/>
            <w:shd w:val="clear" w:color="auto" w:fill="auto"/>
            <w:vAlign w:val="center"/>
          </w:tcPr>
          <w:p>
            <w:pPr>
              <w:spacing w:line="320" w:lineRule="exact"/>
              <w:jc w:val="center"/>
              <w:rPr>
                <w:rFonts w:hint="eastAsia"/>
                <w:sz w:val="18"/>
                <w:szCs w:val="18"/>
                <w:lang w:val="de-DE"/>
              </w:rPr>
            </w:pPr>
            <w:r>
              <w:rPr>
                <w:rFonts w:hint="eastAsia"/>
                <w:sz w:val="18"/>
                <w:szCs w:val="18"/>
                <w:lang w:val="de-DE"/>
              </w:rPr>
              <w:t>NO</w:t>
            </w:r>
            <w:r>
              <w:rPr>
                <w:rFonts w:hint="eastAsia"/>
                <w:sz w:val="18"/>
                <w:szCs w:val="18"/>
                <w:vertAlign w:val="subscript"/>
                <w:lang w:val="de-DE"/>
              </w:rPr>
              <w:t>2</w:t>
            </w:r>
          </w:p>
        </w:tc>
        <w:tc>
          <w:tcPr>
            <w:tcW w:w="1155" w:type="dxa"/>
            <w:vMerge w:val="continue"/>
            <w:shd w:val="clear" w:color="auto" w:fill="auto"/>
            <w:vAlign w:val="center"/>
          </w:tcPr>
          <w:p>
            <w:pPr>
              <w:spacing w:line="320" w:lineRule="exact"/>
              <w:jc w:val="center"/>
              <w:rPr>
                <w:rFonts w:hint="eastAsia"/>
                <w:sz w:val="18"/>
                <w:szCs w:val="18"/>
                <w:lang w:val="de-DE"/>
              </w:rPr>
            </w:pPr>
          </w:p>
        </w:tc>
        <w:tc>
          <w:tcPr>
            <w:tcW w:w="1203" w:type="dxa"/>
            <w:gridSpan w:val="3"/>
            <w:shd w:val="clear" w:color="auto" w:fill="auto"/>
            <w:vAlign w:val="center"/>
          </w:tcPr>
          <w:p>
            <w:pPr>
              <w:spacing w:line="320" w:lineRule="exact"/>
              <w:jc w:val="center"/>
              <w:rPr>
                <w:rFonts w:hint="eastAsia"/>
                <w:sz w:val="18"/>
                <w:szCs w:val="18"/>
                <w:lang w:val="de-DE"/>
              </w:rPr>
            </w:pPr>
            <w:r>
              <w:rPr>
                <w:rFonts w:hint="eastAsia"/>
                <w:sz w:val="18"/>
                <w:szCs w:val="18"/>
                <w:lang w:val="de-DE"/>
              </w:rPr>
              <w:t>800</w:t>
            </w:r>
          </w:p>
        </w:tc>
        <w:tc>
          <w:tcPr>
            <w:tcW w:w="1097" w:type="dxa"/>
            <w:vAlign w:val="center"/>
          </w:tcPr>
          <w:p>
            <w:pPr>
              <w:jc w:val="center"/>
              <w:rPr>
                <w:rFonts w:hint="eastAsia"/>
                <w:sz w:val="18"/>
                <w:szCs w:val="18"/>
              </w:rPr>
            </w:pPr>
            <w:r>
              <w:rPr>
                <w:rFonts w:hint="eastAsia"/>
                <w:sz w:val="18"/>
                <w:szCs w:val="18"/>
              </w:rPr>
              <w:t>1799.88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318" w:type="dxa"/>
            <w:shd w:val="clear" w:color="auto" w:fill="auto"/>
            <w:vAlign w:val="center"/>
          </w:tcPr>
          <w:p>
            <w:pPr>
              <w:jc w:val="center"/>
              <w:rPr>
                <w:rFonts w:hint="eastAsia"/>
                <w:sz w:val="18"/>
                <w:szCs w:val="18"/>
              </w:rPr>
            </w:pPr>
            <w:r>
              <w:rPr>
                <w:rFonts w:hint="eastAsia"/>
                <w:sz w:val="18"/>
                <w:szCs w:val="18"/>
              </w:rPr>
              <w:t>生料均化库顶</w:t>
            </w:r>
          </w:p>
        </w:tc>
        <w:tc>
          <w:tcPr>
            <w:tcW w:w="1937" w:type="dxa"/>
            <w:vMerge w:val="continue"/>
            <w:shd w:val="clear" w:color="auto" w:fill="auto"/>
            <w:vAlign w:val="center"/>
          </w:tcPr>
          <w:p>
            <w:pPr>
              <w:spacing w:line="320" w:lineRule="exact"/>
              <w:jc w:val="center"/>
              <w:rPr>
                <w:sz w:val="18"/>
                <w:szCs w:val="18"/>
                <w:lang w:val="de-DE"/>
              </w:rPr>
            </w:pPr>
          </w:p>
        </w:tc>
        <w:tc>
          <w:tcPr>
            <w:tcW w:w="1417" w:type="dxa"/>
            <w:shd w:val="clear" w:color="auto" w:fill="auto"/>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vAlign w:val="center"/>
          </w:tcPr>
          <w:p>
            <w:pPr>
              <w:jc w:val="center"/>
              <w:rPr>
                <w:rFonts w:hint="eastAsia"/>
                <w:sz w:val="18"/>
                <w:szCs w:val="18"/>
              </w:rPr>
            </w:pPr>
            <w:r>
              <w:rPr>
                <w:rFonts w:hint="eastAsia"/>
                <w:sz w:val="18"/>
                <w:szCs w:val="18"/>
              </w:rPr>
              <w:t>65</w:t>
            </w:r>
          </w:p>
        </w:tc>
        <w:tc>
          <w:tcPr>
            <w:tcW w:w="1203" w:type="dxa"/>
            <w:gridSpan w:val="3"/>
            <w:shd w:val="clear" w:color="auto" w:fill="auto"/>
            <w:vAlign w:val="center"/>
          </w:tcPr>
          <w:p>
            <w:pPr>
              <w:spacing w:line="320" w:lineRule="exact"/>
              <w:jc w:val="center"/>
              <w:rPr>
                <w:rFonts w:hint="eastAsia"/>
                <w:sz w:val="18"/>
                <w:szCs w:val="18"/>
                <w:lang w:val="de-DE"/>
              </w:rPr>
            </w:pPr>
            <w:r>
              <w:rPr>
                <w:rFonts w:hint="eastAsia"/>
                <w:sz w:val="18"/>
                <w:szCs w:val="18"/>
                <w:lang w:val="de-DE"/>
              </w:rPr>
              <w:t>30</w:t>
            </w:r>
          </w:p>
        </w:tc>
        <w:tc>
          <w:tcPr>
            <w:tcW w:w="1097" w:type="dxa"/>
            <w:vAlign w:val="center"/>
          </w:tcPr>
          <w:p>
            <w:pPr>
              <w:jc w:val="center"/>
              <w:rPr>
                <w:rFonts w:hint="eastAsia"/>
                <w:sz w:val="18"/>
                <w:szCs w:val="18"/>
              </w:rPr>
            </w:pPr>
            <w:r>
              <w:rPr>
                <w:rFonts w:hint="eastAsia"/>
                <w:sz w:val="18"/>
                <w:szCs w:val="18"/>
              </w:rPr>
              <w:t>2.46</w:t>
            </w:r>
            <w:r>
              <w:rPr>
                <w:rFonts w:hint="eastAsia" w:ascii="宋体" w:hAnsi="宋体"/>
                <w:snapToGrid w:val="0"/>
                <w:kern w:val="0"/>
                <w:sz w:val="18"/>
                <w:szCs w:val="18"/>
              </w:rPr>
              <w:t>×</w:t>
            </w:r>
            <w:r>
              <w:rPr>
                <w:rFonts w:hint="eastAsia"/>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318" w:type="dxa"/>
            <w:shd w:val="clear" w:color="auto" w:fill="auto"/>
            <w:vAlign w:val="center"/>
          </w:tcPr>
          <w:p>
            <w:pPr>
              <w:jc w:val="center"/>
              <w:rPr>
                <w:rFonts w:hint="eastAsia"/>
                <w:sz w:val="18"/>
                <w:szCs w:val="18"/>
              </w:rPr>
            </w:pPr>
            <w:r>
              <w:rPr>
                <w:rFonts w:hint="eastAsia"/>
                <w:sz w:val="18"/>
                <w:szCs w:val="18"/>
              </w:rPr>
              <w:t>生料均化库底</w:t>
            </w:r>
          </w:p>
        </w:tc>
        <w:tc>
          <w:tcPr>
            <w:tcW w:w="1937" w:type="dxa"/>
            <w:vMerge w:val="continue"/>
            <w:shd w:val="clear" w:color="auto" w:fill="auto"/>
            <w:vAlign w:val="center"/>
          </w:tcPr>
          <w:p>
            <w:pPr>
              <w:spacing w:line="320" w:lineRule="exact"/>
              <w:jc w:val="center"/>
              <w:rPr>
                <w:sz w:val="18"/>
                <w:szCs w:val="18"/>
                <w:lang w:val="de-DE"/>
              </w:rPr>
            </w:pPr>
          </w:p>
        </w:tc>
        <w:tc>
          <w:tcPr>
            <w:tcW w:w="1417" w:type="dxa"/>
            <w:shd w:val="clear" w:color="auto" w:fill="auto"/>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vAlign w:val="center"/>
          </w:tcPr>
          <w:p>
            <w:pPr>
              <w:jc w:val="center"/>
              <w:rPr>
                <w:rFonts w:hint="eastAsia"/>
                <w:sz w:val="18"/>
                <w:szCs w:val="18"/>
              </w:rPr>
            </w:pPr>
            <w:r>
              <w:rPr>
                <w:rFonts w:hint="eastAsia"/>
                <w:sz w:val="18"/>
                <w:szCs w:val="18"/>
              </w:rPr>
              <w:t>15</w:t>
            </w:r>
          </w:p>
        </w:tc>
        <w:tc>
          <w:tcPr>
            <w:tcW w:w="1203" w:type="dxa"/>
            <w:gridSpan w:val="3"/>
            <w:shd w:val="clear" w:color="auto" w:fill="auto"/>
            <w:vAlign w:val="center"/>
          </w:tcPr>
          <w:p>
            <w:pPr>
              <w:spacing w:line="320" w:lineRule="exact"/>
              <w:jc w:val="center"/>
              <w:rPr>
                <w:rFonts w:hint="eastAsia"/>
                <w:sz w:val="18"/>
                <w:szCs w:val="18"/>
                <w:lang w:val="de-DE"/>
              </w:rPr>
            </w:pPr>
            <w:r>
              <w:rPr>
                <w:rFonts w:hint="eastAsia"/>
                <w:sz w:val="18"/>
                <w:szCs w:val="18"/>
                <w:lang w:val="de-DE"/>
              </w:rPr>
              <w:t>30</w:t>
            </w:r>
          </w:p>
        </w:tc>
        <w:tc>
          <w:tcPr>
            <w:tcW w:w="1097" w:type="dxa"/>
            <w:vAlign w:val="center"/>
          </w:tcPr>
          <w:p>
            <w:pPr>
              <w:jc w:val="center"/>
              <w:rPr>
                <w:rFonts w:hint="eastAsia"/>
                <w:sz w:val="18"/>
                <w:szCs w:val="18"/>
              </w:rPr>
            </w:pPr>
            <w:r>
              <w:rPr>
                <w:rFonts w:hint="eastAsia"/>
                <w:sz w:val="18"/>
                <w:szCs w:val="18"/>
              </w:rPr>
              <w:t>1.49</w:t>
            </w:r>
            <w:r>
              <w:rPr>
                <w:rFonts w:hint="eastAsia" w:ascii="宋体" w:hAnsi="宋体"/>
                <w:snapToGrid w:val="0"/>
                <w:kern w:val="0"/>
                <w:sz w:val="18"/>
                <w:szCs w:val="18"/>
              </w:rPr>
              <w:t>×</w:t>
            </w:r>
            <w:r>
              <w:rPr>
                <w:rFonts w:hint="eastAsia"/>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318" w:type="dxa"/>
            <w:shd w:val="clear" w:color="auto" w:fill="auto"/>
            <w:vAlign w:val="center"/>
          </w:tcPr>
          <w:p>
            <w:pPr>
              <w:spacing w:line="320" w:lineRule="exact"/>
              <w:jc w:val="center"/>
              <w:rPr>
                <w:rFonts w:hint="eastAsia"/>
                <w:sz w:val="18"/>
                <w:szCs w:val="18"/>
                <w:lang w:val="de-DE"/>
              </w:rPr>
            </w:pPr>
            <w:r>
              <w:rPr>
                <w:sz w:val="18"/>
                <w:szCs w:val="18"/>
              </w:rPr>
              <w:t>窑头废气</w:t>
            </w:r>
          </w:p>
        </w:tc>
        <w:tc>
          <w:tcPr>
            <w:tcW w:w="1937" w:type="dxa"/>
            <w:vMerge w:val="continue"/>
            <w:shd w:val="clear" w:color="auto" w:fill="auto"/>
            <w:vAlign w:val="center"/>
          </w:tcPr>
          <w:p>
            <w:pPr>
              <w:spacing w:line="320" w:lineRule="exact"/>
              <w:jc w:val="center"/>
              <w:rPr>
                <w:sz w:val="18"/>
                <w:szCs w:val="18"/>
                <w:lang w:val="de-DE"/>
              </w:rPr>
            </w:pPr>
          </w:p>
        </w:tc>
        <w:tc>
          <w:tcPr>
            <w:tcW w:w="1417" w:type="dxa"/>
            <w:shd w:val="clear" w:color="auto" w:fill="auto"/>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vAlign w:val="center"/>
          </w:tcPr>
          <w:p>
            <w:pPr>
              <w:spacing w:line="320" w:lineRule="exact"/>
              <w:jc w:val="center"/>
              <w:rPr>
                <w:rFonts w:hint="eastAsia" w:ascii="宋体" w:hAnsi="宋体"/>
                <w:sz w:val="18"/>
                <w:szCs w:val="18"/>
              </w:rPr>
            </w:pPr>
            <w:r>
              <w:rPr>
                <w:rFonts w:hint="eastAsia" w:ascii="宋体" w:hAnsi="宋体"/>
                <w:sz w:val="18"/>
                <w:szCs w:val="18"/>
              </w:rPr>
              <w:t>40</w:t>
            </w:r>
          </w:p>
        </w:tc>
        <w:tc>
          <w:tcPr>
            <w:tcW w:w="1203" w:type="dxa"/>
            <w:gridSpan w:val="3"/>
            <w:shd w:val="clear" w:color="auto" w:fill="auto"/>
            <w:vAlign w:val="center"/>
          </w:tcPr>
          <w:p>
            <w:pPr>
              <w:spacing w:line="320" w:lineRule="exact"/>
              <w:jc w:val="center"/>
              <w:rPr>
                <w:rFonts w:hint="eastAsia" w:ascii="宋体" w:hAnsi="宋体"/>
                <w:sz w:val="18"/>
                <w:szCs w:val="18"/>
              </w:rPr>
            </w:pPr>
            <w:r>
              <w:rPr>
                <w:rFonts w:hint="eastAsia" w:ascii="宋体" w:hAnsi="宋体"/>
                <w:sz w:val="18"/>
                <w:szCs w:val="18"/>
              </w:rPr>
              <w:t>30</w:t>
            </w:r>
          </w:p>
        </w:tc>
        <w:tc>
          <w:tcPr>
            <w:tcW w:w="1097" w:type="dxa"/>
            <w:vAlign w:val="center"/>
          </w:tcPr>
          <w:p>
            <w:pPr>
              <w:spacing w:line="320" w:lineRule="exact"/>
              <w:jc w:val="center"/>
              <w:rPr>
                <w:rFonts w:hint="eastAsia" w:ascii="宋体" w:hAnsi="宋体"/>
                <w:sz w:val="18"/>
                <w:szCs w:val="18"/>
              </w:rPr>
            </w:pPr>
            <w:r>
              <w:rPr>
                <w:rFonts w:hint="eastAsia" w:ascii="宋体" w:hAnsi="宋体" w:cs="宋体"/>
                <w:sz w:val="18"/>
                <w:szCs w:val="18"/>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318" w:type="dxa"/>
            <w:shd w:val="clear" w:color="auto" w:fill="auto"/>
            <w:vAlign w:val="center"/>
          </w:tcPr>
          <w:p>
            <w:pPr>
              <w:jc w:val="center"/>
              <w:rPr>
                <w:sz w:val="18"/>
                <w:szCs w:val="18"/>
              </w:rPr>
            </w:pPr>
            <w:r>
              <w:rPr>
                <w:rFonts w:hint="eastAsia"/>
                <w:sz w:val="18"/>
                <w:szCs w:val="18"/>
              </w:rPr>
              <w:t>熟料库底</w:t>
            </w:r>
          </w:p>
        </w:tc>
        <w:tc>
          <w:tcPr>
            <w:tcW w:w="1937" w:type="dxa"/>
            <w:vMerge w:val="continue"/>
            <w:shd w:val="clear" w:color="auto" w:fill="auto"/>
            <w:vAlign w:val="center"/>
          </w:tcPr>
          <w:p>
            <w:pPr>
              <w:spacing w:line="320" w:lineRule="exact"/>
              <w:jc w:val="center"/>
              <w:rPr>
                <w:sz w:val="18"/>
                <w:szCs w:val="18"/>
                <w:lang w:val="de-DE"/>
              </w:rPr>
            </w:pPr>
          </w:p>
        </w:tc>
        <w:tc>
          <w:tcPr>
            <w:tcW w:w="1417" w:type="dxa"/>
            <w:shd w:val="clear" w:color="auto" w:fill="auto"/>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vAlign w:val="center"/>
          </w:tcPr>
          <w:p>
            <w:pPr>
              <w:jc w:val="center"/>
              <w:rPr>
                <w:sz w:val="18"/>
                <w:szCs w:val="18"/>
              </w:rPr>
            </w:pPr>
            <w:r>
              <w:rPr>
                <w:rFonts w:hint="eastAsia"/>
                <w:sz w:val="18"/>
                <w:szCs w:val="18"/>
              </w:rPr>
              <w:t>15</w:t>
            </w:r>
          </w:p>
        </w:tc>
        <w:tc>
          <w:tcPr>
            <w:tcW w:w="1203" w:type="dxa"/>
            <w:gridSpan w:val="3"/>
            <w:shd w:val="clear" w:color="auto" w:fill="auto"/>
            <w:vAlign w:val="center"/>
          </w:tcPr>
          <w:p>
            <w:pPr>
              <w:spacing w:line="320" w:lineRule="exact"/>
              <w:jc w:val="center"/>
              <w:rPr>
                <w:rFonts w:hint="eastAsia"/>
                <w:sz w:val="18"/>
                <w:szCs w:val="18"/>
                <w:lang w:val="de-DE"/>
              </w:rPr>
            </w:pPr>
            <w:r>
              <w:rPr>
                <w:rFonts w:hint="eastAsia"/>
                <w:sz w:val="18"/>
                <w:szCs w:val="18"/>
                <w:lang w:val="de-DE"/>
              </w:rPr>
              <w:t>30</w:t>
            </w:r>
          </w:p>
        </w:tc>
        <w:tc>
          <w:tcPr>
            <w:tcW w:w="1097" w:type="dxa"/>
            <w:vAlign w:val="center"/>
          </w:tcPr>
          <w:p>
            <w:pPr>
              <w:jc w:val="center"/>
              <w:rPr>
                <w:rFonts w:hint="eastAsia"/>
                <w:sz w:val="18"/>
                <w:szCs w:val="18"/>
              </w:rPr>
            </w:pPr>
            <w:r>
              <w:rPr>
                <w:rFonts w:hint="eastAsia"/>
                <w:sz w:val="18"/>
                <w:szCs w:val="18"/>
              </w:rPr>
              <w:t>2.68</w:t>
            </w:r>
            <w:r>
              <w:rPr>
                <w:rFonts w:hint="eastAsia" w:ascii="宋体" w:hAnsi="宋体"/>
                <w:snapToGrid w:val="0"/>
                <w:kern w:val="0"/>
                <w:sz w:val="18"/>
                <w:szCs w:val="18"/>
              </w:rPr>
              <w:t>×</w:t>
            </w:r>
            <w:r>
              <w:rPr>
                <w:rFonts w:hint="eastAsia"/>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318" w:type="dxa"/>
            <w:shd w:val="clear" w:color="auto" w:fill="auto"/>
            <w:vAlign w:val="center"/>
          </w:tcPr>
          <w:p>
            <w:pPr>
              <w:jc w:val="center"/>
              <w:rPr>
                <w:sz w:val="18"/>
                <w:szCs w:val="18"/>
              </w:rPr>
            </w:pPr>
            <w:r>
              <w:rPr>
                <w:rFonts w:hint="eastAsia"/>
                <w:sz w:val="18"/>
                <w:szCs w:val="18"/>
              </w:rPr>
              <w:t>熟料库顶</w:t>
            </w:r>
          </w:p>
        </w:tc>
        <w:tc>
          <w:tcPr>
            <w:tcW w:w="1937" w:type="dxa"/>
            <w:vMerge w:val="continue"/>
            <w:shd w:val="clear" w:color="auto" w:fill="auto"/>
            <w:vAlign w:val="center"/>
          </w:tcPr>
          <w:p>
            <w:pPr>
              <w:spacing w:line="320" w:lineRule="exact"/>
              <w:jc w:val="center"/>
              <w:rPr>
                <w:sz w:val="18"/>
                <w:szCs w:val="18"/>
                <w:lang w:val="de-DE"/>
              </w:rPr>
            </w:pPr>
          </w:p>
        </w:tc>
        <w:tc>
          <w:tcPr>
            <w:tcW w:w="1417" w:type="dxa"/>
            <w:shd w:val="clear" w:color="auto" w:fill="auto"/>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vAlign w:val="center"/>
          </w:tcPr>
          <w:p>
            <w:pPr>
              <w:jc w:val="center"/>
              <w:rPr>
                <w:sz w:val="18"/>
                <w:szCs w:val="18"/>
              </w:rPr>
            </w:pPr>
            <w:r>
              <w:rPr>
                <w:rFonts w:hint="eastAsia"/>
                <w:sz w:val="18"/>
                <w:szCs w:val="18"/>
              </w:rPr>
              <w:t>50</w:t>
            </w:r>
          </w:p>
        </w:tc>
        <w:tc>
          <w:tcPr>
            <w:tcW w:w="1203" w:type="dxa"/>
            <w:gridSpan w:val="3"/>
            <w:shd w:val="clear" w:color="auto" w:fill="auto"/>
            <w:vAlign w:val="center"/>
          </w:tcPr>
          <w:p>
            <w:pPr>
              <w:spacing w:line="320" w:lineRule="exact"/>
              <w:jc w:val="center"/>
              <w:rPr>
                <w:rFonts w:hint="eastAsia" w:ascii="宋体" w:hAnsi="宋体"/>
                <w:sz w:val="18"/>
                <w:szCs w:val="18"/>
              </w:rPr>
            </w:pPr>
            <w:r>
              <w:rPr>
                <w:rFonts w:hint="eastAsia" w:ascii="宋体" w:hAnsi="宋体"/>
                <w:sz w:val="18"/>
                <w:szCs w:val="18"/>
              </w:rPr>
              <w:t>30</w:t>
            </w:r>
          </w:p>
        </w:tc>
        <w:tc>
          <w:tcPr>
            <w:tcW w:w="1097" w:type="dxa"/>
            <w:vAlign w:val="center"/>
          </w:tcPr>
          <w:p>
            <w:pPr>
              <w:spacing w:line="360" w:lineRule="exact"/>
              <w:jc w:val="center"/>
              <w:rPr>
                <w:rFonts w:hint="eastAsia"/>
                <w:sz w:val="18"/>
                <w:szCs w:val="18"/>
              </w:rPr>
            </w:pPr>
            <w:r>
              <w:rPr>
                <w:rFonts w:hint="eastAsia"/>
                <w:sz w:val="18"/>
                <w:szCs w:val="18"/>
              </w:rPr>
              <w:t>2.68</w:t>
            </w:r>
            <w:r>
              <w:rPr>
                <w:rFonts w:hint="eastAsia" w:ascii="宋体" w:hAnsi="宋体"/>
                <w:snapToGrid w:val="0"/>
                <w:kern w:val="0"/>
                <w:sz w:val="18"/>
                <w:szCs w:val="18"/>
              </w:rPr>
              <w:t>×</w:t>
            </w:r>
            <w:r>
              <w:rPr>
                <w:rFonts w:hint="eastAsia"/>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318" w:type="dxa"/>
            <w:shd w:val="clear" w:color="auto" w:fill="auto"/>
            <w:vAlign w:val="center"/>
          </w:tcPr>
          <w:p>
            <w:pPr>
              <w:jc w:val="center"/>
              <w:rPr>
                <w:rFonts w:hint="eastAsia"/>
                <w:sz w:val="18"/>
                <w:szCs w:val="18"/>
              </w:rPr>
            </w:pPr>
            <w:r>
              <w:rPr>
                <w:rFonts w:hint="eastAsia"/>
                <w:sz w:val="18"/>
                <w:szCs w:val="18"/>
              </w:rPr>
              <w:t>煤粉制备</w:t>
            </w:r>
          </w:p>
        </w:tc>
        <w:tc>
          <w:tcPr>
            <w:tcW w:w="1937" w:type="dxa"/>
            <w:vMerge w:val="continue"/>
            <w:shd w:val="clear" w:color="auto" w:fill="auto"/>
            <w:vAlign w:val="center"/>
          </w:tcPr>
          <w:p>
            <w:pPr>
              <w:spacing w:line="320" w:lineRule="exact"/>
              <w:jc w:val="center"/>
              <w:rPr>
                <w:sz w:val="18"/>
                <w:szCs w:val="18"/>
                <w:lang w:val="de-DE"/>
              </w:rPr>
            </w:pPr>
          </w:p>
        </w:tc>
        <w:tc>
          <w:tcPr>
            <w:tcW w:w="1417" w:type="dxa"/>
            <w:shd w:val="clear" w:color="auto" w:fill="auto"/>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vAlign w:val="center"/>
          </w:tcPr>
          <w:p>
            <w:pPr>
              <w:jc w:val="center"/>
              <w:rPr>
                <w:rFonts w:hint="eastAsia"/>
                <w:sz w:val="18"/>
                <w:szCs w:val="18"/>
              </w:rPr>
            </w:pPr>
            <w:r>
              <w:rPr>
                <w:rFonts w:hint="eastAsia"/>
                <w:sz w:val="18"/>
                <w:szCs w:val="18"/>
              </w:rPr>
              <w:t>40</w:t>
            </w:r>
          </w:p>
        </w:tc>
        <w:tc>
          <w:tcPr>
            <w:tcW w:w="1203" w:type="dxa"/>
            <w:gridSpan w:val="3"/>
            <w:shd w:val="clear" w:color="auto" w:fill="auto"/>
            <w:vAlign w:val="center"/>
          </w:tcPr>
          <w:p>
            <w:pPr>
              <w:spacing w:line="320" w:lineRule="exact"/>
              <w:jc w:val="center"/>
              <w:rPr>
                <w:rFonts w:hint="eastAsia" w:ascii="宋体" w:hAnsi="宋体"/>
                <w:sz w:val="18"/>
                <w:szCs w:val="18"/>
              </w:rPr>
            </w:pPr>
            <w:r>
              <w:rPr>
                <w:rFonts w:hint="eastAsia" w:ascii="宋体" w:hAnsi="宋体"/>
                <w:sz w:val="18"/>
                <w:szCs w:val="18"/>
              </w:rPr>
              <w:t>30</w:t>
            </w:r>
          </w:p>
        </w:tc>
        <w:tc>
          <w:tcPr>
            <w:tcW w:w="1097" w:type="dxa"/>
            <w:vAlign w:val="center"/>
          </w:tcPr>
          <w:p>
            <w:pPr>
              <w:spacing w:line="360" w:lineRule="exact"/>
              <w:jc w:val="center"/>
              <w:rPr>
                <w:rFonts w:hint="eastAsia"/>
                <w:sz w:val="18"/>
                <w:szCs w:val="18"/>
              </w:rPr>
            </w:pPr>
            <w:r>
              <w:rPr>
                <w:rFonts w:hint="eastAsia"/>
                <w:sz w:val="18"/>
                <w:szCs w:val="18"/>
              </w:rPr>
              <w:t>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318" w:type="dxa"/>
            <w:shd w:val="clear" w:color="auto" w:fill="auto"/>
            <w:vAlign w:val="center"/>
          </w:tcPr>
          <w:p>
            <w:pPr>
              <w:jc w:val="center"/>
              <w:rPr>
                <w:rFonts w:hint="eastAsia"/>
                <w:sz w:val="18"/>
                <w:szCs w:val="18"/>
              </w:rPr>
            </w:pPr>
            <w:r>
              <w:rPr>
                <w:rFonts w:hint="eastAsia"/>
                <w:sz w:val="18"/>
                <w:szCs w:val="18"/>
              </w:rPr>
              <w:t>水泥配料</w:t>
            </w:r>
          </w:p>
        </w:tc>
        <w:tc>
          <w:tcPr>
            <w:tcW w:w="1937" w:type="dxa"/>
            <w:vMerge w:val="continue"/>
            <w:shd w:val="clear" w:color="auto" w:fill="auto"/>
            <w:vAlign w:val="center"/>
          </w:tcPr>
          <w:p>
            <w:pPr>
              <w:spacing w:line="320" w:lineRule="exact"/>
              <w:jc w:val="center"/>
              <w:rPr>
                <w:sz w:val="18"/>
                <w:szCs w:val="18"/>
                <w:lang w:val="de-DE"/>
              </w:rPr>
            </w:pPr>
          </w:p>
        </w:tc>
        <w:tc>
          <w:tcPr>
            <w:tcW w:w="1417" w:type="dxa"/>
            <w:shd w:val="clear" w:color="auto" w:fill="auto"/>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vAlign w:val="center"/>
          </w:tcPr>
          <w:p>
            <w:pPr>
              <w:jc w:val="center"/>
              <w:rPr>
                <w:rFonts w:hint="eastAsia"/>
                <w:sz w:val="18"/>
                <w:szCs w:val="18"/>
              </w:rPr>
            </w:pPr>
            <w:r>
              <w:rPr>
                <w:rFonts w:hint="eastAsia"/>
                <w:sz w:val="18"/>
                <w:szCs w:val="18"/>
              </w:rPr>
              <w:t>30</w:t>
            </w:r>
          </w:p>
        </w:tc>
        <w:tc>
          <w:tcPr>
            <w:tcW w:w="1203" w:type="dxa"/>
            <w:gridSpan w:val="3"/>
            <w:shd w:val="clear" w:color="auto" w:fill="auto"/>
            <w:vAlign w:val="center"/>
          </w:tcPr>
          <w:p>
            <w:pPr>
              <w:spacing w:line="320" w:lineRule="exact"/>
              <w:jc w:val="center"/>
              <w:rPr>
                <w:rFonts w:hint="eastAsia" w:ascii="宋体" w:hAnsi="宋体"/>
                <w:sz w:val="18"/>
                <w:szCs w:val="18"/>
              </w:rPr>
            </w:pPr>
            <w:r>
              <w:rPr>
                <w:rFonts w:hint="eastAsia" w:ascii="宋体" w:hAnsi="宋体"/>
                <w:sz w:val="18"/>
                <w:szCs w:val="18"/>
              </w:rPr>
              <w:t>30</w:t>
            </w:r>
          </w:p>
        </w:tc>
        <w:tc>
          <w:tcPr>
            <w:tcW w:w="1097" w:type="dxa"/>
            <w:vAlign w:val="center"/>
          </w:tcPr>
          <w:p>
            <w:pPr>
              <w:spacing w:line="360" w:lineRule="exact"/>
              <w:jc w:val="center"/>
              <w:rPr>
                <w:rFonts w:hint="eastAsia"/>
                <w:sz w:val="18"/>
                <w:szCs w:val="18"/>
              </w:rPr>
            </w:pPr>
            <w:r>
              <w:rPr>
                <w:rFonts w:hint="eastAsia"/>
                <w:sz w:val="18"/>
                <w:szCs w:val="18"/>
              </w:rPr>
              <w:t>1.23×5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318" w:type="dxa"/>
            <w:shd w:val="clear" w:color="auto" w:fill="auto"/>
            <w:vAlign w:val="center"/>
          </w:tcPr>
          <w:p>
            <w:pPr>
              <w:jc w:val="center"/>
              <w:rPr>
                <w:rFonts w:hint="eastAsia"/>
                <w:sz w:val="18"/>
                <w:szCs w:val="18"/>
              </w:rPr>
            </w:pPr>
            <w:r>
              <w:rPr>
                <w:rFonts w:hint="eastAsia"/>
                <w:sz w:val="18"/>
                <w:szCs w:val="18"/>
              </w:rPr>
              <w:t>水泥配料</w:t>
            </w:r>
          </w:p>
        </w:tc>
        <w:tc>
          <w:tcPr>
            <w:tcW w:w="1937" w:type="dxa"/>
            <w:vMerge w:val="continue"/>
            <w:shd w:val="clear" w:color="auto" w:fill="auto"/>
            <w:vAlign w:val="center"/>
          </w:tcPr>
          <w:p>
            <w:pPr>
              <w:spacing w:line="320" w:lineRule="exact"/>
              <w:jc w:val="center"/>
              <w:rPr>
                <w:sz w:val="18"/>
                <w:szCs w:val="18"/>
                <w:lang w:val="de-DE"/>
              </w:rPr>
            </w:pPr>
          </w:p>
        </w:tc>
        <w:tc>
          <w:tcPr>
            <w:tcW w:w="1417" w:type="dxa"/>
            <w:shd w:val="clear" w:color="auto" w:fill="auto"/>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vAlign w:val="center"/>
          </w:tcPr>
          <w:p>
            <w:pPr>
              <w:jc w:val="center"/>
              <w:rPr>
                <w:rFonts w:hint="eastAsia"/>
                <w:sz w:val="18"/>
                <w:szCs w:val="18"/>
              </w:rPr>
            </w:pPr>
            <w:r>
              <w:rPr>
                <w:rFonts w:hint="eastAsia"/>
                <w:sz w:val="18"/>
                <w:szCs w:val="18"/>
              </w:rPr>
              <w:t>15</w:t>
            </w:r>
          </w:p>
        </w:tc>
        <w:tc>
          <w:tcPr>
            <w:tcW w:w="1203" w:type="dxa"/>
            <w:gridSpan w:val="3"/>
            <w:shd w:val="clear" w:color="auto" w:fill="auto"/>
            <w:vAlign w:val="center"/>
          </w:tcPr>
          <w:p>
            <w:pPr>
              <w:spacing w:line="320" w:lineRule="exact"/>
              <w:jc w:val="center"/>
              <w:rPr>
                <w:rFonts w:hint="eastAsia" w:ascii="宋体" w:hAnsi="宋体"/>
                <w:sz w:val="18"/>
                <w:szCs w:val="18"/>
              </w:rPr>
            </w:pPr>
            <w:r>
              <w:rPr>
                <w:rFonts w:hint="eastAsia" w:ascii="宋体" w:hAnsi="宋体"/>
                <w:sz w:val="18"/>
                <w:szCs w:val="18"/>
              </w:rPr>
              <w:t>30</w:t>
            </w:r>
          </w:p>
        </w:tc>
        <w:tc>
          <w:tcPr>
            <w:tcW w:w="1097" w:type="dxa"/>
            <w:vAlign w:val="center"/>
          </w:tcPr>
          <w:p>
            <w:pPr>
              <w:spacing w:line="360" w:lineRule="exact"/>
              <w:jc w:val="center"/>
              <w:rPr>
                <w:rFonts w:hint="eastAsia"/>
                <w:sz w:val="18"/>
                <w:szCs w:val="18"/>
              </w:rPr>
            </w:pPr>
            <w:r>
              <w:rPr>
                <w:rFonts w:hint="eastAsia"/>
                <w:sz w:val="18"/>
                <w:szCs w:val="18"/>
              </w:rPr>
              <w:t>1.23×5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318" w:type="dxa"/>
            <w:shd w:val="clear" w:color="auto" w:fill="auto"/>
            <w:vAlign w:val="center"/>
          </w:tcPr>
          <w:p>
            <w:pPr>
              <w:jc w:val="center"/>
              <w:rPr>
                <w:rFonts w:hint="eastAsia"/>
                <w:sz w:val="18"/>
                <w:szCs w:val="18"/>
              </w:rPr>
            </w:pPr>
            <w:r>
              <w:rPr>
                <w:rFonts w:hint="eastAsia"/>
                <w:sz w:val="18"/>
                <w:szCs w:val="18"/>
              </w:rPr>
              <w:t>水泥粉磨</w:t>
            </w:r>
          </w:p>
        </w:tc>
        <w:tc>
          <w:tcPr>
            <w:tcW w:w="1937" w:type="dxa"/>
            <w:vMerge w:val="continue"/>
            <w:shd w:val="clear" w:color="auto" w:fill="auto"/>
            <w:vAlign w:val="center"/>
          </w:tcPr>
          <w:p>
            <w:pPr>
              <w:spacing w:line="320" w:lineRule="exact"/>
              <w:jc w:val="center"/>
              <w:rPr>
                <w:sz w:val="18"/>
                <w:szCs w:val="18"/>
                <w:lang w:val="de-DE"/>
              </w:rPr>
            </w:pPr>
          </w:p>
        </w:tc>
        <w:tc>
          <w:tcPr>
            <w:tcW w:w="1417" w:type="dxa"/>
            <w:shd w:val="clear" w:color="auto" w:fill="auto"/>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vAlign w:val="center"/>
          </w:tcPr>
          <w:p>
            <w:pPr>
              <w:jc w:val="center"/>
              <w:rPr>
                <w:rFonts w:hint="eastAsia"/>
                <w:sz w:val="18"/>
                <w:szCs w:val="18"/>
              </w:rPr>
            </w:pPr>
            <w:r>
              <w:rPr>
                <w:rFonts w:hint="eastAsia"/>
                <w:sz w:val="18"/>
                <w:szCs w:val="18"/>
              </w:rPr>
              <w:t>40</w:t>
            </w:r>
          </w:p>
        </w:tc>
        <w:tc>
          <w:tcPr>
            <w:tcW w:w="1203" w:type="dxa"/>
            <w:gridSpan w:val="3"/>
            <w:shd w:val="clear" w:color="auto" w:fill="auto"/>
            <w:vAlign w:val="center"/>
          </w:tcPr>
          <w:p>
            <w:pPr>
              <w:spacing w:line="320" w:lineRule="exact"/>
              <w:jc w:val="center"/>
              <w:rPr>
                <w:rFonts w:hint="eastAsia" w:ascii="宋体" w:hAnsi="宋体"/>
                <w:sz w:val="18"/>
                <w:szCs w:val="18"/>
              </w:rPr>
            </w:pPr>
            <w:r>
              <w:rPr>
                <w:rFonts w:hint="eastAsia" w:ascii="宋体" w:hAnsi="宋体"/>
                <w:sz w:val="18"/>
                <w:szCs w:val="18"/>
              </w:rPr>
              <w:t>30</w:t>
            </w:r>
          </w:p>
        </w:tc>
        <w:tc>
          <w:tcPr>
            <w:tcW w:w="1097" w:type="dxa"/>
            <w:vAlign w:val="center"/>
          </w:tcPr>
          <w:p>
            <w:pPr>
              <w:spacing w:line="360" w:lineRule="exact"/>
              <w:jc w:val="center"/>
              <w:rPr>
                <w:rFonts w:hint="eastAsia"/>
                <w:sz w:val="18"/>
                <w:szCs w:val="18"/>
              </w:rPr>
            </w:pPr>
            <w:r>
              <w:rPr>
                <w:rFonts w:hint="eastAsia"/>
                <w:sz w:val="18"/>
                <w:szCs w:val="18"/>
              </w:rPr>
              <w:t>42.68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318" w:type="dxa"/>
            <w:shd w:val="clear" w:color="auto" w:fill="auto"/>
            <w:vAlign w:val="center"/>
          </w:tcPr>
          <w:p>
            <w:pPr>
              <w:jc w:val="center"/>
              <w:rPr>
                <w:sz w:val="18"/>
                <w:szCs w:val="18"/>
              </w:rPr>
            </w:pPr>
            <w:r>
              <w:rPr>
                <w:rFonts w:hint="eastAsia"/>
                <w:sz w:val="18"/>
                <w:szCs w:val="18"/>
              </w:rPr>
              <w:t>水泥库顶</w:t>
            </w:r>
          </w:p>
        </w:tc>
        <w:tc>
          <w:tcPr>
            <w:tcW w:w="1937" w:type="dxa"/>
            <w:vMerge w:val="continue"/>
            <w:shd w:val="clear" w:color="auto" w:fill="auto"/>
            <w:vAlign w:val="center"/>
          </w:tcPr>
          <w:p>
            <w:pPr>
              <w:spacing w:line="320" w:lineRule="exact"/>
              <w:jc w:val="center"/>
              <w:rPr>
                <w:sz w:val="18"/>
                <w:szCs w:val="18"/>
                <w:lang w:val="de-DE"/>
              </w:rPr>
            </w:pPr>
          </w:p>
        </w:tc>
        <w:tc>
          <w:tcPr>
            <w:tcW w:w="1417" w:type="dxa"/>
            <w:shd w:val="clear" w:color="auto" w:fill="auto"/>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vAlign w:val="center"/>
          </w:tcPr>
          <w:p>
            <w:pPr>
              <w:jc w:val="center"/>
              <w:rPr>
                <w:rFonts w:hint="eastAsia"/>
                <w:sz w:val="18"/>
                <w:szCs w:val="18"/>
              </w:rPr>
            </w:pPr>
            <w:r>
              <w:rPr>
                <w:rFonts w:hint="eastAsia"/>
                <w:sz w:val="18"/>
                <w:szCs w:val="18"/>
              </w:rPr>
              <w:t>50</w:t>
            </w:r>
          </w:p>
        </w:tc>
        <w:tc>
          <w:tcPr>
            <w:tcW w:w="1203" w:type="dxa"/>
            <w:gridSpan w:val="3"/>
            <w:shd w:val="clear" w:color="auto" w:fill="auto"/>
            <w:vAlign w:val="center"/>
          </w:tcPr>
          <w:p>
            <w:pPr>
              <w:spacing w:line="320" w:lineRule="exact"/>
              <w:jc w:val="center"/>
              <w:rPr>
                <w:rFonts w:hint="eastAsia" w:ascii="宋体" w:hAnsi="宋体"/>
                <w:sz w:val="18"/>
                <w:szCs w:val="18"/>
              </w:rPr>
            </w:pPr>
            <w:r>
              <w:rPr>
                <w:rFonts w:hint="eastAsia" w:ascii="宋体" w:hAnsi="宋体"/>
                <w:sz w:val="18"/>
                <w:szCs w:val="18"/>
              </w:rPr>
              <w:t>30</w:t>
            </w:r>
          </w:p>
        </w:tc>
        <w:tc>
          <w:tcPr>
            <w:tcW w:w="1097" w:type="dxa"/>
            <w:vAlign w:val="center"/>
          </w:tcPr>
          <w:p>
            <w:pPr>
              <w:jc w:val="center"/>
              <w:rPr>
                <w:rFonts w:ascii="宋体" w:hAnsi="宋体" w:cs="宋体"/>
                <w:sz w:val="18"/>
                <w:szCs w:val="18"/>
              </w:rPr>
            </w:pPr>
            <w:r>
              <w:rPr>
                <w:rFonts w:hint="eastAsia"/>
                <w:sz w:val="18"/>
                <w:szCs w:val="18"/>
              </w:rPr>
              <w:t>1.79×6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318" w:type="dxa"/>
            <w:shd w:val="clear" w:color="auto" w:fill="auto"/>
            <w:vAlign w:val="center"/>
          </w:tcPr>
          <w:p>
            <w:pPr>
              <w:jc w:val="center"/>
              <w:rPr>
                <w:sz w:val="18"/>
                <w:szCs w:val="18"/>
              </w:rPr>
            </w:pPr>
            <w:r>
              <w:rPr>
                <w:rFonts w:hint="eastAsia"/>
                <w:sz w:val="18"/>
                <w:szCs w:val="18"/>
              </w:rPr>
              <w:t>水泥库底</w:t>
            </w:r>
          </w:p>
        </w:tc>
        <w:tc>
          <w:tcPr>
            <w:tcW w:w="1937" w:type="dxa"/>
            <w:vMerge w:val="continue"/>
            <w:shd w:val="clear" w:color="auto" w:fill="auto"/>
            <w:vAlign w:val="center"/>
          </w:tcPr>
          <w:p>
            <w:pPr>
              <w:spacing w:line="320" w:lineRule="exact"/>
              <w:jc w:val="center"/>
              <w:rPr>
                <w:sz w:val="18"/>
                <w:szCs w:val="18"/>
                <w:lang w:val="de-DE"/>
              </w:rPr>
            </w:pPr>
          </w:p>
        </w:tc>
        <w:tc>
          <w:tcPr>
            <w:tcW w:w="1417" w:type="dxa"/>
            <w:shd w:val="clear" w:color="auto" w:fill="auto"/>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vAlign w:val="center"/>
          </w:tcPr>
          <w:p>
            <w:pPr>
              <w:jc w:val="center"/>
              <w:rPr>
                <w:rFonts w:hint="eastAsia"/>
                <w:sz w:val="18"/>
                <w:szCs w:val="18"/>
              </w:rPr>
            </w:pPr>
            <w:r>
              <w:rPr>
                <w:rFonts w:hint="eastAsia"/>
                <w:sz w:val="18"/>
                <w:szCs w:val="18"/>
              </w:rPr>
              <w:t>15</w:t>
            </w:r>
          </w:p>
        </w:tc>
        <w:tc>
          <w:tcPr>
            <w:tcW w:w="1203" w:type="dxa"/>
            <w:gridSpan w:val="3"/>
            <w:shd w:val="clear" w:color="auto" w:fill="auto"/>
            <w:vAlign w:val="center"/>
          </w:tcPr>
          <w:p>
            <w:pPr>
              <w:spacing w:line="320" w:lineRule="exact"/>
              <w:jc w:val="center"/>
              <w:rPr>
                <w:rFonts w:hint="eastAsia" w:ascii="宋体" w:hAnsi="宋体"/>
                <w:sz w:val="18"/>
                <w:szCs w:val="18"/>
              </w:rPr>
            </w:pPr>
            <w:r>
              <w:rPr>
                <w:rFonts w:hint="eastAsia" w:ascii="宋体" w:hAnsi="宋体"/>
                <w:sz w:val="18"/>
                <w:szCs w:val="18"/>
              </w:rPr>
              <w:t>30</w:t>
            </w:r>
          </w:p>
        </w:tc>
        <w:tc>
          <w:tcPr>
            <w:tcW w:w="1097" w:type="dxa"/>
            <w:vAlign w:val="center"/>
          </w:tcPr>
          <w:p>
            <w:pPr>
              <w:jc w:val="center"/>
              <w:rPr>
                <w:rFonts w:hint="eastAsia"/>
                <w:sz w:val="18"/>
                <w:szCs w:val="18"/>
              </w:rPr>
            </w:pPr>
            <w:r>
              <w:rPr>
                <w:rFonts w:hint="eastAsia"/>
                <w:sz w:val="18"/>
                <w:szCs w:val="18"/>
              </w:rPr>
              <w:t>1.79×6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318" w:type="dxa"/>
            <w:shd w:val="clear" w:color="auto" w:fill="auto"/>
            <w:vAlign w:val="center"/>
          </w:tcPr>
          <w:p>
            <w:pPr>
              <w:jc w:val="center"/>
              <w:rPr>
                <w:rFonts w:hint="eastAsia"/>
                <w:sz w:val="18"/>
                <w:szCs w:val="18"/>
              </w:rPr>
            </w:pPr>
            <w:r>
              <w:rPr>
                <w:rFonts w:hint="eastAsia"/>
                <w:sz w:val="18"/>
                <w:szCs w:val="18"/>
              </w:rPr>
              <w:t>水泥散装</w:t>
            </w:r>
          </w:p>
        </w:tc>
        <w:tc>
          <w:tcPr>
            <w:tcW w:w="1937" w:type="dxa"/>
            <w:vMerge w:val="continue"/>
            <w:shd w:val="clear" w:color="auto" w:fill="auto"/>
            <w:vAlign w:val="center"/>
          </w:tcPr>
          <w:p>
            <w:pPr>
              <w:spacing w:line="320" w:lineRule="exact"/>
              <w:jc w:val="center"/>
              <w:rPr>
                <w:sz w:val="18"/>
                <w:szCs w:val="18"/>
                <w:lang w:val="de-DE"/>
              </w:rPr>
            </w:pPr>
          </w:p>
        </w:tc>
        <w:tc>
          <w:tcPr>
            <w:tcW w:w="1417" w:type="dxa"/>
            <w:shd w:val="clear" w:color="auto" w:fill="auto"/>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vAlign w:val="center"/>
          </w:tcPr>
          <w:p>
            <w:pPr>
              <w:jc w:val="center"/>
              <w:rPr>
                <w:rFonts w:hint="eastAsia"/>
                <w:sz w:val="18"/>
                <w:szCs w:val="18"/>
              </w:rPr>
            </w:pPr>
            <w:r>
              <w:rPr>
                <w:rFonts w:hint="eastAsia"/>
                <w:sz w:val="18"/>
                <w:szCs w:val="18"/>
              </w:rPr>
              <w:t>15</w:t>
            </w:r>
          </w:p>
        </w:tc>
        <w:tc>
          <w:tcPr>
            <w:tcW w:w="1203" w:type="dxa"/>
            <w:gridSpan w:val="3"/>
            <w:shd w:val="clear" w:color="auto" w:fill="auto"/>
            <w:vAlign w:val="center"/>
          </w:tcPr>
          <w:p>
            <w:pPr>
              <w:spacing w:line="320" w:lineRule="exact"/>
              <w:jc w:val="center"/>
              <w:rPr>
                <w:rFonts w:hint="eastAsia" w:ascii="宋体" w:hAnsi="宋体"/>
                <w:sz w:val="18"/>
                <w:szCs w:val="18"/>
              </w:rPr>
            </w:pPr>
            <w:r>
              <w:rPr>
                <w:rFonts w:hint="eastAsia" w:ascii="宋体" w:hAnsi="宋体"/>
                <w:sz w:val="18"/>
                <w:szCs w:val="18"/>
              </w:rPr>
              <w:t>30</w:t>
            </w:r>
          </w:p>
        </w:tc>
        <w:tc>
          <w:tcPr>
            <w:tcW w:w="1097" w:type="dxa"/>
            <w:vAlign w:val="center"/>
          </w:tcPr>
          <w:p>
            <w:pPr>
              <w:jc w:val="center"/>
              <w:rPr>
                <w:rFonts w:hint="eastAsia"/>
                <w:sz w:val="18"/>
                <w:szCs w:val="18"/>
              </w:rPr>
            </w:pPr>
            <w:r>
              <w:rPr>
                <w:rFonts w:hint="eastAsia"/>
                <w:sz w:val="18"/>
                <w:szCs w:val="18"/>
              </w:rPr>
              <w:t>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318" w:type="dxa"/>
            <w:shd w:val="clear" w:color="auto" w:fill="auto"/>
            <w:vAlign w:val="center"/>
          </w:tcPr>
          <w:p>
            <w:pPr>
              <w:jc w:val="center"/>
              <w:rPr>
                <w:rFonts w:hint="eastAsia"/>
                <w:sz w:val="18"/>
                <w:szCs w:val="18"/>
              </w:rPr>
            </w:pPr>
            <w:r>
              <w:rPr>
                <w:rFonts w:hint="eastAsia"/>
                <w:sz w:val="18"/>
                <w:szCs w:val="18"/>
              </w:rPr>
              <w:t>水泥包装</w:t>
            </w:r>
          </w:p>
        </w:tc>
        <w:tc>
          <w:tcPr>
            <w:tcW w:w="1937" w:type="dxa"/>
            <w:vMerge w:val="continue"/>
            <w:shd w:val="clear" w:color="auto" w:fill="auto"/>
            <w:vAlign w:val="center"/>
          </w:tcPr>
          <w:p>
            <w:pPr>
              <w:spacing w:line="320" w:lineRule="exact"/>
              <w:jc w:val="center"/>
              <w:rPr>
                <w:sz w:val="18"/>
                <w:szCs w:val="18"/>
                <w:lang w:val="de-DE"/>
              </w:rPr>
            </w:pPr>
          </w:p>
        </w:tc>
        <w:tc>
          <w:tcPr>
            <w:tcW w:w="1417" w:type="dxa"/>
            <w:shd w:val="clear" w:color="auto" w:fill="auto"/>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vAlign w:val="center"/>
          </w:tcPr>
          <w:p>
            <w:pPr>
              <w:jc w:val="center"/>
              <w:rPr>
                <w:rFonts w:hint="eastAsia"/>
                <w:sz w:val="18"/>
                <w:szCs w:val="18"/>
              </w:rPr>
            </w:pPr>
            <w:r>
              <w:rPr>
                <w:rFonts w:hint="eastAsia"/>
                <w:sz w:val="18"/>
                <w:szCs w:val="18"/>
              </w:rPr>
              <w:t>15</w:t>
            </w:r>
          </w:p>
        </w:tc>
        <w:tc>
          <w:tcPr>
            <w:tcW w:w="1203" w:type="dxa"/>
            <w:gridSpan w:val="3"/>
            <w:shd w:val="clear" w:color="auto" w:fill="auto"/>
            <w:vAlign w:val="center"/>
          </w:tcPr>
          <w:p>
            <w:pPr>
              <w:spacing w:line="320" w:lineRule="exact"/>
              <w:jc w:val="center"/>
              <w:rPr>
                <w:rFonts w:hint="eastAsia" w:ascii="宋体" w:hAnsi="宋体"/>
                <w:sz w:val="18"/>
                <w:szCs w:val="18"/>
              </w:rPr>
            </w:pPr>
            <w:r>
              <w:rPr>
                <w:rFonts w:hint="eastAsia" w:ascii="宋体" w:hAnsi="宋体"/>
                <w:sz w:val="18"/>
                <w:szCs w:val="18"/>
              </w:rPr>
              <w:t>30</w:t>
            </w:r>
          </w:p>
        </w:tc>
        <w:tc>
          <w:tcPr>
            <w:tcW w:w="1097" w:type="dxa"/>
            <w:vAlign w:val="center"/>
          </w:tcPr>
          <w:p>
            <w:pPr>
              <w:jc w:val="center"/>
              <w:rPr>
                <w:rFonts w:hint="eastAsia"/>
                <w:sz w:val="18"/>
                <w:szCs w:val="18"/>
              </w:rPr>
            </w:pPr>
            <w:r>
              <w:rPr>
                <w:rFonts w:hint="eastAsia"/>
                <w:sz w:val="18"/>
                <w:szCs w:val="18"/>
              </w:rPr>
              <w:t>0.85×4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2318" w:type="dxa"/>
            <w:vAlign w:val="center"/>
          </w:tcPr>
          <w:p>
            <w:pPr>
              <w:spacing w:line="320" w:lineRule="exact"/>
              <w:jc w:val="center"/>
              <w:rPr>
                <w:rFonts w:hint="eastAsia"/>
                <w:sz w:val="18"/>
                <w:szCs w:val="18"/>
              </w:rPr>
            </w:pPr>
            <w:r>
              <w:rPr>
                <w:rFonts w:hint="eastAsia"/>
                <w:sz w:val="18"/>
                <w:szCs w:val="18"/>
              </w:rPr>
              <w:t>无组织排放废气</w:t>
            </w:r>
          </w:p>
        </w:tc>
        <w:tc>
          <w:tcPr>
            <w:tcW w:w="1937" w:type="dxa"/>
            <w:vMerge w:val="continue"/>
            <w:vAlign w:val="center"/>
          </w:tcPr>
          <w:p>
            <w:pPr>
              <w:spacing w:line="320" w:lineRule="exact"/>
              <w:jc w:val="center"/>
              <w:rPr>
                <w:sz w:val="18"/>
                <w:szCs w:val="18"/>
              </w:rPr>
            </w:pPr>
          </w:p>
        </w:tc>
        <w:tc>
          <w:tcPr>
            <w:tcW w:w="1417" w:type="dxa"/>
            <w:vAlign w:val="center"/>
          </w:tcPr>
          <w:p>
            <w:pPr>
              <w:spacing w:line="320" w:lineRule="exact"/>
              <w:jc w:val="center"/>
              <w:rPr>
                <w:sz w:val="18"/>
                <w:szCs w:val="18"/>
              </w:rPr>
            </w:pPr>
            <w:r>
              <w:rPr>
                <w:rFonts w:hint="eastAsia"/>
                <w:sz w:val="18"/>
                <w:szCs w:val="18"/>
              </w:rPr>
              <w:t>粉尘</w:t>
            </w:r>
          </w:p>
        </w:tc>
        <w:tc>
          <w:tcPr>
            <w:tcW w:w="1175" w:type="dxa"/>
            <w:gridSpan w:val="2"/>
            <w:vAlign w:val="center"/>
          </w:tcPr>
          <w:p>
            <w:pPr>
              <w:spacing w:line="320" w:lineRule="exact"/>
              <w:jc w:val="center"/>
              <w:rPr>
                <w:rFonts w:hint="eastAsia"/>
                <w:sz w:val="18"/>
                <w:szCs w:val="18"/>
              </w:rPr>
            </w:pPr>
            <w:r>
              <w:rPr>
                <w:rFonts w:hint="eastAsia"/>
                <w:sz w:val="18"/>
                <w:szCs w:val="18"/>
              </w:rPr>
              <w:t>/</w:t>
            </w:r>
          </w:p>
        </w:tc>
        <w:tc>
          <w:tcPr>
            <w:tcW w:w="1183" w:type="dxa"/>
            <w:gridSpan w:val="2"/>
            <w:vAlign w:val="center"/>
          </w:tcPr>
          <w:p>
            <w:pPr>
              <w:spacing w:line="320" w:lineRule="exact"/>
              <w:jc w:val="center"/>
              <w:rPr>
                <w:sz w:val="18"/>
                <w:szCs w:val="18"/>
              </w:rPr>
            </w:pPr>
            <w:r>
              <w:rPr>
                <w:rFonts w:hint="eastAsia"/>
                <w:sz w:val="18"/>
              </w:rPr>
              <w:t>粉尘≤</w:t>
            </w:r>
            <w:r>
              <w:rPr>
                <w:sz w:val="18"/>
              </w:rPr>
              <w:t>1 mg/m</w:t>
            </w:r>
            <w:r>
              <w:rPr>
                <w:sz w:val="18"/>
                <w:vertAlign w:val="superscript"/>
              </w:rPr>
              <w:t>3</w:t>
            </w:r>
          </w:p>
        </w:tc>
        <w:tc>
          <w:tcPr>
            <w:tcW w:w="1097" w:type="dxa"/>
            <w:vAlign w:val="top"/>
          </w:tcPr>
          <w:p>
            <w:pPr>
              <w:spacing w:line="320" w:lineRule="exact"/>
              <w:jc w:val="center"/>
              <w:rPr>
                <w:rFonts w:hint="eastAsia"/>
                <w:sz w:val="18"/>
                <w:szCs w:val="18"/>
              </w:rPr>
            </w:pPr>
            <w:r>
              <w:rPr>
                <w:rFonts w:hint="eastAsia"/>
                <w:sz w:val="18"/>
                <w:szCs w:val="18"/>
              </w:rPr>
              <w:t>28.73</w:t>
            </w:r>
          </w:p>
        </w:tc>
      </w:tr>
    </w:tbl>
    <w:p>
      <w:pPr>
        <w:spacing w:line="400" w:lineRule="exact"/>
        <w:ind w:firstLine="1337" w:firstLineChars="637"/>
        <w:rPr>
          <w:rFonts w:hint="eastAsia" w:ascii="宋体" w:hAnsi="宋体"/>
          <w:b/>
        </w:rPr>
      </w:pPr>
    </w:p>
    <w:p>
      <w:pPr>
        <w:spacing w:line="460" w:lineRule="exact"/>
        <w:ind w:firstLine="1337" w:firstLineChars="637"/>
        <w:rPr>
          <w:rFonts w:hint="eastAsia" w:ascii="宋体" w:hAnsi="宋体"/>
          <w:b/>
        </w:rPr>
      </w:pPr>
      <w:r>
        <w:rPr>
          <w:rFonts w:hint="eastAsia" w:ascii="宋体" w:hAnsi="宋体"/>
          <w:b/>
        </w:rPr>
        <w:t>表15-2-2      技改项目废水治理</w:t>
      </w:r>
      <w:r>
        <w:rPr>
          <w:rFonts w:ascii="宋体" w:hAnsi="宋体"/>
          <w:b/>
        </w:rPr>
        <w:t>设施验收</w:t>
      </w:r>
      <w:r>
        <w:rPr>
          <w:rFonts w:hint="eastAsia" w:ascii="宋体" w:hAnsi="宋体"/>
          <w:b/>
        </w:rPr>
        <w:t>标准</w:t>
      </w:r>
    </w:p>
    <w:tbl>
      <w:tblPr>
        <w:tblStyle w:val="21"/>
        <w:tblW w:w="8462" w:type="dxa"/>
        <w:jc w:val="center"/>
        <w:tblInd w:w="-7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539"/>
        <w:gridCol w:w="2242"/>
        <w:gridCol w:w="840"/>
        <w:gridCol w:w="1374"/>
        <w:gridCol w:w="1454"/>
        <w:gridCol w:w="10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392" w:hRule="atLeast"/>
          <w:jc w:val="center"/>
        </w:trPr>
        <w:tc>
          <w:tcPr>
            <w:tcW w:w="1539" w:type="dxa"/>
            <w:tcBorders>
              <w:top w:val="single" w:color="000000" w:sz="6" w:space="0"/>
              <w:left w:val="single" w:color="000000" w:sz="6" w:space="0"/>
              <w:bottom w:val="single" w:color="auto" w:sz="4" w:space="0"/>
              <w:right w:val="single" w:color="000000" w:sz="6" w:space="0"/>
            </w:tcBorders>
            <w:vAlign w:val="center"/>
          </w:tcPr>
          <w:p>
            <w:pPr>
              <w:pStyle w:val="13"/>
              <w:pBdr>
                <w:bottom w:val="none" w:color="auto" w:sz="0" w:space="0"/>
              </w:pBdr>
              <w:tabs>
                <w:tab w:val="left" w:pos="420"/>
              </w:tabs>
              <w:snapToGrid/>
              <w:spacing w:line="360" w:lineRule="auto"/>
              <w:ind w:left="440"/>
              <w:rPr>
                <w:rFonts w:ascii="宋体" w:hAnsi="宋体"/>
                <w:sz w:val="21"/>
                <w:szCs w:val="21"/>
              </w:rPr>
            </w:pPr>
            <w:r>
              <w:rPr>
                <w:sz w:val="21"/>
                <w:szCs w:val="21"/>
              </w:rPr>
              <mc:AlternateContent>
                <mc:Choice Requires="wps">
                  <w:drawing>
                    <wp:anchor distT="0" distB="0" distL="114300" distR="114300" simplePos="0" relativeHeight="251761664" behindDoc="0" locked="0" layoutInCell="1" allowOverlap="1">
                      <wp:simplePos x="0" y="0"/>
                      <wp:positionH relativeFrom="column">
                        <wp:posOffset>-15240</wp:posOffset>
                      </wp:positionH>
                      <wp:positionV relativeFrom="paragraph">
                        <wp:posOffset>-26670</wp:posOffset>
                      </wp:positionV>
                      <wp:extent cx="635" cy="0"/>
                      <wp:effectExtent l="0" t="0" r="0" b="0"/>
                      <wp:wrapNone/>
                      <wp:docPr id="381" name="直接连接符 381"/>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pt;margin-top:-2.1pt;height:0pt;width:0.05pt;z-index:251761664;mso-width-relative:page;mso-height-relative:page;" filled="f" stroked="t" coordsize="21600,21600" o:gfxdata="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xDrbLNQAAAAHAQAADwAAAAAAAAABACAA&#10;AAAiAAAAZHJzL2Rvd25yZXYueG1sUEsBAhQAFAAAAAgAh07iQGpQkq/YAQAAlgMAAA4AAAAAAAAA&#10;AQAgAAAAIwEAAGRycy9lMm9Eb2MueG1sUEsFBgAAAAAGAAYAWQEAAG0FAAAAAA==&#10;">
                      <v:fill on="f" focussize="0,0"/>
                      <v:stroke color="#000000" joinstyle="round"/>
                      <v:imagedata o:title=""/>
                      <o:lock v:ext="edit" aspectratio="f"/>
                    </v:line>
                  </w:pict>
                </mc:Fallback>
              </mc:AlternateContent>
            </w:r>
            <w:r>
              <w:rPr>
                <w:rFonts w:hint="eastAsia" w:ascii="宋体" w:hAnsi="宋体"/>
                <w:sz w:val="21"/>
                <w:szCs w:val="21"/>
              </w:rPr>
              <w:t>污染源</w:t>
            </w:r>
          </w:p>
        </w:tc>
        <w:tc>
          <w:tcPr>
            <w:tcW w:w="2242"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sz w:val="21"/>
                <w:szCs w:val="21"/>
              </w:rPr>
            </w:pPr>
            <w:r>
              <w:rPr>
                <w:rFonts w:hint="eastAsia" w:ascii="宋体" w:hAnsi="宋体"/>
                <w:sz w:val="21"/>
                <w:szCs w:val="21"/>
              </w:rPr>
              <w:t>排放标准及标准号</w:t>
            </w:r>
          </w:p>
        </w:tc>
        <w:tc>
          <w:tcPr>
            <w:tcW w:w="840"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sz w:val="21"/>
                <w:szCs w:val="21"/>
              </w:rPr>
            </w:pPr>
            <w:r>
              <w:rPr>
                <w:rFonts w:hint="eastAsia" w:ascii="宋体" w:hAnsi="宋体"/>
                <w:sz w:val="21"/>
                <w:szCs w:val="21"/>
              </w:rPr>
              <w:t>污染因子</w:t>
            </w:r>
          </w:p>
        </w:tc>
        <w:tc>
          <w:tcPr>
            <w:tcW w:w="1374"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sz w:val="21"/>
                <w:szCs w:val="21"/>
              </w:rPr>
            </w:pPr>
            <w:r>
              <w:rPr>
                <w:rFonts w:hint="eastAsia" w:ascii="宋体" w:hAnsi="宋体"/>
                <w:sz w:val="21"/>
                <w:szCs w:val="21"/>
              </w:rPr>
              <w:t>浓度限值</w:t>
            </w:r>
          </w:p>
          <w:p>
            <w:pPr>
              <w:spacing w:line="360" w:lineRule="auto"/>
              <w:jc w:val="center"/>
              <w:rPr>
                <w:rFonts w:ascii="宋体" w:hAnsi="宋体"/>
                <w:sz w:val="21"/>
                <w:szCs w:val="21"/>
              </w:rPr>
            </w:pPr>
            <w:r>
              <w:rPr>
                <w:rFonts w:hint="eastAsia" w:ascii="宋体" w:hAnsi="宋体"/>
                <w:sz w:val="21"/>
                <w:szCs w:val="21"/>
              </w:rPr>
              <w:t>（mg/l）</w:t>
            </w:r>
          </w:p>
        </w:tc>
        <w:tc>
          <w:tcPr>
            <w:tcW w:w="1454"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sz w:val="21"/>
                <w:szCs w:val="21"/>
              </w:rPr>
            </w:pPr>
            <w:r>
              <w:rPr>
                <w:rFonts w:hint="eastAsia" w:ascii="宋体" w:hAnsi="宋体"/>
                <w:sz w:val="21"/>
                <w:szCs w:val="21"/>
              </w:rPr>
              <w:t>排放量</w:t>
            </w:r>
          </w:p>
          <w:p>
            <w:pPr>
              <w:spacing w:line="360" w:lineRule="auto"/>
              <w:jc w:val="center"/>
              <w:rPr>
                <w:rFonts w:ascii="宋体" w:hAnsi="宋体"/>
                <w:sz w:val="21"/>
                <w:szCs w:val="21"/>
              </w:rPr>
            </w:pPr>
            <w:r>
              <w:rPr>
                <w:rFonts w:hint="eastAsia" w:ascii="宋体" w:hAnsi="宋体"/>
                <w:sz w:val="21"/>
                <w:szCs w:val="21"/>
              </w:rPr>
              <w:t>（kg/d）</w:t>
            </w:r>
          </w:p>
        </w:tc>
        <w:tc>
          <w:tcPr>
            <w:tcW w:w="1013"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sz w:val="21"/>
                <w:szCs w:val="21"/>
              </w:rPr>
            </w:pPr>
            <w:r>
              <w:rPr>
                <w:rFonts w:hint="eastAsia" w:ascii="宋体" w:hAnsi="宋体"/>
                <w:sz w:val="21"/>
                <w:szCs w:val="21"/>
              </w:rPr>
              <w:t>总量指标</w:t>
            </w:r>
          </w:p>
          <w:p>
            <w:pPr>
              <w:spacing w:line="360" w:lineRule="auto"/>
              <w:jc w:val="center"/>
              <w:rPr>
                <w:rFonts w:ascii="宋体" w:hAnsi="宋体"/>
                <w:sz w:val="21"/>
                <w:szCs w:val="21"/>
              </w:rPr>
            </w:pPr>
            <w:r>
              <w:rPr>
                <w:rFonts w:hint="eastAsia" w:ascii="宋体" w:hAnsi="宋体"/>
                <w:sz w:val="21"/>
                <w:szCs w:val="21"/>
              </w:rP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52" w:hRule="atLeast"/>
          <w:jc w:val="center"/>
        </w:trPr>
        <w:tc>
          <w:tcPr>
            <w:tcW w:w="1539" w:type="dxa"/>
            <w:tcBorders>
              <w:top w:val="single" w:color="auto" w:sz="4" w:space="0"/>
              <w:left w:val="single" w:color="000000" w:sz="6" w:space="0"/>
              <w:bottom w:val="single" w:color="auto" w:sz="4" w:space="0"/>
              <w:right w:val="single" w:color="000000" w:sz="6" w:space="0"/>
            </w:tcBorders>
            <w:shd w:val="clear" w:color="auto" w:fill="auto"/>
            <w:vAlign w:val="center"/>
          </w:tcPr>
          <w:p>
            <w:pPr>
              <w:spacing w:line="360" w:lineRule="auto"/>
              <w:jc w:val="center"/>
              <w:rPr>
                <w:rFonts w:hint="eastAsia"/>
                <w:sz w:val="21"/>
                <w:szCs w:val="21"/>
              </w:rPr>
            </w:pPr>
            <w:r>
              <w:rPr>
                <w:rFonts w:hint="eastAsia"/>
                <w:sz w:val="21"/>
                <w:szCs w:val="21"/>
              </w:rPr>
              <w:t>生活及辅助设施污水</w:t>
            </w:r>
          </w:p>
        </w:tc>
        <w:tc>
          <w:tcPr>
            <w:tcW w:w="2242" w:type="dxa"/>
            <w:tcBorders>
              <w:left w:val="single" w:color="000000" w:sz="6" w:space="0"/>
              <w:bottom w:val="single" w:color="auto" w:sz="4" w:space="0"/>
              <w:right w:val="single" w:color="000000" w:sz="6" w:space="0"/>
            </w:tcBorders>
            <w:shd w:val="clear" w:color="auto" w:fill="auto"/>
            <w:vAlign w:val="center"/>
          </w:tcPr>
          <w:p>
            <w:pPr>
              <w:spacing w:line="360" w:lineRule="auto"/>
              <w:jc w:val="center"/>
              <w:rPr>
                <w:rFonts w:ascii="宋体" w:hAnsi="宋体"/>
                <w:iCs/>
                <w:sz w:val="21"/>
                <w:szCs w:val="21"/>
              </w:rPr>
            </w:pPr>
            <w:r>
              <w:rPr>
                <w:rFonts w:hint="eastAsia" w:ascii="宋体" w:hAnsi="宋体"/>
                <w:iCs/>
                <w:sz w:val="21"/>
                <w:szCs w:val="21"/>
              </w:rPr>
              <w:t>《污水综合排放标准》（GB</w:t>
            </w:r>
            <w:r>
              <w:rPr>
                <w:iCs/>
                <w:sz w:val="21"/>
                <w:szCs w:val="21"/>
              </w:rPr>
              <w:t>8978</w:t>
            </w:r>
            <w:r>
              <w:rPr>
                <w:rFonts w:hAnsi="宋体"/>
                <w:iCs/>
                <w:sz w:val="21"/>
                <w:szCs w:val="21"/>
              </w:rPr>
              <w:t>－</w:t>
            </w:r>
            <w:r>
              <w:rPr>
                <w:iCs/>
                <w:sz w:val="21"/>
                <w:szCs w:val="21"/>
              </w:rPr>
              <w:t>1996</w:t>
            </w:r>
            <w:r>
              <w:rPr>
                <w:rFonts w:hint="eastAsia" w:ascii="宋体" w:hAnsi="宋体"/>
                <w:iCs/>
                <w:sz w:val="21"/>
                <w:szCs w:val="21"/>
              </w:rPr>
              <w:t>）一级</w:t>
            </w:r>
          </w:p>
        </w:tc>
        <w:tc>
          <w:tcPr>
            <w:tcW w:w="840" w:type="dxa"/>
            <w:tcBorders>
              <w:top w:val="single" w:color="000000" w:sz="6" w:space="0"/>
              <w:left w:val="single" w:color="000000" w:sz="6" w:space="0"/>
              <w:bottom w:val="single" w:color="auto" w:sz="4" w:space="0"/>
              <w:right w:val="single" w:color="000000" w:sz="6" w:space="0"/>
            </w:tcBorders>
            <w:vAlign w:val="center"/>
          </w:tcPr>
          <w:p>
            <w:pPr>
              <w:pStyle w:val="13"/>
              <w:pBdr>
                <w:bottom w:val="none" w:color="auto" w:sz="0" w:space="0"/>
              </w:pBdr>
              <w:tabs>
                <w:tab w:val="left" w:pos="420"/>
              </w:tabs>
              <w:snapToGrid/>
              <w:spacing w:line="360" w:lineRule="auto"/>
              <w:ind w:left="189" w:leftChars="90" w:firstLine="105" w:firstLineChars="50"/>
              <w:jc w:val="both"/>
              <w:rPr>
                <w:rFonts w:hint="eastAsia" w:ascii="宋体" w:hAnsi="宋体"/>
                <w:sz w:val="21"/>
                <w:szCs w:val="21"/>
              </w:rPr>
            </w:pPr>
            <w:r>
              <w:rPr>
                <w:rFonts w:hint="eastAsia" w:ascii="宋体" w:hAnsi="宋体"/>
                <w:sz w:val="21"/>
                <w:szCs w:val="21"/>
              </w:rPr>
              <w:t>COD</w:t>
            </w:r>
          </w:p>
          <w:p>
            <w:pPr>
              <w:pStyle w:val="13"/>
              <w:pBdr>
                <w:bottom w:val="none" w:color="auto" w:sz="0" w:space="0"/>
              </w:pBdr>
              <w:tabs>
                <w:tab w:val="left" w:pos="420"/>
              </w:tabs>
              <w:snapToGrid/>
              <w:spacing w:line="360" w:lineRule="auto"/>
              <w:ind w:left="440"/>
              <w:jc w:val="both"/>
              <w:rPr>
                <w:rFonts w:hint="eastAsia" w:ascii="宋体" w:hAnsi="宋体"/>
                <w:sz w:val="21"/>
                <w:szCs w:val="21"/>
              </w:rPr>
            </w:pPr>
            <w:r>
              <w:rPr>
                <w:rFonts w:hint="eastAsia" w:ascii="宋体" w:hAnsi="宋体"/>
                <w:sz w:val="21"/>
                <w:szCs w:val="21"/>
              </w:rPr>
              <w:t>SS</w:t>
            </w:r>
          </w:p>
          <w:p>
            <w:pPr>
              <w:pStyle w:val="13"/>
              <w:pBdr>
                <w:bottom w:val="none" w:color="auto" w:sz="0" w:space="0"/>
              </w:pBdr>
              <w:tabs>
                <w:tab w:val="left" w:pos="420"/>
              </w:tabs>
              <w:snapToGrid/>
              <w:spacing w:line="360" w:lineRule="auto"/>
              <w:ind w:left="189" w:leftChars="90"/>
              <w:jc w:val="both"/>
              <w:rPr>
                <w:rFonts w:hint="eastAsia" w:ascii="宋体" w:hAnsi="宋体"/>
                <w:sz w:val="21"/>
                <w:szCs w:val="21"/>
              </w:rPr>
            </w:pPr>
            <w:r>
              <w:rPr>
                <w:rFonts w:hint="eastAsia" w:ascii="宋体" w:hAnsi="宋体"/>
                <w:sz w:val="21"/>
                <w:szCs w:val="21"/>
              </w:rPr>
              <w:t>NH</w:t>
            </w:r>
            <w:r>
              <w:rPr>
                <w:rFonts w:hint="eastAsia" w:ascii="宋体" w:hAnsi="宋体"/>
                <w:sz w:val="21"/>
                <w:szCs w:val="21"/>
                <w:vertAlign w:val="subscript"/>
              </w:rPr>
              <w:t>3</w:t>
            </w:r>
            <w:r>
              <w:rPr>
                <w:rFonts w:hint="eastAsia" w:ascii="宋体" w:hAnsi="宋体"/>
                <w:sz w:val="21"/>
                <w:szCs w:val="21"/>
              </w:rPr>
              <w:t>-N</w:t>
            </w:r>
          </w:p>
        </w:tc>
        <w:tc>
          <w:tcPr>
            <w:tcW w:w="1374" w:type="dxa"/>
            <w:tcBorders>
              <w:top w:val="single" w:color="000000" w:sz="6" w:space="0"/>
              <w:left w:val="single" w:color="000000" w:sz="6" w:space="0"/>
              <w:bottom w:val="single" w:color="auto" w:sz="4" w:space="0"/>
              <w:right w:val="single" w:color="000000" w:sz="6" w:space="0"/>
            </w:tcBorders>
            <w:vAlign w:val="center"/>
          </w:tcPr>
          <w:p>
            <w:pPr>
              <w:pStyle w:val="13"/>
              <w:pBdr>
                <w:bottom w:val="none" w:color="auto" w:sz="0" w:space="0"/>
              </w:pBdr>
              <w:tabs>
                <w:tab w:val="left" w:pos="420"/>
              </w:tabs>
              <w:snapToGrid/>
              <w:spacing w:line="360" w:lineRule="auto"/>
              <w:ind w:left="440"/>
              <w:jc w:val="both"/>
              <w:rPr>
                <w:rFonts w:hint="eastAsia"/>
                <w:sz w:val="21"/>
                <w:szCs w:val="21"/>
              </w:rPr>
            </w:pPr>
            <w:r>
              <w:rPr>
                <w:rFonts w:hint="eastAsia"/>
                <w:sz w:val="21"/>
                <w:szCs w:val="21"/>
              </w:rPr>
              <w:t>≤</w:t>
            </w:r>
            <w:r>
              <w:rPr>
                <w:sz w:val="21"/>
                <w:szCs w:val="21"/>
              </w:rPr>
              <w:t>100</w:t>
            </w:r>
          </w:p>
          <w:p>
            <w:pPr>
              <w:pStyle w:val="13"/>
              <w:pBdr>
                <w:bottom w:val="none" w:color="auto" w:sz="0" w:space="0"/>
              </w:pBdr>
              <w:tabs>
                <w:tab w:val="left" w:pos="420"/>
              </w:tabs>
              <w:snapToGrid/>
              <w:spacing w:line="360" w:lineRule="auto"/>
              <w:ind w:left="440"/>
              <w:jc w:val="both"/>
              <w:rPr>
                <w:sz w:val="21"/>
                <w:szCs w:val="21"/>
              </w:rPr>
            </w:pPr>
            <w:r>
              <w:rPr>
                <w:rFonts w:hint="eastAsia"/>
                <w:sz w:val="21"/>
                <w:szCs w:val="21"/>
              </w:rPr>
              <w:t>≤</w:t>
            </w:r>
            <w:r>
              <w:rPr>
                <w:sz w:val="21"/>
                <w:szCs w:val="21"/>
              </w:rPr>
              <w:t>70</w:t>
            </w:r>
          </w:p>
          <w:p>
            <w:pPr>
              <w:pStyle w:val="13"/>
              <w:pBdr>
                <w:bottom w:val="none" w:color="auto" w:sz="0" w:space="0"/>
              </w:pBdr>
              <w:tabs>
                <w:tab w:val="left" w:pos="420"/>
              </w:tabs>
              <w:snapToGrid/>
              <w:spacing w:line="360" w:lineRule="auto"/>
              <w:ind w:left="440"/>
              <w:jc w:val="both"/>
              <w:rPr>
                <w:sz w:val="21"/>
                <w:szCs w:val="21"/>
              </w:rPr>
            </w:pPr>
            <w:r>
              <w:rPr>
                <w:rFonts w:hint="eastAsia"/>
                <w:sz w:val="21"/>
                <w:szCs w:val="21"/>
              </w:rPr>
              <w:t>≤</w:t>
            </w:r>
            <w:r>
              <w:rPr>
                <w:sz w:val="21"/>
                <w:szCs w:val="21"/>
              </w:rPr>
              <w:t>15</w:t>
            </w:r>
          </w:p>
        </w:tc>
        <w:tc>
          <w:tcPr>
            <w:tcW w:w="1454" w:type="dxa"/>
            <w:tcBorders>
              <w:top w:val="single" w:color="000000" w:sz="6" w:space="0"/>
              <w:left w:val="single" w:color="000000" w:sz="6" w:space="0"/>
              <w:bottom w:val="single" w:color="auto" w:sz="4" w:space="0"/>
              <w:right w:val="single" w:color="000000" w:sz="6" w:space="0"/>
            </w:tcBorders>
            <w:vAlign w:val="center"/>
          </w:tcPr>
          <w:p>
            <w:pPr>
              <w:pStyle w:val="13"/>
              <w:pBdr>
                <w:bottom w:val="none" w:color="auto" w:sz="0" w:space="0"/>
              </w:pBdr>
              <w:tabs>
                <w:tab w:val="left" w:pos="420"/>
              </w:tabs>
              <w:snapToGrid/>
              <w:spacing w:line="360" w:lineRule="auto"/>
              <w:ind w:left="440"/>
              <w:jc w:val="both"/>
              <w:rPr>
                <w:rFonts w:hint="eastAsia"/>
                <w:sz w:val="21"/>
                <w:szCs w:val="21"/>
              </w:rPr>
            </w:pPr>
            <w:r>
              <w:rPr>
                <w:rFonts w:hint="eastAsia"/>
                <w:sz w:val="21"/>
                <w:szCs w:val="21"/>
              </w:rPr>
              <w:t>5.26</w:t>
            </w:r>
          </w:p>
          <w:p>
            <w:pPr>
              <w:pStyle w:val="13"/>
              <w:pBdr>
                <w:bottom w:val="none" w:color="auto" w:sz="0" w:space="0"/>
              </w:pBdr>
              <w:tabs>
                <w:tab w:val="left" w:pos="420"/>
              </w:tabs>
              <w:snapToGrid/>
              <w:spacing w:line="360" w:lineRule="auto"/>
              <w:ind w:left="440"/>
              <w:jc w:val="both"/>
              <w:rPr>
                <w:rFonts w:hint="eastAsia"/>
                <w:sz w:val="21"/>
                <w:szCs w:val="21"/>
              </w:rPr>
            </w:pPr>
            <w:r>
              <w:rPr>
                <w:rFonts w:hint="eastAsia"/>
                <w:sz w:val="21"/>
                <w:szCs w:val="21"/>
              </w:rPr>
              <w:t>2.97</w:t>
            </w:r>
          </w:p>
          <w:p>
            <w:pPr>
              <w:pStyle w:val="13"/>
              <w:pBdr>
                <w:bottom w:val="none" w:color="auto" w:sz="0" w:space="0"/>
              </w:pBdr>
              <w:tabs>
                <w:tab w:val="left" w:pos="420"/>
              </w:tabs>
              <w:snapToGrid/>
              <w:spacing w:line="360" w:lineRule="auto"/>
              <w:ind w:left="440"/>
              <w:jc w:val="both"/>
              <w:rPr>
                <w:rFonts w:hint="eastAsia"/>
                <w:sz w:val="21"/>
                <w:szCs w:val="21"/>
              </w:rPr>
            </w:pPr>
            <w:r>
              <w:rPr>
                <w:rFonts w:hint="eastAsia"/>
                <w:sz w:val="21"/>
                <w:szCs w:val="21"/>
              </w:rPr>
              <w:t>0.35</w:t>
            </w:r>
          </w:p>
        </w:tc>
        <w:tc>
          <w:tcPr>
            <w:tcW w:w="1013" w:type="dxa"/>
            <w:tcBorders>
              <w:top w:val="single" w:color="000000" w:sz="6" w:space="0"/>
              <w:left w:val="single" w:color="000000" w:sz="6" w:space="0"/>
              <w:bottom w:val="single" w:color="auto" w:sz="4" w:space="0"/>
              <w:right w:val="single" w:color="000000" w:sz="6" w:space="0"/>
            </w:tcBorders>
            <w:vAlign w:val="center"/>
          </w:tcPr>
          <w:p>
            <w:pPr>
              <w:pStyle w:val="13"/>
              <w:pBdr>
                <w:bottom w:val="none" w:color="auto" w:sz="0" w:space="0"/>
              </w:pBdr>
              <w:tabs>
                <w:tab w:val="left" w:pos="420"/>
              </w:tabs>
              <w:snapToGrid/>
              <w:spacing w:line="360" w:lineRule="auto"/>
              <w:ind w:left="440"/>
              <w:jc w:val="both"/>
              <w:rPr>
                <w:rFonts w:hint="eastAsia"/>
                <w:sz w:val="21"/>
                <w:szCs w:val="21"/>
              </w:rPr>
            </w:pPr>
            <w:r>
              <w:rPr>
                <w:rFonts w:hint="eastAsia"/>
                <w:sz w:val="21"/>
                <w:szCs w:val="21"/>
              </w:rPr>
              <w:t>1.63</w:t>
            </w:r>
          </w:p>
          <w:p>
            <w:pPr>
              <w:pStyle w:val="13"/>
              <w:pBdr>
                <w:bottom w:val="none" w:color="auto" w:sz="0" w:space="0"/>
              </w:pBdr>
              <w:tabs>
                <w:tab w:val="left" w:pos="420"/>
              </w:tabs>
              <w:snapToGrid/>
              <w:spacing w:line="360" w:lineRule="auto"/>
              <w:ind w:left="440"/>
              <w:jc w:val="both"/>
              <w:rPr>
                <w:rFonts w:hint="eastAsia"/>
                <w:sz w:val="21"/>
                <w:szCs w:val="21"/>
              </w:rPr>
            </w:pPr>
            <w:r>
              <w:rPr>
                <w:rFonts w:hint="eastAsia"/>
                <w:sz w:val="21"/>
                <w:szCs w:val="21"/>
              </w:rPr>
              <w:t>0.92</w:t>
            </w:r>
          </w:p>
          <w:p>
            <w:pPr>
              <w:pStyle w:val="13"/>
              <w:pBdr>
                <w:bottom w:val="none" w:color="auto" w:sz="0" w:space="0"/>
              </w:pBdr>
              <w:tabs>
                <w:tab w:val="left" w:pos="420"/>
              </w:tabs>
              <w:snapToGrid/>
              <w:spacing w:line="360" w:lineRule="auto"/>
              <w:ind w:left="440"/>
              <w:jc w:val="both"/>
              <w:rPr>
                <w:rFonts w:hint="eastAsia"/>
                <w:sz w:val="21"/>
                <w:szCs w:val="21"/>
              </w:rPr>
            </w:pPr>
            <w:r>
              <w:rPr>
                <w:rFonts w:hint="eastAsia"/>
                <w:sz w:val="21"/>
                <w:szCs w:val="21"/>
              </w:rPr>
              <w:t>0.11</w:t>
            </w:r>
          </w:p>
        </w:tc>
      </w:tr>
    </w:tbl>
    <w:p>
      <w:pPr>
        <w:spacing w:line="460" w:lineRule="exact"/>
        <w:ind w:firstLine="1337" w:firstLineChars="637"/>
        <w:rPr>
          <w:rFonts w:hint="eastAsia" w:ascii="宋体" w:hAnsi="宋体"/>
          <w:b/>
        </w:rPr>
      </w:pPr>
    </w:p>
    <w:p>
      <w:pPr>
        <w:spacing w:line="460" w:lineRule="exact"/>
        <w:ind w:firstLine="1337" w:firstLineChars="637"/>
        <w:rPr>
          <w:rFonts w:hint="eastAsia" w:ascii="宋体" w:hAnsi="宋体"/>
          <w:b/>
        </w:rPr>
      </w:pPr>
      <w:r>
        <w:rPr>
          <w:rFonts w:hint="eastAsia" w:ascii="宋体" w:hAnsi="宋体"/>
          <w:b/>
        </w:rPr>
        <w:t>表15-2-3      技改项目厂界噪声</w:t>
      </w:r>
      <w:r>
        <w:rPr>
          <w:rFonts w:ascii="宋体" w:hAnsi="宋体"/>
          <w:b/>
        </w:rPr>
        <w:t>验收</w:t>
      </w:r>
      <w:r>
        <w:rPr>
          <w:rFonts w:hint="eastAsia" w:ascii="宋体" w:hAnsi="宋体"/>
          <w:b/>
        </w:rPr>
        <w:t>标准</w:t>
      </w:r>
    </w:p>
    <w:tbl>
      <w:tblPr>
        <w:tblStyle w:val="21"/>
        <w:tblW w:w="8534" w:type="dxa"/>
        <w:jc w:val="center"/>
        <w:tblInd w:w="13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2652"/>
        <w:gridCol w:w="574"/>
        <w:gridCol w:w="1190"/>
        <w:gridCol w:w="1134"/>
        <w:gridCol w:w="29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73" w:hRule="atLeast"/>
          <w:jc w:val="center"/>
        </w:trPr>
        <w:tc>
          <w:tcPr>
            <w:tcW w:w="3226" w:type="dxa"/>
            <w:gridSpan w:val="2"/>
            <w:vMerge w:val="restart"/>
            <w:tcBorders>
              <w:top w:val="single" w:color="000000" w:sz="6" w:space="0"/>
              <w:left w:val="single" w:color="000000" w:sz="6" w:space="0"/>
              <w:bottom w:val="single" w:color="000000" w:sz="6" w:space="0"/>
              <w:right w:val="single" w:color="000000" w:sz="6" w:space="0"/>
            </w:tcBorders>
            <w:vAlign w:val="center"/>
          </w:tcPr>
          <w:p>
            <w:pPr>
              <w:spacing w:line="400" w:lineRule="exact"/>
              <w:jc w:val="center"/>
              <w:rPr>
                <w:rFonts w:ascii="宋体" w:hAnsi="宋体"/>
                <w:sz w:val="21"/>
                <w:szCs w:val="21"/>
              </w:rPr>
            </w:pPr>
            <w:r>
              <w:rPr>
                <w:rFonts w:hint="eastAsia" w:ascii="宋体" w:hAnsi="宋体"/>
                <w:sz w:val="21"/>
                <w:szCs w:val="21"/>
              </w:rPr>
              <w:t>排放标准及标准号</w:t>
            </w:r>
          </w:p>
        </w:tc>
        <w:tc>
          <w:tcPr>
            <w:tcW w:w="2324" w:type="dxa"/>
            <w:gridSpan w:val="2"/>
            <w:tcBorders>
              <w:top w:val="single" w:color="000000" w:sz="6" w:space="0"/>
              <w:left w:val="single" w:color="000000" w:sz="6" w:space="0"/>
              <w:bottom w:val="single" w:color="auto" w:sz="4" w:space="0"/>
              <w:right w:val="single" w:color="000000" w:sz="6" w:space="0"/>
            </w:tcBorders>
            <w:vAlign w:val="center"/>
          </w:tcPr>
          <w:p>
            <w:pPr>
              <w:spacing w:line="400" w:lineRule="exact"/>
              <w:jc w:val="center"/>
              <w:rPr>
                <w:rFonts w:ascii="宋体" w:hAnsi="宋体"/>
                <w:sz w:val="21"/>
                <w:szCs w:val="21"/>
              </w:rPr>
            </w:pPr>
            <w:r>
              <w:rPr>
                <w:rFonts w:hint="eastAsia" w:ascii="宋体" w:hAnsi="宋体"/>
                <w:sz w:val="21"/>
                <w:szCs w:val="21"/>
              </w:rPr>
              <w:t>最大允许排放值</w:t>
            </w:r>
          </w:p>
        </w:tc>
        <w:tc>
          <w:tcPr>
            <w:tcW w:w="2984" w:type="dxa"/>
            <w:vMerge w:val="restart"/>
            <w:tcBorders>
              <w:top w:val="single" w:color="000000" w:sz="6" w:space="0"/>
              <w:left w:val="single" w:color="000000" w:sz="6" w:space="0"/>
              <w:bottom w:val="single" w:color="000000" w:sz="6" w:space="0"/>
              <w:right w:val="single" w:color="000000" w:sz="6" w:space="0"/>
            </w:tcBorders>
            <w:vAlign w:val="center"/>
          </w:tcPr>
          <w:p>
            <w:pPr>
              <w:spacing w:line="400" w:lineRule="exact"/>
              <w:jc w:val="center"/>
              <w:rPr>
                <w:rFonts w:ascii="宋体" w:hAnsi="宋体"/>
                <w:sz w:val="21"/>
                <w:szCs w:val="21"/>
              </w:rPr>
            </w:pPr>
            <w:r>
              <w:rPr>
                <w:rFonts w:hint="eastAsia" w:ascii="宋体" w:hAnsi="宋体"/>
                <w:sz w:val="21"/>
                <w:szCs w:val="21"/>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118" w:hRule="atLeast"/>
          <w:jc w:val="center"/>
        </w:trPr>
        <w:tc>
          <w:tcPr>
            <w:tcW w:w="3226" w:type="dxa"/>
            <w:gridSpan w:val="2"/>
            <w:vMerge w:val="continue"/>
            <w:tcBorders>
              <w:top w:val="single" w:color="000000" w:sz="6" w:space="0"/>
              <w:left w:val="single" w:color="000000" w:sz="6" w:space="0"/>
              <w:bottom w:val="single" w:color="000000" w:sz="6" w:space="0"/>
              <w:right w:val="single" w:color="000000" w:sz="6" w:space="0"/>
            </w:tcBorders>
            <w:vAlign w:val="center"/>
          </w:tcPr>
          <w:p>
            <w:pPr>
              <w:widowControl/>
              <w:spacing w:line="400" w:lineRule="exact"/>
              <w:jc w:val="left"/>
              <w:rPr>
                <w:rFonts w:ascii="宋体" w:hAnsi="宋体"/>
                <w:sz w:val="21"/>
                <w:szCs w:val="21"/>
              </w:rPr>
            </w:pPr>
          </w:p>
        </w:tc>
        <w:tc>
          <w:tcPr>
            <w:tcW w:w="1190" w:type="dxa"/>
            <w:tcBorders>
              <w:top w:val="single" w:color="auto" w:sz="4" w:space="0"/>
              <w:left w:val="single" w:color="000000" w:sz="6" w:space="0"/>
              <w:bottom w:val="single" w:color="000000" w:sz="6" w:space="0"/>
              <w:right w:val="single" w:color="auto" w:sz="4" w:space="0"/>
            </w:tcBorders>
            <w:vAlign w:val="center"/>
          </w:tcPr>
          <w:p>
            <w:pPr>
              <w:spacing w:line="400" w:lineRule="exact"/>
              <w:jc w:val="center"/>
              <w:rPr>
                <w:rFonts w:ascii="宋体" w:hAnsi="宋体"/>
                <w:sz w:val="21"/>
                <w:szCs w:val="21"/>
              </w:rPr>
            </w:pPr>
            <w:r>
              <w:rPr>
                <w:rFonts w:hint="eastAsia" w:ascii="宋体" w:hAnsi="宋体"/>
                <w:sz w:val="21"/>
                <w:szCs w:val="21"/>
              </w:rPr>
              <w:t>昼间[dB]</w:t>
            </w:r>
          </w:p>
        </w:tc>
        <w:tc>
          <w:tcPr>
            <w:tcW w:w="1134" w:type="dxa"/>
            <w:tcBorders>
              <w:top w:val="single" w:color="auto" w:sz="4" w:space="0"/>
              <w:left w:val="single" w:color="auto" w:sz="4" w:space="0"/>
              <w:bottom w:val="single" w:color="000000" w:sz="6" w:space="0"/>
              <w:right w:val="single" w:color="000000" w:sz="6" w:space="0"/>
            </w:tcBorders>
            <w:vAlign w:val="center"/>
          </w:tcPr>
          <w:p>
            <w:pPr>
              <w:spacing w:line="400" w:lineRule="exact"/>
              <w:jc w:val="center"/>
              <w:rPr>
                <w:rFonts w:ascii="宋体" w:hAnsi="宋体"/>
                <w:sz w:val="21"/>
                <w:szCs w:val="21"/>
              </w:rPr>
            </w:pPr>
            <w:r>
              <w:rPr>
                <w:rFonts w:hint="eastAsia" w:ascii="宋体" w:hAnsi="宋体"/>
                <w:sz w:val="21"/>
                <w:szCs w:val="21"/>
              </w:rPr>
              <w:t>夜间[dB]</w:t>
            </w:r>
          </w:p>
        </w:tc>
        <w:tc>
          <w:tcPr>
            <w:tcW w:w="2984"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400" w:lineRule="exact"/>
              <w:jc w:val="left"/>
              <w:rPr>
                <w:rFonts w:ascii="宋体" w:hAnsi="宋体"/>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420" w:hRule="atLeast"/>
          <w:jc w:val="center"/>
        </w:trPr>
        <w:tc>
          <w:tcPr>
            <w:tcW w:w="2652" w:type="dxa"/>
            <w:tcBorders>
              <w:top w:val="single" w:color="000000" w:sz="6" w:space="0"/>
              <w:left w:val="single" w:color="000000" w:sz="6" w:space="0"/>
              <w:bottom w:val="single" w:color="000000" w:sz="6" w:space="0"/>
              <w:right w:val="single" w:color="auto" w:sz="4" w:space="0"/>
            </w:tcBorders>
            <w:vAlign w:val="center"/>
          </w:tcPr>
          <w:p>
            <w:pPr>
              <w:spacing w:line="400" w:lineRule="exact"/>
              <w:jc w:val="center"/>
              <w:rPr>
                <w:rFonts w:ascii="宋体" w:hAnsi="宋体"/>
                <w:bCs/>
                <w:iCs/>
                <w:sz w:val="21"/>
                <w:szCs w:val="21"/>
              </w:rPr>
            </w:pPr>
            <w:r>
              <w:rPr>
                <w:rFonts w:hint="eastAsia" w:ascii="宋体" w:hAnsi="宋体"/>
                <w:sz w:val="21"/>
                <w:szCs w:val="21"/>
              </w:rPr>
              <w:t>《工业企业厂界噪声标准》GB12348-2008</w:t>
            </w:r>
          </w:p>
        </w:tc>
        <w:tc>
          <w:tcPr>
            <w:tcW w:w="574" w:type="dxa"/>
            <w:tcBorders>
              <w:top w:val="single" w:color="000000" w:sz="6" w:space="0"/>
              <w:left w:val="single" w:color="auto" w:sz="4" w:space="0"/>
              <w:bottom w:val="single" w:color="000000" w:sz="6" w:space="0"/>
              <w:right w:val="single" w:color="000000" w:sz="6" w:space="0"/>
            </w:tcBorders>
            <w:vAlign w:val="center"/>
          </w:tcPr>
          <w:p>
            <w:pPr>
              <w:spacing w:line="400" w:lineRule="exact"/>
              <w:jc w:val="center"/>
              <w:rPr>
                <w:rFonts w:ascii="宋体" w:hAnsi="宋体"/>
                <w:bCs/>
                <w:iCs/>
                <w:sz w:val="21"/>
                <w:szCs w:val="21"/>
              </w:rPr>
            </w:pPr>
            <w:r>
              <w:rPr>
                <w:rFonts w:hint="eastAsia" w:ascii="宋体" w:hAnsi="宋体"/>
                <w:snapToGrid w:val="0"/>
                <w:kern w:val="0"/>
                <w:sz w:val="21"/>
                <w:szCs w:val="21"/>
              </w:rPr>
              <w:t>Ⅱ类</w:t>
            </w:r>
          </w:p>
        </w:tc>
        <w:tc>
          <w:tcPr>
            <w:tcW w:w="1190" w:type="dxa"/>
            <w:tcBorders>
              <w:top w:val="single" w:color="000000" w:sz="6" w:space="0"/>
              <w:left w:val="single" w:color="000000" w:sz="6" w:space="0"/>
              <w:bottom w:val="single" w:color="000000" w:sz="6" w:space="0"/>
              <w:right w:val="single" w:color="auto" w:sz="4" w:space="0"/>
            </w:tcBorders>
            <w:vAlign w:val="center"/>
          </w:tcPr>
          <w:p>
            <w:pPr>
              <w:spacing w:line="400" w:lineRule="exact"/>
              <w:jc w:val="center"/>
              <w:rPr>
                <w:rFonts w:hint="eastAsia"/>
                <w:sz w:val="21"/>
                <w:szCs w:val="21"/>
              </w:rPr>
            </w:pPr>
            <w:r>
              <w:rPr>
                <w:sz w:val="21"/>
                <w:szCs w:val="21"/>
              </w:rPr>
              <w:t>6</w:t>
            </w:r>
            <w:r>
              <w:rPr>
                <w:rFonts w:hint="eastAsia"/>
                <w:sz w:val="21"/>
                <w:szCs w:val="21"/>
              </w:rPr>
              <w:t>0</w:t>
            </w:r>
          </w:p>
        </w:tc>
        <w:tc>
          <w:tcPr>
            <w:tcW w:w="1134" w:type="dxa"/>
            <w:tcBorders>
              <w:top w:val="single" w:color="000000" w:sz="6" w:space="0"/>
              <w:left w:val="single" w:color="auto" w:sz="4" w:space="0"/>
              <w:bottom w:val="single" w:color="000000" w:sz="6" w:space="0"/>
              <w:right w:val="single" w:color="000000" w:sz="6" w:space="0"/>
            </w:tcBorders>
            <w:vAlign w:val="center"/>
          </w:tcPr>
          <w:p>
            <w:pPr>
              <w:spacing w:line="400" w:lineRule="exact"/>
              <w:jc w:val="center"/>
              <w:rPr>
                <w:rFonts w:hint="eastAsia"/>
                <w:sz w:val="21"/>
                <w:szCs w:val="21"/>
              </w:rPr>
            </w:pPr>
            <w:r>
              <w:rPr>
                <w:sz w:val="21"/>
                <w:szCs w:val="21"/>
              </w:rPr>
              <w:t>5</w:t>
            </w:r>
            <w:r>
              <w:rPr>
                <w:rFonts w:hint="eastAsia"/>
                <w:sz w:val="21"/>
                <w:szCs w:val="21"/>
              </w:rPr>
              <w:t>0</w:t>
            </w:r>
          </w:p>
        </w:tc>
        <w:tc>
          <w:tcPr>
            <w:tcW w:w="2984" w:type="dxa"/>
            <w:tcBorders>
              <w:top w:val="single" w:color="000000" w:sz="6" w:space="0"/>
              <w:left w:val="single" w:color="000000" w:sz="6" w:space="0"/>
              <w:bottom w:val="single" w:color="000000" w:sz="6" w:space="0"/>
              <w:right w:val="single" w:color="000000" w:sz="6" w:space="0"/>
            </w:tcBorders>
            <w:vAlign w:val="center"/>
          </w:tcPr>
          <w:p>
            <w:pPr>
              <w:spacing w:line="400" w:lineRule="exact"/>
              <w:jc w:val="center"/>
              <w:rPr>
                <w:rFonts w:ascii="宋体" w:hAnsi="宋体"/>
                <w:sz w:val="21"/>
                <w:szCs w:val="21"/>
              </w:rPr>
            </w:pPr>
            <w:r>
              <w:rPr>
                <w:rFonts w:hint="eastAsia" w:ascii="宋体" w:hAnsi="宋体"/>
                <w:sz w:val="21"/>
                <w:szCs w:val="21"/>
              </w:rPr>
              <w:t>施工期执行（GB12523-90）</w:t>
            </w:r>
          </w:p>
          <w:p>
            <w:pPr>
              <w:spacing w:line="400" w:lineRule="exact"/>
              <w:jc w:val="center"/>
              <w:rPr>
                <w:rFonts w:ascii="宋体" w:hAnsi="宋体"/>
                <w:sz w:val="21"/>
                <w:szCs w:val="21"/>
              </w:rPr>
            </w:pPr>
            <w:r>
              <w:rPr>
                <w:rFonts w:hint="eastAsia" w:ascii="宋体" w:hAnsi="宋体"/>
                <w:sz w:val="21"/>
                <w:szCs w:val="21"/>
              </w:rPr>
              <w:t>《建筑施工场界噪声限值》</w:t>
            </w:r>
          </w:p>
        </w:tc>
      </w:tr>
    </w:tbl>
    <w:p>
      <w:pPr>
        <w:rPr>
          <w:rFonts w:hint="eastAsia"/>
        </w:rPr>
      </w:pPr>
    </w:p>
    <w:p>
      <w:pPr>
        <w:spacing w:line="460" w:lineRule="exact"/>
        <w:ind w:firstLine="1337" w:firstLineChars="637"/>
        <w:rPr>
          <w:rFonts w:hint="eastAsia" w:ascii="宋体" w:hAnsi="宋体"/>
          <w:b/>
        </w:rPr>
      </w:pPr>
      <w:r>
        <w:rPr>
          <w:rFonts w:hint="eastAsia" w:ascii="宋体" w:hAnsi="宋体"/>
          <w:b/>
        </w:rPr>
        <w:t>表15-2-4      技改项目固体废物处置措施</w:t>
      </w:r>
      <w:r>
        <w:rPr>
          <w:rFonts w:ascii="宋体" w:hAnsi="宋体"/>
          <w:b/>
        </w:rPr>
        <w:t>验收</w:t>
      </w:r>
      <w:r>
        <w:rPr>
          <w:rFonts w:hint="eastAsia" w:ascii="宋体" w:hAnsi="宋体"/>
          <w:b/>
        </w:rPr>
        <w:t>标准</w:t>
      </w:r>
    </w:p>
    <w:tbl>
      <w:tblPr>
        <w:tblStyle w:val="21"/>
        <w:tblW w:w="8715" w:type="dxa"/>
        <w:jc w:val="center"/>
        <w:tblInd w:w="26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33"/>
        <w:gridCol w:w="2133"/>
        <w:gridCol w:w="1755"/>
        <w:gridCol w:w="309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11" w:hRule="atLeast"/>
          <w:jc w:val="center"/>
        </w:trPr>
        <w:tc>
          <w:tcPr>
            <w:tcW w:w="1733" w:type="dxa"/>
            <w:vAlign w:val="center"/>
          </w:tcPr>
          <w:p>
            <w:pPr>
              <w:spacing w:line="320" w:lineRule="atLeast"/>
              <w:jc w:val="center"/>
              <w:rPr>
                <w:rFonts w:hint="eastAsia"/>
                <w:sz w:val="21"/>
                <w:szCs w:val="21"/>
              </w:rPr>
            </w:pPr>
            <w:r>
              <w:rPr>
                <w:rFonts w:hint="eastAsia"/>
                <w:sz w:val="21"/>
                <w:szCs w:val="21"/>
              </w:rPr>
              <w:t>固体废物类型</w:t>
            </w:r>
          </w:p>
        </w:tc>
        <w:tc>
          <w:tcPr>
            <w:tcW w:w="2133" w:type="dxa"/>
            <w:vAlign w:val="center"/>
          </w:tcPr>
          <w:p>
            <w:pPr>
              <w:spacing w:line="320" w:lineRule="atLeast"/>
              <w:ind w:firstLine="540"/>
              <w:jc w:val="center"/>
              <w:rPr>
                <w:rFonts w:hint="eastAsia"/>
                <w:sz w:val="21"/>
                <w:szCs w:val="21"/>
              </w:rPr>
            </w:pPr>
            <w:r>
              <w:rPr>
                <w:rFonts w:hint="eastAsia"/>
                <w:sz w:val="21"/>
                <w:szCs w:val="21"/>
              </w:rPr>
              <w:t>产生量（</w:t>
            </w:r>
            <w:r>
              <w:rPr>
                <w:sz w:val="21"/>
                <w:szCs w:val="21"/>
              </w:rPr>
              <w:t>t/a</w:t>
            </w:r>
            <w:r>
              <w:rPr>
                <w:rFonts w:hint="eastAsia"/>
                <w:sz w:val="21"/>
                <w:szCs w:val="21"/>
              </w:rPr>
              <w:t>）</w:t>
            </w:r>
          </w:p>
        </w:tc>
        <w:tc>
          <w:tcPr>
            <w:tcW w:w="1755" w:type="dxa"/>
            <w:vAlign w:val="center"/>
          </w:tcPr>
          <w:p>
            <w:pPr>
              <w:spacing w:line="320" w:lineRule="atLeast"/>
              <w:ind w:firstLine="210" w:firstLineChars="100"/>
              <w:jc w:val="center"/>
              <w:rPr>
                <w:rFonts w:hint="eastAsia"/>
                <w:sz w:val="21"/>
                <w:szCs w:val="21"/>
              </w:rPr>
            </w:pPr>
            <w:r>
              <w:rPr>
                <w:rFonts w:hint="eastAsia"/>
                <w:sz w:val="21"/>
                <w:szCs w:val="21"/>
              </w:rPr>
              <w:t>性质</w:t>
            </w:r>
          </w:p>
        </w:tc>
        <w:tc>
          <w:tcPr>
            <w:tcW w:w="3094" w:type="dxa"/>
            <w:vAlign w:val="center"/>
          </w:tcPr>
          <w:p>
            <w:pPr>
              <w:spacing w:line="320" w:lineRule="atLeast"/>
              <w:ind w:firstLine="540"/>
              <w:jc w:val="center"/>
              <w:rPr>
                <w:rFonts w:hint="eastAsia"/>
                <w:sz w:val="21"/>
                <w:szCs w:val="21"/>
              </w:rPr>
            </w:pPr>
            <w:r>
              <w:rPr>
                <w:rFonts w:hint="eastAsia"/>
                <w:sz w:val="21"/>
                <w:szCs w:val="21"/>
              </w:rPr>
              <w:t>处置措施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1733" w:type="dxa"/>
            <w:vAlign w:val="center"/>
          </w:tcPr>
          <w:p>
            <w:pPr>
              <w:spacing w:line="320" w:lineRule="atLeast"/>
              <w:ind w:firstLine="540"/>
              <w:jc w:val="center"/>
              <w:rPr>
                <w:rFonts w:hint="eastAsia"/>
                <w:sz w:val="21"/>
                <w:szCs w:val="21"/>
              </w:rPr>
            </w:pPr>
            <w:r>
              <w:rPr>
                <w:rFonts w:hint="eastAsia"/>
                <w:sz w:val="21"/>
                <w:szCs w:val="21"/>
              </w:rPr>
              <w:t>除尘灰</w:t>
            </w:r>
          </w:p>
        </w:tc>
        <w:tc>
          <w:tcPr>
            <w:tcW w:w="2133" w:type="dxa"/>
            <w:vAlign w:val="center"/>
          </w:tcPr>
          <w:p>
            <w:pPr>
              <w:spacing w:line="320" w:lineRule="atLeast"/>
              <w:jc w:val="center"/>
              <w:rPr>
                <w:rFonts w:hint="eastAsia"/>
                <w:sz w:val="21"/>
                <w:szCs w:val="21"/>
              </w:rPr>
            </w:pPr>
            <w:r>
              <w:rPr>
                <w:rFonts w:hint="eastAsia"/>
                <w:sz w:val="21"/>
                <w:szCs w:val="21"/>
              </w:rPr>
              <w:t>183485.15</w:t>
            </w:r>
          </w:p>
        </w:tc>
        <w:tc>
          <w:tcPr>
            <w:tcW w:w="1755" w:type="dxa"/>
            <w:vAlign w:val="center"/>
          </w:tcPr>
          <w:p>
            <w:pPr>
              <w:spacing w:line="320" w:lineRule="atLeast"/>
              <w:ind w:firstLine="540"/>
              <w:jc w:val="center"/>
              <w:rPr>
                <w:rFonts w:hint="eastAsia"/>
                <w:sz w:val="21"/>
                <w:szCs w:val="21"/>
              </w:rPr>
            </w:pPr>
            <w:r>
              <w:rPr>
                <w:rFonts w:hint="eastAsia"/>
                <w:sz w:val="21"/>
                <w:szCs w:val="21"/>
              </w:rPr>
              <w:t>一般固废</w:t>
            </w:r>
          </w:p>
        </w:tc>
        <w:tc>
          <w:tcPr>
            <w:tcW w:w="3094" w:type="dxa"/>
            <w:vAlign w:val="center"/>
          </w:tcPr>
          <w:p>
            <w:pPr>
              <w:spacing w:line="320" w:lineRule="atLeast"/>
              <w:rPr>
                <w:rFonts w:hint="eastAsia"/>
                <w:sz w:val="21"/>
                <w:szCs w:val="21"/>
              </w:rPr>
            </w:pPr>
            <w:r>
              <w:rPr>
                <w:rFonts w:hint="eastAsia"/>
                <w:sz w:val="21"/>
                <w:szCs w:val="21"/>
              </w:rPr>
              <w:t>收集后作生产原料回用或产品外售利用，不排放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1733" w:type="dxa"/>
            <w:shd w:val="clear" w:color="auto" w:fill="auto"/>
            <w:vAlign w:val="center"/>
          </w:tcPr>
          <w:p>
            <w:pPr>
              <w:spacing w:line="320" w:lineRule="atLeast"/>
              <w:jc w:val="center"/>
              <w:rPr>
                <w:rFonts w:hint="eastAsia"/>
                <w:sz w:val="21"/>
                <w:szCs w:val="21"/>
              </w:rPr>
            </w:pPr>
            <w:r>
              <w:rPr>
                <w:rFonts w:hint="eastAsia"/>
                <w:sz w:val="21"/>
                <w:szCs w:val="21"/>
              </w:rPr>
              <w:t>生活污水污泥</w:t>
            </w:r>
          </w:p>
        </w:tc>
        <w:tc>
          <w:tcPr>
            <w:tcW w:w="2133" w:type="dxa"/>
            <w:shd w:val="clear" w:color="auto" w:fill="auto"/>
            <w:vAlign w:val="center"/>
          </w:tcPr>
          <w:p>
            <w:pPr>
              <w:spacing w:line="320" w:lineRule="atLeast"/>
              <w:jc w:val="center"/>
              <w:rPr>
                <w:rFonts w:hint="eastAsia"/>
                <w:sz w:val="21"/>
                <w:szCs w:val="21"/>
              </w:rPr>
            </w:pPr>
            <w:r>
              <w:rPr>
                <w:rFonts w:hint="eastAsia"/>
                <w:sz w:val="21"/>
                <w:szCs w:val="21"/>
              </w:rPr>
              <w:t>8.82（含水90％）</w:t>
            </w:r>
          </w:p>
        </w:tc>
        <w:tc>
          <w:tcPr>
            <w:tcW w:w="1755" w:type="dxa"/>
            <w:shd w:val="clear" w:color="auto" w:fill="auto"/>
            <w:vAlign w:val="center"/>
          </w:tcPr>
          <w:p>
            <w:pPr>
              <w:spacing w:line="320" w:lineRule="atLeast"/>
              <w:ind w:firstLine="540"/>
              <w:jc w:val="center"/>
              <w:rPr>
                <w:rFonts w:hint="eastAsia"/>
                <w:sz w:val="21"/>
                <w:szCs w:val="21"/>
              </w:rPr>
            </w:pPr>
            <w:r>
              <w:rPr>
                <w:rFonts w:hint="eastAsia"/>
                <w:sz w:val="21"/>
                <w:szCs w:val="21"/>
              </w:rPr>
              <w:t>一般固废</w:t>
            </w:r>
          </w:p>
        </w:tc>
        <w:tc>
          <w:tcPr>
            <w:tcW w:w="3094" w:type="dxa"/>
            <w:shd w:val="clear" w:color="auto" w:fill="auto"/>
            <w:vAlign w:val="center"/>
          </w:tcPr>
          <w:p>
            <w:pPr>
              <w:spacing w:line="320" w:lineRule="atLeast"/>
              <w:rPr>
                <w:rFonts w:hint="eastAsia"/>
                <w:sz w:val="21"/>
                <w:szCs w:val="21"/>
              </w:rPr>
            </w:pPr>
            <w:r>
              <w:rPr>
                <w:rFonts w:hint="eastAsia"/>
                <w:sz w:val="21"/>
                <w:szCs w:val="21"/>
              </w:rPr>
              <w:t>直接送水泥回转窑作水泥原料煅烧，不排放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1733" w:type="dxa"/>
            <w:vAlign w:val="center"/>
          </w:tcPr>
          <w:p>
            <w:pPr>
              <w:spacing w:line="320" w:lineRule="atLeast"/>
              <w:ind w:firstLine="540"/>
              <w:jc w:val="center"/>
              <w:rPr>
                <w:rFonts w:hint="eastAsia"/>
                <w:sz w:val="21"/>
                <w:szCs w:val="21"/>
              </w:rPr>
            </w:pPr>
            <w:r>
              <w:rPr>
                <w:rFonts w:hint="eastAsia"/>
                <w:sz w:val="21"/>
                <w:szCs w:val="21"/>
              </w:rPr>
              <w:t>生活垃圾</w:t>
            </w:r>
          </w:p>
        </w:tc>
        <w:tc>
          <w:tcPr>
            <w:tcW w:w="2133" w:type="dxa"/>
            <w:vAlign w:val="center"/>
          </w:tcPr>
          <w:p>
            <w:pPr>
              <w:spacing w:line="320" w:lineRule="atLeast"/>
              <w:jc w:val="center"/>
              <w:rPr>
                <w:rFonts w:hint="eastAsia"/>
                <w:sz w:val="21"/>
                <w:szCs w:val="21"/>
              </w:rPr>
            </w:pPr>
            <w:r>
              <w:rPr>
                <w:rFonts w:hint="eastAsia"/>
                <w:sz w:val="21"/>
                <w:szCs w:val="21"/>
              </w:rPr>
              <w:t>42.3</w:t>
            </w:r>
          </w:p>
        </w:tc>
        <w:tc>
          <w:tcPr>
            <w:tcW w:w="1755" w:type="dxa"/>
            <w:vAlign w:val="center"/>
          </w:tcPr>
          <w:p>
            <w:pPr>
              <w:spacing w:line="320" w:lineRule="atLeast"/>
              <w:ind w:firstLine="540"/>
              <w:jc w:val="center"/>
              <w:rPr>
                <w:rFonts w:hint="eastAsia"/>
                <w:sz w:val="21"/>
                <w:szCs w:val="21"/>
              </w:rPr>
            </w:pPr>
            <w:r>
              <w:rPr>
                <w:rFonts w:hint="eastAsia"/>
                <w:sz w:val="21"/>
                <w:szCs w:val="21"/>
              </w:rPr>
              <w:t>一般固废</w:t>
            </w:r>
          </w:p>
        </w:tc>
        <w:tc>
          <w:tcPr>
            <w:tcW w:w="3094" w:type="dxa"/>
            <w:vAlign w:val="center"/>
          </w:tcPr>
          <w:p>
            <w:pPr>
              <w:spacing w:line="320" w:lineRule="atLeast"/>
              <w:rPr>
                <w:rFonts w:hint="eastAsia"/>
                <w:sz w:val="21"/>
                <w:szCs w:val="21"/>
              </w:rPr>
            </w:pPr>
            <w:r>
              <w:rPr>
                <w:sz w:val="21"/>
                <w:szCs w:val="21"/>
              </w:rPr>
              <w:t>在厂区内设生活垃圾转运站，集中收集后，由</w:t>
            </w:r>
            <w:r>
              <w:rPr>
                <w:rFonts w:hint="eastAsia"/>
                <w:sz w:val="21"/>
                <w:szCs w:val="21"/>
              </w:rPr>
              <w:t>青木关镇</w:t>
            </w:r>
            <w:r>
              <w:rPr>
                <w:sz w:val="21"/>
                <w:szCs w:val="21"/>
              </w:rPr>
              <w:t>环卫部门送城市垃圾处理场卫生填埋，不排放</w:t>
            </w:r>
          </w:p>
        </w:tc>
      </w:tr>
    </w:tbl>
    <w:p>
      <w:pPr>
        <w:spacing w:line="460" w:lineRule="exact"/>
        <w:ind w:firstLine="360" w:firstLineChars="200"/>
        <w:rPr>
          <w:rFonts w:hint="eastAsia" w:ascii="宋体" w:hAnsi="宋体"/>
          <w:sz w:val="18"/>
          <w:szCs w:val="18"/>
        </w:rPr>
      </w:pPr>
    </w:p>
    <w:p>
      <w:pPr>
        <w:spacing w:line="460" w:lineRule="exact"/>
        <w:ind w:firstLine="420" w:firstLineChars="200"/>
        <w:rPr>
          <w:rFonts w:hint="eastAsia" w:ascii="宋体" w:hAnsi="宋体"/>
        </w:rPr>
      </w:pPr>
      <w:r>
        <w:rPr>
          <w:rFonts w:hint="eastAsia" w:ascii="宋体" w:hAnsi="宋体"/>
        </w:rPr>
        <w:t>验收时还必须统一考虑的有关内容：</w:t>
      </w:r>
    </w:p>
    <w:p>
      <w:pPr>
        <w:spacing w:line="460" w:lineRule="exact"/>
        <w:ind w:firstLine="315" w:firstLineChars="150"/>
        <w:rPr>
          <w:rFonts w:hint="eastAsia" w:ascii="宋体" w:hAnsi="宋体"/>
        </w:rPr>
      </w:pPr>
      <w:r>
        <w:rPr>
          <w:rFonts w:hint="eastAsia" w:ascii="宋体" w:hAnsi="宋体"/>
        </w:rPr>
        <w:t>（1）建设前期环境保护审查、审批手续完备。技术资料与环境保护档案资料齐全。</w:t>
      </w:r>
    </w:p>
    <w:p>
      <w:pPr>
        <w:spacing w:line="460" w:lineRule="exact"/>
        <w:ind w:firstLine="315" w:firstLineChars="150"/>
        <w:rPr>
          <w:rFonts w:hint="eastAsia" w:ascii="宋体" w:hAnsi="宋体"/>
        </w:rPr>
      </w:pPr>
      <w:r>
        <w:rPr>
          <w:rFonts w:hint="eastAsia" w:ascii="宋体" w:hAnsi="宋体"/>
        </w:rPr>
        <w:t>（2）环境保护设施及其它措施等已按批准的环境影响报告书和设计文件的要求建成或落实，环境保护设施经负荷试车检测合格，其防治污染能力适应主体工程的需要。</w:t>
      </w:r>
    </w:p>
    <w:p>
      <w:pPr>
        <w:spacing w:line="460" w:lineRule="exact"/>
        <w:ind w:firstLine="315" w:firstLineChars="150"/>
        <w:rPr>
          <w:rFonts w:hint="eastAsia" w:ascii="宋体" w:hAnsi="宋体"/>
        </w:rPr>
      </w:pPr>
      <w:r>
        <w:rPr>
          <w:rFonts w:hint="eastAsia" w:ascii="宋体" w:hAnsi="宋体"/>
        </w:rPr>
        <w:t>（3）环境保护设施安装质量符合国家和有关部门颁发的专业工程验收规范、规程和检验评定标准。</w:t>
      </w:r>
    </w:p>
    <w:p>
      <w:pPr>
        <w:spacing w:line="460" w:lineRule="exact"/>
        <w:ind w:firstLine="315" w:firstLineChars="150"/>
        <w:rPr>
          <w:rFonts w:hint="eastAsia" w:ascii="宋体" w:hAnsi="宋体"/>
        </w:rPr>
      </w:pPr>
      <w:r>
        <w:rPr>
          <w:rFonts w:hint="eastAsia" w:ascii="宋体" w:hAnsi="宋体"/>
        </w:rPr>
        <w:t>（4）具备环境保护设施正常运转的条件，包括：经培训合格的操作人员、健全的岗位操作规程及相应的规章制度，原料、动力供应落实，符合交付使用的其它要求。</w:t>
      </w:r>
    </w:p>
    <w:p>
      <w:pPr>
        <w:spacing w:line="460" w:lineRule="exact"/>
        <w:ind w:firstLine="315" w:firstLineChars="150"/>
        <w:rPr>
          <w:rFonts w:hint="eastAsia" w:ascii="宋体" w:hAnsi="宋体"/>
        </w:rPr>
      </w:pPr>
      <w:r>
        <w:rPr>
          <w:rFonts w:hint="eastAsia" w:ascii="宋体" w:hAnsi="宋体"/>
        </w:rPr>
        <w:t>（5）污染物排放符合环境影响报告书和设计文件中提出的标准及核定的污染物排放总量控制指标的要求。</w:t>
      </w:r>
    </w:p>
    <w:p>
      <w:pPr>
        <w:spacing w:line="460" w:lineRule="exact"/>
        <w:ind w:firstLine="315" w:firstLineChars="150"/>
        <w:rPr>
          <w:rFonts w:hint="eastAsia" w:ascii="宋体" w:hAnsi="宋体"/>
        </w:rPr>
      </w:pPr>
      <w:r>
        <w:rPr>
          <w:rFonts w:hint="eastAsia" w:ascii="宋体" w:hAnsi="宋体"/>
        </w:rPr>
        <w:t>（6）各项生态保护措施按环境影响报告书规定的要求落实，建设项目建设过程中受到破坏并可恢复的环境已按规定采取了恢复措施。</w:t>
      </w:r>
    </w:p>
    <w:p>
      <w:pPr>
        <w:spacing w:line="460" w:lineRule="exact"/>
        <w:ind w:firstLine="315" w:firstLineChars="150"/>
        <w:rPr>
          <w:rFonts w:hint="eastAsia" w:ascii="宋体" w:hAnsi="宋体"/>
        </w:rPr>
      </w:pPr>
      <w:r>
        <w:rPr>
          <w:rFonts w:hint="eastAsia" w:ascii="宋体" w:hAnsi="宋体"/>
        </w:rPr>
        <w:t>（7）环境监测项目、点位、机构设置及人员配备，符合环境影响报告书和有关规定的要求。</w:t>
      </w:r>
    </w:p>
    <w:p>
      <w:pPr>
        <w:spacing w:line="460" w:lineRule="exact"/>
        <w:ind w:firstLine="315" w:firstLineChars="150"/>
        <w:rPr>
          <w:rFonts w:hint="eastAsia" w:ascii="宋体" w:hAnsi="宋体"/>
        </w:rPr>
      </w:pPr>
      <w:r>
        <w:rPr>
          <w:rFonts w:hint="eastAsia" w:ascii="宋体" w:hAnsi="宋体"/>
        </w:rPr>
        <w:t>（8）环保投资单列台帐并得到了落实，无环境保护投诉或环保投诉得到了妥善解决。</w:t>
      </w:r>
    </w:p>
    <w:p>
      <w:pPr>
        <w:rPr>
          <w:rFonts w:hint="eastAsia"/>
        </w:rPr>
      </w:pPr>
    </w:p>
    <w:p>
      <w:pPr>
        <w:rPr>
          <w:rFonts w:hint="eastAsia"/>
        </w:rPr>
      </w:pPr>
    </w:p>
    <w:p>
      <w:pPr>
        <w:rPr>
          <w:rFonts w:hint="eastAsia"/>
        </w:rPr>
      </w:pPr>
    </w:p>
    <w:p>
      <w:pPr>
        <w:spacing w:before="72" w:beforeLines="30" w:after="72" w:afterLines="30" w:line="360" w:lineRule="auto"/>
        <w:outlineLvl w:val="0"/>
        <w:rPr>
          <w:rFonts w:hint="eastAsia"/>
          <w:b/>
        </w:rPr>
      </w:pPr>
      <w:bookmarkStart w:id="544" w:name="_Toc175479889"/>
      <w:bookmarkStart w:id="545" w:name="_Toc165607432"/>
      <w:bookmarkStart w:id="546" w:name="_Toc189814209"/>
      <w:bookmarkStart w:id="547" w:name="_Toc276372291"/>
      <w:bookmarkStart w:id="548" w:name="_Toc473281565"/>
      <w:r>
        <w:rPr>
          <w:b/>
        </w:rPr>
        <w:t>1</w:t>
      </w:r>
      <w:r>
        <w:rPr>
          <w:rFonts w:hint="eastAsia"/>
          <w:b/>
        </w:rPr>
        <w:t>6</w:t>
      </w:r>
      <w:r>
        <w:rPr>
          <w:b/>
        </w:rPr>
        <w:t>结论与建议</w:t>
      </w:r>
      <w:bookmarkEnd w:id="544"/>
      <w:bookmarkEnd w:id="545"/>
      <w:bookmarkEnd w:id="546"/>
      <w:bookmarkEnd w:id="547"/>
      <w:bookmarkEnd w:id="548"/>
    </w:p>
    <w:p>
      <w:pPr>
        <w:spacing w:before="24" w:beforeLines="10" w:after="24" w:afterLines="10" w:line="360" w:lineRule="auto"/>
        <w:outlineLvl w:val="1"/>
        <w:rPr>
          <w:rFonts w:hint="eastAsia"/>
          <w:b/>
        </w:rPr>
      </w:pPr>
      <w:bookmarkStart w:id="549" w:name="_Toc276372292"/>
      <w:bookmarkStart w:id="550" w:name="_Toc165607433"/>
      <w:bookmarkStart w:id="551" w:name="_Toc473281566"/>
      <w:bookmarkStart w:id="552" w:name="_Toc189814210"/>
      <w:bookmarkStart w:id="553" w:name="_Toc175479890"/>
      <w:bookmarkStart w:id="554" w:name="_Toc129763788"/>
      <w:r>
        <w:rPr>
          <w:rFonts w:hint="eastAsia"/>
          <w:b/>
        </w:rPr>
        <w:t>16.1结论</w:t>
      </w:r>
      <w:bookmarkEnd w:id="549"/>
      <w:bookmarkEnd w:id="550"/>
      <w:bookmarkEnd w:id="551"/>
      <w:bookmarkEnd w:id="552"/>
      <w:bookmarkEnd w:id="553"/>
      <w:bookmarkEnd w:id="554"/>
    </w:p>
    <w:p>
      <w:pPr>
        <w:spacing w:before="24" w:beforeLines="10" w:after="24" w:afterLines="10" w:line="360" w:lineRule="auto"/>
        <w:rPr>
          <w:b/>
        </w:rPr>
      </w:pPr>
      <w:r>
        <w:rPr>
          <w:b/>
        </w:rPr>
        <w:t>1</w:t>
      </w:r>
      <w:r>
        <w:rPr>
          <w:rFonts w:hint="eastAsia"/>
          <w:b/>
        </w:rPr>
        <w:t>6</w:t>
      </w:r>
      <w:r>
        <w:rPr>
          <w:b/>
        </w:rPr>
        <w:t>.1.1产业政策</w:t>
      </w:r>
      <w:r>
        <w:rPr>
          <w:rFonts w:hint="eastAsia"/>
          <w:b/>
        </w:rPr>
        <w:t>、规划符</w:t>
      </w:r>
      <w:r>
        <w:rPr>
          <w:b/>
        </w:rPr>
        <w:t>合性</w:t>
      </w:r>
    </w:p>
    <w:p>
      <w:pPr>
        <w:spacing w:line="360" w:lineRule="auto"/>
        <w:ind w:firstLine="420" w:firstLineChars="200"/>
        <w:rPr>
          <w:rFonts w:hint="eastAsia" w:ascii="宋体" w:hAnsi="宋体"/>
        </w:rPr>
      </w:pPr>
      <w:r>
        <w:rPr>
          <w:rFonts w:hint="eastAsia"/>
          <w:bCs/>
        </w:rPr>
        <w:t>通过分析表明，</w:t>
      </w:r>
      <w:r>
        <w:rPr>
          <w:rFonts w:hint="eastAsia" w:ascii="宋体"/>
        </w:rPr>
        <w:t>技改项目建设</w:t>
      </w:r>
      <w:r>
        <w:rPr>
          <w:rFonts w:hint="eastAsia" w:ascii="宋体" w:hAnsi="宋体"/>
        </w:rPr>
        <w:t>技改项目符合</w:t>
      </w:r>
      <w:r>
        <w:rPr>
          <w:rFonts w:hint="eastAsia" w:ascii="宋体" w:hAnsi="宋体"/>
          <w:bCs/>
        </w:rPr>
        <w:t>《产业结构调整指导目录(2005年本)》</w:t>
      </w:r>
      <w:r>
        <w:rPr>
          <w:rFonts w:hint="eastAsia" w:ascii="宋体" w:hAnsi="宋体"/>
        </w:rPr>
        <w:t>、</w:t>
      </w:r>
      <w:r>
        <w:t>《关于加快水泥工业结构调整的若干意见》、《水泥工业产业发展政策》、《水泥工业发展专项规划》、《国务院关于印发节能减排综合性工作方案的通知》、</w:t>
      </w:r>
      <w:r>
        <w:rPr>
          <w:rFonts w:hint="eastAsia"/>
        </w:rPr>
        <w:t>《国务院批转发改委等部门关于抑制部分行业产能过剩和重复建设引导产业健康发展若干意见的通知》、《国务院关于进一步加强淘汰落后产能工作的通知》、</w:t>
      </w:r>
      <w:r>
        <w:t>《重庆市水泥工业</w:t>
      </w:r>
      <w:r>
        <w:rPr>
          <w:rFonts w:hint="eastAsia"/>
        </w:rPr>
        <w:t>“</w:t>
      </w:r>
      <w:r>
        <w:t>十一五</w:t>
      </w:r>
      <w:r>
        <w:rPr>
          <w:rFonts w:hint="eastAsia"/>
        </w:rPr>
        <w:t>”</w:t>
      </w:r>
      <w:r>
        <w:t>发展规划》</w:t>
      </w:r>
      <w:r>
        <w:rPr>
          <w:rFonts w:hint="eastAsia" w:ascii="宋体" w:hAnsi="宋体"/>
        </w:rPr>
        <w:t>等文件的相关规定，符合国家和重庆市的相关产业政策。</w:t>
      </w:r>
    </w:p>
    <w:p>
      <w:pPr>
        <w:autoSpaceDE w:val="0"/>
        <w:autoSpaceDN w:val="0"/>
        <w:spacing w:line="360" w:lineRule="auto"/>
        <w:ind w:firstLine="420" w:firstLineChars="200"/>
        <w:rPr>
          <w:rFonts w:hint="eastAsia"/>
        </w:rPr>
      </w:pPr>
      <w:r>
        <w:rPr>
          <w:rFonts w:hint="eastAsia"/>
          <w:bCs/>
        </w:rPr>
        <w:t>技改项目选址于沙坪坝区青木关镇关口村，</w:t>
      </w:r>
      <w:r>
        <w:rPr>
          <w:rFonts w:hint="eastAsia" w:hAnsi="宋体"/>
        </w:rPr>
        <w:t>技改项目在拆</w:t>
      </w:r>
      <w:r>
        <w:rPr>
          <w:rFonts w:hAnsi="宋体"/>
        </w:rPr>
        <w:t>原</w:t>
      </w:r>
      <w:r>
        <w:rPr>
          <w:rFonts w:hint="eastAsia" w:hAnsi="宋体"/>
        </w:rPr>
        <w:t>除立窑的基础上原址建设新型干法水泥生产线，</w:t>
      </w:r>
      <w:r>
        <w:rPr>
          <w:rFonts w:hAnsi="宋体"/>
          <w:kern w:val="28"/>
          <w:sz w:val="28"/>
          <w:szCs w:val="28"/>
        </w:rPr>
        <w:t>该址的土地</w:t>
      </w:r>
      <w:r>
        <w:rPr>
          <w:rFonts w:hint="eastAsia" w:hAnsi="宋体"/>
        </w:rPr>
        <w:t>属于工业用地，项目不需要新</w:t>
      </w:r>
      <w:r>
        <w:rPr>
          <w:rFonts w:hAnsi="宋体"/>
        </w:rPr>
        <w:t>征用土地，</w:t>
      </w:r>
      <w:r>
        <w:rPr>
          <w:rFonts w:hint="eastAsia"/>
          <w:bCs/>
        </w:rPr>
        <w:t>不在重庆市城市规划范围内，符合重庆市城市总体规划；</w:t>
      </w:r>
      <w:r>
        <w:rPr>
          <w:rFonts w:hint="eastAsia" w:ascii="宋体" w:hAnsi="宋体"/>
        </w:rPr>
        <w:t>厂区布置时严格按照“四山管制”要求，所有装置及厂房均布置在350米以下，</w:t>
      </w:r>
      <w:r>
        <w:rPr>
          <w:rFonts w:hint="eastAsia"/>
          <w:bCs/>
        </w:rPr>
        <w:t>符合“四山”管制的要求；</w:t>
      </w:r>
      <w:r>
        <w:rPr>
          <w:rFonts w:hint="eastAsia"/>
        </w:rPr>
        <w:t>本技改项目为新型干法水泥生产线，不属于禁止类的水泥生产线项目，因此，其建设与“蓝天行动方案”不冲突。重庆市规划局以选字第500106201000043号文的形式同意其建设选址。</w:t>
      </w:r>
    </w:p>
    <w:p>
      <w:pPr>
        <w:autoSpaceDE w:val="0"/>
        <w:autoSpaceDN w:val="0"/>
        <w:spacing w:line="360" w:lineRule="auto"/>
        <w:ind w:firstLine="420" w:firstLineChars="200"/>
        <w:rPr>
          <w:rFonts w:hint="eastAsia"/>
          <w:bCs/>
        </w:rPr>
      </w:pPr>
      <w:r>
        <w:rPr>
          <w:rFonts w:hint="eastAsia"/>
          <w:bCs/>
        </w:rPr>
        <w:t>技改项目的建设</w:t>
      </w:r>
      <w:r>
        <w:rPr>
          <w:rFonts w:hint="eastAsia" w:ascii="宋体" w:hAnsi="宋体"/>
        </w:rPr>
        <w:t>有利于资源的合理利用、周边环境的改善，同时也是企业自身发展、</w:t>
      </w:r>
      <w:r>
        <w:rPr>
          <w:rFonts w:ascii="宋体" w:hAnsi="宋体"/>
        </w:rPr>
        <w:t>解决现有企业人员分流安置问题，</w:t>
      </w:r>
      <w:r>
        <w:rPr>
          <w:rFonts w:hint="eastAsia" w:ascii="宋体" w:hAnsi="宋体"/>
        </w:rPr>
        <w:t>增加职工经济收入，促进社会安定，</w:t>
      </w:r>
      <w:r>
        <w:rPr>
          <w:rFonts w:hint="eastAsia"/>
          <w:bCs/>
        </w:rPr>
        <w:t>因此其建设是必要的、也是合理的。</w:t>
      </w:r>
    </w:p>
    <w:p>
      <w:pPr>
        <w:spacing w:line="360" w:lineRule="auto"/>
        <w:rPr>
          <w:rFonts w:hint="eastAsia"/>
          <w:b/>
        </w:rPr>
      </w:pPr>
      <w:r>
        <w:rPr>
          <w:b/>
        </w:rPr>
        <w:t>1</w:t>
      </w:r>
      <w:r>
        <w:rPr>
          <w:rFonts w:hint="eastAsia"/>
          <w:b/>
        </w:rPr>
        <w:t>6</w:t>
      </w:r>
      <w:r>
        <w:rPr>
          <w:b/>
        </w:rPr>
        <w:t>.1.</w:t>
      </w:r>
      <w:r>
        <w:rPr>
          <w:rFonts w:hint="eastAsia"/>
          <w:b/>
        </w:rPr>
        <w:t>2</w:t>
      </w:r>
      <w:r>
        <w:rPr>
          <w:b/>
        </w:rPr>
        <w:t xml:space="preserve"> </w:t>
      </w:r>
      <w:r>
        <w:rPr>
          <w:rFonts w:hint="eastAsia"/>
          <w:b/>
        </w:rPr>
        <w:t>清洁生产水平</w:t>
      </w:r>
    </w:p>
    <w:p>
      <w:pPr>
        <w:spacing w:line="360" w:lineRule="auto"/>
        <w:ind w:firstLine="480"/>
        <w:rPr>
          <w:rFonts w:hint="eastAsia"/>
        </w:rPr>
      </w:pPr>
      <w:r>
        <w:rPr>
          <w:rFonts w:hint="eastAsia"/>
        </w:rPr>
        <w:t>（1）生产工艺流程</w:t>
      </w:r>
    </w:p>
    <w:p>
      <w:pPr>
        <w:snapToGrid w:val="0"/>
        <w:spacing w:line="360" w:lineRule="auto"/>
        <w:ind w:firstLine="315" w:firstLineChars="150"/>
        <w:rPr>
          <w:rFonts w:hint="eastAsia" w:ascii="宋体" w:hAnsi="宋体"/>
        </w:rPr>
      </w:pPr>
      <w:r>
        <w:rPr>
          <w:rFonts w:hint="eastAsia" w:ascii="宋体" w:hAnsi="宋体"/>
        </w:rPr>
        <w:t>技改项目采用新型干法——窑外预分解熟料生产工艺，主要包括生料制备、熟料煅烧、水泥调配等过程。</w:t>
      </w:r>
    </w:p>
    <w:p>
      <w:pPr>
        <w:spacing w:line="360" w:lineRule="auto"/>
        <w:ind w:firstLine="480"/>
        <w:rPr>
          <w:rFonts w:hint="eastAsia"/>
        </w:rPr>
      </w:pPr>
      <w:r>
        <w:rPr>
          <w:rFonts w:hint="eastAsia"/>
        </w:rPr>
        <w:t>（2）正常生产工况下污染物排放量</w:t>
      </w:r>
    </w:p>
    <w:p>
      <w:pPr>
        <w:spacing w:line="360" w:lineRule="auto"/>
        <w:ind w:firstLine="420" w:firstLineChars="200"/>
      </w:pPr>
      <w:r>
        <w:rPr>
          <w:rFonts w:hint="eastAsia"/>
        </w:rPr>
        <w:t>技改项目投产后能够做到废气、废水污染物达标排放。废气排放量</w:t>
      </w:r>
      <w:r>
        <w:rPr>
          <w:sz w:val="20"/>
          <w:szCs w:val="20"/>
        </w:rPr>
        <w:t>867924</w:t>
      </w:r>
      <w:r>
        <w:rPr>
          <w:rFonts w:hint="eastAsia"/>
          <w:sz w:val="20"/>
          <w:szCs w:val="20"/>
        </w:rPr>
        <w:t>.</w:t>
      </w:r>
      <w:r>
        <w:rPr>
          <w:sz w:val="20"/>
          <w:szCs w:val="20"/>
        </w:rPr>
        <w:t>026</w:t>
      </w:r>
      <w:r>
        <w:rPr>
          <w:rFonts w:hint="eastAsia"/>
        </w:rPr>
        <w:t>万</w:t>
      </w:r>
      <w:r>
        <w:t>Nm</w:t>
      </w:r>
      <w:r>
        <w:rPr>
          <w:vertAlign w:val="superscript"/>
        </w:rPr>
        <w:t>3</w:t>
      </w:r>
      <w:r>
        <w:t>/a</w:t>
      </w:r>
      <w:r>
        <w:rPr>
          <w:rFonts w:hint="eastAsia"/>
        </w:rPr>
        <w:t>，烟粉尘</w:t>
      </w:r>
      <w:r>
        <w:t>2</w:t>
      </w:r>
      <w:r>
        <w:rPr>
          <w:rFonts w:hint="eastAsia"/>
        </w:rPr>
        <w:t>61.37</w:t>
      </w:r>
      <w:r>
        <w:t>t/a</w:t>
      </w:r>
      <w:r>
        <w:rPr>
          <w:rFonts w:hint="eastAsia"/>
        </w:rPr>
        <w:t>、SO</w:t>
      </w:r>
      <w:r>
        <w:rPr>
          <w:rFonts w:hint="eastAsia"/>
          <w:vertAlign w:val="subscript"/>
        </w:rPr>
        <w:t>2</w:t>
      </w:r>
      <w:r>
        <w:rPr>
          <w:rFonts w:hint="eastAsia"/>
        </w:rPr>
        <w:t>216.44</w:t>
      </w:r>
      <w:r>
        <w:t xml:space="preserve"> t/a</w:t>
      </w:r>
      <w:r>
        <w:rPr>
          <w:rFonts w:hint="eastAsia"/>
        </w:rPr>
        <w:t>、NO</w:t>
      </w:r>
      <w:r>
        <w:rPr>
          <w:rFonts w:hint="eastAsia"/>
          <w:vertAlign w:val="subscript"/>
        </w:rPr>
        <w:t>2</w:t>
      </w:r>
      <w:r>
        <w:rPr>
          <w:rFonts w:hint="eastAsia"/>
        </w:rPr>
        <w:t>1799.88</w:t>
      </w:r>
      <w:r>
        <w:t>t/a</w:t>
      </w:r>
      <w:r>
        <w:rPr>
          <w:rFonts w:hint="eastAsia"/>
        </w:rPr>
        <w:t>。废水排放量16306</w:t>
      </w:r>
      <w:r>
        <w:rPr>
          <w:lang w:val="de-DE"/>
        </w:rPr>
        <w:t>m</w:t>
      </w:r>
      <w:r>
        <w:rPr>
          <w:vertAlign w:val="superscript"/>
          <w:lang w:val="de-DE"/>
        </w:rPr>
        <w:t>3</w:t>
      </w:r>
      <w:r>
        <w:rPr>
          <w:lang w:val="de-DE"/>
        </w:rPr>
        <w:t>/a</w:t>
      </w:r>
      <w:r>
        <w:rPr>
          <w:rFonts w:hint="eastAsia"/>
          <w:lang w:val="de-DE"/>
        </w:rPr>
        <w:t>，</w:t>
      </w:r>
      <w:r>
        <w:t>COD</w:t>
      </w:r>
      <w:r>
        <w:rPr>
          <w:rFonts w:hint="eastAsia"/>
        </w:rPr>
        <w:t xml:space="preserve"> 1.63</w:t>
      </w:r>
      <w:r>
        <w:t>t/a</w:t>
      </w:r>
      <w:r>
        <w:rPr>
          <w:rFonts w:hAnsi="宋体"/>
        </w:rPr>
        <w:t>、</w:t>
      </w:r>
      <w:r>
        <w:t>SS</w:t>
      </w:r>
      <w:r>
        <w:rPr>
          <w:rFonts w:hint="eastAsia"/>
        </w:rPr>
        <w:t xml:space="preserve"> 0.92</w:t>
      </w:r>
      <w:r>
        <w:t xml:space="preserve"> t/a</w:t>
      </w:r>
      <w:r>
        <w:rPr>
          <w:rFonts w:hAnsi="宋体"/>
        </w:rPr>
        <w:t>、</w:t>
      </w:r>
      <w:r>
        <w:t>NH</w:t>
      </w:r>
      <w:r>
        <w:rPr>
          <w:vertAlign w:val="subscript"/>
        </w:rPr>
        <w:t>3</w:t>
      </w:r>
      <w:r>
        <w:t>-N</w:t>
      </w:r>
      <w:r>
        <w:rPr>
          <w:rFonts w:hint="eastAsia"/>
        </w:rPr>
        <w:t xml:space="preserve"> 0.11</w:t>
      </w:r>
      <w:r>
        <w:t xml:space="preserve"> t/a</w:t>
      </w:r>
      <w:r>
        <w:rPr>
          <w:rFonts w:ascii="宋体" w:hAnsi="宋体"/>
        </w:rPr>
        <w:t>。</w:t>
      </w:r>
    </w:p>
    <w:p>
      <w:pPr>
        <w:spacing w:before="24" w:beforeLines="10" w:after="24" w:afterLines="10" w:line="360" w:lineRule="auto"/>
        <w:rPr>
          <w:rFonts w:hint="eastAsia"/>
          <w:b/>
        </w:rPr>
      </w:pPr>
      <w:r>
        <w:rPr>
          <w:b/>
        </w:rPr>
        <w:t>1</w:t>
      </w:r>
      <w:r>
        <w:rPr>
          <w:rFonts w:hint="eastAsia"/>
          <w:b/>
        </w:rPr>
        <w:t>6</w:t>
      </w:r>
      <w:r>
        <w:rPr>
          <w:b/>
        </w:rPr>
        <w:t>.1.</w:t>
      </w:r>
      <w:r>
        <w:rPr>
          <w:rFonts w:hint="eastAsia"/>
          <w:b/>
        </w:rPr>
        <w:t>3清洁生产</w:t>
      </w:r>
    </w:p>
    <w:p>
      <w:pPr>
        <w:spacing w:line="360" w:lineRule="auto"/>
        <w:ind w:firstLine="420" w:firstLineChars="200"/>
        <w:rPr>
          <w:rFonts w:hint="eastAsia"/>
        </w:rPr>
      </w:pPr>
      <w:r>
        <w:rPr>
          <w:rFonts w:hint="eastAsia"/>
        </w:rPr>
        <w:t>技改项目采用了国内外先进的工艺技术和生产设备，且在整个工艺流程中充分考虑了能量的利用，有效地降低能耗，对生产过程中产生的“三废”尽量回收利用，做到一水多用，循环使用，同时注重生产全过程污染控制，既节约了资源，控制了物料流失，又大大地减少了外排污染物对环境的影响，通过与清洁生产指标的对照，表明技改项目符合清洁生产要求。从整体上看，技改项目达到国内清洁生产先进企业水平。</w:t>
      </w:r>
    </w:p>
    <w:p>
      <w:pPr>
        <w:spacing w:before="24" w:beforeLines="10" w:after="24" w:afterLines="10" w:line="360" w:lineRule="auto"/>
        <w:rPr>
          <w:rFonts w:hint="eastAsia"/>
          <w:b/>
        </w:rPr>
      </w:pPr>
      <w:r>
        <w:rPr>
          <w:b/>
        </w:rPr>
        <w:t>1</w:t>
      </w:r>
      <w:r>
        <w:rPr>
          <w:rFonts w:hint="eastAsia"/>
          <w:b/>
        </w:rPr>
        <w:t>6</w:t>
      </w:r>
      <w:r>
        <w:rPr>
          <w:b/>
        </w:rPr>
        <w:t>.1.</w:t>
      </w:r>
      <w:r>
        <w:rPr>
          <w:rFonts w:hint="eastAsia"/>
          <w:b/>
        </w:rPr>
        <w:t>4环境质量现状</w:t>
      </w:r>
    </w:p>
    <w:p>
      <w:pPr>
        <w:spacing w:line="360" w:lineRule="auto"/>
        <w:ind w:firstLine="420" w:firstLineChars="200"/>
        <w:rPr>
          <w:rFonts w:hint="eastAsia"/>
        </w:rPr>
      </w:pPr>
      <w:r>
        <w:rPr>
          <w:rFonts w:hint="eastAsia"/>
        </w:rPr>
        <w:t>环境空气：</w:t>
      </w:r>
      <w:r>
        <w:t>SO</w:t>
      </w:r>
      <w:r>
        <w:rPr>
          <w:vertAlign w:val="subscript"/>
        </w:rPr>
        <w:t>2</w:t>
      </w:r>
      <w:r>
        <w:rPr>
          <w:rFonts w:hAnsi="宋体"/>
        </w:rPr>
        <w:t>、</w:t>
      </w:r>
      <w:r>
        <w:t>NO</w:t>
      </w:r>
      <w:r>
        <w:rPr>
          <w:vertAlign w:val="subscript"/>
        </w:rPr>
        <w:t>2</w:t>
      </w:r>
      <w:r>
        <w:rPr>
          <w:rFonts w:hAnsi="宋体"/>
        </w:rPr>
        <w:t>、</w:t>
      </w:r>
      <w:r>
        <w:t>PM</w:t>
      </w:r>
      <w:r>
        <w:rPr>
          <w:vertAlign w:val="subscript"/>
        </w:rPr>
        <w:t>10</w:t>
      </w:r>
      <w:r>
        <w:rPr>
          <w:rFonts w:hint="eastAsia" w:hAnsi="宋体"/>
        </w:rPr>
        <w:t>监测</w:t>
      </w:r>
      <w:r>
        <w:rPr>
          <w:rFonts w:hint="eastAsia"/>
          <w:spacing w:val="20"/>
        </w:rPr>
        <w:t>均无超标现象发生</w:t>
      </w:r>
      <w:r>
        <w:t>，</w:t>
      </w:r>
      <w:r>
        <w:rPr>
          <w:rFonts w:hint="eastAsia"/>
          <w:spacing w:val="20"/>
        </w:rPr>
        <w:t>总体而言，</w:t>
      </w:r>
      <w:r>
        <w:t>评价区域环境空气质量较好，具有一定</w:t>
      </w:r>
      <w:r>
        <w:rPr>
          <w:rFonts w:hint="eastAsia"/>
        </w:rPr>
        <w:t>的</w:t>
      </w:r>
      <w:r>
        <w:t>环境容量</w:t>
      </w:r>
      <w:r>
        <w:rPr>
          <w:rFonts w:hint="eastAsia"/>
        </w:rPr>
        <w:t>。</w:t>
      </w:r>
    </w:p>
    <w:p>
      <w:pPr>
        <w:spacing w:line="360" w:lineRule="auto"/>
        <w:ind w:firstLine="420" w:firstLineChars="200"/>
        <w:rPr>
          <w:rFonts w:hint="eastAsia" w:ascii="宋体" w:hAnsi="宋体"/>
        </w:rPr>
      </w:pPr>
      <w:r>
        <w:rPr>
          <w:rFonts w:hint="eastAsia"/>
        </w:rPr>
        <w:t>地表水：</w:t>
      </w:r>
      <w:r>
        <w:rPr>
          <w:rFonts w:hint="eastAsia" w:ascii="宋体" w:hAnsi="宋体"/>
        </w:rPr>
        <w:t>监测断面水体中各项监测水质指标均符合《地表水环境质量标准》（</w:t>
      </w:r>
      <w:r>
        <w:rPr>
          <w:rFonts w:ascii="宋体" w:hAnsi="宋体"/>
        </w:rPr>
        <w:t>GB</w:t>
      </w:r>
      <w:r>
        <w:rPr>
          <w:rFonts w:hint="eastAsia" w:ascii="宋体" w:hAnsi="宋体"/>
        </w:rPr>
        <w:t>3838—2002）Ⅲ类标准的要求，地表水环境质量现状较好</w:t>
      </w:r>
      <w:r>
        <w:rPr>
          <w:rFonts w:hint="eastAsia"/>
        </w:rPr>
        <w:t>，</w:t>
      </w:r>
      <w:r>
        <w:rPr>
          <w:rFonts w:ascii="宋体" w:hAnsi="宋体"/>
        </w:rPr>
        <w:t>具有一定</w:t>
      </w:r>
      <w:r>
        <w:rPr>
          <w:rFonts w:hint="eastAsia" w:ascii="宋体" w:hAnsi="宋体"/>
        </w:rPr>
        <w:t>的</w:t>
      </w:r>
      <w:r>
        <w:rPr>
          <w:rFonts w:ascii="宋体" w:hAnsi="宋体"/>
        </w:rPr>
        <w:t>环境容量，</w:t>
      </w:r>
      <w:r>
        <w:rPr>
          <w:rFonts w:hint="eastAsia" w:ascii="宋体" w:hAnsi="宋体"/>
        </w:rPr>
        <w:t>有利于技改项目的建设</w:t>
      </w:r>
      <w:r>
        <w:rPr>
          <w:rFonts w:ascii="宋体" w:hAnsi="宋体"/>
        </w:rPr>
        <w:t>。</w:t>
      </w:r>
    </w:p>
    <w:p>
      <w:pPr>
        <w:spacing w:line="360" w:lineRule="auto"/>
        <w:ind w:firstLine="420" w:firstLineChars="200"/>
        <w:rPr>
          <w:rFonts w:hint="eastAsia" w:ascii="宋体" w:hAnsi="宋体"/>
        </w:rPr>
      </w:pPr>
      <w:r>
        <w:rPr>
          <w:rFonts w:hint="eastAsia"/>
        </w:rPr>
        <w:t>声环境：</w:t>
      </w:r>
      <w:r>
        <w:rPr>
          <w:rFonts w:hint="eastAsia" w:ascii="宋体" w:hAnsi="宋体"/>
        </w:rPr>
        <w:t>4个测点昼间噪声值为</w:t>
      </w:r>
      <w:r>
        <w:rPr>
          <w:rFonts w:hint="eastAsia"/>
        </w:rPr>
        <w:t>51.8</w:t>
      </w:r>
      <w:r>
        <w:t>～5</w:t>
      </w:r>
      <w:r>
        <w:rPr>
          <w:rFonts w:hint="eastAsia"/>
        </w:rPr>
        <w:t>6.8</w:t>
      </w:r>
      <w:r>
        <w:rPr>
          <w:rFonts w:hint="eastAsia" w:ascii="宋体" w:hAnsi="宋体"/>
        </w:rPr>
        <w:t>dB，夜间为</w:t>
      </w:r>
      <w:r>
        <w:rPr>
          <w:rFonts w:hint="eastAsia"/>
        </w:rPr>
        <w:t>41.3</w:t>
      </w:r>
      <w:r>
        <w:t>～</w:t>
      </w:r>
      <w:r>
        <w:rPr>
          <w:rFonts w:hint="eastAsia"/>
        </w:rPr>
        <w:t>48.5</w:t>
      </w:r>
      <w:r>
        <w:rPr>
          <w:rFonts w:hint="eastAsia" w:ascii="宋体" w:hAnsi="宋体"/>
        </w:rPr>
        <w:t>dB，昼夜间环境噪声均未超标，满足</w:t>
      </w:r>
      <w:r>
        <w:t>《</w:t>
      </w:r>
      <w:r>
        <w:rPr>
          <w:rFonts w:hint="eastAsia"/>
        </w:rPr>
        <w:t>声环境质量标准</w:t>
      </w:r>
      <w:r>
        <w:t>》</w:t>
      </w:r>
      <w:r>
        <w:rPr>
          <w:rFonts w:hint="eastAsia"/>
        </w:rPr>
        <w:t>（GB3096-2008）</w:t>
      </w:r>
      <w:r>
        <w:rPr>
          <w:rFonts w:hint="eastAsia" w:ascii="宋体" w:hAnsi="宋体"/>
        </w:rPr>
        <w:t>2类标准要求，技改项目所在地声学环境质量现状较好，有利于技改项目的建设。</w:t>
      </w:r>
    </w:p>
    <w:p>
      <w:pPr>
        <w:spacing w:before="24" w:beforeLines="10" w:after="24" w:afterLines="10" w:line="360" w:lineRule="auto"/>
        <w:rPr>
          <w:rFonts w:hint="eastAsia"/>
          <w:b/>
        </w:rPr>
      </w:pPr>
      <w:r>
        <w:rPr>
          <w:rFonts w:hint="eastAsia"/>
          <w:b/>
        </w:rPr>
        <w:t>16.1.5 污染防治措施</w:t>
      </w:r>
    </w:p>
    <w:p>
      <w:pPr>
        <w:spacing w:before="24" w:beforeLines="10" w:after="24" w:afterLines="10" w:line="360" w:lineRule="auto"/>
        <w:ind w:firstLine="480"/>
        <w:rPr>
          <w:rFonts w:hint="eastAsia"/>
        </w:rPr>
      </w:pPr>
      <w:r>
        <w:rPr>
          <w:rFonts w:hint="eastAsia"/>
        </w:rPr>
        <w:t>（1）大气污染物防治措施</w:t>
      </w:r>
    </w:p>
    <w:p>
      <w:pPr>
        <w:autoSpaceDE w:val="0"/>
        <w:autoSpaceDN w:val="0"/>
        <w:spacing w:line="360" w:lineRule="auto"/>
        <w:ind w:firstLine="420" w:firstLineChars="200"/>
        <w:textAlignment w:val="bottom"/>
        <w:rPr>
          <w:rFonts w:ascii="宋体" w:hAnsi="宋体" w:cs="Tunga"/>
        </w:rPr>
      </w:pPr>
      <w:r>
        <w:rPr>
          <w:rFonts w:ascii="宋体" w:hAnsi="宋体" w:cs="Tunga"/>
        </w:rPr>
        <w:t>为了有效地控制粉尘和烟尘的排放，以减轻对周围空气环境质量的影响，本</w:t>
      </w:r>
      <w:r>
        <w:rPr>
          <w:rFonts w:hint="eastAsia" w:ascii="宋体" w:hAnsi="宋体" w:cs="Tunga"/>
        </w:rPr>
        <w:t>技改项目</w:t>
      </w:r>
      <w:r>
        <w:rPr>
          <w:rFonts w:ascii="宋体" w:hAnsi="宋体" w:cs="Tunga"/>
        </w:rPr>
        <w:t>设计贯彻“以预防为主”的方针：从工艺流程上尽量减少扬尘环节；选择扬尘少的设备；粉状物料输送采用密闭式输送设备；物料转运点尽量降低排料落差，以减少粉尘飞扬；粉状物料储存采用密闭圆库；选用高效除尘设备处理含尘废气，以保证实现达标排放；厂区内的物料装卸、倒运及煤堆场等处在必要时采取喷水降尘或其它控制措施，以控制扬尘。</w:t>
      </w:r>
    </w:p>
    <w:p>
      <w:pPr>
        <w:spacing w:before="24" w:beforeLines="10" w:after="24" w:afterLines="10" w:line="360" w:lineRule="auto"/>
        <w:ind w:firstLine="480"/>
        <w:rPr>
          <w:rFonts w:hint="eastAsia"/>
        </w:rPr>
      </w:pPr>
      <w:r>
        <w:rPr>
          <w:rFonts w:ascii="宋体" w:hAnsi="宋体" w:cs="Tunga"/>
        </w:rPr>
        <w:t>在本</w:t>
      </w:r>
      <w:r>
        <w:rPr>
          <w:rFonts w:hint="eastAsia" w:ascii="宋体" w:hAnsi="宋体" w:cs="Tunga"/>
        </w:rPr>
        <w:t>技改</w:t>
      </w:r>
      <w:r>
        <w:rPr>
          <w:rFonts w:ascii="宋体" w:hAnsi="宋体" w:cs="Tunga"/>
        </w:rPr>
        <w:t>项目所有的烟粉尘排放点都设置了技术性能可靠、除尘效率高的收尘设备，可有效控制生产线上所有的扬尘点。生产线上共设置各类收尘器</w:t>
      </w:r>
      <w:r>
        <w:rPr>
          <w:rFonts w:hint="eastAsia" w:ascii="宋体" w:hAnsi="宋体" w:cs="Tunga"/>
        </w:rPr>
        <w:t>58</w:t>
      </w:r>
      <w:r>
        <w:rPr>
          <w:rFonts w:ascii="宋体" w:hAnsi="宋体" w:cs="Tunga"/>
        </w:rPr>
        <w:t>台，处理废气量为</w:t>
      </w:r>
      <w:r>
        <w:rPr>
          <w:rFonts w:hint="eastAsia" w:ascii="宋体" w:hAnsi="宋体" w:cs="Tunga"/>
        </w:rPr>
        <w:t>1312780</w:t>
      </w:r>
      <w:r>
        <w:rPr>
          <w:rFonts w:ascii="宋体" w:hAnsi="宋体" w:cs="Tunga"/>
        </w:rPr>
        <w:t>Nm</w:t>
      </w:r>
      <w:r>
        <w:rPr>
          <w:rFonts w:ascii="宋体" w:hAnsi="宋体" w:cs="Tunga"/>
          <w:vertAlign w:val="superscript"/>
        </w:rPr>
        <w:t>3</w:t>
      </w:r>
      <w:r>
        <w:rPr>
          <w:rFonts w:ascii="宋体" w:hAnsi="宋体" w:cs="Tunga"/>
        </w:rPr>
        <w:t>/h，除尘效率均在99.62%以上。除尘净化后的废气经排气筒外排，各个排尘点的排放浓度和吨产品排放量均严于《重庆市水泥工业大气污染物排放标准》（DB50/251-2007）的限值要求。</w:t>
      </w:r>
    </w:p>
    <w:p>
      <w:pPr>
        <w:spacing w:before="24" w:beforeLines="10" w:after="24" w:afterLines="10" w:line="360" w:lineRule="auto"/>
        <w:ind w:firstLine="480"/>
        <w:rPr>
          <w:rFonts w:hint="eastAsia"/>
        </w:rPr>
      </w:pPr>
      <w:r>
        <w:rPr>
          <w:rFonts w:hint="eastAsia"/>
        </w:rPr>
        <w:t>（2）废水处理措施</w:t>
      </w:r>
    </w:p>
    <w:p>
      <w:pPr>
        <w:spacing w:line="480" w:lineRule="exact"/>
        <w:ind w:firstLine="420" w:firstLineChars="200"/>
        <w:rPr>
          <w:rFonts w:hint="eastAsia" w:ascii="宋体" w:hAnsi="宋体"/>
        </w:rPr>
      </w:pPr>
      <w:r>
        <w:rPr>
          <w:rFonts w:hint="eastAsia"/>
        </w:rPr>
        <w:t>技改项目废水主要是工艺产生的循环冷却水、生活污水、辅助设施排水等。冷却水主要来自于需要冷却的高温、高速运转设备，如窑、各类磨机、空压机及部分仪表等，不外排。技改项目排放的废水为生活污水和辅助设施排水，设计上选用成熟的二级生化处理工艺(接触氧化法)处理达《污水综合排放标准》(GB8978—1996)中一级标准，污水经过二级生化处理装置处理后排入厂区</w:t>
      </w:r>
      <w:r>
        <w:rPr>
          <w:rFonts w:hint="eastAsia" w:ascii="宋体" w:hAnsi="宋体"/>
        </w:rPr>
        <w:t>北侧无名溪沟经玉石桥河最终汇入梁滩河。</w:t>
      </w:r>
    </w:p>
    <w:p>
      <w:pPr>
        <w:spacing w:before="24" w:beforeLines="10" w:after="24" w:afterLines="10" w:line="360" w:lineRule="auto"/>
        <w:ind w:firstLine="420" w:firstLineChars="200"/>
        <w:rPr>
          <w:rFonts w:hint="eastAsia"/>
          <w:b/>
        </w:rPr>
      </w:pPr>
      <w:r>
        <w:rPr>
          <w:rFonts w:hint="eastAsia"/>
        </w:rPr>
        <w:t>（3）</w:t>
      </w:r>
      <w:r>
        <w:rPr>
          <w:rFonts w:hint="eastAsia"/>
          <w:b/>
        </w:rPr>
        <w:t>噪声污染防治措施</w:t>
      </w:r>
    </w:p>
    <w:p>
      <w:pPr>
        <w:spacing w:line="360" w:lineRule="auto"/>
        <w:ind w:firstLine="516"/>
        <w:rPr>
          <w:rFonts w:hint="eastAsia"/>
        </w:rPr>
      </w:pPr>
      <w:r>
        <w:rPr>
          <w:rFonts w:hint="eastAsia"/>
        </w:rPr>
        <w:t>技改项目</w:t>
      </w:r>
      <w:r>
        <w:t>主要噪声</w:t>
      </w:r>
      <w:r>
        <w:rPr>
          <w:rFonts w:hint="eastAsia"/>
        </w:rPr>
        <w:t>源</w:t>
      </w:r>
      <w:r>
        <w:t>有破碎机、生料磨机、水泥磨机、煤磨机、高压离心风机、罗茨风机、空压机、大功率电机等设备产生的机械噪声、气动噪声和电磁声，声值一般在85~105dB(A)。项目部分设备安装在室内，车间墙壁有一定的隔声作用；场地主要噪声源水泥磨及循环风机、电机均安装在车间内，并利用地形、挡墙等隔声</w:t>
      </w:r>
      <w:r>
        <w:rPr>
          <w:rFonts w:hint="eastAsia"/>
        </w:rPr>
        <w:t>等综合措施，使噪声值降低15-30</w:t>
      </w:r>
      <w:r>
        <w:t>dB</w:t>
      </w:r>
      <w:r>
        <w:rPr>
          <w:rFonts w:hint="eastAsia"/>
        </w:rPr>
        <w:t>，控制在85</w:t>
      </w:r>
      <w:r>
        <w:t>dB</w:t>
      </w:r>
      <w:r>
        <w:rPr>
          <w:rFonts w:hint="eastAsia"/>
        </w:rPr>
        <w:t>及以下。</w:t>
      </w:r>
    </w:p>
    <w:p>
      <w:pPr>
        <w:spacing w:before="24" w:beforeLines="10" w:after="24" w:afterLines="10" w:line="360" w:lineRule="auto"/>
        <w:ind w:firstLine="420" w:firstLineChars="200"/>
        <w:rPr>
          <w:rFonts w:hint="eastAsia"/>
          <w:b/>
        </w:rPr>
      </w:pPr>
      <w:r>
        <w:rPr>
          <w:rFonts w:hint="eastAsia"/>
          <w:b/>
        </w:rPr>
        <w:t>（4）固体废物的处置措施</w:t>
      </w:r>
    </w:p>
    <w:p>
      <w:pPr>
        <w:spacing w:line="460" w:lineRule="exact"/>
        <w:ind w:firstLine="404" w:firstLineChars="200"/>
        <w:rPr>
          <w:rFonts w:hint="eastAsia"/>
          <w:spacing w:val="-4"/>
        </w:rPr>
      </w:pPr>
      <w:r>
        <w:rPr>
          <w:rFonts w:hint="eastAsia"/>
          <w:spacing w:val="-4"/>
        </w:rPr>
        <w:t>技改项目固体废物主要为除尘灰、生活污水处理污泥、</w:t>
      </w:r>
      <w:r>
        <w:rPr>
          <w:rFonts w:hint="eastAsia" w:ascii="宋体" w:hAnsi="宋体"/>
          <w:spacing w:val="-4"/>
        </w:rPr>
        <w:t>生活垃圾。</w:t>
      </w:r>
      <w:r>
        <w:rPr>
          <w:rFonts w:hint="eastAsia"/>
          <w:spacing w:val="-4"/>
        </w:rPr>
        <w:t>除尘灰采取收集后作生产原料回用或产品外售利用，不排放</w:t>
      </w:r>
      <w:r>
        <w:rPr>
          <w:rFonts w:hint="eastAsia" w:ascii="宋体" w:hAnsi="宋体"/>
          <w:spacing w:val="-4"/>
        </w:rPr>
        <w:t>；</w:t>
      </w:r>
      <w:r>
        <w:rPr>
          <w:rFonts w:hint="eastAsia"/>
          <w:spacing w:val="-4"/>
        </w:rPr>
        <w:t>生活污水处理污泥由于该污泥的成分与粘土类似，故可直接送水泥回转窑作水泥原料煅烧，不排放；全厂职工生活生活垃圾采取在厂区内设生活垃圾转运站，集中收集后，由青木关镇环卫部门送城市垃圾处理场卫生填埋。</w:t>
      </w:r>
    </w:p>
    <w:p>
      <w:pPr>
        <w:spacing w:before="24" w:beforeLines="10" w:after="24" w:afterLines="10" w:line="360" w:lineRule="auto"/>
        <w:rPr>
          <w:rFonts w:hint="eastAsia"/>
          <w:b/>
        </w:rPr>
      </w:pPr>
      <w:r>
        <w:rPr>
          <w:rFonts w:hint="eastAsia"/>
          <w:b/>
        </w:rPr>
        <w:t>16.1.6 环境影响预测预测结果</w:t>
      </w:r>
    </w:p>
    <w:p>
      <w:pPr>
        <w:spacing w:line="360" w:lineRule="auto"/>
        <w:rPr>
          <w:rFonts w:hint="eastAsia"/>
          <w:b/>
        </w:rPr>
      </w:pPr>
      <w:r>
        <w:rPr>
          <w:rFonts w:hint="eastAsia"/>
        </w:rPr>
        <w:t xml:space="preserve">    </w:t>
      </w:r>
      <w:r>
        <w:rPr>
          <w:rFonts w:hint="eastAsia"/>
          <w:b/>
        </w:rPr>
        <w:t>（1）环境空气</w:t>
      </w:r>
    </w:p>
    <w:p>
      <w:pPr>
        <w:adjustRightInd w:val="0"/>
        <w:snapToGrid w:val="0"/>
        <w:spacing w:line="360" w:lineRule="auto"/>
        <w:ind w:firstLine="420" w:firstLineChars="200"/>
      </w:pPr>
      <w:r>
        <w:rPr>
          <w:rFonts w:hint="eastAsia" w:ascii="宋体" w:hAnsi="宋体"/>
          <w:bCs/>
        </w:rPr>
        <w:t>①</w:t>
      </w:r>
      <w:r>
        <w:rPr>
          <w:rFonts w:hint="eastAsia"/>
          <w:bCs/>
        </w:rPr>
        <w:t>典型小时气象条件下：</w:t>
      </w:r>
      <w:r>
        <w:t>PM</w:t>
      </w:r>
      <w:r>
        <w:rPr>
          <w:vertAlign w:val="subscript"/>
        </w:rPr>
        <w:t>10</w:t>
      </w:r>
      <w:r>
        <w:rPr>
          <w:rFonts w:hint="eastAsia"/>
        </w:rPr>
        <w:t>、</w:t>
      </w:r>
      <w:r>
        <w:t>SO</w:t>
      </w:r>
      <w:r>
        <w:rPr>
          <w:vertAlign w:val="subscript"/>
        </w:rPr>
        <w:t>2</w:t>
      </w:r>
      <w:r>
        <w:rPr>
          <w:rFonts w:hint="eastAsia"/>
        </w:rPr>
        <w:t>和NO</w:t>
      </w:r>
      <w:r>
        <w:rPr>
          <w:rFonts w:hint="eastAsia"/>
          <w:vertAlign w:val="subscript"/>
        </w:rPr>
        <w:t>2</w:t>
      </w:r>
      <w:r>
        <w:t>小时最大落地浓度影响值分别为</w:t>
      </w:r>
      <w:r>
        <w:rPr>
          <w:rFonts w:hint="eastAsia"/>
        </w:rPr>
        <w:t>0.1598</w:t>
      </w:r>
      <w:r>
        <w:t>mg/m</w:t>
      </w:r>
      <w:r>
        <w:rPr>
          <w:vertAlign w:val="superscript"/>
        </w:rPr>
        <w:t>3</w:t>
      </w:r>
      <w:r>
        <w:t>、</w:t>
      </w:r>
      <w:r>
        <w:rPr>
          <w:rFonts w:hint="eastAsia"/>
        </w:rPr>
        <w:t>0.0606</w:t>
      </w:r>
      <w:r>
        <w:t>mg/m</w:t>
      </w:r>
      <w:r>
        <w:rPr>
          <w:vertAlign w:val="superscript"/>
        </w:rPr>
        <w:t>3</w:t>
      </w:r>
      <w:r>
        <w:t>、</w:t>
      </w:r>
      <w:r>
        <w:rPr>
          <w:rFonts w:hint="eastAsia"/>
        </w:rPr>
        <w:t>0.4527</w:t>
      </w:r>
      <w:r>
        <w:t>mg/m</w:t>
      </w:r>
      <w:r>
        <w:rPr>
          <w:vertAlign w:val="superscript"/>
        </w:rPr>
        <w:t>3</w:t>
      </w:r>
      <w:r>
        <w:t>，</w:t>
      </w:r>
      <w:r>
        <w:rPr>
          <w:rFonts w:hint="eastAsia"/>
        </w:rPr>
        <w:t>其占标率分别为35.51%、12.12%和188.62%，</w:t>
      </w:r>
      <w:r>
        <w:t>小时浓度</w:t>
      </w:r>
      <w:r>
        <w:rPr>
          <w:rFonts w:hint="eastAsia"/>
        </w:rPr>
        <w:t>均能满足</w:t>
      </w:r>
      <w:r>
        <w:t>《环境空气质量标准》</w:t>
      </w:r>
      <w:r>
        <w:rPr>
          <w:rFonts w:hint="eastAsia"/>
        </w:rPr>
        <w:t>二级标准，NO</w:t>
      </w:r>
      <w:r>
        <w:rPr>
          <w:rFonts w:hint="eastAsia"/>
          <w:vertAlign w:val="subscript"/>
        </w:rPr>
        <w:t>2</w:t>
      </w:r>
      <w:r>
        <w:rPr>
          <w:rFonts w:hint="eastAsia"/>
        </w:rPr>
        <w:t>小时浓度超标，最大网格落地浓度在青木关镇柿子村附近。</w:t>
      </w:r>
    </w:p>
    <w:p>
      <w:pPr>
        <w:adjustRightInd w:val="0"/>
        <w:snapToGrid w:val="0"/>
        <w:spacing w:line="360" w:lineRule="auto"/>
        <w:ind w:firstLine="420" w:firstLineChars="200"/>
      </w:pPr>
      <w:r>
        <w:rPr>
          <w:rFonts w:hint="eastAsia" w:ascii="宋体" w:hAnsi="宋体"/>
          <w:bCs/>
        </w:rPr>
        <w:t>②</w:t>
      </w:r>
      <w:r>
        <w:rPr>
          <w:rFonts w:hint="eastAsia"/>
          <w:bCs/>
        </w:rPr>
        <w:t>典型日气象条件下：</w:t>
      </w:r>
      <w:r>
        <w:t>PM</w:t>
      </w:r>
      <w:r>
        <w:rPr>
          <w:vertAlign w:val="subscript"/>
        </w:rPr>
        <w:t>10</w:t>
      </w:r>
      <w:r>
        <w:rPr>
          <w:rFonts w:hint="eastAsia"/>
        </w:rPr>
        <w:t>、</w:t>
      </w:r>
      <w:r>
        <w:t>SO</w:t>
      </w:r>
      <w:r>
        <w:rPr>
          <w:vertAlign w:val="subscript"/>
        </w:rPr>
        <w:t>2</w:t>
      </w:r>
      <w:r>
        <w:rPr>
          <w:rFonts w:hint="eastAsia"/>
        </w:rPr>
        <w:t>和NO</w:t>
      </w:r>
      <w:r>
        <w:rPr>
          <w:rFonts w:hint="eastAsia"/>
          <w:vertAlign w:val="subscript"/>
        </w:rPr>
        <w:t>2</w:t>
      </w:r>
      <w:r>
        <w:t>日均最大浓度影响值分别为</w:t>
      </w:r>
      <w:r>
        <w:rPr>
          <w:rFonts w:hint="eastAsia"/>
        </w:rPr>
        <w:t>0.0669</w:t>
      </w:r>
      <w:r>
        <w:t>mg/m</w:t>
      </w:r>
      <w:r>
        <w:rPr>
          <w:vertAlign w:val="superscript"/>
        </w:rPr>
        <w:t>3</w:t>
      </w:r>
      <w:r>
        <w:t>、0.</w:t>
      </w:r>
      <w:r>
        <w:rPr>
          <w:rFonts w:hint="eastAsia"/>
        </w:rPr>
        <w:t>0046</w:t>
      </w:r>
      <w:r>
        <w:t>mg/m</w:t>
      </w:r>
      <w:r>
        <w:rPr>
          <w:vertAlign w:val="superscript"/>
        </w:rPr>
        <w:t>3</w:t>
      </w:r>
      <w:r>
        <w:t>、0.0</w:t>
      </w:r>
      <w:r>
        <w:rPr>
          <w:rFonts w:hint="eastAsia"/>
        </w:rPr>
        <w:t>310</w:t>
      </w:r>
      <w:r>
        <w:t>mg/m</w:t>
      </w:r>
      <w:r>
        <w:rPr>
          <w:vertAlign w:val="superscript"/>
        </w:rPr>
        <w:t>3</w:t>
      </w:r>
      <w:r>
        <w:t>，</w:t>
      </w:r>
      <w:r>
        <w:rPr>
          <w:rFonts w:hint="eastAsia"/>
        </w:rPr>
        <w:t>其占标率分别</w:t>
      </w:r>
      <w:r>
        <w:t>占相应标准限值的</w:t>
      </w:r>
      <w:r>
        <w:rPr>
          <w:rFonts w:hint="eastAsia"/>
        </w:rPr>
        <w:t>44.6%、3.07</w:t>
      </w:r>
      <w:r>
        <w:t>%和</w:t>
      </w:r>
      <w:r>
        <w:rPr>
          <w:rFonts w:hint="eastAsia"/>
        </w:rPr>
        <w:t>25.83</w:t>
      </w:r>
      <w:r>
        <w:t>%，符合《环境空气质量标准》(GB3095-1996)中的二级标准要求。</w:t>
      </w:r>
    </w:p>
    <w:p>
      <w:pPr>
        <w:spacing w:line="360" w:lineRule="auto"/>
        <w:ind w:firstLine="420" w:firstLineChars="200"/>
        <w:rPr>
          <w:rFonts w:hint="eastAsia"/>
        </w:rPr>
      </w:pPr>
      <w:r>
        <w:rPr>
          <w:rFonts w:hint="eastAsia" w:ascii="宋体" w:hAnsi="宋体"/>
        </w:rPr>
        <w:t>③</w:t>
      </w:r>
      <w:r>
        <w:t>PM</w:t>
      </w:r>
      <w:r>
        <w:rPr>
          <w:vertAlign w:val="subscript"/>
        </w:rPr>
        <w:t>10</w:t>
      </w:r>
      <w:r>
        <w:rPr>
          <w:rFonts w:hint="eastAsia"/>
        </w:rPr>
        <w:t>、</w:t>
      </w:r>
      <w:r>
        <w:t>SO</w:t>
      </w:r>
      <w:r>
        <w:rPr>
          <w:vertAlign w:val="subscript"/>
        </w:rPr>
        <w:t>2</w:t>
      </w:r>
      <w:r>
        <w:rPr>
          <w:rFonts w:hint="eastAsia"/>
        </w:rPr>
        <w:t>和NO</w:t>
      </w:r>
      <w:r>
        <w:rPr>
          <w:rFonts w:hint="eastAsia"/>
          <w:vertAlign w:val="subscript"/>
        </w:rPr>
        <w:t>2</w:t>
      </w:r>
      <w:r>
        <w:t>年平均浓度最大贡献值分别为</w:t>
      </w:r>
      <w:r>
        <w:rPr>
          <w:rFonts w:hint="eastAsia"/>
        </w:rPr>
        <w:t>0.0162</w:t>
      </w:r>
      <w:r>
        <w:t>mg/m</w:t>
      </w:r>
      <w:r>
        <w:rPr>
          <w:vertAlign w:val="superscript"/>
        </w:rPr>
        <w:t>3</w:t>
      </w:r>
      <w:r>
        <w:t>、</w:t>
      </w:r>
      <w:r>
        <w:rPr>
          <w:rFonts w:hint="eastAsia"/>
        </w:rPr>
        <w:t>0.0002</w:t>
      </w:r>
      <w:r>
        <w:t>mg/m</w:t>
      </w:r>
      <w:r>
        <w:rPr>
          <w:vertAlign w:val="superscript"/>
        </w:rPr>
        <w:t>3</w:t>
      </w:r>
      <w:r>
        <w:t>、和</w:t>
      </w:r>
      <w:r>
        <w:rPr>
          <w:rFonts w:hint="eastAsia"/>
        </w:rPr>
        <w:t>0.0259</w:t>
      </w:r>
      <w:r>
        <w:t>mg/m</w:t>
      </w:r>
      <w:r>
        <w:rPr>
          <w:vertAlign w:val="superscript"/>
        </w:rPr>
        <w:t>3</w:t>
      </w:r>
      <w:r>
        <w:t>，PM</w:t>
      </w:r>
      <w:r>
        <w:rPr>
          <w:vertAlign w:val="subscript"/>
        </w:rPr>
        <w:t>10</w:t>
      </w:r>
      <w:r>
        <w:rPr>
          <w:rFonts w:hint="eastAsia"/>
        </w:rPr>
        <w:t>、</w:t>
      </w:r>
      <w:r>
        <w:t>SO</w:t>
      </w:r>
      <w:r>
        <w:rPr>
          <w:vertAlign w:val="subscript"/>
        </w:rPr>
        <w:t>2</w:t>
      </w:r>
      <w:r>
        <w:t>和</w:t>
      </w:r>
      <w:r>
        <w:rPr>
          <w:rFonts w:hint="eastAsia"/>
        </w:rPr>
        <w:t>NO</w:t>
      </w:r>
      <w:r>
        <w:rPr>
          <w:rFonts w:hint="eastAsia"/>
          <w:vertAlign w:val="subscript"/>
        </w:rPr>
        <w:t>2</w:t>
      </w:r>
      <w:r>
        <w:t>分别占《环境空气质量标准》（GB3095-1996）二级标准限值的</w:t>
      </w:r>
      <w:r>
        <w:rPr>
          <w:rFonts w:hint="eastAsia"/>
        </w:rPr>
        <w:t>16.2%、0.33</w:t>
      </w:r>
      <w:r>
        <w:t>%和</w:t>
      </w:r>
      <w:r>
        <w:rPr>
          <w:rFonts w:hint="eastAsia"/>
        </w:rPr>
        <w:t>32.38</w:t>
      </w:r>
      <w:r>
        <w:t>%。</w:t>
      </w:r>
    </w:p>
    <w:p>
      <w:pPr>
        <w:spacing w:line="360" w:lineRule="auto"/>
        <w:ind w:firstLine="420" w:firstLineChars="200"/>
        <w:rPr>
          <w:rFonts w:hint="eastAsia"/>
        </w:rPr>
      </w:pPr>
      <w:r>
        <w:rPr>
          <w:rFonts w:hint="eastAsia" w:ascii="宋体" w:hAnsi="宋体"/>
        </w:rPr>
        <w:t>④</w:t>
      </w:r>
      <w:r>
        <w:t>PM</w:t>
      </w:r>
      <w:r>
        <w:rPr>
          <w:vertAlign w:val="subscript"/>
        </w:rPr>
        <w:t>10</w:t>
      </w:r>
      <w:r>
        <w:rPr>
          <w:rFonts w:hint="eastAsia"/>
        </w:rPr>
        <w:t>和</w:t>
      </w:r>
      <w:r>
        <w:t>SO</w:t>
      </w:r>
      <w:r>
        <w:rPr>
          <w:vertAlign w:val="subscript"/>
        </w:rPr>
        <w:t>2</w:t>
      </w:r>
      <w:r>
        <w:rPr>
          <w:rFonts w:hint="eastAsia"/>
        </w:rPr>
        <w:t>在各关心点的小时最大浓度影响值、日均最大浓度影响值、年均影响浓度、NO</w:t>
      </w:r>
      <w:r>
        <w:rPr>
          <w:rFonts w:hint="eastAsia"/>
          <w:vertAlign w:val="subscript"/>
        </w:rPr>
        <w:t>2</w:t>
      </w:r>
      <w:r>
        <w:rPr>
          <w:rFonts w:hint="eastAsia"/>
        </w:rPr>
        <w:t>的日均最大浓度影响值、年均影响浓度均未出现超标；NO</w:t>
      </w:r>
      <w:r>
        <w:rPr>
          <w:rFonts w:hint="eastAsia"/>
          <w:vertAlign w:val="subscript"/>
        </w:rPr>
        <w:t>2</w:t>
      </w:r>
      <w:r>
        <w:rPr>
          <w:rFonts w:hint="eastAsia"/>
        </w:rPr>
        <w:t>的小时最大浓度影响值在部分敏感点出现超标，但超标频率很低，持续时间不长，对敏感点影响很小。</w:t>
      </w:r>
    </w:p>
    <w:p>
      <w:pPr>
        <w:spacing w:line="360" w:lineRule="auto"/>
        <w:ind w:firstLine="420" w:firstLineChars="200"/>
        <w:rPr>
          <w:rFonts w:hint="eastAsia"/>
          <w:snapToGrid w:val="0"/>
          <w:kern w:val="0"/>
        </w:rPr>
      </w:pPr>
      <w:r>
        <w:rPr>
          <w:rFonts w:hint="eastAsia" w:ascii="宋体" w:hAnsi="宋体"/>
          <w:bCs/>
        </w:rPr>
        <w:t>⑤通过</w:t>
      </w:r>
      <w:r>
        <w:rPr>
          <w:rFonts w:hint="eastAsia"/>
        </w:rPr>
        <w:t>对技改前后水泥生产线对周边各敏感点的小时</w:t>
      </w:r>
      <w:r>
        <w:t>最大浓度</w:t>
      </w:r>
      <w:r>
        <w:rPr>
          <w:rFonts w:hint="eastAsia"/>
        </w:rPr>
        <w:t>、</w:t>
      </w:r>
      <w:r>
        <w:t>日均最大浓度</w:t>
      </w:r>
      <w:r>
        <w:rPr>
          <w:rFonts w:hint="eastAsia"/>
        </w:rPr>
        <w:t>和年均影响浓度进行对比预测表明，</w:t>
      </w:r>
      <w:r>
        <w:rPr>
          <w:rFonts w:hint="eastAsia"/>
          <w:snapToGrid w:val="0"/>
          <w:kern w:val="0"/>
        </w:rPr>
        <w:t>技改项目建成后</w:t>
      </w:r>
      <w:r>
        <w:rPr>
          <w:snapToGrid w:val="0"/>
          <w:kern w:val="0"/>
        </w:rPr>
        <w:t>PM</w:t>
      </w:r>
      <w:r>
        <w:rPr>
          <w:snapToGrid w:val="0"/>
          <w:kern w:val="0"/>
          <w:vertAlign w:val="subscript"/>
        </w:rPr>
        <w:t>10</w:t>
      </w:r>
      <w:r>
        <w:rPr>
          <w:rFonts w:hint="eastAsia"/>
          <w:snapToGrid w:val="0"/>
          <w:kern w:val="0"/>
        </w:rPr>
        <w:t>、</w:t>
      </w:r>
      <w:r>
        <w:rPr>
          <w:snapToGrid w:val="0"/>
          <w:kern w:val="0"/>
        </w:rPr>
        <w:t>SO</w:t>
      </w:r>
      <w:r>
        <w:rPr>
          <w:snapToGrid w:val="0"/>
          <w:kern w:val="0"/>
          <w:vertAlign w:val="subscript"/>
        </w:rPr>
        <w:t>2</w:t>
      </w:r>
      <w:r>
        <w:rPr>
          <w:rFonts w:hint="eastAsia"/>
          <w:snapToGrid w:val="0"/>
          <w:kern w:val="0"/>
        </w:rPr>
        <w:t>对各敏感点的影响明显减少，但是NO</w:t>
      </w:r>
      <w:r>
        <w:rPr>
          <w:rFonts w:hint="eastAsia"/>
          <w:snapToGrid w:val="0"/>
          <w:kern w:val="0"/>
          <w:vertAlign w:val="subscript"/>
        </w:rPr>
        <w:t>2</w:t>
      </w:r>
      <w:r>
        <w:rPr>
          <w:rFonts w:hint="eastAsia"/>
          <w:snapToGrid w:val="0"/>
          <w:kern w:val="0"/>
        </w:rPr>
        <w:t>对敏感点影响值增加明显。</w:t>
      </w:r>
    </w:p>
    <w:p>
      <w:pPr>
        <w:autoSpaceDE w:val="0"/>
        <w:autoSpaceDN w:val="0"/>
        <w:adjustRightInd w:val="0"/>
        <w:spacing w:line="480" w:lineRule="exact"/>
        <w:ind w:firstLine="420" w:firstLineChars="200"/>
        <w:jc w:val="left"/>
        <w:rPr>
          <w:rFonts w:hint="eastAsia"/>
        </w:rPr>
      </w:pPr>
      <w:r>
        <w:rPr>
          <w:rFonts w:hint="eastAsia" w:ascii="宋体" w:hAnsi="宋体"/>
          <w:snapToGrid w:val="0"/>
          <w:kern w:val="0"/>
        </w:rPr>
        <w:t>⑥非正常工况下，</w:t>
      </w:r>
      <w:r>
        <w:t>各评价点的</w:t>
      </w:r>
      <w:r>
        <w:rPr>
          <w:rFonts w:hint="eastAsia"/>
        </w:rPr>
        <w:t>PM</w:t>
      </w:r>
      <w:r>
        <w:rPr>
          <w:rFonts w:hint="eastAsia"/>
          <w:vertAlign w:val="subscript"/>
        </w:rPr>
        <w:t>10</w:t>
      </w:r>
      <w:r>
        <w:t>小时最大影响值较正常排放时有明显增加，尤其是</w:t>
      </w:r>
      <w:r>
        <w:rPr>
          <w:rFonts w:hint="eastAsia"/>
          <w:kern w:val="0"/>
        </w:rPr>
        <w:t>在福里树村、殷家老院子、青鹏煤业公司和青木关镇</w:t>
      </w:r>
      <w:r>
        <w:rPr>
          <w:kern w:val="0"/>
        </w:rPr>
        <w:t>，这种</w:t>
      </w:r>
      <w:r>
        <w:t>情况应引起企业的高度重视，尽量减少</w:t>
      </w:r>
      <w:r>
        <w:rPr>
          <w:rFonts w:hint="eastAsia"/>
        </w:rPr>
        <w:t>布袋除尘系统故障</w:t>
      </w:r>
      <w:r>
        <w:t>的发生。</w:t>
      </w:r>
      <w:r>
        <w:rPr>
          <w:rFonts w:hint="eastAsia"/>
        </w:rPr>
        <w:t>由于事故排放产生的污染属短时污染，对环境的影响相对较小。</w:t>
      </w:r>
    </w:p>
    <w:p>
      <w:pPr>
        <w:spacing w:line="460" w:lineRule="exact"/>
        <w:ind w:firstLine="420" w:firstLineChars="200"/>
        <w:rPr>
          <w:rFonts w:hint="eastAsia"/>
          <w:b/>
          <w:bCs/>
        </w:rPr>
      </w:pPr>
      <w:r>
        <w:rPr>
          <w:rFonts w:hint="eastAsia" w:ascii="宋体" w:hAnsi="宋体"/>
          <w:b/>
          <w:bCs/>
        </w:rPr>
        <w:t>⑦</w:t>
      </w:r>
      <w:r>
        <w:rPr>
          <w:rFonts w:hint="eastAsia"/>
          <w:kern w:val="0"/>
        </w:rPr>
        <w:t>技改</w:t>
      </w:r>
      <w:r>
        <w:rPr>
          <w:kern w:val="0"/>
        </w:rPr>
        <w:t>项目最终确定的大气环境防护距离为距</w:t>
      </w:r>
      <w:r>
        <w:rPr>
          <w:rFonts w:hint="eastAsia"/>
          <w:kern w:val="0"/>
        </w:rPr>
        <w:t>石灰石堆场200</w:t>
      </w:r>
      <w:r>
        <w:rPr>
          <w:kern w:val="0"/>
        </w:rPr>
        <w:t>m，</w:t>
      </w:r>
      <w:r>
        <w:rPr>
          <w:rFonts w:hint="eastAsia"/>
          <w:kern w:val="0"/>
        </w:rPr>
        <w:t>根据现场调查，目前大气防护距离内无居住户，本评价要求</w:t>
      </w:r>
      <w:r>
        <w:rPr>
          <w:rFonts w:hint="eastAsia"/>
        </w:rPr>
        <w:t>在划定的大气防护距离内今后不能规划对粉尘废气敏感的居民区、学校、医院等环境敏感点以及食品、医药企业。</w:t>
      </w:r>
    </w:p>
    <w:p>
      <w:pPr>
        <w:spacing w:line="360" w:lineRule="auto"/>
        <w:ind w:firstLine="411" w:firstLineChars="196"/>
        <w:rPr>
          <w:rFonts w:hint="eastAsia"/>
          <w:b/>
        </w:rPr>
      </w:pPr>
      <w:r>
        <w:rPr>
          <w:rFonts w:hint="eastAsia"/>
          <w:b/>
        </w:rPr>
        <w:t>（2）地表水</w:t>
      </w:r>
    </w:p>
    <w:p>
      <w:pPr>
        <w:spacing w:line="360" w:lineRule="auto"/>
        <w:ind w:firstLine="420" w:firstLineChars="200"/>
        <w:rPr>
          <w:rFonts w:hint="eastAsia"/>
        </w:rPr>
      </w:pPr>
      <w:r>
        <w:rPr>
          <w:rFonts w:hint="eastAsia"/>
        </w:rPr>
        <w:t>影响分析表明，技改项目建成生产时，达标后的废水排入厂区北侧无名溪沟，对其影响很小，不会改变其水质现状。</w:t>
      </w:r>
    </w:p>
    <w:p>
      <w:pPr>
        <w:spacing w:line="360" w:lineRule="auto"/>
        <w:ind w:firstLine="411" w:firstLineChars="196"/>
        <w:jc w:val="left"/>
        <w:rPr>
          <w:rFonts w:hint="eastAsia"/>
          <w:b/>
          <w:bCs/>
        </w:rPr>
      </w:pPr>
      <w:r>
        <w:rPr>
          <w:rFonts w:hint="eastAsia"/>
          <w:b/>
          <w:bCs/>
        </w:rPr>
        <w:t>（3）声环境</w:t>
      </w:r>
    </w:p>
    <w:p>
      <w:pPr>
        <w:spacing w:line="360" w:lineRule="auto"/>
        <w:ind w:firstLine="482"/>
        <w:rPr>
          <w:rFonts w:hint="eastAsia"/>
        </w:rPr>
      </w:pPr>
      <w:r>
        <w:rPr>
          <w:rFonts w:hint="eastAsia"/>
        </w:rPr>
        <w:t>预测结果表明，技改项目投入运行后，按《工业企业厂界噪声标准》（GB12348-2008）中2类标准评价，昼间厂界噪声均能达标；夜间噪声西厂界超标，超标4.5dB。由表8-23的预测结果可知，按《声环境质量标准》（GB3096-2008）中2类标准评价，评价范围内的声环境敏感点噪声影响值较小，与背景噪声值叠加后，昼夜均能达标，不会造成噪声扰民现象的发生。</w:t>
      </w:r>
    </w:p>
    <w:p>
      <w:pPr>
        <w:spacing w:line="360" w:lineRule="auto"/>
        <w:ind w:firstLine="420" w:firstLineChars="200"/>
        <w:rPr>
          <w:rFonts w:hint="eastAsia"/>
          <w:b/>
        </w:rPr>
      </w:pPr>
      <w:r>
        <w:rPr>
          <w:rFonts w:hint="eastAsia"/>
          <w:b/>
        </w:rPr>
        <w:t>（4）固体废物</w:t>
      </w:r>
    </w:p>
    <w:p>
      <w:pPr>
        <w:spacing w:line="360" w:lineRule="auto"/>
        <w:ind w:left="31" w:leftChars="15" w:firstLine="420" w:firstLineChars="200"/>
        <w:rPr>
          <w:rFonts w:hint="eastAsia"/>
        </w:rPr>
      </w:pPr>
      <w:r>
        <w:rPr>
          <w:rFonts w:hint="eastAsia"/>
        </w:rPr>
        <w:t>技改项目的工业固体废物全部进行了有效的回收利用，体现了国家“变废为宝、综合利用”的原则，不会对周围环境造成污染影响。</w:t>
      </w:r>
    </w:p>
    <w:p>
      <w:pPr>
        <w:spacing w:line="360" w:lineRule="auto"/>
        <w:ind w:left="31" w:leftChars="15" w:firstLine="420" w:firstLineChars="200"/>
        <w:rPr>
          <w:rFonts w:hint="eastAsia"/>
        </w:rPr>
      </w:pPr>
      <w:r>
        <w:rPr>
          <w:rFonts w:hint="eastAsia"/>
        </w:rPr>
        <w:t>采取在厂区内设生活垃圾转运站，集中收集职工生活垃圾后，由青木关镇环卫部门送城市垃圾处理场卫生填埋，满足相关环保管理要求，对厂区和外环境影响很小。</w:t>
      </w:r>
    </w:p>
    <w:p>
      <w:pPr>
        <w:spacing w:line="360" w:lineRule="auto"/>
        <w:ind w:left="31" w:leftChars="15" w:firstLine="420" w:firstLineChars="200"/>
        <w:rPr>
          <w:rFonts w:hint="eastAsia"/>
          <w:b/>
          <w:bCs/>
        </w:rPr>
      </w:pPr>
      <w:r>
        <w:rPr>
          <w:rFonts w:hint="eastAsia"/>
        </w:rPr>
        <w:t>（5）</w:t>
      </w:r>
      <w:r>
        <w:rPr>
          <w:rFonts w:hint="eastAsia"/>
          <w:b/>
          <w:bCs/>
        </w:rPr>
        <w:t>生态环境影响分析</w:t>
      </w:r>
    </w:p>
    <w:p>
      <w:pPr>
        <w:adjustRightInd w:val="0"/>
        <w:snapToGrid w:val="0"/>
        <w:spacing w:line="360" w:lineRule="auto"/>
        <w:ind w:firstLine="420" w:firstLineChars="200"/>
      </w:pPr>
      <w:r>
        <w:rPr>
          <w:rFonts w:hint="eastAsia"/>
        </w:rPr>
        <w:t>本技改项目</w:t>
      </w:r>
      <w:r>
        <w:t>采用五级旋风预热器和分解炉</w:t>
      </w:r>
      <w:r>
        <w:rPr>
          <w:rFonts w:hint="eastAsia"/>
        </w:rPr>
        <w:t>组成窑外分解系统，</w:t>
      </w:r>
      <w:r>
        <w:t>该系统对硫的吸收率</w:t>
      </w:r>
      <w:r>
        <w:rPr>
          <w:rFonts w:hint="eastAsia"/>
        </w:rPr>
        <w:t>为95％，</w:t>
      </w:r>
      <w:r>
        <w:t>拟建工程</w:t>
      </w:r>
      <w:r>
        <w:rPr>
          <w:rFonts w:hint="eastAsia"/>
        </w:rPr>
        <w:t>外</w:t>
      </w:r>
      <w:r>
        <w:t>排</w:t>
      </w:r>
      <w:r>
        <w:rPr>
          <w:rFonts w:hint="eastAsia"/>
        </w:rPr>
        <w:t>的</w:t>
      </w:r>
      <w:r>
        <w:t>SO</w:t>
      </w:r>
      <w:r>
        <w:rPr>
          <w:vertAlign w:val="subscript"/>
        </w:rPr>
        <w:t>2</w:t>
      </w:r>
      <w:r>
        <w:t>总量为</w:t>
      </w:r>
      <w:r>
        <w:rPr>
          <w:rFonts w:hint="eastAsia"/>
        </w:rPr>
        <w:t>216.96</w:t>
      </w:r>
      <w:r>
        <w:t xml:space="preserve"> t/a</w:t>
      </w:r>
      <w:r>
        <w:rPr>
          <w:rFonts w:hint="eastAsia"/>
        </w:rPr>
        <w:t>。</w:t>
      </w:r>
      <w:r>
        <w:t>由环境空气质量影响预测评价可知，</w:t>
      </w:r>
      <w:r>
        <w:rPr>
          <w:rFonts w:hint="eastAsia"/>
        </w:rPr>
        <w:t>工程外排的</w:t>
      </w:r>
      <w:r>
        <w:t>SO</w:t>
      </w:r>
      <w:r>
        <w:rPr>
          <w:vertAlign w:val="subscript"/>
        </w:rPr>
        <w:t>2</w:t>
      </w:r>
      <w:r>
        <w:rPr>
          <w:rFonts w:hint="eastAsia"/>
        </w:rPr>
        <w:t>小时最大浓度</w:t>
      </w:r>
      <w:r>
        <w:t>为</w:t>
      </w:r>
      <w:r>
        <w:rPr>
          <w:rFonts w:hint="eastAsia"/>
        </w:rPr>
        <w:t>0.0606</w:t>
      </w:r>
      <w:r>
        <w:t>mg/m3，对植被和农作物的影响甚微。</w:t>
      </w:r>
    </w:p>
    <w:p>
      <w:pPr>
        <w:adjustRightInd w:val="0"/>
        <w:snapToGrid w:val="0"/>
        <w:spacing w:line="360" w:lineRule="auto"/>
        <w:ind w:firstLine="404" w:firstLineChars="200"/>
        <w:rPr>
          <w:rFonts w:hint="eastAsia"/>
          <w:spacing w:val="-4"/>
        </w:rPr>
      </w:pPr>
      <w:r>
        <w:rPr>
          <w:rFonts w:hint="eastAsia"/>
          <w:spacing w:val="-4"/>
        </w:rPr>
        <w:t>技改项目用</w:t>
      </w:r>
      <w:r>
        <w:rPr>
          <w:spacing w:val="-4"/>
        </w:rPr>
        <w:t>地</w:t>
      </w:r>
      <w:r>
        <w:rPr>
          <w:rFonts w:hint="eastAsia"/>
          <w:spacing w:val="-4"/>
        </w:rPr>
        <w:t>位于渝遂高速公路南侧，且渝遂高速公路相对位置较高，因此技改项目对渝遂高速公路的景观影响较大。但由于本项目为技改项目，由先进的新型干法旋窑生产线替代落后的机立窑生产线，厂区建设将更加规范，对产生的废气</w:t>
      </w:r>
      <w:r>
        <w:rPr>
          <w:spacing w:val="-4"/>
        </w:rPr>
        <w:t>均采取有效、可靠的治理措施</w:t>
      </w:r>
      <w:r>
        <w:rPr>
          <w:rFonts w:hint="eastAsia"/>
          <w:spacing w:val="-4"/>
        </w:rPr>
        <w:t>，同时将对350米以上的空地进行绿化，项目建成后将一改往日的浓烟滚滚，扬尘弥漫的景象，取而代之的是花园是工厂，因此，项目建设带来的景观正效益明显。</w:t>
      </w:r>
    </w:p>
    <w:p>
      <w:pPr>
        <w:spacing w:line="360" w:lineRule="auto"/>
        <w:ind w:left="31" w:leftChars="15" w:firstLine="420" w:firstLineChars="200"/>
        <w:rPr>
          <w:rFonts w:hint="eastAsia"/>
          <w:b/>
          <w:bCs/>
        </w:rPr>
      </w:pPr>
      <w:r>
        <w:rPr>
          <w:rFonts w:hint="eastAsia"/>
        </w:rPr>
        <w:t>（6）</w:t>
      </w:r>
      <w:r>
        <w:rPr>
          <w:b/>
          <w:bCs/>
        </w:rPr>
        <w:t>运输对环境的影响分析</w:t>
      </w:r>
    </w:p>
    <w:p>
      <w:pPr>
        <w:adjustRightInd w:val="0"/>
        <w:snapToGrid w:val="0"/>
        <w:spacing w:line="360" w:lineRule="auto"/>
        <w:ind w:firstLine="420" w:firstLineChars="200"/>
        <w:rPr>
          <w:rFonts w:hint="eastAsia"/>
        </w:rPr>
      </w:pPr>
      <w:r>
        <w:rPr>
          <w:rFonts w:hint="eastAsia"/>
        </w:rPr>
        <w:t>技改项目</w:t>
      </w:r>
      <w:r>
        <w:t>运入的原辅材料</w:t>
      </w:r>
      <w:r>
        <w:rPr>
          <w:rFonts w:hint="eastAsia"/>
        </w:rPr>
        <w:t>除煤矸石外，其余均采用汽车运输，汽车在运输过程中产生的扬尘和噪声对</w:t>
      </w:r>
      <w:r>
        <w:t>公路沿线环境空气</w:t>
      </w:r>
      <w:r>
        <w:rPr>
          <w:rFonts w:hint="eastAsia"/>
        </w:rPr>
        <w:t>和声环境质量将</w:t>
      </w:r>
      <w:r>
        <w:t>产生</w:t>
      </w:r>
      <w:r>
        <w:rPr>
          <w:rFonts w:hint="eastAsia"/>
        </w:rPr>
        <w:t>一定的</w:t>
      </w:r>
      <w:r>
        <w:t>影响。</w:t>
      </w:r>
      <w:r>
        <w:rPr>
          <w:rFonts w:hint="eastAsia"/>
        </w:rPr>
        <w:t>只要建设单位按本评价的防尘和降噪措施可将影响控制到较小的程度，环境可以接受。</w:t>
      </w:r>
    </w:p>
    <w:p>
      <w:pPr>
        <w:spacing w:before="24" w:beforeLines="10" w:after="24" w:afterLines="10" w:line="360" w:lineRule="auto"/>
        <w:rPr>
          <w:rFonts w:hint="eastAsia"/>
          <w:b/>
        </w:rPr>
      </w:pPr>
      <w:r>
        <w:rPr>
          <w:rFonts w:hint="eastAsia"/>
          <w:b/>
        </w:rPr>
        <w:t>16.1.7公众参与</w:t>
      </w:r>
    </w:p>
    <w:p>
      <w:pPr>
        <w:spacing w:line="360" w:lineRule="auto"/>
        <w:ind w:firstLine="420" w:firstLineChars="200"/>
        <w:rPr>
          <w:rFonts w:hint="eastAsia" w:ascii="宋体" w:hAnsi="宋体"/>
        </w:rPr>
      </w:pPr>
      <w:r>
        <w:rPr>
          <w:rFonts w:hint="eastAsia" w:ascii="宋体" w:hAnsi="宋体"/>
        </w:rPr>
        <w:t>技改项目的建成将对促进区域经济快速发展发挥重要作用，参与调查的所有公众支持技改项目的建设，认为技改项目选址是合理或基本合理，希望早日开工建设，能够为当地就业和发展带来方便和机遇。</w:t>
      </w:r>
    </w:p>
    <w:p>
      <w:pPr>
        <w:spacing w:before="24" w:beforeLines="10" w:after="24" w:afterLines="10" w:line="360" w:lineRule="auto"/>
        <w:rPr>
          <w:rFonts w:hint="eastAsia"/>
          <w:b/>
        </w:rPr>
      </w:pPr>
      <w:r>
        <w:rPr>
          <w:rFonts w:hint="eastAsia"/>
          <w:b/>
        </w:rPr>
        <w:t>16.1.8环境经济损益分析</w:t>
      </w:r>
    </w:p>
    <w:p>
      <w:pPr>
        <w:spacing w:line="360" w:lineRule="auto"/>
        <w:ind w:firstLine="420" w:firstLineChars="200"/>
        <w:rPr>
          <w:rFonts w:hint="eastAsia"/>
        </w:rPr>
      </w:pPr>
      <w:r>
        <w:rPr>
          <w:rFonts w:hint="eastAsia"/>
        </w:rPr>
        <w:t>技改项目环保总投资为3490万元，占项目总投资的9.1％。</w:t>
      </w:r>
    </w:p>
    <w:p>
      <w:pPr>
        <w:spacing w:line="360" w:lineRule="auto"/>
        <w:ind w:firstLine="420" w:firstLineChars="200"/>
        <w:rPr>
          <w:rFonts w:hint="eastAsia" w:ascii="宋体" w:hAnsi="宋体"/>
        </w:rPr>
      </w:pPr>
      <w:r>
        <w:rPr>
          <w:rFonts w:hint="eastAsia" w:ascii="宋体" w:hAnsi="宋体"/>
        </w:rPr>
        <w:t>环保措施效益7424.04万元／</w:t>
      </w:r>
      <w:r>
        <w:rPr>
          <w:rFonts w:ascii="宋体" w:hAnsi="宋体"/>
        </w:rPr>
        <w:t>a</w:t>
      </w:r>
      <w:r>
        <w:rPr>
          <w:rFonts w:hint="eastAsia" w:ascii="宋体" w:hAnsi="宋体"/>
        </w:rPr>
        <w:t>与其费用767.8万元／</w:t>
      </w:r>
      <w:r>
        <w:rPr>
          <w:rFonts w:ascii="宋体" w:hAnsi="宋体"/>
        </w:rPr>
        <w:t>a</w:t>
      </w:r>
      <w:r>
        <w:rPr>
          <w:rFonts w:hint="eastAsia" w:ascii="宋体" w:hAnsi="宋体"/>
        </w:rPr>
        <w:t>之比为9.7:</w:t>
      </w:r>
      <w:r>
        <w:rPr>
          <w:rFonts w:ascii="宋体" w:hAnsi="宋体"/>
        </w:rPr>
        <w:t>1</w:t>
      </w:r>
      <w:r>
        <w:rPr>
          <w:rFonts w:hint="eastAsia" w:ascii="宋体" w:hAnsi="宋体"/>
        </w:rPr>
        <w:t>，远大于1，表明技改项目的环保措施综合经济效益指标良好，可实现环保设施的经济运行。</w:t>
      </w:r>
    </w:p>
    <w:p>
      <w:pPr>
        <w:spacing w:before="24" w:beforeLines="10" w:after="24" w:afterLines="10" w:line="360" w:lineRule="auto"/>
        <w:rPr>
          <w:rFonts w:hint="eastAsia"/>
          <w:b/>
        </w:rPr>
      </w:pPr>
      <w:bookmarkStart w:id="555" w:name="_Toc4832225"/>
      <w:r>
        <w:rPr>
          <w:rFonts w:hint="eastAsia"/>
          <w:b/>
        </w:rPr>
        <w:t>16.1.9 污染物排放总量控制</w:t>
      </w:r>
      <w:bookmarkEnd w:id="555"/>
    </w:p>
    <w:p>
      <w:pPr>
        <w:tabs>
          <w:tab w:val="left" w:pos="3960"/>
          <w:tab w:val="left" w:pos="4500"/>
        </w:tabs>
        <w:spacing w:line="360" w:lineRule="auto"/>
        <w:ind w:firstLine="420" w:firstLineChars="200"/>
        <w:rPr>
          <w:rFonts w:hint="eastAsia"/>
        </w:rPr>
      </w:pPr>
      <w:r>
        <w:rPr>
          <w:rFonts w:hint="eastAsia"/>
        </w:rPr>
        <w:t>通过分析表明，</w:t>
      </w:r>
      <w:r>
        <w:t>技改项目污染物排放总量按最终排放量控制是可行的，其总量控制建议指标为：</w:t>
      </w:r>
    </w:p>
    <w:p>
      <w:pPr>
        <w:spacing w:line="360" w:lineRule="auto"/>
        <w:ind w:firstLine="420" w:firstLineChars="200"/>
        <w:rPr>
          <w:rFonts w:hint="eastAsia"/>
        </w:rPr>
      </w:pPr>
      <w:r>
        <w:rPr>
          <w:rFonts w:hint="eastAsia"/>
        </w:rPr>
        <w:t>废气污染物总量控制指标：烟粉尘261.37</w:t>
      </w:r>
      <w:r>
        <w:t>t/a</w:t>
      </w:r>
      <w:r>
        <w:rPr>
          <w:rFonts w:hint="eastAsia"/>
        </w:rPr>
        <w:t>、SO</w:t>
      </w:r>
      <w:r>
        <w:rPr>
          <w:rFonts w:hint="eastAsia"/>
          <w:vertAlign w:val="subscript"/>
        </w:rPr>
        <w:t>2</w:t>
      </w:r>
      <w:r>
        <w:rPr>
          <w:rFonts w:hint="eastAsia"/>
        </w:rPr>
        <w:t>216.44</w:t>
      </w:r>
      <w:r>
        <w:t>t/a</w:t>
      </w:r>
      <w:r>
        <w:rPr>
          <w:rFonts w:hint="eastAsia"/>
        </w:rPr>
        <w:t>、NO</w:t>
      </w:r>
      <w:r>
        <w:rPr>
          <w:rFonts w:hint="eastAsia"/>
          <w:vertAlign w:val="subscript"/>
        </w:rPr>
        <w:t>2</w:t>
      </w:r>
      <w:r>
        <w:rPr>
          <w:rFonts w:hint="eastAsia"/>
        </w:rPr>
        <w:t>1799.88</w:t>
      </w:r>
      <w:r>
        <w:t>t/a</w:t>
      </w:r>
      <w:r>
        <w:rPr>
          <w:rFonts w:hint="eastAsia"/>
        </w:rPr>
        <w:t>。</w:t>
      </w:r>
    </w:p>
    <w:p>
      <w:pPr>
        <w:spacing w:line="360" w:lineRule="auto"/>
        <w:ind w:firstLine="420" w:firstLineChars="200"/>
        <w:rPr>
          <w:rFonts w:hint="eastAsia"/>
        </w:rPr>
      </w:pPr>
      <w:r>
        <w:rPr>
          <w:rFonts w:hint="eastAsia"/>
        </w:rPr>
        <w:t>废水污染物总量控制指标：</w:t>
      </w:r>
      <w:r>
        <w:t>COD</w:t>
      </w:r>
      <w:r>
        <w:rPr>
          <w:rFonts w:hint="eastAsia"/>
        </w:rPr>
        <w:t>1.63</w:t>
      </w:r>
      <w:r>
        <w:t>t/a</w:t>
      </w:r>
      <w:r>
        <w:rPr>
          <w:rFonts w:hAnsi="宋体"/>
        </w:rPr>
        <w:t>、</w:t>
      </w:r>
      <w:r>
        <w:t>SS</w:t>
      </w:r>
      <w:r>
        <w:rPr>
          <w:rFonts w:hint="eastAsia"/>
        </w:rPr>
        <w:t xml:space="preserve"> 0.92</w:t>
      </w:r>
      <w:r>
        <w:t>t/a</w:t>
      </w:r>
      <w:r>
        <w:rPr>
          <w:rFonts w:hAnsi="宋体"/>
        </w:rPr>
        <w:t>、</w:t>
      </w:r>
      <w:r>
        <w:t>NH</w:t>
      </w:r>
      <w:r>
        <w:rPr>
          <w:vertAlign w:val="subscript"/>
        </w:rPr>
        <w:t>3</w:t>
      </w:r>
      <w:r>
        <w:t>-N</w:t>
      </w:r>
      <w:r>
        <w:rPr>
          <w:rFonts w:hint="eastAsia"/>
        </w:rPr>
        <w:t xml:space="preserve"> 0.11</w:t>
      </w:r>
      <w:r>
        <w:t>t/a</w:t>
      </w:r>
      <w:r>
        <w:rPr>
          <w:rFonts w:ascii="宋体" w:hAnsi="宋体"/>
        </w:rPr>
        <w:t>。</w:t>
      </w:r>
    </w:p>
    <w:p>
      <w:pPr>
        <w:spacing w:line="360" w:lineRule="auto"/>
        <w:outlineLvl w:val="0"/>
        <w:rPr>
          <w:rFonts w:hint="eastAsia"/>
          <w:b/>
          <w:sz w:val="18"/>
          <w:szCs w:val="18"/>
        </w:rPr>
      </w:pPr>
    </w:p>
    <w:p>
      <w:pPr>
        <w:spacing w:before="24" w:beforeLines="10" w:after="24" w:afterLines="10"/>
        <w:rPr>
          <w:rFonts w:hint="eastAsia"/>
          <w:b/>
        </w:rPr>
      </w:pPr>
      <w:r>
        <w:rPr>
          <w:rFonts w:hint="eastAsia"/>
          <w:b/>
        </w:rPr>
        <w:t>16.1.10 综合结论</w:t>
      </w:r>
    </w:p>
    <w:p>
      <w:pPr>
        <w:widowControl/>
        <w:spacing w:before="100" w:beforeAutospacing="1" w:after="100" w:afterAutospacing="1"/>
        <w:ind w:firstLine="512"/>
        <w:jc w:val="left"/>
        <w:rPr>
          <w:rFonts w:ascii="宋体" w:hAnsi="宋体" w:cs="宋体"/>
          <w:kern w:val="0"/>
        </w:rPr>
      </w:pPr>
      <w:bookmarkStart w:id="556" w:name="_Toc473281567"/>
      <w:bookmarkStart w:id="557" w:name="_Toc175479895"/>
      <w:bookmarkStart w:id="558" w:name="_Toc165607434"/>
      <w:bookmarkStart w:id="559" w:name="_Toc129763789"/>
      <w:bookmarkStart w:id="560" w:name="_Toc189814211"/>
      <w:r>
        <w:rPr>
          <w:rFonts w:hint="eastAsia" w:ascii="宋体" w:hAnsi="宋体"/>
          <w:snapToGrid w:val="0"/>
        </w:rPr>
        <w:t>重庆永荣青鹏煤业有限公司环保节能技改2500t/d熟料水泥生产线项目建设符合国家和地方相关产业政策，符合重庆市工业行业准入条件，其建设选址符合相关规划要求。工艺路线与设备选型上充分体现了清洁生产的特点，在整个流程上采取多种先进技术和针对性措施减少污染物的产生，并在末端同时又采取有效治理措施，实现污染物达标排放，</w:t>
      </w:r>
      <w:r>
        <w:rPr>
          <w:rFonts w:hint="eastAsia" w:ascii="宋体" w:hAnsi="宋体" w:cs="宋体"/>
          <w:kern w:val="0"/>
        </w:rPr>
        <w:t>对环境不会造成明显影响，不会改变区域环境功能。因此，</w:t>
      </w:r>
      <w:r>
        <w:rPr>
          <w:rFonts w:hint="eastAsia" w:ascii="宋体" w:hAnsi="宋体" w:cs="宋体"/>
          <w:bCs/>
          <w:kern w:val="0"/>
        </w:rPr>
        <w:t>从环境保护角度看，技改项目选址合理，建设方案可行</w:t>
      </w:r>
      <w:r>
        <w:rPr>
          <w:rFonts w:hint="eastAsia" w:ascii="宋体" w:hAnsi="宋体" w:cs="宋体"/>
          <w:kern w:val="0"/>
        </w:rPr>
        <w:t>。</w:t>
      </w:r>
    </w:p>
    <w:p>
      <w:pPr>
        <w:spacing w:before="24" w:beforeLines="10" w:after="24" w:afterLines="10"/>
        <w:outlineLvl w:val="1"/>
        <w:rPr>
          <w:rFonts w:hint="eastAsia"/>
          <w:b/>
        </w:rPr>
      </w:pPr>
      <w:bookmarkStart w:id="561" w:name="_Toc276372293"/>
      <w:r>
        <w:rPr>
          <w:rFonts w:hint="eastAsia"/>
          <w:b/>
        </w:rPr>
        <w:t>16.2 建议</w:t>
      </w:r>
      <w:bookmarkEnd w:id="556"/>
      <w:bookmarkEnd w:id="557"/>
      <w:bookmarkEnd w:id="558"/>
      <w:bookmarkEnd w:id="559"/>
      <w:bookmarkEnd w:id="560"/>
      <w:bookmarkEnd w:id="561"/>
    </w:p>
    <w:p>
      <w:pPr>
        <w:adjustRightInd w:val="0"/>
        <w:snapToGrid w:val="0"/>
        <w:ind w:firstLine="561"/>
        <w:rPr>
          <w:rFonts w:hint="eastAsia"/>
        </w:rPr>
      </w:pPr>
      <w:r>
        <w:rPr>
          <w:rFonts w:hint="eastAsia"/>
        </w:rPr>
        <w:t>（1）技改项目的物料转运量大、粉尘排放点多，企业应加强环境管理和维护设备的良好运转，同时积极采取抑制无组织粉尘逃逸的措施。</w:t>
      </w:r>
    </w:p>
    <w:p>
      <w:pPr>
        <w:spacing w:line="360" w:lineRule="auto"/>
        <w:ind w:firstLine="420" w:firstLineChars="200"/>
        <w:rPr>
          <w:rFonts w:hint="eastAsia"/>
        </w:rPr>
      </w:pPr>
      <w:r>
        <w:rPr>
          <w:rFonts w:hint="eastAsia"/>
        </w:rPr>
        <w:t>（2）技改项目NOx排放量较大，而国家环保部已将其纳入了十二五总量控制指标，因此在下一步的设计过程中应充分考虑如何降低NOx排放量，减轻对周边环境的影响。</w:t>
      </w:r>
    </w:p>
    <w:p>
      <w:pPr>
        <w:spacing w:line="360" w:lineRule="auto"/>
        <w:ind w:firstLine="420" w:firstLineChars="200"/>
        <w:rPr>
          <w:rFonts w:hint="eastAsia"/>
        </w:rPr>
      </w:pPr>
      <w:r>
        <w:rPr>
          <w:rFonts w:hint="eastAsia"/>
        </w:rPr>
        <w:t>（3）由于技改项目拟选厂址在319国道和渝隧高速公路的可视范围之内，因此项目在建设过程中应考虑厂房、物料储存库（棚）、烟囱等的外观设计与周边自然环境的协调性，增加必要的环保装饰，同时加强厂区标高在350米以上空地的绿化，避免对319国道和渝隧高速公路的景观影响。</w:t>
      </w: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30"/>
          <w:szCs w:val="30"/>
          <w:lang w:val="en-US" w:eastAsia="zh-CN"/>
        </w:rPr>
      </w:pPr>
      <w:r>
        <w:rPr>
          <w:rFonts w:hint="eastAsia" w:asciiTheme="minorEastAsia" w:hAnsiTheme="minorEastAsia" w:cstheme="minorEastAsia"/>
          <w:sz w:val="30"/>
          <w:szCs w:val="30"/>
          <w:lang w:val="en-US" w:eastAsia="zh-CN"/>
        </w:rPr>
        <w:t>五、突发环境事件应急预案</w:t>
      </w:r>
    </w:p>
    <w:p>
      <w:pPr>
        <w:spacing w:line="360" w:lineRule="auto"/>
        <w:jc w:val="center"/>
        <w:rPr>
          <w:rFonts w:ascii="Times New Roman" w:hAnsi="Times New Roman"/>
          <w:sz w:val="24"/>
          <w:szCs w:val="24"/>
        </w:rPr>
      </w:pPr>
      <w:r>
        <w:rPr>
          <w:rFonts w:ascii="Times New Roman" w:hAnsi="宋体"/>
          <w:b/>
          <w:sz w:val="24"/>
          <w:szCs w:val="24"/>
        </w:rPr>
        <w:t>目</w:t>
      </w:r>
      <w:r>
        <w:rPr>
          <w:rFonts w:hint="eastAsia" w:ascii="Times New Roman" w:hAnsi="宋体"/>
          <w:b/>
          <w:sz w:val="24"/>
          <w:szCs w:val="24"/>
        </w:rPr>
        <w:t xml:space="preserve">  </w:t>
      </w:r>
      <w:r>
        <w:rPr>
          <w:rFonts w:ascii="Times New Roman" w:hAnsi="宋体"/>
          <w:b/>
          <w:sz w:val="24"/>
          <w:szCs w:val="24"/>
        </w:rPr>
        <w:t>录</w:t>
      </w:r>
    </w:p>
    <w:p>
      <w:pPr>
        <w:pStyle w:val="14"/>
        <w:tabs>
          <w:tab w:val="right" w:leader="dot" w:pos="8834"/>
          <w:tab w:val="clear" w:pos="9344"/>
        </w:tabs>
        <w:spacing w:before="0" w:line="360" w:lineRule="auto"/>
        <w:rPr>
          <w:rFonts w:ascii="Calibri" w:hAnsi="Calibri"/>
          <w:b w:val="0"/>
          <w:bCs w:val="0"/>
          <w:caps w:val="0"/>
        </w:rPr>
      </w:pPr>
      <w:r>
        <w:rPr>
          <w:b w:val="0"/>
          <w:bCs w:val="0"/>
          <w:caps w:val="0"/>
        </w:rPr>
        <w:fldChar w:fldCharType="begin"/>
      </w:r>
      <w:r>
        <w:rPr>
          <w:b w:val="0"/>
          <w:bCs w:val="0"/>
          <w:caps w:val="0"/>
        </w:rPr>
        <w:instrText xml:space="preserve"> TOC \o "1-2" \h \z \u </w:instrText>
      </w:r>
      <w:r>
        <w:rPr>
          <w:b w:val="0"/>
          <w:bCs w:val="0"/>
          <w:caps w:val="0"/>
        </w:rPr>
        <w:fldChar w:fldCharType="separate"/>
      </w:r>
      <w:r>
        <w:fldChar w:fldCharType="begin"/>
      </w:r>
      <w:r>
        <w:rPr>
          <w:rStyle w:val="20"/>
        </w:rPr>
        <w:instrText xml:space="preserve"> </w:instrText>
      </w:r>
      <w:r>
        <w:instrText xml:space="preserve">HYPERLINK \l "_Toc461048087"</w:instrText>
      </w:r>
      <w:r>
        <w:rPr>
          <w:rStyle w:val="20"/>
        </w:rPr>
        <w:instrText xml:space="preserve"> </w:instrText>
      </w:r>
      <w:r>
        <w:fldChar w:fldCharType="separate"/>
      </w:r>
      <w:r>
        <w:rPr>
          <w:rStyle w:val="20"/>
          <w:rFonts w:ascii="Times New Roman" w:hAnsi="Times New Roman"/>
        </w:rPr>
        <w:t>1</w:t>
      </w:r>
      <w:r>
        <w:rPr>
          <w:rStyle w:val="20"/>
          <w:rFonts w:hint="eastAsia" w:ascii="Times New Roman" w:hAnsi="宋体"/>
        </w:rPr>
        <w:t>总则</w:t>
      </w:r>
      <w:r>
        <w:tab/>
      </w:r>
      <w:r>
        <w:fldChar w:fldCharType="begin"/>
      </w:r>
      <w:r>
        <w:instrText xml:space="preserve"> PAGEREF _Toc461048087 \h </w:instrText>
      </w:r>
      <w:r>
        <w:fldChar w:fldCharType="separate"/>
      </w:r>
      <w:r>
        <w:t>1</w:t>
      </w:r>
      <w:r>
        <w:fldChar w:fldCharType="end"/>
      </w:r>
      <w: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"_Toc461048088"</w:instrText>
      </w:r>
      <w:r>
        <w:rPr>
          <w:rStyle w:val="20"/>
          <w:sz w:val="24"/>
          <w:szCs w:val="24"/>
        </w:rPr>
        <w:instrText xml:space="preserve"> </w:instrText>
      </w:r>
      <w:r>
        <w:rPr>
          <w:sz w:val="24"/>
          <w:szCs w:val="24"/>
        </w:rPr>
        <w:fldChar w:fldCharType="separate"/>
      </w:r>
      <w:r>
        <w:rPr>
          <w:rStyle w:val="20"/>
          <w:rFonts w:ascii="Times New Roman" w:hAnsi="Times New Roman"/>
          <w:sz w:val="24"/>
          <w:szCs w:val="24"/>
        </w:rPr>
        <w:t>1.1</w:t>
      </w:r>
      <w:r>
        <w:rPr>
          <w:rStyle w:val="20"/>
          <w:rFonts w:hint="eastAsia" w:ascii="Times New Roman" w:hAnsi="宋体"/>
          <w:sz w:val="24"/>
          <w:szCs w:val="24"/>
        </w:rPr>
        <w:t>编制目的</w:t>
      </w:r>
      <w:r>
        <w:rPr>
          <w:sz w:val="24"/>
          <w:szCs w:val="24"/>
        </w:rPr>
        <w:tab/>
      </w:r>
      <w:r>
        <w:rPr>
          <w:sz w:val="24"/>
          <w:szCs w:val="24"/>
        </w:rPr>
        <w:fldChar w:fldCharType="begin"/>
      </w:r>
      <w:r>
        <w:rPr>
          <w:sz w:val="24"/>
          <w:szCs w:val="24"/>
        </w:rPr>
        <w:instrText xml:space="preserve"> PAGEREF _Toc461048088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"_Toc461048089"</w:instrText>
      </w:r>
      <w:r>
        <w:rPr>
          <w:rStyle w:val="20"/>
          <w:sz w:val="24"/>
          <w:szCs w:val="24"/>
        </w:rPr>
        <w:instrText xml:space="preserve"> </w:instrText>
      </w:r>
      <w:r>
        <w:rPr>
          <w:sz w:val="24"/>
          <w:szCs w:val="24"/>
        </w:rPr>
        <w:fldChar w:fldCharType="separate"/>
      </w:r>
      <w:r>
        <w:rPr>
          <w:rStyle w:val="20"/>
          <w:sz w:val="24"/>
          <w:szCs w:val="24"/>
        </w:rPr>
        <w:t>1.2</w:t>
      </w:r>
      <w:r>
        <w:rPr>
          <w:rStyle w:val="20"/>
          <w:rFonts w:hint="eastAsia"/>
          <w:sz w:val="24"/>
          <w:szCs w:val="24"/>
        </w:rPr>
        <w:t>编制依据</w:t>
      </w:r>
      <w:r>
        <w:rPr>
          <w:sz w:val="24"/>
          <w:szCs w:val="24"/>
        </w:rPr>
        <w:tab/>
      </w:r>
      <w:r>
        <w:rPr>
          <w:sz w:val="24"/>
          <w:szCs w:val="24"/>
        </w:rPr>
        <w:fldChar w:fldCharType="begin"/>
      </w:r>
      <w:r>
        <w:rPr>
          <w:sz w:val="24"/>
          <w:szCs w:val="24"/>
        </w:rPr>
        <w:instrText xml:space="preserve"> PAGEREF _Toc461048089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"_Toc461048090"</w:instrText>
      </w:r>
      <w:r>
        <w:rPr>
          <w:rStyle w:val="20"/>
          <w:sz w:val="24"/>
          <w:szCs w:val="24"/>
        </w:rPr>
        <w:instrText xml:space="preserve"> </w:instrText>
      </w:r>
      <w:r>
        <w:rPr>
          <w:sz w:val="24"/>
          <w:szCs w:val="24"/>
        </w:rPr>
        <w:fldChar w:fldCharType="separate"/>
      </w:r>
      <w:r>
        <w:rPr>
          <w:rStyle w:val="20"/>
          <w:sz w:val="24"/>
          <w:szCs w:val="24"/>
        </w:rPr>
        <w:t>1.3</w:t>
      </w:r>
      <w:r>
        <w:rPr>
          <w:rStyle w:val="20"/>
          <w:rFonts w:hint="eastAsia"/>
          <w:sz w:val="24"/>
          <w:szCs w:val="24"/>
        </w:rPr>
        <w:t>适用范围</w:t>
      </w:r>
      <w:r>
        <w:rPr>
          <w:sz w:val="24"/>
          <w:szCs w:val="24"/>
        </w:rPr>
        <w:tab/>
      </w:r>
      <w:r>
        <w:rPr>
          <w:sz w:val="24"/>
          <w:szCs w:val="24"/>
        </w:rPr>
        <w:fldChar w:fldCharType="begin"/>
      </w:r>
      <w:r>
        <w:rPr>
          <w:sz w:val="24"/>
          <w:szCs w:val="24"/>
        </w:rPr>
        <w:instrText xml:space="preserve"> PAGEREF _Toc461048090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"_Toc461048091"</w:instrText>
      </w:r>
      <w:r>
        <w:rPr>
          <w:rStyle w:val="20"/>
          <w:sz w:val="24"/>
          <w:szCs w:val="24"/>
        </w:rPr>
        <w:instrText xml:space="preserve"> </w:instrText>
      </w:r>
      <w:r>
        <w:rPr>
          <w:sz w:val="24"/>
          <w:szCs w:val="24"/>
        </w:rPr>
        <w:fldChar w:fldCharType="separate"/>
      </w:r>
      <w:r>
        <w:rPr>
          <w:rStyle w:val="20"/>
          <w:sz w:val="24"/>
          <w:szCs w:val="24"/>
        </w:rPr>
        <w:t>1.4</w:t>
      </w:r>
      <w:r>
        <w:rPr>
          <w:rStyle w:val="20"/>
          <w:rFonts w:hint="eastAsia"/>
          <w:sz w:val="24"/>
          <w:szCs w:val="24"/>
        </w:rPr>
        <w:t>工作原则</w:t>
      </w:r>
      <w:r>
        <w:rPr>
          <w:sz w:val="24"/>
          <w:szCs w:val="24"/>
        </w:rPr>
        <w:tab/>
      </w:r>
      <w:r>
        <w:rPr>
          <w:sz w:val="24"/>
          <w:szCs w:val="24"/>
        </w:rPr>
        <w:fldChar w:fldCharType="begin"/>
      </w:r>
      <w:r>
        <w:rPr>
          <w:sz w:val="24"/>
          <w:szCs w:val="24"/>
        </w:rPr>
        <w:instrText xml:space="preserve"> PAGEREF _Toc461048091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"_Toc461048092"</w:instrText>
      </w:r>
      <w:r>
        <w:rPr>
          <w:rStyle w:val="20"/>
          <w:sz w:val="24"/>
          <w:szCs w:val="24"/>
        </w:rPr>
        <w:instrText xml:space="preserve"> </w:instrText>
      </w:r>
      <w:r>
        <w:rPr>
          <w:sz w:val="24"/>
          <w:szCs w:val="24"/>
        </w:rPr>
        <w:fldChar w:fldCharType="separate"/>
      </w:r>
      <w:r>
        <w:rPr>
          <w:rStyle w:val="20"/>
          <w:sz w:val="24"/>
          <w:szCs w:val="24"/>
        </w:rPr>
        <w:t>1.5</w:t>
      </w:r>
      <w:r>
        <w:rPr>
          <w:rStyle w:val="20"/>
          <w:rFonts w:hint="eastAsia"/>
          <w:sz w:val="24"/>
          <w:szCs w:val="24"/>
        </w:rPr>
        <w:t>基本任务</w:t>
      </w:r>
      <w:r>
        <w:rPr>
          <w:sz w:val="24"/>
          <w:szCs w:val="24"/>
        </w:rPr>
        <w:tab/>
      </w:r>
      <w:r>
        <w:rPr>
          <w:sz w:val="24"/>
          <w:szCs w:val="24"/>
        </w:rPr>
        <w:fldChar w:fldCharType="begin"/>
      </w:r>
      <w:r>
        <w:rPr>
          <w:sz w:val="24"/>
          <w:szCs w:val="24"/>
        </w:rPr>
        <w:instrText xml:space="preserve"> PAGEREF _Toc461048092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"_Toc461048093"</w:instrText>
      </w:r>
      <w:r>
        <w:rPr>
          <w:rStyle w:val="20"/>
          <w:sz w:val="24"/>
          <w:szCs w:val="24"/>
        </w:rPr>
        <w:instrText xml:space="preserve"> </w:instrText>
      </w:r>
      <w:r>
        <w:rPr>
          <w:sz w:val="24"/>
          <w:szCs w:val="24"/>
        </w:rPr>
        <w:fldChar w:fldCharType="separate"/>
      </w:r>
      <w:r>
        <w:rPr>
          <w:rStyle w:val="20"/>
          <w:rFonts w:ascii="Times New Roman" w:hAnsi="Times New Roman"/>
          <w:sz w:val="24"/>
          <w:szCs w:val="24"/>
        </w:rPr>
        <w:t>1.6</w:t>
      </w:r>
      <w:r>
        <w:rPr>
          <w:rStyle w:val="20"/>
          <w:rFonts w:hint="eastAsia" w:ascii="Times New Roman" w:hAnsi="宋体"/>
          <w:sz w:val="24"/>
          <w:szCs w:val="24"/>
        </w:rPr>
        <w:t>评价标准</w:t>
      </w:r>
      <w:r>
        <w:rPr>
          <w:sz w:val="24"/>
          <w:szCs w:val="24"/>
        </w:rPr>
        <w:tab/>
      </w:r>
      <w:r>
        <w:rPr>
          <w:sz w:val="24"/>
          <w:szCs w:val="24"/>
        </w:rPr>
        <w:fldChar w:fldCharType="begin"/>
      </w:r>
      <w:r>
        <w:rPr>
          <w:sz w:val="24"/>
          <w:szCs w:val="24"/>
        </w:rPr>
        <w:instrText xml:space="preserve"> PAGEREF _Toc461048093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"_Toc461048094"</w:instrText>
      </w:r>
      <w:r>
        <w:rPr>
          <w:rStyle w:val="20"/>
          <w:sz w:val="24"/>
          <w:szCs w:val="24"/>
        </w:rPr>
        <w:instrText xml:space="preserve"> </w:instrText>
      </w:r>
      <w:r>
        <w:rPr>
          <w:sz w:val="24"/>
          <w:szCs w:val="24"/>
        </w:rPr>
        <w:fldChar w:fldCharType="separate"/>
      </w:r>
      <w:r>
        <w:rPr>
          <w:rStyle w:val="20"/>
          <w:sz w:val="24"/>
          <w:szCs w:val="24"/>
        </w:rPr>
        <w:t>1.7</w:t>
      </w:r>
      <w:r>
        <w:rPr>
          <w:rStyle w:val="20"/>
          <w:rFonts w:hint="eastAsia"/>
          <w:sz w:val="24"/>
          <w:szCs w:val="24"/>
        </w:rPr>
        <w:t>事件定义及分级</w:t>
      </w:r>
      <w:r>
        <w:rPr>
          <w:sz w:val="24"/>
          <w:szCs w:val="24"/>
        </w:rPr>
        <w:tab/>
      </w:r>
      <w:r>
        <w:rPr>
          <w:sz w:val="24"/>
          <w:szCs w:val="24"/>
        </w:rPr>
        <w:fldChar w:fldCharType="begin"/>
      </w:r>
      <w:r>
        <w:rPr>
          <w:sz w:val="24"/>
          <w:szCs w:val="24"/>
        </w:rPr>
        <w:instrText xml:space="preserve"> PAGEREF _Toc461048094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"_Toc461048095"</w:instrText>
      </w:r>
      <w:r>
        <w:rPr>
          <w:rStyle w:val="20"/>
          <w:sz w:val="24"/>
          <w:szCs w:val="24"/>
        </w:rPr>
        <w:instrText xml:space="preserve"> </w:instrText>
      </w:r>
      <w:r>
        <w:rPr>
          <w:sz w:val="24"/>
          <w:szCs w:val="24"/>
        </w:rPr>
        <w:fldChar w:fldCharType="separate"/>
      </w:r>
      <w:r>
        <w:rPr>
          <w:rStyle w:val="20"/>
          <w:sz w:val="24"/>
          <w:szCs w:val="24"/>
        </w:rPr>
        <w:t>1.7.1</w:t>
      </w:r>
      <w:r>
        <w:rPr>
          <w:rStyle w:val="20"/>
          <w:rFonts w:hint="eastAsia"/>
          <w:sz w:val="24"/>
          <w:szCs w:val="24"/>
        </w:rPr>
        <w:t>特别重大突发环境事件</w:t>
      </w:r>
      <w:r>
        <w:rPr>
          <w:sz w:val="24"/>
          <w:szCs w:val="24"/>
        </w:rPr>
        <w:tab/>
      </w:r>
      <w:r>
        <w:rPr>
          <w:sz w:val="24"/>
          <w:szCs w:val="24"/>
        </w:rPr>
        <w:fldChar w:fldCharType="begin"/>
      </w:r>
      <w:r>
        <w:rPr>
          <w:sz w:val="24"/>
          <w:szCs w:val="24"/>
        </w:rPr>
        <w:instrText xml:space="preserve"> PAGEREF _Toc461048095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"_Toc461048096"</w:instrText>
      </w:r>
      <w:r>
        <w:rPr>
          <w:rStyle w:val="20"/>
          <w:sz w:val="24"/>
          <w:szCs w:val="24"/>
        </w:rPr>
        <w:instrText xml:space="preserve"> </w:instrText>
      </w:r>
      <w:r>
        <w:rPr>
          <w:sz w:val="24"/>
          <w:szCs w:val="24"/>
        </w:rPr>
        <w:fldChar w:fldCharType="separate"/>
      </w:r>
      <w:r>
        <w:rPr>
          <w:rStyle w:val="20"/>
          <w:sz w:val="24"/>
          <w:szCs w:val="24"/>
        </w:rPr>
        <w:t>1.7.2</w:t>
      </w:r>
      <w:r>
        <w:rPr>
          <w:rStyle w:val="20"/>
          <w:rFonts w:hint="eastAsia"/>
          <w:sz w:val="24"/>
          <w:szCs w:val="24"/>
        </w:rPr>
        <w:t>重大突发环境事件</w:t>
      </w:r>
      <w:r>
        <w:rPr>
          <w:sz w:val="24"/>
          <w:szCs w:val="24"/>
        </w:rPr>
        <w:tab/>
      </w:r>
      <w:r>
        <w:rPr>
          <w:sz w:val="24"/>
          <w:szCs w:val="24"/>
        </w:rPr>
        <w:fldChar w:fldCharType="begin"/>
      </w:r>
      <w:r>
        <w:rPr>
          <w:sz w:val="24"/>
          <w:szCs w:val="24"/>
        </w:rPr>
        <w:instrText xml:space="preserve"> PAGEREF _Toc461048096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"_Toc461048097"</w:instrText>
      </w:r>
      <w:r>
        <w:rPr>
          <w:rStyle w:val="20"/>
          <w:sz w:val="24"/>
          <w:szCs w:val="24"/>
        </w:rPr>
        <w:instrText xml:space="preserve"> </w:instrText>
      </w:r>
      <w:r>
        <w:rPr>
          <w:sz w:val="24"/>
          <w:szCs w:val="24"/>
        </w:rPr>
        <w:fldChar w:fldCharType="separate"/>
      </w:r>
      <w:r>
        <w:rPr>
          <w:rStyle w:val="20"/>
          <w:sz w:val="24"/>
          <w:szCs w:val="24"/>
        </w:rPr>
        <w:t>1.7.3</w:t>
      </w:r>
      <w:r>
        <w:rPr>
          <w:rStyle w:val="20"/>
          <w:rFonts w:hint="eastAsia"/>
          <w:sz w:val="24"/>
          <w:szCs w:val="24"/>
        </w:rPr>
        <w:t>较大突发环境事件</w:t>
      </w:r>
      <w:r>
        <w:rPr>
          <w:sz w:val="24"/>
          <w:szCs w:val="24"/>
        </w:rPr>
        <w:tab/>
      </w:r>
      <w:r>
        <w:rPr>
          <w:sz w:val="24"/>
          <w:szCs w:val="24"/>
        </w:rPr>
        <w:fldChar w:fldCharType="begin"/>
      </w:r>
      <w:r>
        <w:rPr>
          <w:sz w:val="24"/>
          <w:szCs w:val="24"/>
        </w:rPr>
        <w:instrText xml:space="preserve"> PAGEREF _Toc461048097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"_Toc461048098"</w:instrText>
      </w:r>
      <w:r>
        <w:rPr>
          <w:rStyle w:val="20"/>
          <w:sz w:val="24"/>
          <w:szCs w:val="24"/>
        </w:rPr>
        <w:instrText xml:space="preserve"> </w:instrText>
      </w:r>
      <w:r>
        <w:rPr>
          <w:sz w:val="24"/>
          <w:szCs w:val="24"/>
        </w:rPr>
        <w:fldChar w:fldCharType="separate"/>
      </w:r>
      <w:r>
        <w:rPr>
          <w:rStyle w:val="20"/>
          <w:sz w:val="24"/>
          <w:szCs w:val="24"/>
        </w:rPr>
        <w:t>1.7.4</w:t>
      </w:r>
      <w:r>
        <w:rPr>
          <w:rStyle w:val="20"/>
          <w:rFonts w:hint="eastAsia"/>
          <w:sz w:val="24"/>
          <w:szCs w:val="24"/>
        </w:rPr>
        <w:t>一般突发环境事件</w:t>
      </w:r>
      <w:r>
        <w:rPr>
          <w:sz w:val="24"/>
          <w:szCs w:val="24"/>
        </w:rPr>
        <w:tab/>
      </w:r>
      <w:r>
        <w:rPr>
          <w:sz w:val="24"/>
          <w:szCs w:val="24"/>
        </w:rPr>
        <w:fldChar w:fldCharType="begin"/>
      </w:r>
      <w:r>
        <w:rPr>
          <w:sz w:val="24"/>
          <w:szCs w:val="24"/>
        </w:rPr>
        <w:instrText xml:space="preserve"> PAGEREF _Toc461048098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"_Toc461048099"</w:instrText>
      </w:r>
      <w:r>
        <w:rPr>
          <w:rStyle w:val="20"/>
          <w:sz w:val="24"/>
          <w:szCs w:val="24"/>
        </w:rPr>
        <w:instrText xml:space="preserve"> </w:instrText>
      </w:r>
      <w:r>
        <w:rPr>
          <w:sz w:val="24"/>
          <w:szCs w:val="24"/>
        </w:rPr>
        <w:fldChar w:fldCharType="separate"/>
      </w:r>
      <w:r>
        <w:rPr>
          <w:rStyle w:val="20"/>
          <w:sz w:val="24"/>
          <w:szCs w:val="24"/>
        </w:rPr>
        <w:t>1.8</w:t>
      </w:r>
      <w:r>
        <w:rPr>
          <w:rStyle w:val="20"/>
          <w:rFonts w:hint="eastAsia"/>
          <w:sz w:val="24"/>
          <w:szCs w:val="24"/>
        </w:rPr>
        <w:t>周边环境状况及环境保护目标</w:t>
      </w:r>
      <w:r>
        <w:rPr>
          <w:sz w:val="24"/>
          <w:szCs w:val="24"/>
        </w:rPr>
        <w:tab/>
      </w:r>
      <w:r>
        <w:rPr>
          <w:sz w:val="24"/>
          <w:szCs w:val="24"/>
        </w:rPr>
        <w:fldChar w:fldCharType="begin"/>
      </w:r>
      <w:r>
        <w:rPr>
          <w:sz w:val="24"/>
          <w:szCs w:val="24"/>
        </w:rPr>
        <w:instrText xml:space="preserve"> PAGEREF _Toc461048099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14"/>
        <w:tabs>
          <w:tab w:val="right" w:leader="dot" w:pos="8834"/>
          <w:tab w:val="clear" w:pos="9344"/>
        </w:tabs>
        <w:spacing w:before="0" w:line="360" w:lineRule="auto"/>
        <w:rPr>
          <w:rFonts w:ascii="Calibri" w:hAnsi="Calibri"/>
          <w:b w:val="0"/>
          <w:bCs w:val="0"/>
          <w:caps w:val="0"/>
        </w:rPr>
      </w:pPr>
      <w:r>
        <w:fldChar w:fldCharType="begin"/>
      </w:r>
      <w:r>
        <w:rPr>
          <w:rStyle w:val="20"/>
        </w:rPr>
        <w:instrText xml:space="preserve"> </w:instrText>
      </w:r>
      <w:r>
        <w:instrText xml:space="preserve">HYPERLINK \l "_Toc461048100"</w:instrText>
      </w:r>
      <w:r>
        <w:rPr>
          <w:rStyle w:val="20"/>
        </w:rPr>
        <w:instrText xml:space="preserve"> </w:instrText>
      </w:r>
      <w:r>
        <w:fldChar w:fldCharType="separate"/>
      </w:r>
      <w:r>
        <w:rPr>
          <w:rStyle w:val="20"/>
        </w:rPr>
        <w:t>2</w:t>
      </w:r>
      <w:r>
        <w:rPr>
          <w:rStyle w:val="20"/>
          <w:rFonts w:hint="eastAsia"/>
        </w:rPr>
        <w:t>企业基本情况</w:t>
      </w:r>
      <w:r>
        <w:tab/>
      </w:r>
      <w:r>
        <w:fldChar w:fldCharType="begin"/>
      </w:r>
      <w:r>
        <w:instrText xml:space="preserve"> PAGEREF _Toc461048100 \h </w:instrText>
      </w:r>
      <w:r>
        <w:fldChar w:fldCharType="separate"/>
      </w:r>
      <w:r>
        <w:t>7</w:t>
      </w:r>
      <w:r>
        <w:fldChar w:fldCharType="end"/>
      </w:r>
      <w: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"_Toc461048101"</w:instrText>
      </w:r>
      <w:r>
        <w:rPr>
          <w:rStyle w:val="20"/>
          <w:sz w:val="24"/>
          <w:szCs w:val="24"/>
        </w:rPr>
        <w:instrText xml:space="preserve"> </w:instrText>
      </w:r>
      <w:r>
        <w:rPr>
          <w:sz w:val="24"/>
          <w:szCs w:val="24"/>
        </w:rPr>
        <w:fldChar w:fldCharType="separate"/>
      </w:r>
      <w:r>
        <w:rPr>
          <w:rStyle w:val="20"/>
          <w:sz w:val="24"/>
          <w:szCs w:val="24"/>
        </w:rPr>
        <w:t>2.1</w:t>
      </w:r>
      <w:r>
        <w:rPr>
          <w:rStyle w:val="20"/>
          <w:rFonts w:hint="eastAsia"/>
          <w:sz w:val="24"/>
          <w:szCs w:val="24"/>
        </w:rPr>
        <w:t>企业基本情况</w:t>
      </w:r>
      <w:r>
        <w:rPr>
          <w:sz w:val="24"/>
          <w:szCs w:val="24"/>
        </w:rPr>
        <w:tab/>
      </w:r>
      <w:r>
        <w:rPr>
          <w:sz w:val="24"/>
          <w:szCs w:val="24"/>
        </w:rPr>
        <w:fldChar w:fldCharType="begin"/>
      </w:r>
      <w:r>
        <w:rPr>
          <w:sz w:val="24"/>
          <w:szCs w:val="24"/>
        </w:rPr>
        <w:instrText xml:space="preserve"> PAGEREF _Toc461048101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"_Toc461048102"</w:instrText>
      </w:r>
      <w:r>
        <w:rPr>
          <w:rStyle w:val="20"/>
          <w:sz w:val="24"/>
          <w:szCs w:val="24"/>
        </w:rPr>
        <w:instrText xml:space="preserve"> </w:instrText>
      </w:r>
      <w:r>
        <w:rPr>
          <w:sz w:val="24"/>
          <w:szCs w:val="24"/>
        </w:rPr>
        <w:fldChar w:fldCharType="separate"/>
      </w:r>
      <w:r>
        <w:rPr>
          <w:rStyle w:val="20"/>
          <w:sz w:val="24"/>
          <w:szCs w:val="24"/>
        </w:rPr>
        <w:t>2.2</w:t>
      </w:r>
      <w:r>
        <w:rPr>
          <w:rStyle w:val="20"/>
          <w:rFonts w:hint="eastAsia"/>
          <w:sz w:val="24"/>
          <w:szCs w:val="24"/>
        </w:rPr>
        <w:t>自然环境概况</w:t>
      </w:r>
      <w:r>
        <w:rPr>
          <w:sz w:val="24"/>
          <w:szCs w:val="24"/>
        </w:rPr>
        <w:tab/>
      </w:r>
      <w:r>
        <w:rPr>
          <w:sz w:val="24"/>
          <w:szCs w:val="24"/>
        </w:rPr>
        <w:fldChar w:fldCharType="begin"/>
      </w:r>
      <w:r>
        <w:rPr>
          <w:sz w:val="24"/>
          <w:szCs w:val="24"/>
        </w:rPr>
        <w:instrText xml:space="preserve"> PAGEREF _Toc461048102 \h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"_Toc461048103"</w:instrText>
      </w:r>
      <w:r>
        <w:rPr>
          <w:rStyle w:val="20"/>
          <w:sz w:val="24"/>
          <w:szCs w:val="24"/>
        </w:rPr>
        <w:instrText xml:space="preserve"> </w:instrText>
      </w:r>
      <w:r>
        <w:rPr>
          <w:sz w:val="24"/>
          <w:szCs w:val="24"/>
        </w:rPr>
        <w:fldChar w:fldCharType="separate"/>
      </w:r>
      <w:r>
        <w:rPr>
          <w:rStyle w:val="20"/>
          <w:sz w:val="24"/>
          <w:szCs w:val="24"/>
        </w:rPr>
        <w:t>2.3</w:t>
      </w:r>
      <w:r>
        <w:rPr>
          <w:rStyle w:val="20"/>
          <w:rFonts w:hint="eastAsia"/>
          <w:sz w:val="24"/>
          <w:szCs w:val="24"/>
        </w:rPr>
        <w:t>危险化学品和危险废物基本情况</w:t>
      </w:r>
      <w:r>
        <w:rPr>
          <w:sz w:val="24"/>
          <w:szCs w:val="24"/>
        </w:rPr>
        <w:tab/>
      </w:r>
      <w:r>
        <w:rPr>
          <w:sz w:val="24"/>
          <w:szCs w:val="24"/>
        </w:rPr>
        <w:fldChar w:fldCharType="begin"/>
      </w:r>
      <w:r>
        <w:rPr>
          <w:sz w:val="24"/>
          <w:szCs w:val="24"/>
        </w:rPr>
        <w:instrText xml:space="preserve"> PAGEREF _Toc461048103 \h </w:instrText>
      </w:r>
      <w:r>
        <w:rPr>
          <w:sz w:val="24"/>
          <w:szCs w:val="24"/>
        </w:rPr>
        <w:fldChar w:fldCharType="separate"/>
      </w:r>
      <w:r>
        <w:rPr>
          <w:sz w:val="24"/>
          <w:szCs w:val="24"/>
        </w:rPr>
        <w:t>14</w:t>
      </w:r>
      <w:r>
        <w:rPr>
          <w:sz w:val="24"/>
          <w:szCs w:val="24"/>
        </w:rPr>
        <w:fldChar w:fldCharType="end"/>
      </w:r>
      <w:r>
        <w:rPr>
          <w:sz w:val="24"/>
          <w:szCs w:val="24"/>
        </w:rPr>
        <w:fldChar w:fldCharType="end"/>
      </w:r>
    </w:p>
    <w:p>
      <w:pPr>
        <w:pStyle w:val="14"/>
        <w:tabs>
          <w:tab w:val="right" w:leader="dot" w:pos="8834"/>
          <w:tab w:val="clear" w:pos="9344"/>
        </w:tabs>
        <w:spacing w:before="0" w:line="360" w:lineRule="auto"/>
        <w:rPr>
          <w:rFonts w:ascii="Calibri" w:hAnsi="Calibri"/>
          <w:b w:val="0"/>
          <w:bCs w:val="0"/>
          <w:caps w:val="0"/>
        </w:rPr>
      </w:pPr>
      <w:r>
        <w:fldChar w:fldCharType="begin"/>
      </w:r>
      <w:r>
        <w:rPr>
          <w:rStyle w:val="20"/>
        </w:rPr>
        <w:instrText xml:space="preserve"> </w:instrText>
      </w:r>
      <w:r>
        <w:instrText xml:space="preserve">HYPERLINK \l "_Toc461048104"</w:instrText>
      </w:r>
      <w:r>
        <w:rPr>
          <w:rStyle w:val="20"/>
        </w:rPr>
        <w:instrText xml:space="preserve"> </w:instrText>
      </w:r>
      <w:r>
        <w:fldChar w:fldCharType="separate"/>
      </w:r>
      <w:r>
        <w:rPr>
          <w:rStyle w:val="20"/>
        </w:rPr>
        <w:t>3</w:t>
      </w:r>
      <w:r>
        <w:rPr>
          <w:rStyle w:val="20"/>
          <w:rFonts w:hint="eastAsia"/>
        </w:rPr>
        <w:t>环境风险源识别及环境风险评估</w:t>
      </w:r>
      <w:r>
        <w:tab/>
      </w:r>
      <w:r>
        <w:fldChar w:fldCharType="begin"/>
      </w:r>
      <w:r>
        <w:instrText xml:space="preserve"> PAGEREF _Toc461048104 \h </w:instrText>
      </w:r>
      <w:r>
        <w:fldChar w:fldCharType="separate"/>
      </w:r>
      <w:r>
        <w:t>15</w:t>
      </w:r>
      <w:r>
        <w:fldChar w:fldCharType="end"/>
      </w:r>
      <w: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"_Toc461048105"</w:instrText>
      </w:r>
      <w:r>
        <w:rPr>
          <w:rStyle w:val="20"/>
          <w:sz w:val="24"/>
          <w:szCs w:val="24"/>
        </w:rPr>
        <w:instrText xml:space="preserve"> </w:instrText>
      </w:r>
      <w:r>
        <w:rPr>
          <w:sz w:val="24"/>
          <w:szCs w:val="24"/>
        </w:rPr>
        <w:fldChar w:fldCharType="separate"/>
      </w:r>
      <w:r>
        <w:rPr>
          <w:rStyle w:val="20"/>
          <w:rFonts w:ascii="Times New Roman" w:hAnsi="Times New Roman"/>
          <w:sz w:val="24"/>
          <w:szCs w:val="24"/>
        </w:rPr>
        <w:t>3.1</w:t>
      </w:r>
      <w:r>
        <w:rPr>
          <w:rStyle w:val="20"/>
          <w:rFonts w:hint="eastAsia" w:ascii="Times New Roman" w:hAnsi="宋体"/>
          <w:sz w:val="24"/>
          <w:szCs w:val="24"/>
        </w:rPr>
        <w:t>危险化学品环境风险源识别与评价</w:t>
      </w:r>
      <w:r>
        <w:rPr>
          <w:sz w:val="24"/>
          <w:szCs w:val="24"/>
        </w:rPr>
        <w:tab/>
      </w:r>
      <w:r>
        <w:rPr>
          <w:sz w:val="24"/>
          <w:szCs w:val="24"/>
        </w:rPr>
        <w:fldChar w:fldCharType="begin"/>
      </w:r>
      <w:r>
        <w:rPr>
          <w:sz w:val="24"/>
          <w:szCs w:val="24"/>
        </w:rPr>
        <w:instrText xml:space="preserve"> PAGEREF _Toc461048105 \h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"_Toc461048106"</w:instrText>
      </w:r>
      <w:r>
        <w:rPr>
          <w:rStyle w:val="20"/>
          <w:sz w:val="24"/>
          <w:szCs w:val="24"/>
        </w:rPr>
        <w:instrText xml:space="preserve"> </w:instrText>
      </w:r>
      <w:r>
        <w:rPr>
          <w:sz w:val="24"/>
          <w:szCs w:val="24"/>
        </w:rPr>
        <w:fldChar w:fldCharType="separate"/>
      </w:r>
      <w:r>
        <w:rPr>
          <w:rStyle w:val="20"/>
          <w:sz w:val="24"/>
          <w:szCs w:val="24"/>
        </w:rPr>
        <w:t>3.2</w:t>
      </w:r>
      <w:r>
        <w:rPr>
          <w:rStyle w:val="20"/>
          <w:rFonts w:hint="eastAsia"/>
          <w:sz w:val="24"/>
          <w:szCs w:val="24"/>
        </w:rPr>
        <w:t>风险防范措施</w:t>
      </w:r>
      <w:r>
        <w:rPr>
          <w:sz w:val="24"/>
          <w:szCs w:val="24"/>
        </w:rPr>
        <w:tab/>
      </w:r>
      <w:r>
        <w:rPr>
          <w:sz w:val="24"/>
          <w:szCs w:val="24"/>
        </w:rPr>
        <w:fldChar w:fldCharType="begin"/>
      </w:r>
      <w:r>
        <w:rPr>
          <w:sz w:val="24"/>
          <w:szCs w:val="24"/>
        </w:rPr>
        <w:instrText xml:space="preserve"> PAGEREF _Toc461048106 \h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14"/>
        <w:tabs>
          <w:tab w:val="right" w:leader="dot" w:pos="8834"/>
          <w:tab w:val="clear" w:pos="9344"/>
        </w:tabs>
        <w:spacing w:before="0" w:line="360" w:lineRule="auto"/>
        <w:rPr>
          <w:rFonts w:ascii="Calibri" w:hAnsi="Calibri"/>
          <w:b w:val="0"/>
          <w:bCs w:val="0"/>
          <w:caps w:val="0"/>
        </w:rPr>
      </w:pPr>
      <w:r>
        <w:fldChar w:fldCharType="begin"/>
      </w:r>
      <w:r>
        <w:rPr>
          <w:rStyle w:val="20"/>
        </w:rPr>
        <w:instrText xml:space="preserve"> </w:instrText>
      </w:r>
      <w:r>
        <w:instrText xml:space="preserve">HYPERLINK \l "_Toc461048107"</w:instrText>
      </w:r>
      <w:r>
        <w:rPr>
          <w:rStyle w:val="20"/>
        </w:rPr>
        <w:instrText xml:space="preserve"> </w:instrText>
      </w:r>
      <w:r>
        <w:fldChar w:fldCharType="separate"/>
      </w:r>
      <w:r>
        <w:rPr>
          <w:rStyle w:val="20"/>
        </w:rPr>
        <w:t>4.</w:t>
      </w:r>
      <w:r>
        <w:rPr>
          <w:rStyle w:val="20"/>
          <w:rFonts w:hint="eastAsia"/>
        </w:rPr>
        <w:t>环境事件应急救援组织体系</w:t>
      </w:r>
      <w:r>
        <w:tab/>
      </w:r>
      <w:r>
        <w:fldChar w:fldCharType="begin"/>
      </w:r>
      <w:r>
        <w:instrText xml:space="preserve"> PAGEREF _Toc461048107 \h </w:instrText>
      </w:r>
      <w:r>
        <w:fldChar w:fldCharType="separate"/>
      </w:r>
      <w:r>
        <w:t>21</w:t>
      </w:r>
      <w:r>
        <w:fldChar w:fldCharType="end"/>
      </w:r>
      <w: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"_Toc461048108"</w:instrText>
      </w:r>
      <w:r>
        <w:rPr>
          <w:rStyle w:val="20"/>
          <w:sz w:val="24"/>
          <w:szCs w:val="24"/>
        </w:rPr>
        <w:instrText xml:space="preserve"> </w:instrText>
      </w:r>
      <w:r>
        <w:rPr>
          <w:sz w:val="24"/>
          <w:szCs w:val="24"/>
        </w:rPr>
        <w:fldChar w:fldCharType="separate"/>
      </w:r>
      <w:r>
        <w:rPr>
          <w:rStyle w:val="20"/>
          <w:sz w:val="24"/>
          <w:szCs w:val="24"/>
        </w:rPr>
        <w:t xml:space="preserve">4.1 </w:t>
      </w:r>
      <w:r>
        <w:rPr>
          <w:rStyle w:val="20"/>
          <w:rFonts w:hint="eastAsia"/>
          <w:sz w:val="24"/>
          <w:szCs w:val="24"/>
        </w:rPr>
        <w:t>应急救援组织机构关系</w:t>
      </w:r>
      <w:r>
        <w:rPr>
          <w:sz w:val="24"/>
          <w:szCs w:val="24"/>
        </w:rPr>
        <w:tab/>
      </w:r>
      <w:r>
        <w:rPr>
          <w:sz w:val="24"/>
          <w:szCs w:val="24"/>
        </w:rPr>
        <w:fldChar w:fldCharType="begin"/>
      </w:r>
      <w:r>
        <w:rPr>
          <w:sz w:val="24"/>
          <w:szCs w:val="24"/>
        </w:rPr>
        <w:instrText xml:space="preserve"> PAGEREF _Toc461048108 \h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"_Toc461048109"</w:instrText>
      </w:r>
      <w:r>
        <w:rPr>
          <w:rStyle w:val="20"/>
          <w:sz w:val="24"/>
          <w:szCs w:val="24"/>
        </w:rPr>
        <w:instrText xml:space="preserve"> </w:instrText>
      </w:r>
      <w:r>
        <w:rPr>
          <w:sz w:val="24"/>
          <w:szCs w:val="24"/>
        </w:rPr>
        <w:fldChar w:fldCharType="separate"/>
      </w:r>
      <w:r>
        <w:rPr>
          <w:rStyle w:val="20"/>
          <w:sz w:val="24"/>
          <w:szCs w:val="24"/>
        </w:rPr>
        <w:t xml:space="preserve">4.2 </w:t>
      </w:r>
      <w:r>
        <w:rPr>
          <w:rStyle w:val="20"/>
          <w:rFonts w:hint="eastAsia"/>
          <w:sz w:val="24"/>
          <w:szCs w:val="24"/>
        </w:rPr>
        <w:t>指挥机构组成及职责</w:t>
      </w:r>
      <w:r>
        <w:rPr>
          <w:sz w:val="24"/>
          <w:szCs w:val="24"/>
        </w:rPr>
        <w:tab/>
      </w:r>
      <w:r>
        <w:rPr>
          <w:sz w:val="24"/>
          <w:szCs w:val="24"/>
        </w:rPr>
        <w:fldChar w:fldCharType="begin"/>
      </w:r>
      <w:r>
        <w:rPr>
          <w:sz w:val="24"/>
          <w:szCs w:val="24"/>
        </w:rPr>
        <w:instrText xml:space="preserve"> PAGEREF _Toc461048109 \h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"_Toc461048110"</w:instrText>
      </w:r>
      <w:r>
        <w:rPr>
          <w:rStyle w:val="20"/>
          <w:sz w:val="24"/>
          <w:szCs w:val="24"/>
        </w:rPr>
        <w:instrText xml:space="preserve"> </w:instrText>
      </w:r>
      <w:r>
        <w:rPr>
          <w:sz w:val="24"/>
          <w:szCs w:val="24"/>
        </w:rPr>
        <w:fldChar w:fldCharType="separate"/>
      </w:r>
      <w:r>
        <w:rPr>
          <w:rStyle w:val="20"/>
          <w:sz w:val="24"/>
          <w:szCs w:val="24"/>
        </w:rPr>
        <w:t xml:space="preserve">4.3 </w:t>
      </w:r>
      <w:r>
        <w:rPr>
          <w:rStyle w:val="20"/>
          <w:rFonts w:hint="eastAsia"/>
          <w:sz w:val="24"/>
          <w:szCs w:val="24"/>
        </w:rPr>
        <w:t>应急救援专业组</w:t>
      </w:r>
      <w:r>
        <w:rPr>
          <w:sz w:val="24"/>
          <w:szCs w:val="24"/>
        </w:rPr>
        <w:tab/>
      </w:r>
      <w:r>
        <w:rPr>
          <w:sz w:val="24"/>
          <w:szCs w:val="24"/>
        </w:rPr>
        <w:fldChar w:fldCharType="begin"/>
      </w:r>
      <w:r>
        <w:rPr>
          <w:sz w:val="24"/>
          <w:szCs w:val="24"/>
        </w:rPr>
        <w:instrText xml:space="preserve"> PAGEREF _Toc461048110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14"/>
        <w:tabs>
          <w:tab w:val="right" w:leader="dot" w:pos="8834"/>
          <w:tab w:val="clear" w:pos="9344"/>
        </w:tabs>
        <w:spacing w:before="0" w:line="360" w:lineRule="auto"/>
        <w:rPr>
          <w:rFonts w:ascii="Calibri" w:hAnsi="Calibri"/>
          <w:b w:val="0"/>
          <w:bCs w:val="0"/>
          <w:caps w:val="0"/>
        </w:rPr>
      </w:pPr>
      <w:r>
        <w:fldChar w:fldCharType="begin"/>
      </w:r>
      <w:r>
        <w:rPr>
          <w:rStyle w:val="20"/>
        </w:rPr>
        <w:instrText xml:space="preserve"> </w:instrText>
      </w:r>
      <w:r>
        <w:instrText xml:space="preserve">HYPERLINK \l "_Toc461048111"</w:instrText>
      </w:r>
      <w:r>
        <w:rPr>
          <w:rStyle w:val="20"/>
        </w:rPr>
        <w:instrText xml:space="preserve"> </w:instrText>
      </w:r>
      <w:r>
        <w:fldChar w:fldCharType="separate"/>
      </w:r>
      <w:r>
        <w:rPr>
          <w:rStyle w:val="20"/>
        </w:rPr>
        <w:t>5</w:t>
      </w:r>
      <w:r>
        <w:rPr>
          <w:rStyle w:val="20"/>
          <w:rFonts w:hint="eastAsia"/>
        </w:rPr>
        <w:t>预防与预警</w:t>
      </w:r>
      <w:r>
        <w:tab/>
      </w:r>
      <w:r>
        <w:fldChar w:fldCharType="begin"/>
      </w:r>
      <w:r>
        <w:instrText xml:space="preserve"> PAGEREF _Toc461048111 \h </w:instrText>
      </w:r>
      <w:r>
        <w:fldChar w:fldCharType="separate"/>
      </w:r>
      <w:r>
        <w:t>25</w:t>
      </w:r>
      <w:r>
        <w:fldChar w:fldCharType="end"/>
      </w:r>
      <w: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"_Toc461048112"</w:instrText>
      </w:r>
      <w:r>
        <w:rPr>
          <w:rStyle w:val="20"/>
          <w:sz w:val="24"/>
          <w:szCs w:val="24"/>
        </w:rPr>
        <w:instrText xml:space="preserve"> </w:instrText>
      </w:r>
      <w:r>
        <w:rPr>
          <w:sz w:val="24"/>
          <w:szCs w:val="24"/>
        </w:rPr>
        <w:fldChar w:fldCharType="separate"/>
      </w:r>
      <w:r>
        <w:rPr>
          <w:rStyle w:val="20"/>
          <w:sz w:val="24"/>
          <w:szCs w:val="24"/>
        </w:rPr>
        <w:t>5.1</w:t>
      </w:r>
      <w:r>
        <w:rPr>
          <w:rStyle w:val="20"/>
          <w:rFonts w:hint="eastAsia"/>
          <w:sz w:val="24"/>
          <w:szCs w:val="24"/>
        </w:rPr>
        <w:t>预防措施</w:t>
      </w:r>
      <w:r>
        <w:rPr>
          <w:sz w:val="24"/>
          <w:szCs w:val="24"/>
        </w:rPr>
        <w:tab/>
      </w:r>
      <w:r>
        <w:rPr>
          <w:sz w:val="24"/>
          <w:szCs w:val="24"/>
        </w:rPr>
        <w:fldChar w:fldCharType="begin"/>
      </w:r>
      <w:r>
        <w:rPr>
          <w:sz w:val="24"/>
          <w:szCs w:val="24"/>
        </w:rPr>
        <w:instrText xml:space="preserve"> PAGEREF _Toc461048112 \h </w:instrText>
      </w:r>
      <w:r>
        <w:rPr>
          <w:sz w:val="24"/>
          <w:szCs w:val="24"/>
        </w:rPr>
        <w:fldChar w:fldCharType="separate"/>
      </w:r>
      <w:r>
        <w:rPr>
          <w:sz w:val="24"/>
          <w:szCs w:val="24"/>
        </w:rPr>
        <w:t>25</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"_Toc461048113"</w:instrText>
      </w:r>
      <w:r>
        <w:rPr>
          <w:rStyle w:val="20"/>
          <w:sz w:val="24"/>
          <w:szCs w:val="24"/>
        </w:rPr>
        <w:instrText xml:space="preserve"> </w:instrText>
      </w:r>
      <w:r>
        <w:rPr>
          <w:sz w:val="24"/>
          <w:szCs w:val="24"/>
        </w:rPr>
        <w:fldChar w:fldCharType="separate"/>
      </w:r>
      <w:r>
        <w:rPr>
          <w:rStyle w:val="20"/>
          <w:sz w:val="24"/>
          <w:szCs w:val="24"/>
        </w:rPr>
        <w:t>5.2</w:t>
      </w:r>
      <w:r>
        <w:rPr>
          <w:rStyle w:val="20"/>
          <w:rFonts w:hint="eastAsia"/>
          <w:sz w:val="24"/>
          <w:szCs w:val="24"/>
        </w:rPr>
        <w:t>预警行为</w:t>
      </w:r>
      <w:r>
        <w:rPr>
          <w:sz w:val="24"/>
          <w:szCs w:val="24"/>
        </w:rPr>
        <w:tab/>
      </w:r>
      <w:r>
        <w:rPr>
          <w:sz w:val="24"/>
          <w:szCs w:val="24"/>
        </w:rPr>
        <w:fldChar w:fldCharType="begin"/>
      </w:r>
      <w:r>
        <w:rPr>
          <w:sz w:val="24"/>
          <w:szCs w:val="24"/>
        </w:rPr>
        <w:instrText xml:space="preserve"> PAGEREF _Toc461048113 \h </w:instrText>
      </w:r>
      <w:r>
        <w:rPr>
          <w:sz w:val="24"/>
          <w:szCs w:val="24"/>
        </w:rPr>
        <w:fldChar w:fldCharType="separate"/>
      </w:r>
      <w:r>
        <w:rPr>
          <w:sz w:val="24"/>
          <w:szCs w:val="24"/>
        </w:rPr>
        <w:t>25</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"_Toc461048114"</w:instrText>
      </w:r>
      <w:r>
        <w:rPr>
          <w:rStyle w:val="20"/>
          <w:sz w:val="24"/>
          <w:szCs w:val="24"/>
        </w:rPr>
        <w:instrText xml:space="preserve"> </w:instrText>
      </w:r>
      <w:r>
        <w:rPr>
          <w:sz w:val="24"/>
          <w:szCs w:val="24"/>
        </w:rPr>
        <w:fldChar w:fldCharType="separate"/>
      </w:r>
      <w:r>
        <w:rPr>
          <w:rStyle w:val="20"/>
          <w:sz w:val="24"/>
          <w:szCs w:val="24"/>
        </w:rPr>
        <w:t>5.3</w:t>
      </w:r>
      <w:r>
        <w:rPr>
          <w:rStyle w:val="20"/>
          <w:rFonts w:hint="eastAsia"/>
          <w:sz w:val="24"/>
          <w:szCs w:val="24"/>
        </w:rPr>
        <w:t>信息报告与通报</w:t>
      </w:r>
      <w:r>
        <w:rPr>
          <w:sz w:val="24"/>
          <w:szCs w:val="24"/>
        </w:rPr>
        <w:tab/>
      </w:r>
      <w:r>
        <w:rPr>
          <w:sz w:val="24"/>
          <w:szCs w:val="24"/>
        </w:rPr>
        <w:fldChar w:fldCharType="begin"/>
      </w:r>
      <w:r>
        <w:rPr>
          <w:sz w:val="24"/>
          <w:szCs w:val="24"/>
        </w:rPr>
        <w:instrText xml:space="preserve"> PAGEREF _Toc461048114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"_Toc461048115"</w:instrText>
      </w:r>
      <w:r>
        <w:rPr>
          <w:rStyle w:val="20"/>
          <w:sz w:val="24"/>
          <w:szCs w:val="24"/>
        </w:rPr>
        <w:instrText xml:space="preserve"> </w:instrText>
      </w:r>
      <w:r>
        <w:rPr>
          <w:sz w:val="24"/>
          <w:szCs w:val="24"/>
        </w:rPr>
        <w:fldChar w:fldCharType="separate"/>
      </w:r>
      <w:r>
        <w:rPr>
          <w:rStyle w:val="20"/>
          <w:sz w:val="24"/>
          <w:szCs w:val="24"/>
        </w:rPr>
        <w:t xml:space="preserve">5.4 </w:t>
      </w:r>
      <w:r>
        <w:rPr>
          <w:rStyle w:val="20"/>
          <w:rFonts w:hint="eastAsia"/>
          <w:sz w:val="24"/>
          <w:szCs w:val="24"/>
        </w:rPr>
        <w:t>应急准备措施</w:t>
      </w:r>
      <w:r>
        <w:rPr>
          <w:sz w:val="24"/>
          <w:szCs w:val="24"/>
        </w:rPr>
        <w:tab/>
      </w:r>
      <w:r>
        <w:rPr>
          <w:sz w:val="24"/>
          <w:szCs w:val="24"/>
        </w:rPr>
        <w:fldChar w:fldCharType="begin"/>
      </w:r>
      <w:r>
        <w:rPr>
          <w:sz w:val="24"/>
          <w:szCs w:val="24"/>
        </w:rPr>
        <w:instrText xml:space="preserve"> PAGEREF _Toc461048115 \h </w:instrText>
      </w:r>
      <w:r>
        <w:rPr>
          <w:sz w:val="24"/>
          <w:szCs w:val="24"/>
        </w:rPr>
        <w:fldChar w:fldCharType="separate"/>
      </w:r>
      <w:r>
        <w:rPr>
          <w:sz w:val="24"/>
          <w:szCs w:val="24"/>
        </w:rPr>
        <w:t>27</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"_Toc461048116"</w:instrText>
      </w:r>
      <w:r>
        <w:rPr>
          <w:rStyle w:val="20"/>
          <w:sz w:val="24"/>
          <w:szCs w:val="24"/>
        </w:rPr>
        <w:instrText xml:space="preserve"> </w:instrText>
      </w:r>
      <w:r>
        <w:rPr>
          <w:sz w:val="24"/>
          <w:szCs w:val="24"/>
        </w:rPr>
        <w:fldChar w:fldCharType="separate"/>
      </w:r>
      <w:r>
        <w:rPr>
          <w:rStyle w:val="20"/>
          <w:sz w:val="24"/>
          <w:szCs w:val="24"/>
        </w:rPr>
        <w:t xml:space="preserve">5.5 </w:t>
      </w:r>
      <w:r>
        <w:rPr>
          <w:rStyle w:val="20"/>
          <w:rFonts w:hint="eastAsia"/>
          <w:sz w:val="24"/>
          <w:szCs w:val="24"/>
        </w:rPr>
        <w:t>事件分类</w:t>
      </w:r>
      <w:r>
        <w:rPr>
          <w:sz w:val="24"/>
          <w:szCs w:val="24"/>
        </w:rPr>
        <w:tab/>
      </w:r>
      <w:r>
        <w:rPr>
          <w:sz w:val="24"/>
          <w:szCs w:val="24"/>
        </w:rPr>
        <w:fldChar w:fldCharType="begin"/>
      </w:r>
      <w:r>
        <w:rPr>
          <w:sz w:val="24"/>
          <w:szCs w:val="24"/>
        </w:rPr>
        <w:instrText xml:space="preserve"> PAGEREF _Toc461048116 \h </w:instrText>
      </w:r>
      <w:r>
        <w:rPr>
          <w:sz w:val="24"/>
          <w:szCs w:val="24"/>
        </w:rPr>
        <w:fldChar w:fldCharType="separate"/>
      </w:r>
      <w:r>
        <w:rPr>
          <w:sz w:val="24"/>
          <w:szCs w:val="24"/>
        </w:rPr>
        <w:t>27</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"_Toc461048117"</w:instrText>
      </w:r>
      <w:r>
        <w:rPr>
          <w:rStyle w:val="20"/>
          <w:sz w:val="24"/>
          <w:szCs w:val="24"/>
        </w:rPr>
        <w:instrText xml:space="preserve"> </w:instrText>
      </w:r>
      <w:r>
        <w:rPr>
          <w:sz w:val="24"/>
          <w:szCs w:val="24"/>
        </w:rPr>
        <w:fldChar w:fldCharType="separate"/>
      </w:r>
      <w:r>
        <w:rPr>
          <w:rStyle w:val="20"/>
          <w:sz w:val="24"/>
          <w:szCs w:val="24"/>
        </w:rPr>
        <w:t xml:space="preserve">5.6 </w:t>
      </w:r>
      <w:r>
        <w:rPr>
          <w:rStyle w:val="20"/>
          <w:rFonts w:hint="eastAsia"/>
          <w:sz w:val="24"/>
          <w:szCs w:val="24"/>
        </w:rPr>
        <w:t>前期处置</w:t>
      </w:r>
      <w:r>
        <w:rPr>
          <w:sz w:val="24"/>
          <w:szCs w:val="24"/>
        </w:rPr>
        <w:tab/>
      </w:r>
      <w:r>
        <w:rPr>
          <w:sz w:val="24"/>
          <w:szCs w:val="24"/>
        </w:rPr>
        <w:fldChar w:fldCharType="begin"/>
      </w:r>
      <w:r>
        <w:rPr>
          <w:sz w:val="24"/>
          <w:szCs w:val="24"/>
        </w:rPr>
        <w:instrText xml:space="preserve"> PAGEREF _Toc461048117 \h </w:instrText>
      </w:r>
      <w:r>
        <w:rPr>
          <w:sz w:val="24"/>
          <w:szCs w:val="24"/>
        </w:rPr>
        <w:fldChar w:fldCharType="separate"/>
      </w:r>
      <w:r>
        <w:rPr>
          <w:sz w:val="24"/>
          <w:szCs w:val="24"/>
        </w:rPr>
        <w:t>27</w:t>
      </w:r>
      <w:r>
        <w:rPr>
          <w:sz w:val="24"/>
          <w:szCs w:val="24"/>
        </w:rPr>
        <w:fldChar w:fldCharType="end"/>
      </w:r>
      <w:r>
        <w:rPr>
          <w:sz w:val="24"/>
          <w:szCs w:val="24"/>
        </w:rPr>
        <w:fldChar w:fldCharType="end"/>
      </w:r>
    </w:p>
    <w:p>
      <w:pPr>
        <w:pStyle w:val="14"/>
        <w:tabs>
          <w:tab w:val="right" w:leader="dot" w:pos="8834"/>
          <w:tab w:val="clear" w:pos="9344"/>
        </w:tabs>
        <w:spacing w:before="0" w:line="360" w:lineRule="auto"/>
        <w:rPr>
          <w:rFonts w:ascii="Calibri" w:hAnsi="Calibri"/>
          <w:b w:val="0"/>
          <w:bCs w:val="0"/>
          <w:caps w:val="0"/>
        </w:rPr>
      </w:pPr>
      <w:r>
        <w:fldChar w:fldCharType="begin"/>
      </w:r>
      <w:r>
        <w:rPr>
          <w:rStyle w:val="20"/>
        </w:rPr>
        <w:instrText xml:space="preserve"> </w:instrText>
      </w:r>
      <w:r>
        <w:instrText xml:space="preserve">HYPERLINK \l "_Toc461048118"</w:instrText>
      </w:r>
      <w:r>
        <w:rPr>
          <w:rStyle w:val="20"/>
        </w:rPr>
        <w:instrText xml:space="preserve"> </w:instrText>
      </w:r>
      <w:r>
        <w:fldChar w:fldCharType="separate"/>
      </w:r>
      <w:r>
        <w:rPr>
          <w:rStyle w:val="20"/>
        </w:rPr>
        <w:t>6</w:t>
      </w:r>
      <w:r>
        <w:rPr>
          <w:rStyle w:val="20"/>
          <w:rFonts w:hint="eastAsia"/>
        </w:rPr>
        <w:t>应急响应</w:t>
      </w:r>
      <w:r>
        <w:tab/>
      </w:r>
      <w:r>
        <w:fldChar w:fldCharType="begin"/>
      </w:r>
      <w:r>
        <w:instrText xml:space="preserve"> PAGEREF _Toc461048118 \h </w:instrText>
      </w:r>
      <w:r>
        <w:fldChar w:fldCharType="separate"/>
      </w:r>
      <w:r>
        <w:t>29</w:t>
      </w:r>
      <w:r>
        <w:fldChar w:fldCharType="end"/>
      </w:r>
      <w: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"_Toc461048119"</w:instrText>
      </w:r>
      <w:r>
        <w:rPr>
          <w:rStyle w:val="20"/>
          <w:sz w:val="24"/>
          <w:szCs w:val="24"/>
        </w:rPr>
        <w:instrText xml:space="preserve"> </w:instrText>
      </w:r>
      <w:r>
        <w:rPr>
          <w:sz w:val="24"/>
          <w:szCs w:val="24"/>
        </w:rPr>
        <w:fldChar w:fldCharType="separate"/>
      </w:r>
      <w:r>
        <w:rPr>
          <w:rStyle w:val="20"/>
          <w:sz w:val="24"/>
          <w:szCs w:val="24"/>
        </w:rPr>
        <w:t>6.1</w:t>
      </w:r>
      <w:r>
        <w:rPr>
          <w:rStyle w:val="20"/>
          <w:rFonts w:hint="eastAsia"/>
          <w:sz w:val="24"/>
          <w:szCs w:val="24"/>
        </w:rPr>
        <w:t>应急响应和应急指挥原则</w:t>
      </w:r>
      <w:r>
        <w:rPr>
          <w:sz w:val="24"/>
          <w:szCs w:val="24"/>
        </w:rPr>
        <w:tab/>
      </w:r>
      <w:r>
        <w:rPr>
          <w:sz w:val="24"/>
          <w:szCs w:val="24"/>
        </w:rPr>
        <w:fldChar w:fldCharType="begin"/>
      </w:r>
      <w:r>
        <w:rPr>
          <w:sz w:val="24"/>
          <w:szCs w:val="24"/>
        </w:rPr>
        <w:instrText xml:space="preserve"> PAGEREF _Toc461048119 \h </w:instrText>
      </w:r>
      <w:r>
        <w:rPr>
          <w:sz w:val="24"/>
          <w:szCs w:val="24"/>
        </w:rPr>
        <w:fldChar w:fldCharType="separate"/>
      </w:r>
      <w:r>
        <w:rPr>
          <w:sz w:val="24"/>
          <w:szCs w:val="24"/>
        </w:rPr>
        <w:t>29</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"_Toc461048120"</w:instrText>
      </w:r>
      <w:r>
        <w:rPr>
          <w:rStyle w:val="20"/>
          <w:sz w:val="24"/>
          <w:szCs w:val="24"/>
        </w:rPr>
        <w:instrText xml:space="preserve"> </w:instrText>
      </w:r>
      <w:r>
        <w:rPr>
          <w:sz w:val="24"/>
          <w:szCs w:val="24"/>
        </w:rPr>
        <w:fldChar w:fldCharType="separate"/>
      </w:r>
      <w:r>
        <w:rPr>
          <w:rStyle w:val="20"/>
          <w:sz w:val="24"/>
          <w:szCs w:val="24"/>
        </w:rPr>
        <w:t>6.2</w:t>
      </w:r>
      <w:r>
        <w:rPr>
          <w:rStyle w:val="20"/>
          <w:rFonts w:hint="eastAsia"/>
          <w:sz w:val="24"/>
          <w:szCs w:val="24"/>
        </w:rPr>
        <w:t>分级响应机制</w:t>
      </w:r>
      <w:r>
        <w:rPr>
          <w:sz w:val="24"/>
          <w:szCs w:val="24"/>
        </w:rPr>
        <w:tab/>
      </w:r>
      <w:r>
        <w:rPr>
          <w:sz w:val="24"/>
          <w:szCs w:val="24"/>
        </w:rPr>
        <w:fldChar w:fldCharType="begin"/>
      </w:r>
      <w:r>
        <w:rPr>
          <w:sz w:val="24"/>
          <w:szCs w:val="24"/>
        </w:rPr>
        <w:instrText xml:space="preserve"> PAGEREF _Toc461048120 \h </w:instrText>
      </w:r>
      <w:r>
        <w:rPr>
          <w:sz w:val="24"/>
          <w:szCs w:val="24"/>
        </w:rPr>
        <w:fldChar w:fldCharType="separate"/>
      </w:r>
      <w:r>
        <w:rPr>
          <w:sz w:val="24"/>
          <w:szCs w:val="24"/>
        </w:rPr>
        <w:t>29</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"_Toc461048121"</w:instrText>
      </w:r>
      <w:r>
        <w:rPr>
          <w:rStyle w:val="20"/>
          <w:sz w:val="24"/>
          <w:szCs w:val="24"/>
        </w:rPr>
        <w:instrText xml:space="preserve"> </w:instrText>
      </w:r>
      <w:r>
        <w:rPr>
          <w:sz w:val="24"/>
          <w:szCs w:val="24"/>
        </w:rPr>
        <w:fldChar w:fldCharType="separate"/>
      </w:r>
      <w:r>
        <w:rPr>
          <w:rStyle w:val="20"/>
          <w:sz w:val="24"/>
          <w:szCs w:val="24"/>
        </w:rPr>
        <w:t>6.3</w:t>
      </w:r>
      <w:r>
        <w:rPr>
          <w:rStyle w:val="20"/>
          <w:rFonts w:hint="eastAsia"/>
          <w:sz w:val="24"/>
          <w:szCs w:val="24"/>
        </w:rPr>
        <w:t>环境事件应急响应</w:t>
      </w:r>
      <w:r>
        <w:rPr>
          <w:sz w:val="24"/>
          <w:szCs w:val="24"/>
        </w:rPr>
        <w:tab/>
      </w:r>
      <w:r>
        <w:rPr>
          <w:sz w:val="24"/>
          <w:szCs w:val="24"/>
        </w:rPr>
        <w:fldChar w:fldCharType="begin"/>
      </w:r>
      <w:r>
        <w:rPr>
          <w:sz w:val="24"/>
          <w:szCs w:val="24"/>
        </w:rPr>
        <w:instrText xml:space="preserve"> PAGEREF _Toc461048121 \h </w:instrText>
      </w:r>
      <w:r>
        <w:rPr>
          <w:sz w:val="24"/>
          <w:szCs w:val="24"/>
        </w:rPr>
        <w:fldChar w:fldCharType="separate"/>
      </w:r>
      <w:r>
        <w:rPr>
          <w:sz w:val="24"/>
          <w:szCs w:val="24"/>
        </w:rPr>
        <w:t>30</w:t>
      </w:r>
      <w:r>
        <w:rPr>
          <w:sz w:val="24"/>
          <w:szCs w:val="24"/>
        </w:rPr>
        <w:fldChar w:fldCharType="end"/>
      </w:r>
      <w:r>
        <w:rPr>
          <w:sz w:val="24"/>
          <w:szCs w:val="24"/>
        </w:rPr>
        <w:fldChar w:fldCharType="end"/>
      </w:r>
    </w:p>
    <w:p>
      <w:pPr>
        <w:pStyle w:val="14"/>
        <w:tabs>
          <w:tab w:val="right" w:leader="dot" w:pos="8834"/>
          <w:tab w:val="clear" w:pos="9344"/>
        </w:tabs>
        <w:spacing w:before="0" w:line="360" w:lineRule="auto"/>
        <w:rPr>
          <w:rFonts w:ascii="Calibri" w:hAnsi="Calibri"/>
          <w:b w:val="0"/>
          <w:bCs w:val="0"/>
          <w:caps w:val="0"/>
        </w:rPr>
      </w:pPr>
      <w:r>
        <w:fldChar w:fldCharType="begin"/>
      </w:r>
      <w:r>
        <w:rPr>
          <w:rStyle w:val="20"/>
        </w:rPr>
        <w:instrText xml:space="preserve"> </w:instrText>
      </w:r>
      <w:r>
        <w:instrText xml:space="preserve">HYPERLINK \l "_Toc461048122"</w:instrText>
      </w:r>
      <w:r>
        <w:rPr>
          <w:rStyle w:val="20"/>
        </w:rPr>
        <w:instrText xml:space="preserve"> </w:instrText>
      </w:r>
      <w:r>
        <w:fldChar w:fldCharType="separate"/>
      </w:r>
      <w:r>
        <w:rPr>
          <w:rStyle w:val="20"/>
        </w:rPr>
        <w:t>7</w:t>
      </w:r>
      <w:r>
        <w:rPr>
          <w:rStyle w:val="20"/>
          <w:rFonts w:hint="eastAsia"/>
        </w:rPr>
        <w:t>应急措施</w:t>
      </w:r>
      <w:r>
        <w:tab/>
      </w:r>
      <w:r>
        <w:fldChar w:fldCharType="begin"/>
      </w:r>
      <w:r>
        <w:instrText xml:space="preserve"> PAGEREF _Toc461048122 \h </w:instrText>
      </w:r>
      <w:r>
        <w:fldChar w:fldCharType="separate"/>
      </w:r>
      <w:r>
        <w:t>32</w:t>
      </w:r>
      <w:r>
        <w:fldChar w:fldCharType="end"/>
      </w:r>
      <w: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"_Toc461048123"</w:instrText>
      </w:r>
      <w:r>
        <w:rPr>
          <w:rStyle w:val="20"/>
          <w:sz w:val="24"/>
          <w:szCs w:val="24"/>
        </w:rPr>
        <w:instrText xml:space="preserve"> </w:instrText>
      </w:r>
      <w:r>
        <w:rPr>
          <w:sz w:val="24"/>
          <w:szCs w:val="24"/>
        </w:rPr>
        <w:fldChar w:fldCharType="separate"/>
      </w:r>
      <w:r>
        <w:rPr>
          <w:rStyle w:val="20"/>
          <w:sz w:val="24"/>
          <w:szCs w:val="24"/>
        </w:rPr>
        <w:t>7.1</w:t>
      </w:r>
      <w:r>
        <w:rPr>
          <w:rStyle w:val="20"/>
          <w:rFonts w:hint="eastAsia"/>
          <w:sz w:val="24"/>
          <w:szCs w:val="24"/>
        </w:rPr>
        <w:t>事故应急措施</w:t>
      </w:r>
      <w:r>
        <w:rPr>
          <w:sz w:val="24"/>
          <w:szCs w:val="24"/>
        </w:rPr>
        <w:tab/>
      </w:r>
      <w:r>
        <w:rPr>
          <w:sz w:val="24"/>
          <w:szCs w:val="24"/>
        </w:rPr>
        <w:fldChar w:fldCharType="begin"/>
      </w:r>
      <w:r>
        <w:rPr>
          <w:sz w:val="24"/>
          <w:szCs w:val="24"/>
        </w:rPr>
        <w:instrText xml:space="preserve"> PAGEREF _Toc461048123 \h </w:instrText>
      </w:r>
      <w:r>
        <w:rPr>
          <w:sz w:val="24"/>
          <w:szCs w:val="24"/>
        </w:rPr>
        <w:fldChar w:fldCharType="separate"/>
      </w:r>
      <w:r>
        <w:rPr>
          <w:sz w:val="24"/>
          <w:szCs w:val="24"/>
        </w:rPr>
        <w:t>32</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"_Toc461048124"</w:instrText>
      </w:r>
      <w:r>
        <w:rPr>
          <w:rStyle w:val="20"/>
          <w:sz w:val="24"/>
          <w:szCs w:val="24"/>
        </w:rPr>
        <w:instrText xml:space="preserve"> </w:instrText>
      </w:r>
      <w:r>
        <w:rPr>
          <w:sz w:val="24"/>
          <w:szCs w:val="24"/>
        </w:rPr>
        <w:fldChar w:fldCharType="separate"/>
      </w:r>
      <w:r>
        <w:rPr>
          <w:rStyle w:val="20"/>
          <w:sz w:val="24"/>
          <w:szCs w:val="24"/>
        </w:rPr>
        <w:t>7.2</w:t>
      </w:r>
      <w:r>
        <w:rPr>
          <w:rStyle w:val="20"/>
          <w:rFonts w:hint="eastAsia"/>
          <w:sz w:val="24"/>
          <w:szCs w:val="24"/>
        </w:rPr>
        <w:t>人员疏散方案</w:t>
      </w:r>
      <w:r>
        <w:rPr>
          <w:sz w:val="24"/>
          <w:szCs w:val="24"/>
        </w:rPr>
        <w:tab/>
      </w:r>
      <w:r>
        <w:rPr>
          <w:sz w:val="24"/>
          <w:szCs w:val="24"/>
        </w:rPr>
        <w:fldChar w:fldCharType="begin"/>
      </w:r>
      <w:r>
        <w:rPr>
          <w:sz w:val="24"/>
          <w:szCs w:val="24"/>
        </w:rPr>
        <w:instrText xml:space="preserve"> PAGEREF _Toc461048124 \h </w:instrText>
      </w:r>
      <w:r>
        <w:rPr>
          <w:sz w:val="24"/>
          <w:szCs w:val="24"/>
        </w:rPr>
        <w:fldChar w:fldCharType="separate"/>
      </w:r>
      <w:r>
        <w:rPr>
          <w:sz w:val="24"/>
          <w:szCs w:val="24"/>
        </w:rPr>
        <w:t>33</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"_Toc461048125"</w:instrText>
      </w:r>
      <w:r>
        <w:rPr>
          <w:rStyle w:val="20"/>
          <w:sz w:val="24"/>
          <w:szCs w:val="24"/>
        </w:rPr>
        <w:instrText xml:space="preserve"> </w:instrText>
      </w:r>
      <w:r>
        <w:rPr>
          <w:sz w:val="24"/>
          <w:szCs w:val="24"/>
        </w:rPr>
        <w:fldChar w:fldCharType="separate"/>
      </w:r>
      <w:r>
        <w:rPr>
          <w:rStyle w:val="20"/>
          <w:sz w:val="24"/>
          <w:szCs w:val="24"/>
        </w:rPr>
        <w:t>7.3</w:t>
      </w:r>
      <w:r>
        <w:rPr>
          <w:rStyle w:val="20"/>
          <w:rFonts w:hint="eastAsia"/>
          <w:sz w:val="24"/>
          <w:szCs w:val="24"/>
        </w:rPr>
        <w:t>事故现场隔离区的划定、方法</w:t>
      </w:r>
      <w:r>
        <w:rPr>
          <w:sz w:val="24"/>
          <w:szCs w:val="24"/>
        </w:rPr>
        <w:tab/>
      </w:r>
      <w:r>
        <w:rPr>
          <w:sz w:val="24"/>
          <w:szCs w:val="24"/>
        </w:rPr>
        <w:fldChar w:fldCharType="begin"/>
      </w:r>
      <w:r>
        <w:rPr>
          <w:sz w:val="24"/>
          <w:szCs w:val="24"/>
        </w:rPr>
        <w:instrText xml:space="preserve"> PAGEREF _Toc461048125 \h </w:instrText>
      </w:r>
      <w:r>
        <w:rPr>
          <w:sz w:val="24"/>
          <w:szCs w:val="24"/>
        </w:rPr>
        <w:fldChar w:fldCharType="separate"/>
      </w:r>
      <w:r>
        <w:rPr>
          <w:sz w:val="24"/>
          <w:szCs w:val="24"/>
        </w:rPr>
        <w:t>34</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"_Toc461048126"</w:instrText>
      </w:r>
      <w:r>
        <w:rPr>
          <w:rStyle w:val="20"/>
          <w:sz w:val="24"/>
          <w:szCs w:val="24"/>
        </w:rPr>
        <w:instrText xml:space="preserve"> </w:instrText>
      </w:r>
      <w:r>
        <w:rPr>
          <w:sz w:val="24"/>
          <w:szCs w:val="24"/>
        </w:rPr>
        <w:fldChar w:fldCharType="separate"/>
      </w:r>
      <w:r>
        <w:rPr>
          <w:rStyle w:val="20"/>
          <w:sz w:val="24"/>
          <w:szCs w:val="24"/>
        </w:rPr>
        <w:t>7.4</w:t>
      </w:r>
      <w:r>
        <w:rPr>
          <w:rStyle w:val="20"/>
          <w:rFonts w:hint="eastAsia"/>
          <w:sz w:val="24"/>
          <w:szCs w:val="24"/>
        </w:rPr>
        <w:t>抢险、救援</w:t>
      </w:r>
      <w:r>
        <w:rPr>
          <w:sz w:val="24"/>
          <w:szCs w:val="24"/>
        </w:rPr>
        <w:tab/>
      </w:r>
      <w:r>
        <w:rPr>
          <w:sz w:val="24"/>
          <w:szCs w:val="24"/>
        </w:rPr>
        <w:fldChar w:fldCharType="begin"/>
      </w:r>
      <w:r>
        <w:rPr>
          <w:sz w:val="24"/>
          <w:szCs w:val="24"/>
        </w:rPr>
        <w:instrText xml:space="preserve"> PAGEREF _Toc461048126 \h </w:instrText>
      </w:r>
      <w:r>
        <w:rPr>
          <w:sz w:val="24"/>
          <w:szCs w:val="24"/>
        </w:rPr>
        <w:fldChar w:fldCharType="separate"/>
      </w:r>
      <w:r>
        <w:rPr>
          <w:sz w:val="24"/>
          <w:szCs w:val="24"/>
        </w:rPr>
        <w:t>34</w:t>
      </w:r>
      <w:r>
        <w:rPr>
          <w:sz w:val="24"/>
          <w:szCs w:val="24"/>
        </w:rPr>
        <w:fldChar w:fldCharType="end"/>
      </w:r>
      <w:r>
        <w:rPr>
          <w:sz w:val="24"/>
          <w:szCs w:val="24"/>
        </w:rPr>
        <w:fldChar w:fldCharType="end"/>
      </w:r>
    </w:p>
    <w:p>
      <w:pPr>
        <w:pStyle w:val="14"/>
        <w:tabs>
          <w:tab w:val="right" w:leader="dot" w:pos="8834"/>
          <w:tab w:val="clear" w:pos="9344"/>
        </w:tabs>
        <w:spacing w:before="0" w:line="360" w:lineRule="auto"/>
        <w:rPr>
          <w:rFonts w:ascii="Calibri" w:hAnsi="Calibri"/>
          <w:b w:val="0"/>
          <w:bCs w:val="0"/>
          <w:caps w:val="0"/>
        </w:rPr>
      </w:pPr>
      <w:r>
        <w:fldChar w:fldCharType="begin"/>
      </w:r>
      <w:r>
        <w:rPr>
          <w:rStyle w:val="20"/>
        </w:rPr>
        <w:instrText xml:space="preserve"> </w:instrText>
      </w:r>
      <w:r>
        <w:instrText xml:space="preserve">HYPERLINK \l "_Toc461048127"</w:instrText>
      </w:r>
      <w:r>
        <w:rPr>
          <w:rStyle w:val="20"/>
        </w:rPr>
        <w:instrText xml:space="preserve"> </w:instrText>
      </w:r>
      <w:r>
        <w:fldChar w:fldCharType="separate"/>
      </w:r>
      <w:r>
        <w:rPr>
          <w:rStyle w:val="20"/>
        </w:rPr>
        <w:t>8</w:t>
      </w:r>
      <w:r>
        <w:rPr>
          <w:rStyle w:val="20"/>
          <w:rFonts w:hint="eastAsia"/>
        </w:rPr>
        <w:t>应急监测</w:t>
      </w:r>
      <w:r>
        <w:tab/>
      </w:r>
      <w:r>
        <w:fldChar w:fldCharType="begin"/>
      </w:r>
      <w:r>
        <w:instrText xml:space="preserve"> PAGEREF _Toc461048127 \h </w:instrText>
      </w:r>
      <w:r>
        <w:fldChar w:fldCharType="separate"/>
      </w:r>
      <w:r>
        <w:t>37</w:t>
      </w:r>
      <w:r>
        <w:fldChar w:fldCharType="end"/>
      </w:r>
      <w:r>
        <w:fldChar w:fldCharType="end"/>
      </w:r>
    </w:p>
    <w:p>
      <w:pPr>
        <w:pStyle w:val="14"/>
        <w:tabs>
          <w:tab w:val="right" w:leader="dot" w:pos="8834"/>
          <w:tab w:val="clear" w:pos="9344"/>
        </w:tabs>
        <w:spacing w:before="0" w:line="360" w:lineRule="auto"/>
        <w:rPr>
          <w:rFonts w:ascii="Calibri" w:hAnsi="Calibri"/>
          <w:b w:val="0"/>
          <w:bCs w:val="0"/>
          <w:caps w:val="0"/>
        </w:rPr>
      </w:pPr>
      <w:r>
        <w:fldChar w:fldCharType="begin"/>
      </w:r>
      <w:r>
        <w:rPr>
          <w:rStyle w:val="20"/>
        </w:rPr>
        <w:instrText xml:space="preserve"> </w:instrText>
      </w:r>
      <w:r>
        <w:instrText xml:space="preserve">HYPERLINK \l "_Toc461048128"</w:instrText>
      </w:r>
      <w:r>
        <w:rPr>
          <w:rStyle w:val="20"/>
        </w:rPr>
        <w:instrText xml:space="preserve"> </w:instrText>
      </w:r>
      <w:r>
        <w:fldChar w:fldCharType="separate"/>
      </w:r>
      <w:r>
        <w:rPr>
          <w:rStyle w:val="20"/>
        </w:rPr>
        <w:t>9</w:t>
      </w:r>
      <w:r>
        <w:rPr>
          <w:rStyle w:val="20"/>
          <w:rFonts w:hint="eastAsia"/>
        </w:rPr>
        <w:t>应急终止</w:t>
      </w:r>
      <w:r>
        <w:tab/>
      </w:r>
      <w:r>
        <w:fldChar w:fldCharType="begin"/>
      </w:r>
      <w:r>
        <w:instrText xml:space="preserve"> PAGEREF _Toc461048128 \h </w:instrText>
      </w:r>
      <w:r>
        <w:fldChar w:fldCharType="separate"/>
      </w:r>
      <w:r>
        <w:t>38</w:t>
      </w:r>
      <w:r>
        <w:fldChar w:fldCharType="end"/>
      </w:r>
      <w: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"_Toc461048129"</w:instrText>
      </w:r>
      <w:r>
        <w:rPr>
          <w:rStyle w:val="20"/>
          <w:sz w:val="24"/>
          <w:szCs w:val="24"/>
        </w:rPr>
        <w:instrText xml:space="preserve"> </w:instrText>
      </w:r>
      <w:r>
        <w:rPr>
          <w:sz w:val="24"/>
          <w:szCs w:val="24"/>
        </w:rPr>
        <w:fldChar w:fldCharType="separate"/>
      </w:r>
      <w:r>
        <w:rPr>
          <w:rStyle w:val="20"/>
          <w:sz w:val="24"/>
          <w:szCs w:val="24"/>
        </w:rPr>
        <w:t>9.1</w:t>
      </w:r>
      <w:r>
        <w:rPr>
          <w:rStyle w:val="20"/>
          <w:rFonts w:hint="eastAsia"/>
          <w:sz w:val="24"/>
          <w:szCs w:val="24"/>
        </w:rPr>
        <w:t>应急终止条件</w:t>
      </w:r>
      <w:r>
        <w:rPr>
          <w:sz w:val="24"/>
          <w:szCs w:val="24"/>
        </w:rPr>
        <w:tab/>
      </w:r>
      <w:r>
        <w:rPr>
          <w:sz w:val="24"/>
          <w:szCs w:val="24"/>
        </w:rPr>
        <w:fldChar w:fldCharType="begin"/>
      </w:r>
      <w:r>
        <w:rPr>
          <w:sz w:val="24"/>
          <w:szCs w:val="24"/>
        </w:rPr>
        <w:instrText xml:space="preserve"> PAGEREF _Toc461048129 \h </w:instrText>
      </w:r>
      <w:r>
        <w:rPr>
          <w:sz w:val="24"/>
          <w:szCs w:val="24"/>
        </w:rPr>
        <w:fldChar w:fldCharType="separate"/>
      </w:r>
      <w:r>
        <w:rPr>
          <w:sz w:val="24"/>
          <w:szCs w:val="24"/>
        </w:rPr>
        <w:t>38</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"_Toc461048130"</w:instrText>
      </w:r>
      <w:r>
        <w:rPr>
          <w:rStyle w:val="20"/>
          <w:sz w:val="24"/>
          <w:szCs w:val="24"/>
        </w:rPr>
        <w:instrText xml:space="preserve"> </w:instrText>
      </w:r>
      <w:r>
        <w:rPr>
          <w:sz w:val="24"/>
          <w:szCs w:val="24"/>
        </w:rPr>
        <w:fldChar w:fldCharType="separate"/>
      </w:r>
      <w:r>
        <w:rPr>
          <w:rStyle w:val="20"/>
          <w:sz w:val="24"/>
          <w:szCs w:val="24"/>
        </w:rPr>
        <w:t>9.2</w:t>
      </w:r>
      <w:r>
        <w:rPr>
          <w:rStyle w:val="20"/>
          <w:rFonts w:hint="eastAsia"/>
          <w:sz w:val="24"/>
          <w:szCs w:val="24"/>
        </w:rPr>
        <w:t>应急终止的程序</w:t>
      </w:r>
      <w:r>
        <w:rPr>
          <w:sz w:val="24"/>
          <w:szCs w:val="24"/>
        </w:rPr>
        <w:tab/>
      </w:r>
      <w:r>
        <w:rPr>
          <w:sz w:val="24"/>
          <w:szCs w:val="24"/>
        </w:rPr>
        <w:fldChar w:fldCharType="begin"/>
      </w:r>
      <w:r>
        <w:rPr>
          <w:sz w:val="24"/>
          <w:szCs w:val="24"/>
        </w:rPr>
        <w:instrText xml:space="preserve"> PAGEREF _Toc461048130 \h </w:instrText>
      </w:r>
      <w:r>
        <w:rPr>
          <w:sz w:val="24"/>
          <w:szCs w:val="24"/>
        </w:rPr>
        <w:fldChar w:fldCharType="separate"/>
      </w:r>
      <w:r>
        <w:rPr>
          <w:sz w:val="24"/>
          <w:szCs w:val="24"/>
        </w:rPr>
        <w:t>38</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"_Toc461048131"</w:instrText>
      </w:r>
      <w:r>
        <w:rPr>
          <w:rStyle w:val="20"/>
          <w:sz w:val="24"/>
          <w:szCs w:val="24"/>
        </w:rPr>
        <w:instrText xml:space="preserve"> </w:instrText>
      </w:r>
      <w:r>
        <w:rPr>
          <w:sz w:val="24"/>
          <w:szCs w:val="24"/>
        </w:rPr>
        <w:fldChar w:fldCharType="separate"/>
      </w:r>
      <w:r>
        <w:rPr>
          <w:rStyle w:val="20"/>
          <w:sz w:val="24"/>
          <w:szCs w:val="24"/>
        </w:rPr>
        <w:t>9.3</w:t>
      </w:r>
      <w:r>
        <w:rPr>
          <w:rStyle w:val="20"/>
          <w:rFonts w:hint="eastAsia"/>
          <w:sz w:val="24"/>
          <w:szCs w:val="24"/>
        </w:rPr>
        <w:t>应急终止后的行动</w:t>
      </w:r>
      <w:r>
        <w:rPr>
          <w:sz w:val="24"/>
          <w:szCs w:val="24"/>
        </w:rPr>
        <w:tab/>
      </w:r>
      <w:r>
        <w:rPr>
          <w:sz w:val="24"/>
          <w:szCs w:val="24"/>
        </w:rPr>
        <w:fldChar w:fldCharType="begin"/>
      </w:r>
      <w:r>
        <w:rPr>
          <w:sz w:val="24"/>
          <w:szCs w:val="24"/>
        </w:rPr>
        <w:instrText xml:space="preserve"> PAGEREF _Toc461048131 \h </w:instrText>
      </w:r>
      <w:r>
        <w:rPr>
          <w:sz w:val="24"/>
          <w:szCs w:val="24"/>
        </w:rPr>
        <w:fldChar w:fldCharType="separate"/>
      </w:r>
      <w:r>
        <w:rPr>
          <w:sz w:val="24"/>
          <w:szCs w:val="24"/>
        </w:rPr>
        <w:t>38</w:t>
      </w:r>
      <w:r>
        <w:rPr>
          <w:sz w:val="24"/>
          <w:szCs w:val="24"/>
        </w:rPr>
        <w:fldChar w:fldCharType="end"/>
      </w:r>
      <w:r>
        <w:rPr>
          <w:sz w:val="24"/>
          <w:szCs w:val="24"/>
        </w:rPr>
        <w:fldChar w:fldCharType="end"/>
      </w:r>
    </w:p>
    <w:p>
      <w:pPr>
        <w:pStyle w:val="14"/>
        <w:tabs>
          <w:tab w:val="right" w:leader="dot" w:pos="8834"/>
          <w:tab w:val="clear" w:pos="9344"/>
        </w:tabs>
        <w:spacing w:before="0" w:line="360" w:lineRule="auto"/>
        <w:rPr>
          <w:rFonts w:ascii="Calibri" w:hAnsi="Calibri"/>
          <w:b w:val="0"/>
          <w:bCs w:val="0"/>
          <w:caps w:val="0"/>
        </w:rPr>
      </w:pPr>
      <w:r>
        <w:fldChar w:fldCharType="begin"/>
      </w:r>
      <w:r>
        <w:rPr>
          <w:rStyle w:val="20"/>
        </w:rPr>
        <w:instrText xml:space="preserve"> </w:instrText>
      </w:r>
      <w:r>
        <w:instrText xml:space="preserve">HYPERLINK \l "_Toc461048132"</w:instrText>
      </w:r>
      <w:r>
        <w:rPr>
          <w:rStyle w:val="20"/>
        </w:rPr>
        <w:instrText xml:space="preserve"> </w:instrText>
      </w:r>
      <w:r>
        <w:fldChar w:fldCharType="separate"/>
      </w:r>
      <w:r>
        <w:rPr>
          <w:rStyle w:val="20"/>
        </w:rPr>
        <w:t>10</w:t>
      </w:r>
      <w:r>
        <w:rPr>
          <w:rStyle w:val="20"/>
          <w:rFonts w:hint="eastAsia"/>
        </w:rPr>
        <w:t>后期处置</w:t>
      </w:r>
      <w:r>
        <w:tab/>
      </w:r>
      <w:r>
        <w:fldChar w:fldCharType="begin"/>
      </w:r>
      <w:r>
        <w:instrText xml:space="preserve"> PAGEREF _Toc461048132 \h </w:instrText>
      </w:r>
      <w:r>
        <w:fldChar w:fldCharType="separate"/>
      </w:r>
      <w:r>
        <w:t>39</w:t>
      </w:r>
      <w:r>
        <w:fldChar w:fldCharType="end"/>
      </w:r>
      <w: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"_Toc461048133"</w:instrText>
      </w:r>
      <w:r>
        <w:rPr>
          <w:rStyle w:val="20"/>
          <w:sz w:val="24"/>
          <w:szCs w:val="24"/>
        </w:rPr>
        <w:instrText xml:space="preserve"> </w:instrText>
      </w:r>
      <w:r>
        <w:rPr>
          <w:sz w:val="24"/>
          <w:szCs w:val="24"/>
        </w:rPr>
        <w:fldChar w:fldCharType="separate"/>
      </w:r>
      <w:r>
        <w:rPr>
          <w:rStyle w:val="20"/>
          <w:sz w:val="24"/>
          <w:szCs w:val="24"/>
        </w:rPr>
        <w:t>10.1</w:t>
      </w:r>
      <w:r>
        <w:rPr>
          <w:rStyle w:val="20"/>
          <w:rFonts w:hint="eastAsia"/>
          <w:sz w:val="24"/>
          <w:szCs w:val="24"/>
        </w:rPr>
        <w:t>善后处置</w:t>
      </w:r>
      <w:r>
        <w:rPr>
          <w:sz w:val="24"/>
          <w:szCs w:val="24"/>
        </w:rPr>
        <w:tab/>
      </w:r>
      <w:r>
        <w:rPr>
          <w:sz w:val="24"/>
          <w:szCs w:val="24"/>
        </w:rPr>
        <w:fldChar w:fldCharType="begin"/>
      </w:r>
      <w:r>
        <w:rPr>
          <w:sz w:val="24"/>
          <w:szCs w:val="24"/>
        </w:rPr>
        <w:instrText xml:space="preserve"> PAGEREF _Toc461048133 \h </w:instrText>
      </w:r>
      <w:r>
        <w:rPr>
          <w:sz w:val="24"/>
          <w:szCs w:val="24"/>
        </w:rPr>
        <w:fldChar w:fldCharType="separate"/>
      </w:r>
      <w:r>
        <w:rPr>
          <w:sz w:val="24"/>
          <w:szCs w:val="24"/>
        </w:rPr>
        <w:t>39</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"_Toc461048134"</w:instrText>
      </w:r>
      <w:r>
        <w:rPr>
          <w:rStyle w:val="20"/>
          <w:sz w:val="24"/>
          <w:szCs w:val="24"/>
        </w:rPr>
        <w:instrText xml:space="preserve"> </w:instrText>
      </w:r>
      <w:r>
        <w:rPr>
          <w:sz w:val="24"/>
          <w:szCs w:val="24"/>
        </w:rPr>
        <w:fldChar w:fldCharType="separate"/>
      </w:r>
      <w:r>
        <w:rPr>
          <w:rStyle w:val="20"/>
          <w:sz w:val="24"/>
          <w:szCs w:val="24"/>
        </w:rPr>
        <w:t>10.2</w:t>
      </w:r>
      <w:r>
        <w:rPr>
          <w:rStyle w:val="20"/>
          <w:rFonts w:hint="eastAsia"/>
          <w:sz w:val="24"/>
          <w:szCs w:val="24"/>
        </w:rPr>
        <w:t>保险</w:t>
      </w:r>
      <w:r>
        <w:rPr>
          <w:sz w:val="24"/>
          <w:szCs w:val="24"/>
        </w:rPr>
        <w:tab/>
      </w:r>
      <w:r>
        <w:rPr>
          <w:sz w:val="24"/>
          <w:szCs w:val="24"/>
        </w:rPr>
        <w:fldChar w:fldCharType="begin"/>
      </w:r>
      <w:r>
        <w:rPr>
          <w:sz w:val="24"/>
          <w:szCs w:val="24"/>
        </w:rPr>
        <w:instrText xml:space="preserve"> PAGEREF _Toc461048134 \h </w:instrText>
      </w:r>
      <w:r>
        <w:rPr>
          <w:sz w:val="24"/>
          <w:szCs w:val="24"/>
        </w:rPr>
        <w:fldChar w:fldCharType="separate"/>
      </w:r>
      <w:r>
        <w:rPr>
          <w:sz w:val="24"/>
          <w:szCs w:val="24"/>
        </w:rPr>
        <w:t>39</w:t>
      </w:r>
      <w:r>
        <w:rPr>
          <w:sz w:val="24"/>
          <w:szCs w:val="24"/>
        </w:rPr>
        <w:fldChar w:fldCharType="end"/>
      </w:r>
      <w:r>
        <w:rPr>
          <w:sz w:val="24"/>
          <w:szCs w:val="24"/>
        </w:rPr>
        <w:fldChar w:fldCharType="end"/>
      </w:r>
    </w:p>
    <w:p>
      <w:pPr>
        <w:pStyle w:val="14"/>
        <w:tabs>
          <w:tab w:val="right" w:leader="dot" w:pos="8834"/>
          <w:tab w:val="clear" w:pos="9344"/>
        </w:tabs>
        <w:spacing w:before="0" w:line="360" w:lineRule="auto"/>
        <w:rPr>
          <w:rFonts w:ascii="Calibri" w:hAnsi="Calibri"/>
          <w:b w:val="0"/>
          <w:bCs w:val="0"/>
          <w:caps w:val="0"/>
        </w:rPr>
      </w:pPr>
      <w:r>
        <w:fldChar w:fldCharType="begin"/>
      </w:r>
      <w:r>
        <w:rPr>
          <w:rStyle w:val="20"/>
        </w:rPr>
        <w:instrText xml:space="preserve"> </w:instrText>
      </w:r>
      <w:r>
        <w:instrText xml:space="preserve">HYPERLINK \l "_Toc461048135"</w:instrText>
      </w:r>
      <w:r>
        <w:rPr>
          <w:rStyle w:val="20"/>
        </w:rPr>
        <w:instrText xml:space="preserve"> </w:instrText>
      </w:r>
      <w:r>
        <w:fldChar w:fldCharType="separate"/>
      </w:r>
      <w:r>
        <w:rPr>
          <w:rStyle w:val="20"/>
        </w:rPr>
        <w:t>11</w:t>
      </w:r>
      <w:r>
        <w:rPr>
          <w:rStyle w:val="20"/>
          <w:rFonts w:hint="eastAsia"/>
        </w:rPr>
        <w:t>宣传、培训与演练</w:t>
      </w:r>
      <w:r>
        <w:tab/>
      </w:r>
      <w:r>
        <w:fldChar w:fldCharType="begin"/>
      </w:r>
      <w:r>
        <w:instrText xml:space="preserve"> PAGEREF _Toc461048135 \h </w:instrText>
      </w:r>
      <w:r>
        <w:fldChar w:fldCharType="separate"/>
      </w:r>
      <w:r>
        <w:t>40</w:t>
      </w:r>
      <w:r>
        <w:fldChar w:fldCharType="end"/>
      </w:r>
      <w: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"_Toc461048136"</w:instrText>
      </w:r>
      <w:r>
        <w:rPr>
          <w:rStyle w:val="20"/>
          <w:sz w:val="24"/>
          <w:szCs w:val="24"/>
        </w:rPr>
        <w:instrText xml:space="preserve"> </w:instrText>
      </w:r>
      <w:r>
        <w:rPr>
          <w:sz w:val="24"/>
          <w:szCs w:val="24"/>
        </w:rPr>
        <w:fldChar w:fldCharType="separate"/>
      </w:r>
      <w:r>
        <w:rPr>
          <w:rStyle w:val="20"/>
          <w:sz w:val="24"/>
          <w:szCs w:val="24"/>
        </w:rPr>
        <w:t>11.1</w:t>
      </w:r>
      <w:r>
        <w:rPr>
          <w:rStyle w:val="20"/>
          <w:rFonts w:hint="eastAsia"/>
          <w:sz w:val="24"/>
          <w:szCs w:val="24"/>
        </w:rPr>
        <w:t>培训</w:t>
      </w:r>
      <w:r>
        <w:rPr>
          <w:sz w:val="24"/>
          <w:szCs w:val="24"/>
        </w:rPr>
        <w:tab/>
      </w:r>
      <w:r>
        <w:rPr>
          <w:sz w:val="24"/>
          <w:szCs w:val="24"/>
        </w:rPr>
        <w:fldChar w:fldCharType="begin"/>
      </w:r>
      <w:r>
        <w:rPr>
          <w:sz w:val="24"/>
          <w:szCs w:val="24"/>
        </w:rPr>
        <w:instrText xml:space="preserve"> PAGEREF _Toc461048136 \h </w:instrText>
      </w:r>
      <w:r>
        <w:rPr>
          <w:sz w:val="24"/>
          <w:szCs w:val="24"/>
        </w:rPr>
        <w:fldChar w:fldCharType="separate"/>
      </w:r>
      <w:r>
        <w:rPr>
          <w:sz w:val="24"/>
          <w:szCs w:val="24"/>
        </w:rPr>
        <w:t>40</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"_Toc461048137"</w:instrText>
      </w:r>
      <w:r>
        <w:rPr>
          <w:rStyle w:val="20"/>
          <w:sz w:val="24"/>
          <w:szCs w:val="24"/>
        </w:rPr>
        <w:instrText xml:space="preserve"> </w:instrText>
      </w:r>
      <w:r>
        <w:rPr>
          <w:sz w:val="24"/>
          <w:szCs w:val="24"/>
        </w:rPr>
        <w:fldChar w:fldCharType="separate"/>
      </w:r>
      <w:r>
        <w:rPr>
          <w:rStyle w:val="20"/>
          <w:sz w:val="24"/>
          <w:szCs w:val="24"/>
        </w:rPr>
        <w:t>11.2</w:t>
      </w:r>
      <w:r>
        <w:rPr>
          <w:rStyle w:val="20"/>
          <w:rFonts w:hint="eastAsia"/>
          <w:sz w:val="24"/>
          <w:szCs w:val="24"/>
        </w:rPr>
        <w:t>演练</w:t>
      </w:r>
      <w:r>
        <w:rPr>
          <w:sz w:val="24"/>
          <w:szCs w:val="24"/>
        </w:rPr>
        <w:tab/>
      </w:r>
      <w:r>
        <w:rPr>
          <w:sz w:val="24"/>
          <w:szCs w:val="24"/>
        </w:rPr>
        <w:fldChar w:fldCharType="begin"/>
      </w:r>
      <w:r>
        <w:rPr>
          <w:sz w:val="24"/>
          <w:szCs w:val="24"/>
        </w:rPr>
        <w:instrText xml:space="preserve"> PAGEREF _Toc461048137 \h </w:instrText>
      </w:r>
      <w:r>
        <w:rPr>
          <w:sz w:val="24"/>
          <w:szCs w:val="24"/>
        </w:rPr>
        <w:fldChar w:fldCharType="separate"/>
      </w:r>
      <w:r>
        <w:rPr>
          <w:sz w:val="24"/>
          <w:szCs w:val="24"/>
        </w:rPr>
        <w:t>40</w:t>
      </w:r>
      <w:r>
        <w:rPr>
          <w:sz w:val="24"/>
          <w:szCs w:val="24"/>
        </w:rPr>
        <w:fldChar w:fldCharType="end"/>
      </w:r>
      <w:r>
        <w:rPr>
          <w:sz w:val="24"/>
          <w:szCs w:val="24"/>
        </w:rPr>
        <w:fldChar w:fldCharType="end"/>
      </w:r>
    </w:p>
    <w:p>
      <w:pPr>
        <w:pStyle w:val="14"/>
        <w:tabs>
          <w:tab w:val="right" w:leader="dot" w:pos="8834"/>
          <w:tab w:val="clear" w:pos="9344"/>
        </w:tabs>
        <w:spacing w:before="0" w:line="360" w:lineRule="auto"/>
        <w:rPr>
          <w:rFonts w:ascii="Calibri" w:hAnsi="Calibri"/>
          <w:b w:val="0"/>
          <w:bCs w:val="0"/>
          <w:caps w:val="0"/>
        </w:rPr>
      </w:pPr>
      <w:r>
        <w:fldChar w:fldCharType="begin"/>
      </w:r>
      <w:r>
        <w:rPr>
          <w:rStyle w:val="20"/>
        </w:rPr>
        <w:instrText xml:space="preserve"> </w:instrText>
      </w:r>
      <w:r>
        <w:instrText xml:space="preserve">HYPERLINK \l "_Toc461048138"</w:instrText>
      </w:r>
      <w:r>
        <w:rPr>
          <w:rStyle w:val="20"/>
        </w:rPr>
        <w:instrText xml:space="preserve"> </w:instrText>
      </w:r>
      <w:r>
        <w:fldChar w:fldCharType="separate"/>
      </w:r>
      <w:r>
        <w:rPr>
          <w:rStyle w:val="20"/>
        </w:rPr>
        <w:t>12</w:t>
      </w:r>
      <w:r>
        <w:rPr>
          <w:rStyle w:val="20"/>
          <w:rFonts w:hint="eastAsia"/>
        </w:rPr>
        <w:t>奖励与责任追究</w:t>
      </w:r>
      <w:r>
        <w:tab/>
      </w:r>
      <w:r>
        <w:fldChar w:fldCharType="begin"/>
      </w:r>
      <w:r>
        <w:instrText xml:space="preserve"> PAGEREF _Toc461048138 \h </w:instrText>
      </w:r>
      <w:r>
        <w:fldChar w:fldCharType="separate"/>
      </w:r>
      <w:r>
        <w:t>42</w:t>
      </w:r>
      <w:r>
        <w:fldChar w:fldCharType="end"/>
      </w:r>
      <w: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"_Toc461048139"</w:instrText>
      </w:r>
      <w:r>
        <w:rPr>
          <w:rStyle w:val="20"/>
          <w:sz w:val="24"/>
          <w:szCs w:val="24"/>
        </w:rPr>
        <w:instrText xml:space="preserve"> </w:instrText>
      </w:r>
      <w:r>
        <w:rPr>
          <w:sz w:val="24"/>
          <w:szCs w:val="24"/>
        </w:rPr>
        <w:fldChar w:fldCharType="separate"/>
      </w:r>
      <w:r>
        <w:rPr>
          <w:rStyle w:val="20"/>
          <w:sz w:val="24"/>
          <w:szCs w:val="24"/>
        </w:rPr>
        <w:t>12.1</w:t>
      </w:r>
      <w:r>
        <w:rPr>
          <w:rStyle w:val="20"/>
          <w:rFonts w:hint="eastAsia"/>
          <w:sz w:val="24"/>
          <w:szCs w:val="24"/>
        </w:rPr>
        <w:t>奖励</w:t>
      </w:r>
      <w:r>
        <w:rPr>
          <w:sz w:val="24"/>
          <w:szCs w:val="24"/>
        </w:rPr>
        <w:tab/>
      </w:r>
      <w:r>
        <w:rPr>
          <w:sz w:val="24"/>
          <w:szCs w:val="24"/>
        </w:rPr>
        <w:fldChar w:fldCharType="begin"/>
      </w:r>
      <w:r>
        <w:rPr>
          <w:sz w:val="24"/>
          <w:szCs w:val="24"/>
        </w:rPr>
        <w:instrText xml:space="preserve"> PAGEREF _Toc461048139 \h </w:instrText>
      </w:r>
      <w:r>
        <w:rPr>
          <w:sz w:val="24"/>
          <w:szCs w:val="24"/>
        </w:rPr>
        <w:fldChar w:fldCharType="separate"/>
      </w:r>
      <w:r>
        <w:rPr>
          <w:sz w:val="24"/>
          <w:szCs w:val="24"/>
        </w:rPr>
        <w:t>42</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"_Toc461048140"</w:instrText>
      </w:r>
      <w:r>
        <w:rPr>
          <w:rStyle w:val="20"/>
          <w:sz w:val="24"/>
          <w:szCs w:val="24"/>
        </w:rPr>
        <w:instrText xml:space="preserve"> </w:instrText>
      </w:r>
      <w:r>
        <w:rPr>
          <w:sz w:val="24"/>
          <w:szCs w:val="24"/>
        </w:rPr>
        <w:fldChar w:fldCharType="separate"/>
      </w:r>
      <w:r>
        <w:rPr>
          <w:rStyle w:val="20"/>
          <w:sz w:val="24"/>
          <w:szCs w:val="24"/>
        </w:rPr>
        <w:t>12.2</w:t>
      </w:r>
      <w:r>
        <w:rPr>
          <w:rStyle w:val="20"/>
          <w:rFonts w:hint="eastAsia"/>
          <w:sz w:val="24"/>
          <w:szCs w:val="24"/>
        </w:rPr>
        <w:t>责任追究</w:t>
      </w:r>
      <w:r>
        <w:rPr>
          <w:sz w:val="24"/>
          <w:szCs w:val="24"/>
        </w:rPr>
        <w:tab/>
      </w:r>
      <w:r>
        <w:rPr>
          <w:sz w:val="24"/>
          <w:szCs w:val="24"/>
        </w:rPr>
        <w:fldChar w:fldCharType="begin"/>
      </w:r>
      <w:r>
        <w:rPr>
          <w:sz w:val="24"/>
          <w:szCs w:val="24"/>
        </w:rPr>
        <w:instrText xml:space="preserve"> PAGEREF _Toc461048140 \h </w:instrText>
      </w:r>
      <w:r>
        <w:rPr>
          <w:sz w:val="24"/>
          <w:szCs w:val="24"/>
        </w:rPr>
        <w:fldChar w:fldCharType="separate"/>
      </w:r>
      <w:r>
        <w:rPr>
          <w:sz w:val="24"/>
          <w:szCs w:val="24"/>
        </w:rPr>
        <w:t>42</w:t>
      </w:r>
      <w:r>
        <w:rPr>
          <w:sz w:val="24"/>
          <w:szCs w:val="24"/>
        </w:rPr>
        <w:fldChar w:fldCharType="end"/>
      </w:r>
      <w:r>
        <w:rPr>
          <w:sz w:val="24"/>
          <w:szCs w:val="24"/>
        </w:rPr>
        <w:fldChar w:fldCharType="end"/>
      </w:r>
    </w:p>
    <w:p>
      <w:pPr>
        <w:pStyle w:val="14"/>
        <w:tabs>
          <w:tab w:val="right" w:leader="dot" w:pos="8834"/>
          <w:tab w:val="clear" w:pos="9344"/>
        </w:tabs>
        <w:spacing w:before="0" w:line="360" w:lineRule="auto"/>
        <w:rPr>
          <w:rFonts w:ascii="Calibri" w:hAnsi="Calibri"/>
          <w:b w:val="0"/>
          <w:bCs w:val="0"/>
          <w:caps w:val="0"/>
        </w:rPr>
      </w:pPr>
      <w:r>
        <w:fldChar w:fldCharType="begin"/>
      </w:r>
      <w:r>
        <w:rPr>
          <w:rStyle w:val="20"/>
        </w:rPr>
        <w:instrText xml:space="preserve"> </w:instrText>
      </w:r>
      <w:r>
        <w:instrText xml:space="preserve">HYPERLINK \l "_Toc461048141"</w:instrText>
      </w:r>
      <w:r>
        <w:rPr>
          <w:rStyle w:val="20"/>
        </w:rPr>
        <w:instrText xml:space="preserve"> </w:instrText>
      </w:r>
      <w:r>
        <w:fldChar w:fldCharType="separate"/>
      </w:r>
      <w:r>
        <w:rPr>
          <w:rStyle w:val="20"/>
        </w:rPr>
        <w:t>13</w:t>
      </w:r>
      <w:r>
        <w:rPr>
          <w:rStyle w:val="20"/>
          <w:rFonts w:hint="eastAsia"/>
        </w:rPr>
        <w:t>应急保障</w:t>
      </w:r>
      <w:r>
        <w:tab/>
      </w:r>
      <w:r>
        <w:fldChar w:fldCharType="begin"/>
      </w:r>
      <w:r>
        <w:instrText xml:space="preserve"> PAGEREF _Toc461048141 \h </w:instrText>
      </w:r>
      <w:r>
        <w:fldChar w:fldCharType="separate"/>
      </w:r>
      <w:r>
        <w:t>43</w:t>
      </w:r>
      <w:r>
        <w:fldChar w:fldCharType="end"/>
      </w:r>
      <w: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"_Toc461048142"</w:instrText>
      </w:r>
      <w:r>
        <w:rPr>
          <w:rStyle w:val="20"/>
          <w:sz w:val="24"/>
          <w:szCs w:val="24"/>
        </w:rPr>
        <w:instrText xml:space="preserve"> </w:instrText>
      </w:r>
      <w:r>
        <w:rPr>
          <w:sz w:val="24"/>
          <w:szCs w:val="24"/>
        </w:rPr>
        <w:fldChar w:fldCharType="separate"/>
      </w:r>
      <w:r>
        <w:rPr>
          <w:rStyle w:val="20"/>
          <w:sz w:val="24"/>
          <w:szCs w:val="24"/>
        </w:rPr>
        <w:t>13.1</w:t>
      </w:r>
      <w:r>
        <w:rPr>
          <w:rStyle w:val="20"/>
          <w:rFonts w:hint="eastAsia"/>
          <w:sz w:val="24"/>
          <w:szCs w:val="24"/>
        </w:rPr>
        <w:t>资金保障</w:t>
      </w:r>
      <w:r>
        <w:rPr>
          <w:sz w:val="24"/>
          <w:szCs w:val="24"/>
        </w:rPr>
        <w:tab/>
      </w:r>
      <w:r>
        <w:rPr>
          <w:sz w:val="24"/>
          <w:szCs w:val="24"/>
        </w:rPr>
        <w:fldChar w:fldCharType="begin"/>
      </w:r>
      <w:r>
        <w:rPr>
          <w:sz w:val="24"/>
          <w:szCs w:val="24"/>
        </w:rPr>
        <w:instrText xml:space="preserve"> PAGEREF _Toc461048142 \h </w:instrText>
      </w:r>
      <w:r>
        <w:rPr>
          <w:sz w:val="24"/>
          <w:szCs w:val="24"/>
        </w:rPr>
        <w:fldChar w:fldCharType="separate"/>
      </w:r>
      <w:r>
        <w:rPr>
          <w:sz w:val="24"/>
          <w:szCs w:val="24"/>
        </w:rPr>
        <w:t>43</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"_Toc461048143"</w:instrText>
      </w:r>
      <w:r>
        <w:rPr>
          <w:rStyle w:val="20"/>
          <w:sz w:val="24"/>
          <w:szCs w:val="24"/>
        </w:rPr>
        <w:instrText xml:space="preserve"> </w:instrText>
      </w:r>
      <w:r>
        <w:rPr>
          <w:sz w:val="24"/>
          <w:szCs w:val="24"/>
        </w:rPr>
        <w:fldChar w:fldCharType="separate"/>
      </w:r>
      <w:r>
        <w:rPr>
          <w:rStyle w:val="20"/>
          <w:sz w:val="24"/>
          <w:szCs w:val="24"/>
        </w:rPr>
        <w:t>13.2</w:t>
      </w:r>
      <w:r>
        <w:rPr>
          <w:rStyle w:val="20"/>
          <w:rFonts w:hint="eastAsia"/>
          <w:sz w:val="24"/>
          <w:szCs w:val="24"/>
        </w:rPr>
        <w:t>应急物资装备保障</w:t>
      </w:r>
      <w:r>
        <w:rPr>
          <w:sz w:val="24"/>
          <w:szCs w:val="24"/>
        </w:rPr>
        <w:tab/>
      </w:r>
      <w:r>
        <w:rPr>
          <w:sz w:val="24"/>
          <w:szCs w:val="24"/>
        </w:rPr>
        <w:fldChar w:fldCharType="begin"/>
      </w:r>
      <w:r>
        <w:rPr>
          <w:sz w:val="24"/>
          <w:szCs w:val="24"/>
        </w:rPr>
        <w:instrText xml:space="preserve"> PAGEREF _Toc461048143 \h </w:instrText>
      </w:r>
      <w:r>
        <w:rPr>
          <w:sz w:val="24"/>
          <w:szCs w:val="24"/>
        </w:rPr>
        <w:fldChar w:fldCharType="separate"/>
      </w:r>
      <w:r>
        <w:rPr>
          <w:sz w:val="24"/>
          <w:szCs w:val="24"/>
        </w:rPr>
        <w:t>43</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"_Toc461048144"</w:instrText>
      </w:r>
      <w:r>
        <w:rPr>
          <w:rStyle w:val="20"/>
          <w:sz w:val="24"/>
          <w:szCs w:val="24"/>
        </w:rPr>
        <w:instrText xml:space="preserve"> </w:instrText>
      </w:r>
      <w:r>
        <w:rPr>
          <w:sz w:val="24"/>
          <w:szCs w:val="24"/>
        </w:rPr>
        <w:fldChar w:fldCharType="separate"/>
      </w:r>
      <w:r>
        <w:rPr>
          <w:rStyle w:val="20"/>
          <w:sz w:val="24"/>
          <w:szCs w:val="24"/>
        </w:rPr>
        <w:t>13.3</w:t>
      </w:r>
      <w:r>
        <w:rPr>
          <w:rStyle w:val="20"/>
          <w:rFonts w:hint="eastAsia"/>
          <w:sz w:val="24"/>
          <w:szCs w:val="24"/>
        </w:rPr>
        <w:t>应急和救护设备、器材的管理</w:t>
      </w:r>
      <w:r>
        <w:rPr>
          <w:sz w:val="24"/>
          <w:szCs w:val="24"/>
        </w:rPr>
        <w:tab/>
      </w:r>
      <w:r>
        <w:rPr>
          <w:sz w:val="24"/>
          <w:szCs w:val="24"/>
        </w:rPr>
        <w:fldChar w:fldCharType="begin"/>
      </w:r>
      <w:r>
        <w:rPr>
          <w:sz w:val="24"/>
          <w:szCs w:val="24"/>
        </w:rPr>
        <w:instrText xml:space="preserve"> PAGEREF _Toc461048144 \h </w:instrText>
      </w:r>
      <w:r>
        <w:rPr>
          <w:sz w:val="24"/>
          <w:szCs w:val="24"/>
        </w:rPr>
        <w:fldChar w:fldCharType="separate"/>
      </w:r>
      <w:r>
        <w:rPr>
          <w:sz w:val="24"/>
          <w:szCs w:val="24"/>
        </w:rPr>
        <w:t>44</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"_Toc461048145"</w:instrText>
      </w:r>
      <w:r>
        <w:rPr>
          <w:rStyle w:val="20"/>
          <w:sz w:val="24"/>
          <w:szCs w:val="24"/>
        </w:rPr>
        <w:instrText xml:space="preserve"> </w:instrText>
      </w:r>
      <w:r>
        <w:rPr>
          <w:sz w:val="24"/>
          <w:szCs w:val="24"/>
        </w:rPr>
        <w:fldChar w:fldCharType="separate"/>
      </w:r>
      <w:r>
        <w:rPr>
          <w:rStyle w:val="20"/>
          <w:sz w:val="24"/>
          <w:szCs w:val="24"/>
        </w:rPr>
        <w:t>13.4</w:t>
      </w:r>
      <w:r>
        <w:rPr>
          <w:rStyle w:val="20"/>
          <w:rFonts w:hint="eastAsia"/>
          <w:sz w:val="24"/>
          <w:szCs w:val="24"/>
        </w:rPr>
        <w:t>通信保障</w:t>
      </w:r>
      <w:r>
        <w:rPr>
          <w:sz w:val="24"/>
          <w:szCs w:val="24"/>
        </w:rPr>
        <w:tab/>
      </w:r>
      <w:r>
        <w:rPr>
          <w:sz w:val="24"/>
          <w:szCs w:val="24"/>
        </w:rPr>
        <w:fldChar w:fldCharType="begin"/>
      </w:r>
      <w:r>
        <w:rPr>
          <w:sz w:val="24"/>
          <w:szCs w:val="24"/>
        </w:rPr>
        <w:instrText xml:space="preserve"> PAGEREF _Toc461048145 \h </w:instrText>
      </w:r>
      <w:r>
        <w:rPr>
          <w:sz w:val="24"/>
          <w:szCs w:val="24"/>
        </w:rPr>
        <w:fldChar w:fldCharType="separate"/>
      </w:r>
      <w:r>
        <w:rPr>
          <w:sz w:val="24"/>
          <w:szCs w:val="24"/>
        </w:rPr>
        <w:t>44</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"_Toc461048146"</w:instrText>
      </w:r>
      <w:r>
        <w:rPr>
          <w:rStyle w:val="20"/>
          <w:sz w:val="24"/>
          <w:szCs w:val="24"/>
        </w:rPr>
        <w:instrText xml:space="preserve"> </w:instrText>
      </w:r>
      <w:r>
        <w:rPr>
          <w:sz w:val="24"/>
          <w:szCs w:val="24"/>
        </w:rPr>
        <w:fldChar w:fldCharType="separate"/>
      </w:r>
      <w:r>
        <w:rPr>
          <w:rStyle w:val="20"/>
          <w:sz w:val="24"/>
          <w:szCs w:val="24"/>
        </w:rPr>
        <w:t>13.5</w:t>
      </w:r>
      <w:r>
        <w:rPr>
          <w:rStyle w:val="20"/>
          <w:rFonts w:hint="eastAsia"/>
          <w:sz w:val="24"/>
          <w:szCs w:val="24"/>
        </w:rPr>
        <w:t>应急电源、照明</w:t>
      </w:r>
      <w:r>
        <w:rPr>
          <w:sz w:val="24"/>
          <w:szCs w:val="24"/>
        </w:rPr>
        <w:tab/>
      </w:r>
      <w:r>
        <w:rPr>
          <w:sz w:val="24"/>
          <w:szCs w:val="24"/>
        </w:rPr>
        <w:fldChar w:fldCharType="begin"/>
      </w:r>
      <w:r>
        <w:rPr>
          <w:sz w:val="24"/>
          <w:szCs w:val="24"/>
        </w:rPr>
        <w:instrText xml:space="preserve"> PAGEREF _Toc461048146 \h </w:instrText>
      </w:r>
      <w:r>
        <w:rPr>
          <w:sz w:val="24"/>
          <w:szCs w:val="24"/>
        </w:rPr>
        <w:fldChar w:fldCharType="separate"/>
      </w:r>
      <w:r>
        <w:rPr>
          <w:sz w:val="24"/>
          <w:szCs w:val="24"/>
        </w:rPr>
        <w:t>44</w:t>
      </w:r>
      <w:r>
        <w:rPr>
          <w:sz w:val="24"/>
          <w:szCs w:val="24"/>
        </w:rPr>
        <w:fldChar w:fldCharType="end"/>
      </w:r>
      <w:r>
        <w:rPr>
          <w:sz w:val="24"/>
          <w:szCs w:val="24"/>
        </w:rPr>
        <w:fldChar w:fldCharType="end"/>
      </w:r>
    </w:p>
    <w:p>
      <w:pPr>
        <w:pStyle w:val="15"/>
        <w:tabs>
          <w:tab w:val="right" w:leader="dot" w:pos="8834"/>
        </w:tabs>
        <w:spacing w:before="0" w:line="360" w:lineRule="auto"/>
        <w:rPr>
          <w:b w:val="0"/>
          <w:bCs w:val="0"/>
          <w:sz w:val="24"/>
          <w:szCs w:val="24"/>
        </w:rPr>
      </w:pPr>
      <w:r>
        <w:rPr>
          <w:sz w:val="24"/>
          <w:szCs w:val="24"/>
        </w:rPr>
        <w:fldChar w:fldCharType="begin"/>
      </w:r>
      <w:r>
        <w:rPr>
          <w:rStyle w:val="20"/>
          <w:sz w:val="24"/>
          <w:szCs w:val="24"/>
        </w:rPr>
        <w:instrText xml:space="preserve"> </w:instrText>
      </w:r>
      <w:r>
        <w:rPr>
          <w:sz w:val="24"/>
          <w:szCs w:val="24"/>
        </w:rPr>
        <w:instrText xml:space="preserve">HYPERLINK \l "_Toc461048147"</w:instrText>
      </w:r>
      <w:r>
        <w:rPr>
          <w:rStyle w:val="20"/>
          <w:sz w:val="24"/>
          <w:szCs w:val="24"/>
        </w:rPr>
        <w:instrText xml:space="preserve"> </w:instrText>
      </w:r>
      <w:r>
        <w:rPr>
          <w:sz w:val="24"/>
          <w:szCs w:val="24"/>
        </w:rPr>
        <w:fldChar w:fldCharType="separate"/>
      </w:r>
      <w:r>
        <w:rPr>
          <w:rStyle w:val="20"/>
          <w:sz w:val="24"/>
          <w:szCs w:val="24"/>
        </w:rPr>
        <w:t>13.6</w:t>
      </w:r>
      <w:r>
        <w:rPr>
          <w:rStyle w:val="20"/>
          <w:rFonts w:hint="eastAsia"/>
          <w:sz w:val="24"/>
          <w:szCs w:val="24"/>
        </w:rPr>
        <w:t>外部救援</w:t>
      </w:r>
      <w:r>
        <w:rPr>
          <w:sz w:val="24"/>
          <w:szCs w:val="24"/>
        </w:rPr>
        <w:tab/>
      </w:r>
      <w:r>
        <w:rPr>
          <w:sz w:val="24"/>
          <w:szCs w:val="24"/>
        </w:rPr>
        <w:fldChar w:fldCharType="begin"/>
      </w:r>
      <w:r>
        <w:rPr>
          <w:sz w:val="24"/>
          <w:szCs w:val="24"/>
        </w:rPr>
        <w:instrText xml:space="preserve"> PAGEREF _Toc461048147 \h </w:instrText>
      </w:r>
      <w:r>
        <w:rPr>
          <w:sz w:val="24"/>
          <w:szCs w:val="24"/>
        </w:rPr>
        <w:fldChar w:fldCharType="separate"/>
      </w:r>
      <w:r>
        <w:rPr>
          <w:sz w:val="24"/>
          <w:szCs w:val="24"/>
        </w:rPr>
        <w:t>44</w:t>
      </w:r>
      <w:r>
        <w:rPr>
          <w:sz w:val="24"/>
          <w:szCs w:val="24"/>
        </w:rPr>
        <w:fldChar w:fldCharType="end"/>
      </w:r>
      <w:r>
        <w:rPr>
          <w:sz w:val="24"/>
          <w:szCs w:val="24"/>
        </w:rPr>
        <w:fldChar w:fldCharType="end"/>
      </w:r>
    </w:p>
    <w:p>
      <w:pPr>
        <w:pStyle w:val="14"/>
        <w:tabs>
          <w:tab w:val="right" w:leader="dot" w:pos="8834"/>
          <w:tab w:val="clear" w:pos="9344"/>
        </w:tabs>
        <w:spacing w:before="0" w:line="360" w:lineRule="auto"/>
        <w:rPr>
          <w:rFonts w:ascii="Calibri" w:hAnsi="Calibri"/>
          <w:b w:val="0"/>
          <w:bCs w:val="0"/>
          <w:caps w:val="0"/>
        </w:rPr>
      </w:pPr>
      <w:r>
        <w:fldChar w:fldCharType="begin"/>
      </w:r>
      <w:r>
        <w:rPr>
          <w:rStyle w:val="20"/>
        </w:rPr>
        <w:instrText xml:space="preserve"> </w:instrText>
      </w:r>
      <w:r>
        <w:instrText xml:space="preserve">HYPERLINK \l "_Toc461048148"</w:instrText>
      </w:r>
      <w:r>
        <w:rPr>
          <w:rStyle w:val="20"/>
        </w:rPr>
        <w:instrText xml:space="preserve"> </w:instrText>
      </w:r>
      <w:r>
        <w:fldChar w:fldCharType="separate"/>
      </w:r>
      <w:r>
        <w:rPr>
          <w:rStyle w:val="20"/>
        </w:rPr>
        <w:t>14</w:t>
      </w:r>
      <w:r>
        <w:rPr>
          <w:rStyle w:val="20"/>
          <w:rFonts w:hint="eastAsia"/>
        </w:rPr>
        <w:t>预案的评审、发布、更新</w:t>
      </w:r>
      <w:r>
        <w:tab/>
      </w:r>
      <w:r>
        <w:fldChar w:fldCharType="begin"/>
      </w:r>
      <w:r>
        <w:instrText xml:space="preserve"> PAGEREF _Toc461048148 \h </w:instrText>
      </w:r>
      <w:r>
        <w:fldChar w:fldCharType="separate"/>
      </w:r>
      <w:r>
        <w:t>46</w:t>
      </w:r>
      <w:r>
        <w:fldChar w:fldCharType="end"/>
      </w:r>
      <w:r>
        <w:fldChar w:fldCharType="end"/>
      </w:r>
    </w:p>
    <w:p>
      <w:pPr>
        <w:pStyle w:val="14"/>
        <w:tabs>
          <w:tab w:val="right" w:leader="dot" w:pos="8834"/>
          <w:tab w:val="clear" w:pos="9344"/>
        </w:tabs>
        <w:spacing w:before="0" w:line="360" w:lineRule="auto"/>
        <w:rPr>
          <w:rFonts w:ascii="Calibri" w:hAnsi="Calibri"/>
          <w:b w:val="0"/>
          <w:bCs w:val="0"/>
          <w:caps w:val="0"/>
        </w:rPr>
      </w:pPr>
      <w:r>
        <w:fldChar w:fldCharType="begin"/>
      </w:r>
      <w:r>
        <w:rPr>
          <w:rStyle w:val="20"/>
        </w:rPr>
        <w:instrText xml:space="preserve"> </w:instrText>
      </w:r>
      <w:r>
        <w:instrText xml:space="preserve">HYPERLINK \l "_Toc461048149"</w:instrText>
      </w:r>
      <w:r>
        <w:rPr>
          <w:rStyle w:val="20"/>
        </w:rPr>
        <w:instrText xml:space="preserve"> </w:instrText>
      </w:r>
      <w:r>
        <w:fldChar w:fldCharType="separate"/>
      </w:r>
      <w:r>
        <w:rPr>
          <w:rStyle w:val="20"/>
        </w:rPr>
        <w:t>15</w:t>
      </w:r>
      <w:r>
        <w:rPr>
          <w:rStyle w:val="20"/>
          <w:rFonts w:hint="eastAsia"/>
        </w:rPr>
        <w:t>预案实施和生效时间</w:t>
      </w:r>
      <w:r>
        <w:tab/>
      </w:r>
      <w:r>
        <w:fldChar w:fldCharType="begin"/>
      </w:r>
      <w:r>
        <w:instrText xml:space="preserve"> PAGEREF _Toc461048149 \h </w:instrText>
      </w:r>
      <w:r>
        <w:fldChar w:fldCharType="separate"/>
      </w:r>
      <w:r>
        <w:t>47</w:t>
      </w:r>
      <w:r>
        <w:fldChar w:fldCharType="end"/>
      </w:r>
      <w:r>
        <w:fldChar w:fldCharType="end"/>
      </w:r>
    </w:p>
    <w:p>
      <w:pPr>
        <w:pStyle w:val="14"/>
        <w:tabs>
          <w:tab w:val="right" w:leader="dot" w:pos="8834"/>
          <w:tab w:val="clear" w:pos="9344"/>
        </w:tabs>
        <w:spacing w:before="0" w:line="360" w:lineRule="auto"/>
        <w:rPr>
          <w:rFonts w:ascii="Calibri" w:hAnsi="Calibri"/>
          <w:b w:val="0"/>
          <w:bCs w:val="0"/>
          <w:caps w:val="0"/>
        </w:rPr>
      </w:pPr>
      <w:r>
        <w:fldChar w:fldCharType="begin"/>
      </w:r>
      <w:r>
        <w:rPr>
          <w:rStyle w:val="20"/>
        </w:rPr>
        <w:instrText xml:space="preserve"> </w:instrText>
      </w:r>
      <w:r>
        <w:instrText xml:space="preserve">HYPERLINK \l "_Toc461048150"</w:instrText>
      </w:r>
      <w:r>
        <w:rPr>
          <w:rStyle w:val="20"/>
        </w:rPr>
        <w:instrText xml:space="preserve"> </w:instrText>
      </w:r>
      <w:r>
        <w:fldChar w:fldCharType="separate"/>
      </w:r>
      <w:r>
        <w:rPr>
          <w:rStyle w:val="20"/>
          <w:rFonts w:hint="eastAsia" w:ascii="Times New Roman" w:hAnsi="宋体"/>
        </w:rPr>
        <w:t>附件</w:t>
      </w:r>
      <w:r>
        <w:tab/>
      </w:r>
      <w:r>
        <w:fldChar w:fldCharType="begin"/>
      </w:r>
      <w:r>
        <w:instrText xml:space="preserve"> PAGEREF _Toc461048150 \h </w:instrText>
      </w:r>
      <w:r>
        <w:fldChar w:fldCharType="separate"/>
      </w:r>
      <w:r>
        <w:t>48</w:t>
      </w:r>
      <w:r>
        <w:fldChar w:fldCharType="end"/>
      </w:r>
      <w:r>
        <w:fldChar w:fldCharType="end"/>
      </w:r>
    </w:p>
    <w:p>
      <w:pPr>
        <w:pStyle w:val="14"/>
        <w:tabs>
          <w:tab w:val="right" w:leader="dot" w:pos="8834"/>
          <w:tab w:val="clear" w:pos="9344"/>
        </w:tabs>
        <w:spacing w:before="0" w:line="360" w:lineRule="auto"/>
        <w:rPr>
          <w:rFonts w:ascii="Calibri" w:hAnsi="Calibri"/>
          <w:b w:val="0"/>
          <w:bCs w:val="0"/>
          <w:caps w:val="0"/>
        </w:rPr>
      </w:pPr>
      <w:r>
        <w:fldChar w:fldCharType="begin"/>
      </w:r>
      <w:r>
        <w:rPr>
          <w:rStyle w:val="20"/>
        </w:rPr>
        <w:instrText xml:space="preserve"> </w:instrText>
      </w:r>
      <w:r>
        <w:instrText xml:space="preserve">HYPERLINK \l "_Toc461048151"</w:instrText>
      </w:r>
      <w:r>
        <w:rPr>
          <w:rStyle w:val="20"/>
        </w:rPr>
        <w:instrText xml:space="preserve"> </w:instrText>
      </w:r>
      <w:r>
        <w:fldChar w:fldCharType="separate"/>
      </w:r>
      <w:r>
        <w:rPr>
          <w:rStyle w:val="20"/>
          <w:rFonts w:hint="eastAsia" w:ascii="Times New Roman" w:hAnsi="宋体"/>
        </w:rPr>
        <w:t>附图</w:t>
      </w:r>
      <w:r>
        <w:tab/>
      </w:r>
      <w:r>
        <w:fldChar w:fldCharType="begin"/>
      </w:r>
      <w:r>
        <w:instrText xml:space="preserve"> PAGEREF _Toc461048151 \h </w:instrText>
      </w:r>
      <w:r>
        <w:fldChar w:fldCharType="separate"/>
      </w:r>
      <w:r>
        <w:t>48</w:t>
      </w:r>
      <w:r>
        <w:fldChar w:fldCharType="end"/>
      </w:r>
      <w:r>
        <w:fldChar w:fldCharType="end"/>
      </w:r>
    </w:p>
    <w:p>
      <w:pPr>
        <w:spacing w:line="360" w:lineRule="auto"/>
        <w:rPr>
          <w:sz w:val="24"/>
          <w:szCs w:val="24"/>
        </w:rPr>
      </w:pPr>
      <w:r>
        <w:rPr>
          <w:rFonts w:ascii="Cambria" w:hAnsi="Cambria"/>
          <w:b/>
          <w:bCs/>
          <w:caps/>
          <w:sz w:val="24"/>
          <w:szCs w:val="24"/>
        </w:rPr>
        <w:fldChar w:fldCharType="end"/>
      </w:r>
    </w:p>
    <w:p>
      <w:pPr>
        <w:pStyle w:val="14"/>
        <w:spacing w:line="240" w:lineRule="exact"/>
        <w:rPr>
          <w:rFonts w:hint="eastAsia" w:ascii="Times New Roman" w:hAnsi="Times New Roman"/>
          <w:b w:val="0"/>
        </w:rPr>
      </w:pPr>
    </w:p>
    <w:p>
      <w:pPr>
        <w:pStyle w:val="34"/>
        <w:rPr>
          <w:rFonts w:hint="eastAsia"/>
          <w:color w:val="auto"/>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sectPr>
          <w:footerReference r:id="rId17" w:type="default"/>
          <w:footerReference r:id="rId18" w:type="even"/>
          <w:pgSz w:w="11906" w:h="16838"/>
          <w:pgMar w:top="1247" w:right="1531" w:bottom="1247" w:left="1531" w:header="851" w:footer="992" w:gutter="0"/>
          <w:pgNumType w:start="1"/>
          <w:cols w:space="720" w:num="1"/>
          <w:docGrid w:type="linesAndChars" w:linePitch="312" w:charSpace="0"/>
        </w:sectPr>
      </w:pPr>
    </w:p>
    <w:p>
      <w:pPr>
        <w:pStyle w:val="2"/>
        <w:rPr>
          <w:rFonts w:ascii="Times New Roman" w:hAnsi="Times New Roman"/>
        </w:rPr>
      </w:pPr>
      <w:bookmarkStart w:id="562" w:name="_Toc461048087"/>
      <w:bookmarkStart w:id="563" w:name="_Toc338230935"/>
      <w:bookmarkStart w:id="564" w:name="_Toc338228582"/>
      <w:r>
        <w:rPr>
          <w:rFonts w:ascii="Times New Roman" w:hAnsi="Times New Roman"/>
        </w:rPr>
        <w:t>1</w:t>
      </w:r>
      <w:r>
        <w:rPr>
          <w:rFonts w:ascii="Times New Roman" w:hAnsi="宋体"/>
        </w:rPr>
        <w:t>总则</w:t>
      </w:r>
      <w:bookmarkEnd w:id="562"/>
      <w:bookmarkEnd w:id="563"/>
      <w:bookmarkEnd w:id="564"/>
    </w:p>
    <w:p>
      <w:pPr>
        <w:pStyle w:val="3"/>
        <w:rPr>
          <w:rFonts w:ascii="Times New Roman" w:hAnsi="Times New Roman"/>
        </w:rPr>
      </w:pPr>
      <w:bookmarkStart w:id="565" w:name="_Toc338230936"/>
      <w:bookmarkStart w:id="566" w:name="_Toc338228583"/>
      <w:bookmarkStart w:id="567" w:name="_Toc461048088"/>
      <w:r>
        <w:rPr>
          <w:rFonts w:ascii="Times New Roman" w:hAnsi="Times New Roman"/>
        </w:rPr>
        <w:t>1.1</w:t>
      </w:r>
      <w:r>
        <w:rPr>
          <w:rFonts w:ascii="Times New Roman" w:hAnsi="宋体"/>
        </w:rPr>
        <w:t>编制目的</w:t>
      </w:r>
      <w:bookmarkEnd w:id="565"/>
      <w:bookmarkEnd w:id="566"/>
      <w:bookmarkEnd w:id="567"/>
    </w:p>
    <w:p>
      <w:pPr>
        <w:spacing w:line="360" w:lineRule="auto"/>
        <w:ind w:firstLine="480" w:firstLineChars="200"/>
        <w:rPr>
          <w:rFonts w:ascii="Times New Roman" w:hAnsi="Times New Roman"/>
          <w:sz w:val="24"/>
          <w:szCs w:val="24"/>
        </w:rPr>
      </w:pPr>
      <w:r>
        <w:rPr>
          <w:rFonts w:ascii="Times New Roman" w:hAnsi="宋体"/>
          <w:sz w:val="24"/>
          <w:szCs w:val="24"/>
        </w:rPr>
        <w:t>为提高企业应急管理水平，有效预防、及时控制和消除重大环境污染事件造成的危害，建立健全环境污染事故应急机制，提高对涉及公共场所危机的突发环境污染事件的处置能力，保障公众的生命健康和财产安全，保护环境，促进社会全面、协调、可持续发展。以确保在污染事故发生后，能及时有效地实施应急救援，最大限度地阻止和控制污染向周围环境进一步扩散，最大可能避免对公共环境造成的污染。</w:t>
      </w:r>
    </w:p>
    <w:p>
      <w:pPr>
        <w:pStyle w:val="3"/>
      </w:pPr>
      <w:bookmarkStart w:id="568" w:name="_Toc338230937"/>
      <w:bookmarkStart w:id="569" w:name="_Toc338228584"/>
      <w:bookmarkStart w:id="570" w:name="_Toc461048089"/>
      <w:r>
        <w:t>1.2编制依据</w:t>
      </w:r>
      <w:bookmarkEnd w:id="568"/>
      <w:bookmarkEnd w:id="569"/>
      <w:bookmarkEnd w:id="570"/>
    </w:p>
    <w:p>
      <w:pPr>
        <w:spacing w:line="360" w:lineRule="auto"/>
        <w:ind w:firstLine="480" w:firstLineChars="200"/>
        <w:rPr>
          <w:rFonts w:hAnsi="宋体"/>
          <w:bCs/>
          <w:sz w:val="24"/>
          <w:szCs w:val="26"/>
        </w:rPr>
      </w:pPr>
      <w:r>
        <w:rPr>
          <w:rFonts w:hAnsi="宋体"/>
          <w:bCs/>
          <w:sz w:val="24"/>
          <w:szCs w:val="26"/>
        </w:rPr>
        <w:t>（1）《中华人民共和国环境保护法》（</w:t>
      </w:r>
      <w:r>
        <w:rPr>
          <w:rFonts w:hint="eastAsia" w:hAnsi="宋体"/>
          <w:bCs/>
          <w:sz w:val="24"/>
          <w:szCs w:val="26"/>
        </w:rPr>
        <w:t>2015</w:t>
      </w:r>
      <w:r>
        <w:rPr>
          <w:rFonts w:hAnsi="宋体"/>
          <w:bCs/>
          <w:sz w:val="24"/>
          <w:szCs w:val="26"/>
        </w:rPr>
        <w:t>年</w:t>
      </w:r>
      <w:r>
        <w:rPr>
          <w:rFonts w:hint="eastAsia" w:hAnsi="宋体"/>
          <w:bCs/>
          <w:sz w:val="24"/>
          <w:szCs w:val="26"/>
        </w:rPr>
        <w:t>1</w:t>
      </w:r>
      <w:r>
        <w:rPr>
          <w:rFonts w:hAnsi="宋体"/>
          <w:bCs/>
          <w:sz w:val="24"/>
          <w:szCs w:val="26"/>
        </w:rPr>
        <w:t>月</w:t>
      </w:r>
      <w:r>
        <w:rPr>
          <w:rFonts w:hint="eastAsia" w:hAnsi="宋体"/>
          <w:bCs/>
          <w:sz w:val="24"/>
          <w:szCs w:val="26"/>
        </w:rPr>
        <w:t>1</w:t>
      </w:r>
      <w:r>
        <w:rPr>
          <w:rFonts w:hAnsi="宋体"/>
          <w:bCs/>
          <w:sz w:val="24"/>
          <w:szCs w:val="26"/>
        </w:rPr>
        <w:t>日）</w:t>
      </w:r>
      <w:r>
        <w:rPr>
          <w:rFonts w:hint="eastAsia" w:hAnsi="宋体"/>
          <w:bCs/>
          <w:sz w:val="24"/>
          <w:szCs w:val="26"/>
        </w:rPr>
        <w:t>；</w:t>
      </w:r>
    </w:p>
    <w:p>
      <w:pPr>
        <w:spacing w:line="360" w:lineRule="auto"/>
        <w:ind w:firstLine="480" w:firstLineChars="200"/>
        <w:rPr>
          <w:rFonts w:hAnsi="宋体"/>
          <w:bCs/>
          <w:sz w:val="24"/>
          <w:szCs w:val="26"/>
        </w:rPr>
      </w:pPr>
      <w:r>
        <w:rPr>
          <w:rFonts w:hAnsi="宋体"/>
          <w:bCs/>
          <w:sz w:val="24"/>
          <w:szCs w:val="26"/>
        </w:rPr>
        <w:t>（2）《中华人民共和国水污染防治法》（2008年6月1日）</w:t>
      </w:r>
      <w:r>
        <w:rPr>
          <w:rFonts w:hint="eastAsia" w:hAnsi="宋体"/>
          <w:bCs/>
          <w:sz w:val="24"/>
          <w:szCs w:val="26"/>
        </w:rPr>
        <w:t>；</w:t>
      </w:r>
    </w:p>
    <w:p>
      <w:pPr>
        <w:spacing w:line="360" w:lineRule="auto"/>
        <w:ind w:firstLine="480" w:firstLineChars="200"/>
        <w:rPr>
          <w:rFonts w:hAnsi="宋体"/>
          <w:bCs/>
          <w:sz w:val="24"/>
          <w:szCs w:val="26"/>
        </w:rPr>
      </w:pPr>
      <w:r>
        <w:rPr>
          <w:rFonts w:hAnsi="宋体"/>
          <w:bCs/>
          <w:sz w:val="24"/>
          <w:szCs w:val="26"/>
        </w:rPr>
        <w:t>（3）《中华人民共和国大气污染防治法》（2000年4月29日修订）</w:t>
      </w:r>
      <w:r>
        <w:rPr>
          <w:rFonts w:hint="eastAsia" w:hAnsi="宋体"/>
          <w:bCs/>
          <w:sz w:val="24"/>
          <w:szCs w:val="26"/>
        </w:rPr>
        <w:t>；</w:t>
      </w:r>
    </w:p>
    <w:p>
      <w:pPr>
        <w:spacing w:line="360" w:lineRule="auto"/>
        <w:ind w:firstLine="480" w:firstLineChars="200"/>
        <w:rPr>
          <w:rFonts w:hAnsi="宋体"/>
          <w:bCs/>
          <w:sz w:val="24"/>
          <w:szCs w:val="26"/>
        </w:rPr>
      </w:pPr>
      <w:r>
        <w:rPr>
          <w:rFonts w:hAnsi="宋体"/>
          <w:bCs/>
          <w:sz w:val="24"/>
          <w:szCs w:val="26"/>
        </w:rPr>
        <w:t>（4）《中华人民共和国固体废物污染环境防治法》（</w:t>
      </w:r>
      <w:r>
        <w:rPr>
          <w:rFonts w:hint="eastAsia" w:hAnsi="宋体"/>
          <w:bCs/>
          <w:sz w:val="24"/>
          <w:szCs w:val="26"/>
        </w:rPr>
        <w:t>2015</w:t>
      </w:r>
      <w:r>
        <w:rPr>
          <w:rFonts w:hAnsi="宋体"/>
          <w:bCs/>
          <w:sz w:val="24"/>
          <w:szCs w:val="26"/>
        </w:rPr>
        <w:t>年</w:t>
      </w:r>
      <w:r>
        <w:rPr>
          <w:rFonts w:hint="eastAsia" w:hAnsi="宋体"/>
          <w:bCs/>
          <w:sz w:val="24"/>
          <w:szCs w:val="26"/>
        </w:rPr>
        <w:t>4</w:t>
      </w:r>
      <w:r>
        <w:rPr>
          <w:rFonts w:hAnsi="宋体"/>
          <w:bCs/>
          <w:sz w:val="24"/>
          <w:szCs w:val="26"/>
        </w:rPr>
        <w:t>月</w:t>
      </w:r>
      <w:r>
        <w:rPr>
          <w:rFonts w:hint="eastAsia" w:hAnsi="宋体"/>
          <w:bCs/>
          <w:sz w:val="24"/>
          <w:szCs w:val="26"/>
        </w:rPr>
        <w:t>24日</w:t>
      </w:r>
      <w:r>
        <w:rPr>
          <w:rFonts w:hAnsi="宋体"/>
          <w:bCs/>
          <w:sz w:val="24"/>
          <w:szCs w:val="26"/>
        </w:rPr>
        <w:t>修订）</w:t>
      </w:r>
      <w:r>
        <w:rPr>
          <w:rFonts w:hint="eastAsia" w:hAnsi="宋体"/>
          <w:bCs/>
          <w:sz w:val="24"/>
          <w:szCs w:val="26"/>
        </w:rPr>
        <w:t>；</w:t>
      </w:r>
    </w:p>
    <w:p>
      <w:pPr>
        <w:spacing w:line="360" w:lineRule="auto"/>
        <w:ind w:firstLine="480" w:firstLineChars="200"/>
        <w:rPr>
          <w:rFonts w:hint="eastAsia" w:hAnsi="宋体"/>
          <w:bCs/>
          <w:sz w:val="24"/>
          <w:szCs w:val="26"/>
        </w:rPr>
      </w:pPr>
      <w:r>
        <w:rPr>
          <w:rFonts w:hAnsi="宋体"/>
          <w:bCs/>
          <w:sz w:val="24"/>
          <w:szCs w:val="26"/>
        </w:rPr>
        <w:t>（5）《中华人民共和国</w:t>
      </w:r>
      <w:r>
        <w:rPr>
          <w:rFonts w:hint="eastAsia" w:hAnsi="宋体"/>
          <w:bCs/>
          <w:sz w:val="24"/>
          <w:szCs w:val="26"/>
        </w:rPr>
        <w:t>噪声</w:t>
      </w:r>
      <w:r>
        <w:rPr>
          <w:rFonts w:hAnsi="宋体"/>
          <w:bCs/>
          <w:sz w:val="24"/>
          <w:szCs w:val="26"/>
        </w:rPr>
        <w:t>污染环境防治法》（</w:t>
      </w:r>
      <w:r>
        <w:rPr>
          <w:rFonts w:hint="eastAsia" w:hAnsi="宋体"/>
          <w:bCs/>
          <w:sz w:val="24"/>
          <w:szCs w:val="26"/>
        </w:rPr>
        <w:t>1996</w:t>
      </w:r>
      <w:r>
        <w:rPr>
          <w:rFonts w:hAnsi="宋体"/>
          <w:bCs/>
          <w:sz w:val="24"/>
          <w:szCs w:val="26"/>
        </w:rPr>
        <w:t>年</w:t>
      </w:r>
      <w:r>
        <w:rPr>
          <w:rFonts w:hint="eastAsia" w:hAnsi="宋体"/>
          <w:bCs/>
          <w:sz w:val="24"/>
          <w:szCs w:val="26"/>
        </w:rPr>
        <w:t>10</w:t>
      </w:r>
      <w:r>
        <w:rPr>
          <w:rFonts w:hAnsi="宋体"/>
          <w:bCs/>
          <w:sz w:val="24"/>
          <w:szCs w:val="26"/>
        </w:rPr>
        <w:t>月29日）</w:t>
      </w:r>
      <w:r>
        <w:rPr>
          <w:rFonts w:hint="eastAsia" w:hAnsi="宋体"/>
          <w:bCs/>
          <w:sz w:val="24"/>
          <w:szCs w:val="26"/>
        </w:rPr>
        <w:t>；</w:t>
      </w:r>
    </w:p>
    <w:p>
      <w:pPr>
        <w:spacing w:line="360" w:lineRule="auto"/>
        <w:ind w:firstLine="480" w:firstLineChars="200"/>
        <w:rPr>
          <w:rFonts w:hAnsi="宋体"/>
          <w:bCs/>
          <w:sz w:val="24"/>
          <w:szCs w:val="26"/>
        </w:rPr>
      </w:pPr>
      <w:r>
        <w:rPr>
          <w:rFonts w:hAnsi="宋体"/>
          <w:bCs/>
          <w:sz w:val="24"/>
          <w:szCs w:val="26"/>
        </w:rPr>
        <w:t>（6）</w:t>
      </w:r>
      <w:r>
        <w:rPr>
          <w:rFonts w:hint="eastAsia" w:hAnsi="宋体"/>
          <w:bCs/>
          <w:sz w:val="24"/>
          <w:szCs w:val="26"/>
        </w:rPr>
        <w:t>《中华人民共和国安全生产法》（2014年12月1日）；</w:t>
      </w:r>
    </w:p>
    <w:p>
      <w:pPr>
        <w:spacing w:line="360" w:lineRule="auto"/>
        <w:ind w:firstLine="480" w:firstLineChars="200"/>
        <w:rPr>
          <w:rFonts w:hint="eastAsia" w:hAnsi="宋体"/>
          <w:bCs/>
          <w:sz w:val="24"/>
          <w:szCs w:val="26"/>
        </w:rPr>
      </w:pPr>
      <w:r>
        <w:rPr>
          <w:rFonts w:hAnsi="宋体"/>
          <w:bCs/>
          <w:sz w:val="24"/>
          <w:szCs w:val="26"/>
        </w:rPr>
        <w:t>（7）</w:t>
      </w:r>
      <w:r>
        <w:rPr>
          <w:rFonts w:hint="eastAsia" w:hAnsi="宋体"/>
          <w:bCs/>
          <w:sz w:val="24"/>
          <w:szCs w:val="26"/>
        </w:rPr>
        <w:t>《中华人民共和国消防法》（2009年5月1日）；</w:t>
      </w:r>
    </w:p>
    <w:p>
      <w:pPr>
        <w:spacing w:line="360" w:lineRule="auto"/>
        <w:ind w:firstLine="480" w:firstLineChars="200"/>
        <w:rPr>
          <w:rFonts w:hAnsi="宋体"/>
          <w:bCs/>
          <w:sz w:val="24"/>
          <w:szCs w:val="26"/>
        </w:rPr>
      </w:pPr>
      <w:r>
        <w:rPr>
          <w:rFonts w:hAnsi="宋体"/>
          <w:bCs/>
          <w:sz w:val="24"/>
          <w:szCs w:val="26"/>
        </w:rPr>
        <w:t>（8）《中华人民共和国环境影响评价法》（2002年10月28日）</w:t>
      </w:r>
      <w:r>
        <w:rPr>
          <w:rFonts w:hint="eastAsia" w:hAnsi="宋体"/>
          <w:bCs/>
          <w:sz w:val="24"/>
          <w:szCs w:val="26"/>
        </w:rPr>
        <w:t>；</w:t>
      </w:r>
    </w:p>
    <w:p>
      <w:pPr>
        <w:spacing w:line="360" w:lineRule="auto"/>
        <w:ind w:firstLine="480" w:firstLineChars="200"/>
        <w:rPr>
          <w:rFonts w:hAnsi="宋体"/>
          <w:bCs/>
          <w:sz w:val="24"/>
          <w:szCs w:val="26"/>
        </w:rPr>
      </w:pPr>
      <w:r>
        <w:rPr>
          <w:rFonts w:hAnsi="宋体"/>
          <w:bCs/>
          <w:sz w:val="24"/>
          <w:szCs w:val="26"/>
        </w:rPr>
        <w:t>（9）《危险化学品安全管理条例》国务院令第591号</w:t>
      </w:r>
      <w:r>
        <w:rPr>
          <w:rFonts w:hint="eastAsia" w:hAnsi="宋体"/>
          <w:bCs/>
          <w:sz w:val="24"/>
          <w:szCs w:val="26"/>
        </w:rPr>
        <w:t>；</w:t>
      </w:r>
    </w:p>
    <w:p>
      <w:pPr>
        <w:spacing w:line="360" w:lineRule="auto"/>
        <w:ind w:firstLine="480" w:firstLineChars="200"/>
        <w:rPr>
          <w:rFonts w:hAnsi="宋体"/>
          <w:bCs/>
          <w:sz w:val="24"/>
          <w:szCs w:val="26"/>
        </w:rPr>
      </w:pPr>
      <w:r>
        <w:rPr>
          <w:rFonts w:hAnsi="宋体"/>
          <w:bCs/>
          <w:sz w:val="24"/>
          <w:szCs w:val="26"/>
        </w:rPr>
        <w:t>（10）《</w:t>
      </w:r>
      <w:r>
        <w:rPr>
          <w:rFonts w:hint="eastAsia" w:hAnsi="宋体"/>
          <w:bCs/>
          <w:sz w:val="24"/>
          <w:szCs w:val="26"/>
        </w:rPr>
        <w:t>产业结构调整指导目录</w:t>
      </w:r>
      <w:r>
        <w:rPr>
          <w:rFonts w:hAnsi="宋体"/>
          <w:bCs/>
          <w:sz w:val="24"/>
          <w:szCs w:val="26"/>
        </w:rPr>
        <w:t>》（</w:t>
      </w:r>
      <w:r>
        <w:rPr>
          <w:rFonts w:hint="eastAsia" w:hAnsi="宋体"/>
          <w:bCs/>
          <w:sz w:val="24"/>
          <w:szCs w:val="26"/>
        </w:rPr>
        <w:t>2011年本 2013修正）</w:t>
      </w:r>
      <w:r>
        <w:rPr>
          <w:rFonts w:hAnsi="宋体"/>
          <w:bCs/>
          <w:sz w:val="24"/>
          <w:szCs w:val="26"/>
        </w:rPr>
        <w:t>；</w:t>
      </w:r>
    </w:p>
    <w:p>
      <w:pPr>
        <w:spacing w:line="360" w:lineRule="auto"/>
        <w:ind w:firstLine="480" w:firstLineChars="200"/>
        <w:rPr>
          <w:rFonts w:hint="eastAsia" w:hAnsi="宋体"/>
          <w:bCs/>
          <w:sz w:val="24"/>
          <w:szCs w:val="26"/>
        </w:rPr>
      </w:pPr>
      <w:r>
        <w:rPr>
          <w:rFonts w:hAnsi="宋体"/>
          <w:bCs/>
          <w:sz w:val="24"/>
          <w:szCs w:val="26"/>
        </w:rPr>
        <w:t>（11）《关于开展重大危险源监督管理工作的指导意见》（安监管协调字[2004]56号）；</w:t>
      </w:r>
    </w:p>
    <w:p>
      <w:pPr>
        <w:spacing w:line="360" w:lineRule="auto"/>
        <w:ind w:firstLine="480" w:firstLineChars="200"/>
        <w:rPr>
          <w:rFonts w:hint="eastAsia" w:hAnsi="宋体"/>
          <w:bCs/>
          <w:sz w:val="24"/>
          <w:szCs w:val="26"/>
        </w:rPr>
      </w:pPr>
      <w:r>
        <w:rPr>
          <w:rFonts w:hint="eastAsia" w:hAnsi="宋体"/>
          <w:bCs/>
          <w:sz w:val="24"/>
          <w:szCs w:val="26"/>
        </w:rPr>
        <w:t>（12）《突发环境事件应急预案管理办法》（国办发【2013】101号）；</w:t>
      </w:r>
    </w:p>
    <w:p>
      <w:pPr>
        <w:spacing w:line="360" w:lineRule="auto"/>
        <w:ind w:firstLine="480" w:firstLineChars="200"/>
        <w:rPr>
          <w:rFonts w:hint="eastAsia" w:hAnsi="宋体"/>
          <w:bCs/>
          <w:sz w:val="24"/>
          <w:szCs w:val="26"/>
        </w:rPr>
      </w:pPr>
      <w:r>
        <w:rPr>
          <w:rFonts w:hint="eastAsia" w:hAnsi="宋体"/>
          <w:bCs/>
          <w:sz w:val="24"/>
          <w:szCs w:val="26"/>
        </w:rPr>
        <w:t>（13）《化学品环境风险防控“十二五”规划》（环发【2013】20号）；</w:t>
      </w:r>
    </w:p>
    <w:p>
      <w:pPr>
        <w:spacing w:line="360" w:lineRule="auto"/>
        <w:ind w:firstLine="480" w:firstLineChars="200"/>
        <w:rPr>
          <w:rFonts w:hint="eastAsia" w:hAnsi="宋体"/>
          <w:bCs/>
          <w:sz w:val="24"/>
          <w:szCs w:val="26"/>
        </w:rPr>
      </w:pPr>
      <w:r>
        <w:rPr>
          <w:rFonts w:hint="eastAsia" w:hAnsi="宋体"/>
          <w:bCs/>
          <w:sz w:val="24"/>
          <w:szCs w:val="26"/>
        </w:rPr>
        <w:t>（14）《重点监管危险化工工艺目录》（2013年完整版）；</w:t>
      </w:r>
    </w:p>
    <w:p>
      <w:pPr>
        <w:spacing w:line="360" w:lineRule="auto"/>
        <w:ind w:firstLine="480" w:firstLineChars="200"/>
        <w:rPr>
          <w:rFonts w:hint="eastAsia" w:hAnsi="宋体"/>
          <w:bCs/>
          <w:sz w:val="24"/>
          <w:szCs w:val="26"/>
        </w:rPr>
      </w:pPr>
      <w:r>
        <w:rPr>
          <w:rFonts w:hint="eastAsia" w:hAnsi="宋体"/>
          <w:bCs/>
          <w:sz w:val="24"/>
          <w:szCs w:val="26"/>
        </w:rPr>
        <w:t>（15）《重点监管的危险化学品目录》（2013年完整版）；</w:t>
      </w:r>
    </w:p>
    <w:p>
      <w:pPr>
        <w:spacing w:line="360" w:lineRule="auto"/>
        <w:ind w:firstLine="480" w:firstLineChars="200"/>
        <w:rPr>
          <w:rFonts w:hint="eastAsia" w:hAnsi="宋体"/>
          <w:bCs/>
          <w:sz w:val="24"/>
          <w:szCs w:val="26"/>
        </w:rPr>
      </w:pPr>
      <w:r>
        <w:rPr>
          <w:rFonts w:hint="eastAsia" w:hAnsi="宋体"/>
          <w:bCs/>
          <w:sz w:val="24"/>
          <w:szCs w:val="26"/>
        </w:rPr>
        <w:t>（16）《重庆市突发事件风险管理操作指南（试行）》（渝府发</w:t>
      </w:r>
      <w:r>
        <w:rPr>
          <w:rFonts w:hAnsi="宋体"/>
          <w:bCs/>
          <w:sz w:val="24"/>
          <w:szCs w:val="26"/>
        </w:rPr>
        <w:t>[2015]15</w:t>
      </w:r>
      <w:r>
        <w:rPr>
          <w:rFonts w:hint="eastAsia" w:hAnsi="宋体"/>
          <w:bCs/>
          <w:sz w:val="24"/>
          <w:szCs w:val="26"/>
        </w:rPr>
        <w:t>号）</w:t>
      </w:r>
    </w:p>
    <w:p>
      <w:pPr>
        <w:spacing w:line="360" w:lineRule="auto"/>
        <w:ind w:firstLine="480" w:firstLineChars="200"/>
        <w:rPr>
          <w:rFonts w:hint="eastAsia" w:hAnsi="宋体"/>
          <w:bCs/>
          <w:sz w:val="24"/>
          <w:szCs w:val="26"/>
        </w:rPr>
      </w:pPr>
      <w:r>
        <w:rPr>
          <w:rFonts w:hint="eastAsia" w:hAnsi="宋体"/>
          <w:bCs/>
          <w:sz w:val="24"/>
          <w:szCs w:val="26"/>
        </w:rPr>
        <w:t>（17）《重庆市突发环境事件应急预案》渝府办发〔</w:t>
      </w:r>
      <w:r>
        <w:rPr>
          <w:rFonts w:hAnsi="宋体"/>
          <w:bCs/>
          <w:sz w:val="24"/>
          <w:szCs w:val="26"/>
        </w:rPr>
        <w:t>2016</w:t>
      </w:r>
      <w:r>
        <w:rPr>
          <w:rFonts w:hint="eastAsia" w:hAnsi="宋体"/>
          <w:bCs/>
          <w:sz w:val="24"/>
          <w:szCs w:val="26"/>
        </w:rPr>
        <w:t>〕</w:t>
      </w:r>
      <w:r>
        <w:rPr>
          <w:rFonts w:hAnsi="宋体"/>
          <w:bCs/>
          <w:sz w:val="24"/>
          <w:szCs w:val="26"/>
        </w:rPr>
        <w:t>22</w:t>
      </w:r>
      <w:r>
        <w:rPr>
          <w:rFonts w:hint="eastAsia" w:hAnsi="宋体"/>
          <w:bCs/>
          <w:sz w:val="24"/>
          <w:szCs w:val="26"/>
        </w:rPr>
        <w:t>号</w:t>
      </w:r>
    </w:p>
    <w:p>
      <w:pPr>
        <w:spacing w:line="360" w:lineRule="auto"/>
        <w:ind w:firstLine="480" w:firstLineChars="200"/>
        <w:rPr>
          <w:rFonts w:hint="eastAsia" w:hAnsi="宋体"/>
          <w:bCs/>
          <w:sz w:val="24"/>
          <w:szCs w:val="26"/>
        </w:rPr>
      </w:pPr>
      <w:r>
        <w:rPr>
          <w:rFonts w:hint="eastAsia" w:hAnsi="宋体"/>
          <w:bCs/>
          <w:sz w:val="24"/>
          <w:szCs w:val="26"/>
        </w:rPr>
        <w:t>（18）《水污染防治行动计划》（国发[2015]17号）</w:t>
      </w:r>
    </w:p>
    <w:p>
      <w:pPr>
        <w:spacing w:line="360" w:lineRule="auto"/>
        <w:ind w:firstLine="480" w:firstLineChars="200"/>
        <w:rPr>
          <w:rFonts w:hint="eastAsia" w:hAnsi="宋体"/>
          <w:bCs/>
          <w:sz w:val="24"/>
          <w:szCs w:val="26"/>
        </w:rPr>
      </w:pPr>
      <w:r>
        <w:rPr>
          <w:rFonts w:hint="eastAsia" w:hAnsi="宋体"/>
          <w:bCs/>
          <w:sz w:val="24"/>
          <w:szCs w:val="26"/>
        </w:rPr>
        <w:t>（19）《重庆市人民政府关于印发贯彻落实国务院水污染防治行动计划实施方案的通知》（渝府发[2015]69号）</w:t>
      </w:r>
    </w:p>
    <w:p>
      <w:pPr>
        <w:spacing w:line="360" w:lineRule="auto"/>
        <w:ind w:firstLine="480" w:firstLineChars="200"/>
        <w:rPr>
          <w:rFonts w:hint="eastAsia" w:hAnsi="宋体"/>
          <w:bCs/>
          <w:sz w:val="24"/>
          <w:szCs w:val="26"/>
        </w:rPr>
      </w:pPr>
      <w:r>
        <w:rPr>
          <w:rFonts w:hint="eastAsia" w:hAnsi="宋体"/>
          <w:bCs/>
          <w:sz w:val="24"/>
          <w:szCs w:val="26"/>
        </w:rPr>
        <w:t>（20）《重庆市突发事件应急预案评估办法（试行）》（渝府办发[2013]123号）</w:t>
      </w:r>
    </w:p>
    <w:p>
      <w:pPr>
        <w:spacing w:line="360" w:lineRule="auto"/>
        <w:ind w:firstLine="480" w:firstLineChars="200"/>
        <w:rPr>
          <w:rFonts w:hint="eastAsia" w:hAnsi="宋体"/>
          <w:bCs/>
          <w:sz w:val="24"/>
          <w:szCs w:val="26"/>
        </w:rPr>
      </w:pPr>
      <w:r>
        <w:rPr>
          <w:rFonts w:hint="eastAsia" w:hAnsi="宋体"/>
          <w:bCs/>
          <w:sz w:val="24"/>
          <w:szCs w:val="26"/>
        </w:rPr>
        <w:t>（21）《企业事业单位突发环境事件应急预案备案管理办法（试行）》（环发[2015]4号）</w:t>
      </w:r>
    </w:p>
    <w:p>
      <w:pPr>
        <w:pStyle w:val="3"/>
      </w:pPr>
      <w:bookmarkStart w:id="571" w:name="_Toc338230938"/>
      <w:bookmarkStart w:id="572" w:name="_Toc461048090"/>
      <w:bookmarkStart w:id="573" w:name="_Toc338228585"/>
      <w:r>
        <w:t>1.3适用范围</w:t>
      </w:r>
      <w:bookmarkEnd w:id="571"/>
      <w:bookmarkEnd w:id="572"/>
      <w:bookmarkEnd w:id="573"/>
    </w:p>
    <w:p>
      <w:pPr>
        <w:spacing w:line="360" w:lineRule="auto"/>
        <w:ind w:firstLine="480" w:firstLineChars="200"/>
        <w:rPr>
          <w:rFonts w:hAnsi="宋体"/>
          <w:bCs/>
          <w:sz w:val="24"/>
          <w:szCs w:val="26"/>
        </w:rPr>
      </w:pPr>
      <w:r>
        <w:rPr>
          <w:rFonts w:hAnsi="宋体"/>
          <w:bCs/>
          <w:sz w:val="24"/>
          <w:szCs w:val="26"/>
        </w:rPr>
        <w:t>适用于特别重大、重大、较大和一般突发环境事件的应急处置。在发生跨界突发环境事件，或接到市环保局、周边区县紧急增援通报时，参照本预案执行。</w:t>
      </w:r>
    </w:p>
    <w:p>
      <w:pPr>
        <w:topLinePunct/>
        <w:spacing w:line="360" w:lineRule="auto"/>
        <w:ind w:firstLine="480" w:firstLineChars="200"/>
        <w:jc w:val="left"/>
        <w:rPr>
          <w:rFonts w:hint="eastAsia" w:ascii="宋体" w:hAnsi="宋体"/>
          <w:b/>
          <w:color w:val="000000"/>
          <w:sz w:val="24"/>
          <w:szCs w:val="32"/>
        </w:rPr>
      </w:pPr>
      <w:r>
        <w:rPr>
          <w:rFonts w:hAnsi="宋体"/>
          <w:bCs/>
          <w:sz w:val="24"/>
          <w:szCs w:val="26"/>
        </w:rPr>
        <w:t>本预案适用于</w:t>
      </w:r>
      <w:r>
        <w:rPr>
          <w:rFonts w:hint="eastAsia" w:hAnsi="宋体"/>
          <w:bCs/>
          <w:sz w:val="24"/>
          <w:szCs w:val="26"/>
        </w:rPr>
        <w:t>重庆永荣青鹏煤业有限公司</w:t>
      </w:r>
      <w:r>
        <w:rPr>
          <w:rFonts w:hint="eastAsia" w:ascii="宋体" w:hAnsi="宋体" w:cs="宋体"/>
          <w:color w:val="000000"/>
          <w:kern w:val="0"/>
          <w:sz w:val="24"/>
          <w:szCs w:val="28"/>
        </w:rPr>
        <w:t>整个生产流程内的环境污染事故的应对工作，在生产、经营、使用和处置过程中发生的泄露、燃烧等事件以及由污染所衍生的环境污染事件。</w:t>
      </w:r>
    </w:p>
    <w:p>
      <w:pPr>
        <w:pStyle w:val="3"/>
      </w:pPr>
      <w:bookmarkStart w:id="574" w:name="_Toc338230939"/>
      <w:bookmarkStart w:id="575" w:name="_Toc338228586"/>
      <w:bookmarkStart w:id="576" w:name="_Toc461048091"/>
      <w:r>
        <w:t>1.</w:t>
      </w:r>
      <w:r>
        <w:rPr>
          <w:rFonts w:hint="eastAsia"/>
        </w:rPr>
        <w:t>4</w:t>
      </w:r>
      <w:r>
        <w:t>工作原则</w:t>
      </w:r>
      <w:bookmarkEnd w:id="574"/>
      <w:bookmarkEnd w:id="575"/>
      <w:bookmarkEnd w:id="576"/>
    </w:p>
    <w:p>
      <w:pPr>
        <w:spacing w:line="360" w:lineRule="auto"/>
        <w:ind w:firstLine="600" w:firstLineChars="250"/>
        <w:jc w:val="left"/>
        <w:rPr>
          <w:rFonts w:ascii="Times New Roman" w:hAnsi="Times New Roman"/>
          <w:color w:val="000000"/>
          <w:kern w:val="0"/>
          <w:sz w:val="24"/>
          <w:szCs w:val="24"/>
        </w:rPr>
      </w:pPr>
      <w:r>
        <w:rPr>
          <w:rFonts w:ascii="Times New Roman" w:hAnsi="宋体"/>
          <w:color w:val="000000"/>
          <w:kern w:val="0"/>
          <w:sz w:val="24"/>
          <w:szCs w:val="24"/>
        </w:rPr>
        <w:t>突发环境事件，是指由于违反环境保护法律法规的经济、社会活动与行为，以及意外因素的影响或不可抗拒的自然灾害等原因致使环境安全受到危害的事件。突发环境事件的处置应遵循以下原则；</w:t>
      </w:r>
    </w:p>
    <w:p>
      <w:pPr>
        <w:spacing w:line="360" w:lineRule="auto"/>
        <w:ind w:firstLine="480" w:firstLineChars="200"/>
        <w:jc w:val="left"/>
        <w:rPr>
          <w:color w:val="000000"/>
          <w:kern w:val="0"/>
          <w:sz w:val="24"/>
          <w:szCs w:val="24"/>
        </w:rPr>
      </w:pPr>
      <w:bookmarkStart w:id="577" w:name="_Toc338228587"/>
      <w:bookmarkStart w:id="578" w:name="_Toc338230940"/>
      <w:r>
        <w:rPr>
          <w:color w:val="000000"/>
          <w:kern w:val="0"/>
          <w:sz w:val="24"/>
          <w:szCs w:val="24"/>
        </w:rPr>
        <w:t>（1）预防为主、常备不懈。坚持预防为主的方针，宣传普及环境应急知识，不断提高公众及公司全体员工的环境安全意识。建立和加强突发环境事件的预警机制，切实做到及时发现、及时报告、快速反应、及时控制。</w:t>
      </w:r>
    </w:p>
    <w:p>
      <w:pPr>
        <w:spacing w:line="360" w:lineRule="auto"/>
        <w:ind w:firstLine="480" w:firstLineChars="200"/>
        <w:jc w:val="left"/>
        <w:rPr>
          <w:color w:val="000000"/>
          <w:kern w:val="0"/>
          <w:sz w:val="24"/>
          <w:szCs w:val="24"/>
        </w:rPr>
      </w:pPr>
      <w:r>
        <w:rPr>
          <w:color w:val="000000"/>
          <w:kern w:val="0"/>
          <w:sz w:val="24"/>
          <w:szCs w:val="24"/>
        </w:rPr>
        <w:t>（2）以人为本、平战结合、专兼结合，充分利用现有资源。把保障人民群众的生命财产安全和身体健康作为首要任务，最大限度地减少突发环境事件及其造成的人员伤亡和危害。积极做好应对突发性环境污染事故的思想准备、物资准备、技术准备、工作准备，加强培训演练，应急系统做到常备不懈，可为本企业和其它企业及社会提供服务，在应急时快速有效。</w:t>
      </w:r>
    </w:p>
    <w:p>
      <w:pPr>
        <w:spacing w:line="360" w:lineRule="auto"/>
        <w:ind w:firstLine="480" w:firstLineChars="200"/>
        <w:jc w:val="left"/>
        <w:rPr>
          <w:color w:val="000000"/>
          <w:kern w:val="0"/>
          <w:sz w:val="24"/>
          <w:szCs w:val="24"/>
        </w:rPr>
      </w:pPr>
      <w:r>
        <w:rPr>
          <w:color w:val="000000"/>
          <w:kern w:val="0"/>
          <w:sz w:val="24"/>
          <w:szCs w:val="24"/>
        </w:rPr>
        <w:t>（3）加强环境事件危险源监控和监督管理，建立环境事件风险防范体系。经常性地做好思想、预案、机制等工作准备，加强培训和预案演练。</w:t>
      </w:r>
    </w:p>
    <w:p>
      <w:pPr>
        <w:spacing w:line="360" w:lineRule="auto"/>
        <w:ind w:firstLine="480" w:firstLineChars="200"/>
        <w:jc w:val="left"/>
        <w:rPr>
          <w:color w:val="000000"/>
          <w:kern w:val="0"/>
          <w:sz w:val="24"/>
          <w:szCs w:val="24"/>
        </w:rPr>
      </w:pPr>
      <w:r>
        <w:rPr>
          <w:color w:val="000000"/>
          <w:kern w:val="0"/>
          <w:sz w:val="24"/>
          <w:szCs w:val="24"/>
        </w:rPr>
        <w:t>（4）“分级指挥”原则。统一领导，分级负责。接受政府环保部门的指导，使本企业的突发性环境污染事故应急系统成为区域系统的有机组成部分。加强本企业各部门之间协同与合作，提高快速反应能力。针对不同污染源所造成的环境污染特点，实行分类管理，充分发挥部门专业优势，使采取的措施与突发环境污染事故造成的危害范围和社会影响相适应。</w:t>
      </w:r>
    </w:p>
    <w:p>
      <w:pPr>
        <w:spacing w:line="360" w:lineRule="auto"/>
        <w:ind w:firstLine="480" w:firstLineChars="200"/>
        <w:jc w:val="left"/>
        <w:rPr>
          <w:color w:val="000000"/>
          <w:kern w:val="0"/>
          <w:sz w:val="24"/>
          <w:szCs w:val="24"/>
        </w:rPr>
      </w:pPr>
      <w:r>
        <w:rPr>
          <w:color w:val="000000"/>
          <w:kern w:val="0"/>
          <w:sz w:val="24"/>
          <w:szCs w:val="24"/>
        </w:rPr>
        <w:t>（5）加强联动，信息共享。建立联动协调机制，加强协同配合，完善环境应急监测网络，充分发挥本公司优势和专业救援力量的作用，实现资源信息共享。</w:t>
      </w:r>
    </w:p>
    <w:p>
      <w:pPr>
        <w:spacing w:line="360" w:lineRule="auto"/>
        <w:ind w:firstLine="480" w:firstLineChars="200"/>
        <w:jc w:val="left"/>
        <w:rPr>
          <w:color w:val="000000"/>
          <w:kern w:val="0"/>
          <w:sz w:val="24"/>
          <w:szCs w:val="24"/>
        </w:rPr>
      </w:pPr>
      <w:r>
        <w:rPr>
          <w:color w:val="000000"/>
          <w:kern w:val="0"/>
          <w:sz w:val="24"/>
          <w:szCs w:val="24"/>
        </w:rPr>
        <w:t>（6）科学规范，处置有效。充分发挥专家学者在应急管理中的参谋作用，采用先进的监测、预警、预防和应急处置技术及设施，为突发环境事件的预警和处置提供技术支持。确保一旦有事能快速反应，科学处置。</w:t>
      </w:r>
    </w:p>
    <w:p>
      <w:pPr>
        <w:spacing w:line="360" w:lineRule="auto"/>
        <w:ind w:firstLine="480" w:firstLineChars="200"/>
        <w:jc w:val="left"/>
        <w:rPr>
          <w:color w:val="000000"/>
          <w:kern w:val="0"/>
          <w:sz w:val="24"/>
          <w:szCs w:val="24"/>
        </w:rPr>
      </w:pPr>
      <w:r>
        <w:rPr>
          <w:color w:val="000000"/>
          <w:kern w:val="0"/>
          <w:sz w:val="24"/>
          <w:szCs w:val="24"/>
        </w:rPr>
        <w:t>实行董事长负责制，把事故控制在有限范围内，避免发生次生、衍生事故。</w:t>
      </w:r>
    </w:p>
    <w:p>
      <w:pPr>
        <w:spacing w:line="360" w:lineRule="auto"/>
        <w:ind w:firstLine="480" w:firstLineChars="200"/>
        <w:rPr>
          <w:rFonts w:eastAsia="仿宋"/>
          <w:kern w:val="0"/>
          <w:sz w:val="24"/>
          <w:szCs w:val="24"/>
        </w:rPr>
      </w:pPr>
      <w:r>
        <w:rPr>
          <w:color w:val="000000"/>
          <w:kern w:val="0"/>
          <w:sz w:val="24"/>
          <w:szCs w:val="24"/>
        </w:rPr>
        <w:t>当厂内人员、工艺流程及布局等发生变化时，需及时对应急处置预案修订；通过演练及时对设置不合理的步骤进行调整。</w:t>
      </w:r>
    </w:p>
    <w:p>
      <w:pPr>
        <w:pStyle w:val="3"/>
        <w:rPr>
          <w:rFonts w:hint="eastAsia"/>
          <w:szCs w:val="28"/>
        </w:rPr>
      </w:pPr>
      <w:bookmarkStart w:id="579" w:name="_Toc461048092"/>
      <w:r>
        <w:rPr>
          <w:szCs w:val="28"/>
        </w:rPr>
        <w:t>1.</w:t>
      </w:r>
      <w:r>
        <w:rPr>
          <w:rFonts w:hint="eastAsia"/>
          <w:szCs w:val="28"/>
        </w:rPr>
        <w:t>5基本任务</w:t>
      </w:r>
      <w:bookmarkEnd w:id="577"/>
      <w:bookmarkEnd w:id="578"/>
      <w:bookmarkEnd w:id="579"/>
    </w:p>
    <w:p>
      <w:pPr>
        <w:spacing w:line="360" w:lineRule="auto"/>
        <w:rPr>
          <w:rFonts w:hint="eastAsia"/>
          <w:sz w:val="24"/>
          <w:szCs w:val="24"/>
        </w:rPr>
      </w:pPr>
      <w:r>
        <w:rPr>
          <w:rFonts w:hint="eastAsia"/>
          <w:sz w:val="24"/>
          <w:szCs w:val="24"/>
        </w:rPr>
        <w:t xml:space="preserve">    1、坚持不懈抓安全生产，建立环突发事件预警机制，着力消除环境事件隐患。环境突发事件应该秉承预防为主、控制为辅的原则。通过对企业内的环境风险目标有效日常监控和安全生产的常抓不懈，建立健全环境应急事件预警工作机制，尽最大努力将环境突发事件的隐患消灭在萌芽之前。</w:t>
      </w:r>
    </w:p>
    <w:p>
      <w:pPr>
        <w:spacing w:line="360" w:lineRule="auto"/>
        <w:ind w:firstLine="480" w:firstLineChars="200"/>
        <w:rPr>
          <w:rFonts w:hint="eastAsia"/>
          <w:sz w:val="24"/>
          <w:szCs w:val="24"/>
        </w:rPr>
      </w:pPr>
      <w:r>
        <w:rPr>
          <w:rFonts w:hint="eastAsia"/>
          <w:sz w:val="24"/>
          <w:szCs w:val="24"/>
        </w:rPr>
        <w:t>2、控制危险源扩散，阻止事态恶化。应急救援工作的首要任务是及时控制住危险源，防止事故的继续扩展，实行有效救援。一旦出现环境污染等突发事故应尽快组织工程抢险队与事故单位技术人员一起及时堵源，控制事故继续扩展。</w:t>
      </w:r>
    </w:p>
    <w:p>
      <w:pPr>
        <w:spacing w:line="360" w:lineRule="auto"/>
        <w:ind w:firstLine="480" w:firstLineChars="200"/>
        <w:rPr>
          <w:rFonts w:hint="eastAsia"/>
          <w:sz w:val="24"/>
          <w:szCs w:val="24"/>
        </w:rPr>
      </w:pPr>
      <w:r>
        <w:rPr>
          <w:rFonts w:hint="eastAsia"/>
          <w:sz w:val="24"/>
          <w:szCs w:val="24"/>
        </w:rPr>
        <w:t>3、抢救受害人员，避免人员伤亡。抢救受害人员是应急救援的重要任务，在应急救援的行动中及时、有序、有效地实施现场急救和安全迅速转移伤员，以最大限度减低伤亡率，减少事故损失。</w:t>
      </w:r>
    </w:p>
    <w:p>
      <w:pPr>
        <w:spacing w:line="360" w:lineRule="auto"/>
        <w:ind w:firstLine="480" w:firstLineChars="200"/>
        <w:rPr>
          <w:rFonts w:hint="eastAsia"/>
          <w:sz w:val="24"/>
          <w:szCs w:val="24"/>
        </w:rPr>
      </w:pPr>
      <w:r>
        <w:rPr>
          <w:rFonts w:hint="eastAsia"/>
          <w:sz w:val="24"/>
          <w:szCs w:val="24"/>
        </w:rPr>
        <w:t>4、指导群众防护和撤离，保护受影响人群健康。鉴于事故发生突然、扩散迅速、涉及范围广、危害性大的特点，在事故现场实施警戒并及时指导和阻止群众采取各种措施进行自身保护，并向上风向迅速撤离出危险区或可能受到危害的区域，并在撤离过程性积极组织群众开展自救和互救工作。</w:t>
      </w:r>
    </w:p>
    <w:p>
      <w:pPr>
        <w:spacing w:line="360" w:lineRule="auto"/>
        <w:ind w:firstLine="480" w:firstLineChars="200"/>
        <w:rPr>
          <w:rFonts w:ascii="Times New Roman" w:hAnsi="Times New Roman"/>
          <w:sz w:val="24"/>
          <w:szCs w:val="24"/>
        </w:rPr>
      </w:pPr>
      <w:r>
        <w:rPr>
          <w:rFonts w:ascii="Times New Roman" w:hAnsi="Times New Roman"/>
          <w:sz w:val="24"/>
          <w:szCs w:val="24"/>
        </w:rPr>
        <w:t>5</w:t>
      </w:r>
      <w:r>
        <w:rPr>
          <w:rFonts w:ascii="Times New Roman" w:hAnsi="宋体"/>
          <w:sz w:val="24"/>
          <w:szCs w:val="24"/>
        </w:rPr>
        <w:t>、做好现场清理，最大化消除环境污染后果。对事故外溢的有毒有害物质和可能对人和环境造成危害的物质，及时组织人员予以清除、消除危害后果，防止对人的继续危害和对环境的污染。</w:t>
      </w:r>
    </w:p>
    <w:p>
      <w:pPr>
        <w:pStyle w:val="3"/>
        <w:rPr>
          <w:rFonts w:ascii="Times New Roman" w:hAnsi="Times New Roman"/>
        </w:rPr>
      </w:pPr>
      <w:bookmarkStart w:id="580" w:name="_Toc461048093"/>
      <w:r>
        <w:rPr>
          <w:rFonts w:ascii="Times New Roman" w:hAnsi="Times New Roman"/>
        </w:rPr>
        <w:t>1.6</w:t>
      </w:r>
      <w:r>
        <w:rPr>
          <w:rFonts w:ascii="Times New Roman" w:hAnsi="宋体"/>
        </w:rPr>
        <w:t>评价标准</w:t>
      </w:r>
      <w:bookmarkEnd w:id="580"/>
    </w:p>
    <w:p>
      <w:pPr>
        <w:spacing w:line="360" w:lineRule="auto"/>
        <w:ind w:firstLine="480"/>
        <w:rPr>
          <w:rFonts w:ascii="Times New Roman" w:hAnsi="Times New Roman"/>
          <w:sz w:val="24"/>
        </w:rPr>
      </w:pPr>
      <w:r>
        <w:rPr>
          <w:rFonts w:ascii="Times New Roman" w:hAnsi="宋体"/>
          <w:sz w:val="24"/>
        </w:rPr>
        <w:t>（</w:t>
      </w:r>
      <w:r>
        <w:rPr>
          <w:rFonts w:ascii="Times New Roman" w:hAnsi="Times New Roman"/>
          <w:sz w:val="24"/>
        </w:rPr>
        <w:t>1</w:t>
      </w:r>
      <w:r>
        <w:rPr>
          <w:rFonts w:ascii="Times New Roman" w:hAnsi="宋体"/>
          <w:sz w:val="24"/>
        </w:rPr>
        <w:t>）环境空气</w:t>
      </w:r>
    </w:p>
    <w:p>
      <w:pPr>
        <w:spacing w:line="360" w:lineRule="auto"/>
        <w:ind w:firstLine="482"/>
        <w:rPr>
          <w:rFonts w:ascii="Times New Roman" w:hAnsi="Times New Roman"/>
          <w:sz w:val="24"/>
          <w:szCs w:val="24"/>
        </w:rPr>
      </w:pPr>
      <w:r>
        <w:rPr>
          <w:rFonts w:ascii="Times New Roman" w:hAnsi="宋体"/>
          <w:sz w:val="24"/>
          <w:szCs w:val="24"/>
        </w:rPr>
        <w:t>企业位于重庆市沙坪坝区青木关镇关口村，根据重府发</w:t>
      </w:r>
      <w:r>
        <w:rPr>
          <w:rFonts w:ascii="Times New Roman" w:hAnsi="Times New Roman"/>
          <w:sz w:val="24"/>
          <w:szCs w:val="24"/>
        </w:rPr>
        <w:t>[2008]135</w:t>
      </w:r>
      <w:r>
        <w:rPr>
          <w:rFonts w:ascii="Times New Roman" w:hAnsi="宋体"/>
          <w:sz w:val="24"/>
          <w:szCs w:val="24"/>
        </w:rPr>
        <w:t>号文</w:t>
      </w:r>
      <w:r>
        <w:rPr>
          <w:rFonts w:ascii="Times New Roman" w:hAnsi="Times New Roman"/>
          <w:sz w:val="24"/>
          <w:szCs w:val="24"/>
        </w:rPr>
        <w:t>“</w:t>
      </w:r>
      <w:r>
        <w:rPr>
          <w:rFonts w:ascii="Times New Roman" w:hAnsi="宋体"/>
          <w:sz w:val="24"/>
          <w:szCs w:val="24"/>
        </w:rPr>
        <w:t>重庆市环境空气质量功能区划分规定</w:t>
      </w:r>
      <w:r>
        <w:rPr>
          <w:rFonts w:ascii="Times New Roman" w:hAnsi="Times New Roman"/>
          <w:sz w:val="24"/>
          <w:szCs w:val="24"/>
        </w:rPr>
        <w:t>”</w:t>
      </w:r>
      <w:r>
        <w:rPr>
          <w:rFonts w:ascii="Times New Roman" w:hAnsi="宋体"/>
          <w:sz w:val="24"/>
          <w:szCs w:val="24"/>
        </w:rPr>
        <w:t>，企业所在地为二类区域，环境空气质量执行《环境空气质量标准》（</w:t>
      </w:r>
      <w:r>
        <w:rPr>
          <w:rFonts w:ascii="Times New Roman" w:hAnsi="Times New Roman"/>
          <w:sz w:val="24"/>
          <w:szCs w:val="24"/>
        </w:rPr>
        <w:t>GB3095-2012</w:t>
      </w:r>
      <w:r>
        <w:rPr>
          <w:rFonts w:ascii="Times New Roman" w:hAnsi="宋体"/>
          <w:sz w:val="24"/>
          <w:szCs w:val="24"/>
        </w:rPr>
        <w:t>）中二级标准。标准值详见表</w:t>
      </w:r>
      <w:r>
        <w:rPr>
          <w:rFonts w:ascii="Times New Roman" w:hAnsi="Times New Roman"/>
          <w:sz w:val="24"/>
          <w:szCs w:val="24"/>
        </w:rPr>
        <w:t>1.6</w:t>
      </w:r>
      <w:r>
        <w:rPr>
          <w:rFonts w:hint="eastAsia" w:ascii="Times New Roman" w:hAnsi="Times New Roman"/>
          <w:sz w:val="24"/>
          <w:szCs w:val="24"/>
        </w:rPr>
        <w:t>—</w:t>
      </w:r>
      <w:r>
        <w:rPr>
          <w:rFonts w:ascii="Times New Roman" w:hAnsi="Times New Roman"/>
          <w:sz w:val="24"/>
          <w:szCs w:val="24"/>
        </w:rPr>
        <w:t>1</w:t>
      </w:r>
      <w:r>
        <w:rPr>
          <w:rFonts w:ascii="Times New Roman" w:hAnsi="宋体"/>
          <w:sz w:val="24"/>
          <w:szCs w:val="24"/>
        </w:rPr>
        <w:t>。</w:t>
      </w:r>
    </w:p>
    <w:p>
      <w:pPr>
        <w:spacing w:line="360" w:lineRule="auto"/>
        <w:ind w:firstLine="403" w:firstLineChars="192"/>
        <w:jc w:val="center"/>
        <w:rPr>
          <w:rFonts w:ascii="Times New Roman" w:hAnsi="Times New Roman"/>
          <w:b/>
          <w:szCs w:val="21"/>
        </w:rPr>
      </w:pPr>
      <w:r>
        <w:rPr>
          <w:rFonts w:ascii="Times New Roman" w:hAnsi="Times New Roman"/>
          <w:b/>
          <w:szCs w:val="21"/>
        </w:rPr>
        <w:br w:type="page"/>
      </w:r>
      <w:r>
        <w:rPr>
          <w:rFonts w:ascii="Times New Roman" w:hAnsi="宋体"/>
          <w:b/>
          <w:szCs w:val="21"/>
        </w:rPr>
        <w:t>表</w:t>
      </w:r>
      <w:r>
        <w:rPr>
          <w:rFonts w:ascii="Times New Roman" w:hAnsi="Times New Roman"/>
          <w:b/>
          <w:szCs w:val="21"/>
        </w:rPr>
        <w:t>1.6</w:t>
      </w:r>
      <w:r>
        <w:rPr>
          <w:rFonts w:hint="eastAsia" w:ascii="Times New Roman" w:hAnsi="Times New Roman"/>
          <w:b/>
          <w:szCs w:val="21"/>
        </w:rPr>
        <w:t>—</w:t>
      </w:r>
      <w:r>
        <w:rPr>
          <w:rFonts w:ascii="Times New Roman" w:hAnsi="Times New Roman"/>
          <w:b/>
          <w:szCs w:val="21"/>
        </w:rPr>
        <w:t xml:space="preserve">1     </w:t>
      </w:r>
      <w:r>
        <w:rPr>
          <w:rFonts w:ascii="Times New Roman" w:hAnsi="宋体"/>
          <w:b/>
          <w:szCs w:val="21"/>
        </w:rPr>
        <w:t>环境空气质量标准</w:t>
      </w:r>
      <w:r>
        <w:rPr>
          <w:rFonts w:ascii="Times New Roman" w:hAnsi="Times New Roman"/>
          <w:b/>
          <w:szCs w:val="21"/>
        </w:rPr>
        <w:t xml:space="preserve">     μg/m</w:t>
      </w:r>
      <w:r>
        <w:rPr>
          <w:rFonts w:ascii="Times New Roman" w:hAnsi="Times New Roman"/>
          <w:b/>
          <w:szCs w:val="21"/>
          <w:vertAlign w:val="superscript"/>
        </w:rPr>
        <w:t>3</w:t>
      </w:r>
    </w:p>
    <w:tbl>
      <w:tblPr>
        <w:tblStyle w:val="21"/>
        <w:tblW w:w="850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91"/>
        <w:gridCol w:w="1194"/>
        <w:gridCol w:w="1194"/>
        <w:gridCol w:w="1194"/>
        <w:gridCol w:w="37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191" w:type="dxa"/>
            <w:vAlign w:val="center"/>
          </w:tcPr>
          <w:p>
            <w:pPr>
              <w:spacing w:line="240" w:lineRule="atLeast"/>
              <w:jc w:val="center"/>
              <w:rPr>
                <w:rFonts w:ascii="Times New Roman" w:hAnsi="Times New Roman"/>
                <w:szCs w:val="21"/>
              </w:rPr>
            </w:pPr>
            <w:r>
              <w:rPr>
                <w:rFonts w:ascii="Times New Roman" w:hAnsi="宋体"/>
                <w:szCs w:val="21"/>
              </w:rPr>
              <w:t>污染物</w:t>
            </w:r>
          </w:p>
        </w:tc>
        <w:tc>
          <w:tcPr>
            <w:tcW w:w="1194" w:type="dxa"/>
            <w:vAlign w:val="center"/>
          </w:tcPr>
          <w:p>
            <w:pPr>
              <w:spacing w:line="240" w:lineRule="atLeast"/>
              <w:jc w:val="center"/>
              <w:rPr>
                <w:rFonts w:ascii="Times New Roman" w:hAnsi="Times New Roman"/>
                <w:szCs w:val="21"/>
              </w:rPr>
            </w:pPr>
            <w:r>
              <w:rPr>
                <w:rFonts w:ascii="Times New Roman" w:hAnsi="Times New Roman"/>
                <w:szCs w:val="21"/>
              </w:rPr>
              <w:t>1</w:t>
            </w:r>
            <w:r>
              <w:rPr>
                <w:rFonts w:ascii="Times New Roman" w:hAnsi="宋体"/>
                <w:szCs w:val="21"/>
              </w:rPr>
              <w:t>小时平均</w:t>
            </w:r>
          </w:p>
        </w:tc>
        <w:tc>
          <w:tcPr>
            <w:tcW w:w="1194" w:type="dxa"/>
            <w:vAlign w:val="center"/>
          </w:tcPr>
          <w:p>
            <w:pPr>
              <w:spacing w:line="240" w:lineRule="atLeast"/>
              <w:jc w:val="center"/>
              <w:rPr>
                <w:rFonts w:ascii="Times New Roman" w:hAnsi="Times New Roman"/>
                <w:szCs w:val="21"/>
              </w:rPr>
            </w:pPr>
            <w:r>
              <w:rPr>
                <w:rFonts w:ascii="Times New Roman" w:hAnsi="宋体"/>
                <w:szCs w:val="21"/>
              </w:rPr>
              <w:t>日平均</w:t>
            </w:r>
          </w:p>
        </w:tc>
        <w:tc>
          <w:tcPr>
            <w:tcW w:w="1194" w:type="dxa"/>
            <w:vAlign w:val="center"/>
          </w:tcPr>
          <w:p>
            <w:pPr>
              <w:spacing w:line="240" w:lineRule="atLeast"/>
              <w:jc w:val="center"/>
              <w:rPr>
                <w:rFonts w:ascii="Times New Roman" w:hAnsi="Times New Roman"/>
                <w:szCs w:val="21"/>
              </w:rPr>
            </w:pPr>
            <w:r>
              <w:rPr>
                <w:rFonts w:ascii="Times New Roman" w:hAnsi="宋体"/>
                <w:szCs w:val="21"/>
              </w:rPr>
              <w:t>年平均</w:t>
            </w:r>
          </w:p>
        </w:tc>
        <w:tc>
          <w:tcPr>
            <w:tcW w:w="3732" w:type="dxa"/>
            <w:vAlign w:val="center"/>
          </w:tcPr>
          <w:p>
            <w:pPr>
              <w:spacing w:line="240" w:lineRule="atLeast"/>
              <w:jc w:val="center"/>
              <w:rPr>
                <w:rFonts w:ascii="Times New Roman" w:hAnsi="Times New Roman"/>
                <w:szCs w:val="21"/>
              </w:rPr>
            </w:pPr>
            <w:r>
              <w:rPr>
                <w:rFonts w:ascii="Times New Roman" w:hAnsi="宋体"/>
                <w:szCs w:val="21"/>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191" w:type="dxa"/>
            <w:vAlign w:val="center"/>
          </w:tcPr>
          <w:p>
            <w:pPr>
              <w:spacing w:line="240" w:lineRule="atLeast"/>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1194" w:type="dxa"/>
            <w:vAlign w:val="center"/>
          </w:tcPr>
          <w:p>
            <w:pPr>
              <w:spacing w:line="240" w:lineRule="atLeast"/>
              <w:jc w:val="center"/>
              <w:rPr>
                <w:rFonts w:ascii="Times New Roman" w:hAnsi="Times New Roman"/>
                <w:szCs w:val="21"/>
              </w:rPr>
            </w:pPr>
            <w:r>
              <w:rPr>
                <w:rFonts w:ascii="Times New Roman" w:hAnsi="Times New Roman"/>
                <w:szCs w:val="21"/>
              </w:rPr>
              <w:t>500</w:t>
            </w:r>
          </w:p>
        </w:tc>
        <w:tc>
          <w:tcPr>
            <w:tcW w:w="1194" w:type="dxa"/>
            <w:vAlign w:val="center"/>
          </w:tcPr>
          <w:p>
            <w:pPr>
              <w:spacing w:line="240" w:lineRule="atLeast"/>
              <w:jc w:val="center"/>
              <w:rPr>
                <w:rFonts w:ascii="Times New Roman" w:hAnsi="Times New Roman"/>
                <w:szCs w:val="21"/>
              </w:rPr>
            </w:pPr>
            <w:r>
              <w:rPr>
                <w:rFonts w:ascii="Times New Roman" w:hAnsi="Times New Roman"/>
                <w:szCs w:val="21"/>
              </w:rPr>
              <w:t>150</w:t>
            </w:r>
          </w:p>
        </w:tc>
        <w:tc>
          <w:tcPr>
            <w:tcW w:w="1194" w:type="dxa"/>
            <w:vAlign w:val="center"/>
          </w:tcPr>
          <w:p>
            <w:pPr>
              <w:spacing w:line="240" w:lineRule="atLeast"/>
              <w:jc w:val="center"/>
              <w:rPr>
                <w:rFonts w:ascii="Times New Roman" w:hAnsi="Times New Roman"/>
                <w:szCs w:val="21"/>
              </w:rPr>
            </w:pPr>
            <w:r>
              <w:rPr>
                <w:rFonts w:ascii="Times New Roman" w:hAnsi="Times New Roman"/>
                <w:szCs w:val="21"/>
              </w:rPr>
              <w:t>60</w:t>
            </w:r>
          </w:p>
        </w:tc>
        <w:tc>
          <w:tcPr>
            <w:tcW w:w="3732" w:type="dxa"/>
            <w:vMerge w:val="restart"/>
            <w:vAlign w:val="center"/>
          </w:tcPr>
          <w:p>
            <w:pPr>
              <w:spacing w:line="240" w:lineRule="atLeast"/>
              <w:jc w:val="center"/>
              <w:rPr>
                <w:rFonts w:ascii="Times New Roman" w:hAnsi="Times New Roman"/>
                <w:szCs w:val="21"/>
              </w:rPr>
            </w:pPr>
            <w:r>
              <w:rPr>
                <w:rFonts w:ascii="Times New Roman" w:hAnsi="宋体"/>
                <w:szCs w:val="21"/>
              </w:rPr>
              <w:t>《环境空气质量标准》</w:t>
            </w:r>
          </w:p>
          <w:p>
            <w:pPr>
              <w:spacing w:line="240" w:lineRule="atLeast"/>
              <w:jc w:val="center"/>
              <w:rPr>
                <w:rFonts w:ascii="Times New Roman" w:hAnsi="Times New Roman"/>
                <w:szCs w:val="21"/>
              </w:rPr>
            </w:pPr>
            <w:r>
              <w:rPr>
                <w:rFonts w:ascii="Times New Roman" w:hAnsi="宋体"/>
                <w:szCs w:val="21"/>
              </w:rPr>
              <w:t>（</w:t>
            </w:r>
            <w:r>
              <w:rPr>
                <w:rFonts w:ascii="Times New Roman" w:hAnsi="Times New Roman"/>
                <w:szCs w:val="21"/>
              </w:rPr>
              <w:t>GB3095-2012</w:t>
            </w:r>
            <w:r>
              <w:rPr>
                <w:rFonts w:ascii="Times New Roman" w:hAnsi="宋体"/>
                <w:szCs w:val="21"/>
              </w:rPr>
              <w:t>）二级标准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191" w:type="dxa"/>
            <w:vAlign w:val="center"/>
          </w:tcPr>
          <w:p>
            <w:pPr>
              <w:spacing w:line="240" w:lineRule="atLeast"/>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1194" w:type="dxa"/>
            <w:vAlign w:val="center"/>
          </w:tcPr>
          <w:p>
            <w:pPr>
              <w:spacing w:line="240" w:lineRule="atLeast"/>
              <w:jc w:val="center"/>
              <w:rPr>
                <w:rFonts w:ascii="Times New Roman" w:hAnsi="Times New Roman"/>
                <w:szCs w:val="21"/>
              </w:rPr>
            </w:pPr>
            <w:r>
              <w:rPr>
                <w:rFonts w:ascii="Times New Roman" w:hAnsi="Times New Roman"/>
                <w:szCs w:val="21"/>
              </w:rPr>
              <w:t>200</w:t>
            </w:r>
          </w:p>
        </w:tc>
        <w:tc>
          <w:tcPr>
            <w:tcW w:w="1194" w:type="dxa"/>
            <w:vAlign w:val="center"/>
          </w:tcPr>
          <w:p>
            <w:pPr>
              <w:spacing w:line="240" w:lineRule="atLeast"/>
              <w:jc w:val="center"/>
              <w:rPr>
                <w:rFonts w:ascii="Times New Roman" w:hAnsi="Times New Roman"/>
                <w:szCs w:val="21"/>
              </w:rPr>
            </w:pPr>
            <w:r>
              <w:rPr>
                <w:rFonts w:ascii="Times New Roman" w:hAnsi="Times New Roman"/>
                <w:szCs w:val="21"/>
              </w:rPr>
              <w:t>80</w:t>
            </w:r>
          </w:p>
        </w:tc>
        <w:tc>
          <w:tcPr>
            <w:tcW w:w="1194" w:type="dxa"/>
            <w:vAlign w:val="center"/>
          </w:tcPr>
          <w:p>
            <w:pPr>
              <w:spacing w:line="240" w:lineRule="atLeast"/>
              <w:jc w:val="center"/>
              <w:rPr>
                <w:rFonts w:ascii="Times New Roman" w:hAnsi="Times New Roman"/>
                <w:szCs w:val="21"/>
              </w:rPr>
            </w:pPr>
            <w:r>
              <w:rPr>
                <w:rFonts w:ascii="Times New Roman" w:hAnsi="Times New Roman"/>
                <w:szCs w:val="21"/>
              </w:rPr>
              <w:t>40</w:t>
            </w:r>
          </w:p>
        </w:tc>
        <w:tc>
          <w:tcPr>
            <w:tcW w:w="3732" w:type="dxa"/>
            <w:vMerge w:val="continue"/>
            <w:vAlign w:val="center"/>
          </w:tcPr>
          <w:p>
            <w:pPr>
              <w:spacing w:line="240" w:lineRule="atLeas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191" w:type="dxa"/>
            <w:vAlign w:val="center"/>
          </w:tcPr>
          <w:p>
            <w:pPr>
              <w:spacing w:line="240" w:lineRule="atLeast"/>
              <w:jc w:val="center"/>
              <w:rPr>
                <w:rFonts w:ascii="Times New Roman" w:hAnsi="Times New Roman"/>
                <w:szCs w:val="21"/>
                <w:vertAlign w:val="subscript"/>
              </w:rPr>
            </w:pPr>
            <w:r>
              <w:rPr>
                <w:rFonts w:ascii="Times New Roman" w:hAnsi="Times New Roman"/>
                <w:szCs w:val="21"/>
              </w:rPr>
              <w:t>PM</w:t>
            </w:r>
            <w:r>
              <w:rPr>
                <w:rFonts w:ascii="Times New Roman" w:hAnsi="Times New Roman"/>
                <w:szCs w:val="21"/>
                <w:vertAlign w:val="subscript"/>
              </w:rPr>
              <w:t>10</w:t>
            </w:r>
          </w:p>
        </w:tc>
        <w:tc>
          <w:tcPr>
            <w:tcW w:w="1194" w:type="dxa"/>
            <w:vAlign w:val="center"/>
          </w:tcPr>
          <w:p>
            <w:pPr>
              <w:spacing w:line="240" w:lineRule="atLeast"/>
              <w:jc w:val="center"/>
              <w:rPr>
                <w:rFonts w:ascii="Times New Roman" w:hAnsi="Times New Roman"/>
                <w:szCs w:val="21"/>
              </w:rPr>
            </w:pPr>
            <w:r>
              <w:rPr>
                <w:rFonts w:ascii="Times New Roman" w:hAnsi="Times New Roman"/>
                <w:szCs w:val="21"/>
              </w:rPr>
              <w:t>/</w:t>
            </w:r>
          </w:p>
        </w:tc>
        <w:tc>
          <w:tcPr>
            <w:tcW w:w="1194" w:type="dxa"/>
            <w:vAlign w:val="center"/>
          </w:tcPr>
          <w:p>
            <w:pPr>
              <w:spacing w:line="240" w:lineRule="atLeast"/>
              <w:jc w:val="center"/>
              <w:rPr>
                <w:rFonts w:ascii="Times New Roman" w:hAnsi="Times New Roman"/>
                <w:szCs w:val="21"/>
              </w:rPr>
            </w:pPr>
            <w:r>
              <w:rPr>
                <w:rFonts w:ascii="Times New Roman" w:hAnsi="Times New Roman"/>
                <w:szCs w:val="21"/>
              </w:rPr>
              <w:t>150</w:t>
            </w:r>
          </w:p>
        </w:tc>
        <w:tc>
          <w:tcPr>
            <w:tcW w:w="1194" w:type="dxa"/>
            <w:vAlign w:val="center"/>
          </w:tcPr>
          <w:p>
            <w:pPr>
              <w:spacing w:line="240" w:lineRule="atLeast"/>
              <w:jc w:val="center"/>
              <w:rPr>
                <w:rFonts w:ascii="Times New Roman" w:hAnsi="Times New Roman"/>
                <w:szCs w:val="21"/>
              </w:rPr>
            </w:pPr>
            <w:r>
              <w:rPr>
                <w:rFonts w:ascii="Times New Roman" w:hAnsi="Times New Roman"/>
                <w:szCs w:val="21"/>
              </w:rPr>
              <w:t>70</w:t>
            </w:r>
          </w:p>
        </w:tc>
        <w:tc>
          <w:tcPr>
            <w:tcW w:w="3732" w:type="dxa"/>
            <w:vMerge w:val="continue"/>
            <w:vAlign w:val="center"/>
          </w:tcPr>
          <w:p>
            <w:pPr>
              <w:spacing w:line="240" w:lineRule="atLeast"/>
              <w:jc w:val="center"/>
              <w:rPr>
                <w:rFonts w:ascii="Times New Roman" w:hAnsi="Times New Roman"/>
                <w:szCs w:val="21"/>
              </w:rPr>
            </w:pPr>
          </w:p>
        </w:tc>
      </w:tr>
    </w:tbl>
    <w:p>
      <w:pPr>
        <w:pStyle w:val="35"/>
        <w:adjustRightInd/>
        <w:snapToGrid/>
        <w:spacing w:line="360" w:lineRule="auto"/>
        <w:ind w:firstLine="360" w:firstLineChars="150"/>
        <w:rPr>
          <w:rFonts w:ascii="Times New Roman" w:hAnsi="Times New Roman" w:cs="Times New Roman"/>
        </w:rPr>
      </w:pPr>
      <w:r>
        <w:rPr>
          <w:rFonts w:ascii="Times New Roman" w:hAnsi="宋体" w:cs="Times New Roman"/>
        </w:rPr>
        <w:t>（</w:t>
      </w:r>
      <w:r>
        <w:rPr>
          <w:rFonts w:ascii="Times New Roman" w:hAnsi="Times New Roman" w:cs="Times New Roman"/>
        </w:rPr>
        <w:t>2</w:t>
      </w:r>
      <w:r>
        <w:rPr>
          <w:rFonts w:ascii="Times New Roman" w:hAnsi="宋体" w:cs="Times New Roman"/>
        </w:rPr>
        <w:t>）地表水环境质量标准</w:t>
      </w:r>
    </w:p>
    <w:p>
      <w:pPr>
        <w:spacing w:line="360" w:lineRule="auto"/>
        <w:ind w:firstLine="480" w:firstLineChars="200"/>
        <w:rPr>
          <w:rFonts w:ascii="Times New Roman" w:hAnsi="Times New Roman"/>
          <w:sz w:val="24"/>
          <w:szCs w:val="24"/>
        </w:rPr>
      </w:pPr>
      <w:r>
        <w:rPr>
          <w:rFonts w:ascii="Times New Roman" w:hAnsi="宋体"/>
          <w:sz w:val="24"/>
          <w:szCs w:val="24"/>
        </w:rPr>
        <w:t>本项目纳污水体为厂区北侧的一条无名小河沟，该河沟的主要水源为青木关煤矿的井下排水，无水域功能，</w:t>
      </w:r>
      <w:r>
        <w:rPr>
          <w:rFonts w:hint="eastAsia" w:ascii="Times New Roman" w:hAnsi="宋体"/>
          <w:sz w:val="24"/>
          <w:szCs w:val="24"/>
        </w:rPr>
        <w:t>该小河沟</w:t>
      </w:r>
      <w:r>
        <w:rPr>
          <w:rFonts w:ascii="Times New Roman" w:hAnsi="宋体"/>
          <w:sz w:val="24"/>
          <w:szCs w:val="24"/>
        </w:rPr>
        <w:t>属于梁滩河流域（∨类水域功能），因此该河沟执行按∨类水域标准，主要标准值见表</w:t>
      </w:r>
      <w:r>
        <w:rPr>
          <w:rFonts w:ascii="Times New Roman" w:hAnsi="Times New Roman"/>
          <w:sz w:val="24"/>
          <w:szCs w:val="24"/>
        </w:rPr>
        <w:t>1.6</w:t>
      </w:r>
      <w:r>
        <w:rPr>
          <w:rFonts w:hint="eastAsia" w:ascii="Times New Roman" w:hAnsi="Times New Roman"/>
          <w:sz w:val="24"/>
          <w:szCs w:val="24"/>
        </w:rPr>
        <w:t>—</w:t>
      </w:r>
      <w:r>
        <w:rPr>
          <w:rFonts w:ascii="Times New Roman" w:hAnsi="Times New Roman"/>
          <w:sz w:val="24"/>
          <w:szCs w:val="24"/>
        </w:rPr>
        <w:t>2</w:t>
      </w:r>
      <w:r>
        <w:rPr>
          <w:rFonts w:ascii="Times New Roman" w:hAnsi="宋体"/>
          <w:sz w:val="24"/>
          <w:szCs w:val="24"/>
        </w:rPr>
        <w:t>。</w:t>
      </w:r>
    </w:p>
    <w:p>
      <w:pPr>
        <w:tabs>
          <w:tab w:val="left" w:pos="2745"/>
          <w:tab w:val="center" w:pos="4974"/>
        </w:tabs>
        <w:spacing w:line="360" w:lineRule="auto"/>
        <w:jc w:val="center"/>
        <w:rPr>
          <w:rFonts w:ascii="Times New Roman" w:hAnsi="Times New Roman"/>
          <w:b/>
          <w:bCs/>
          <w:sz w:val="24"/>
          <w:szCs w:val="24"/>
        </w:rPr>
      </w:pPr>
      <w:r>
        <w:rPr>
          <w:rFonts w:ascii="Times New Roman" w:hAnsi="宋体"/>
          <w:b/>
          <w:sz w:val="24"/>
          <w:szCs w:val="24"/>
        </w:rPr>
        <w:t>表</w:t>
      </w:r>
      <w:r>
        <w:rPr>
          <w:rFonts w:ascii="Times New Roman" w:hAnsi="Times New Roman"/>
          <w:b/>
          <w:sz w:val="24"/>
          <w:szCs w:val="24"/>
        </w:rPr>
        <w:t>1.6</w:t>
      </w:r>
      <w:r>
        <w:rPr>
          <w:rFonts w:hint="eastAsia" w:ascii="Times New Roman" w:hAnsi="Times New Roman"/>
          <w:b/>
          <w:sz w:val="24"/>
          <w:szCs w:val="24"/>
        </w:rPr>
        <w:t>—</w:t>
      </w:r>
      <w:r>
        <w:rPr>
          <w:rFonts w:ascii="Times New Roman" w:hAnsi="Times New Roman"/>
          <w:b/>
          <w:sz w:val="24"/>
          <w:szCs w:val="24"/>
        </w:rPr>
        <w:t xml:space="preserve">2  </w:t>
      </w:r>
      <w:r>
        <w:rPr>
          <w:rFonts w:ascii="Times New Roman" w:hAnsi="宋体"/>
          <w:b/>
          <w:bCs/>
          <w:sz w:val="24"/>
          <w:szCs w:val="24"/>
        </w:rPr>
        <w:t>《地表水环境质量标准》（</w:t>
      </w:r>
      <w:r>
        <w:rPr>
          <w:rFonts w:ascii="Times New Roman" w:hAnsi="Times New Roman"/>
          <w:b/>
          <w:bCs/>
          <w:sz w:val="24"/>
          <w:szCs w:val="24"/>
        </w:rPr>
        <w:t>GB3838</w:t>
      </w:r>
      <w:r>
        <w:rPr>
          <w:rFonts w:ascii="Times New Roman" w:hAnsi="宋体"/>
          <w:b/>
          <w:bCs/>
          <w:sz w:val="24"/>
          <w:szCs w:val="24"/>
        </w:rPr>
        <w:t>－</w:t>
      </w:r>
      <w:r>
        <w:rPr>
          <w:rFonts w:ascii="Times New Roman" w:hAnsi="Times New Roman"/>
          <w:b/>
          <w:bCs/>
          <w:sz w:val="24"/>
          <w:szCs w:val="24"/>
        </w:rPr>
        <w:t>2002</w:t>
      </w:r>
      <w:r>
        <w:rPr>
          <w:rFonts w:ascii="Times New Roman" w:hAnsi="宋体"/>
          <w:b/>
          <w:bCs/>
          <w:sz w:val="24"/>
          <w:szCs w:val="24"/>
        </w:rPr>
        <w:t>）　</w:t>
      </w:r>
      <w:r>
        <w:rPr>
          <w:rFonts w:ascii="Times New Roman" w:hAnsi="Times New Roman"/>
          <w:b/>
          <w:bCs/>
          <w:sz w:val="24"/>
          <w:szCs w:val="24"/>
        </w:rPr>
        <w:t>[</w:t>
      </w:r>
      <w:r>
        <w:rPr>
          <w:rFonts w:ascii="Times New Roman" w:hAnsi="宋体"/>
          <w:b/>
          <w:bCs/>
          <w:sz w:val="24"/>
          <w:szCs w:val="24"/>
        </w:rPr>
        <w:t>摘要</w:t>
      </w:r>
      <w:r>
        <w:rPr>
          <w:rFonts w:ascii="Times New Roman" w:hAnsi="Times New Roman"/>
          <w:b/>
          <w:bCs/>
          <w:sz w:val="24"/>
          <w:szCs w:val="24"/>
        </w:rPr>
        <w:t xml:space="preserve">]   </w:t>
      </w:r>
      <w:r>
        <w:rPr>
          <w:rFonts w:ascii="Times New Roman" w:hAnsi="宋体"/>
          <w:b/>
          <w:bCs/>
          <w:sz w:val="24"/>
          <w:szCs w:val="24"/>
        </w:rPr>
        <w:t>单位：</w:t>
      </w:r>
      <w:r>
        <w:rPr>
          <w:rFonts w:ascii="Times New Roman" w:hAnsi="Times New Roman"/>
          <w:b/>
          <w:bCs/>
          <w:sz w:val="24"/>
          <w:szCs w:val="24"/>
        </w:rPr>
        <w:t>mg/L</w:t>
      </w:r>
    </w:p>
    <w:tbl>
      <w:tblPr>
        <w:tblStyle w:val="21"/>
        <w:tblW w:w="850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21"/>
        <w:gridCol w:w="755"/>
        <w:gridCol w:w="849"/>
        <w:gridCol w:w="936"/>
        <w:gridCol w:w="1118"/>
        <w:gridCol w:w="1192"/>
        <w:gridCol w:w="1112"/>
        <w:gridCol w:w="13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221" w:type="dxa"/>
            <w:vAlign w:val="center"/>
          </w:tcPr>
          <w:p>
            <w:pPr>
              <w:pStyle w:val="25"/>
              <w:widowControl w:val="0"/>
              <w:spacing w:before="0" w:beforeAutospacing="0" w:after="0" w:afterAutospacing="0" w:line="480" w:lineRule="exact"/>
              <w:rPr>
                <w:rFonts w:hint="default" w:ascii="Times New Roman" w:hAnsi="Times New Roman"/>
                <w:kern w:val="2"/>
                <w:sz w:val="21"/>
                <w:szCs w:val="21"/>
              </w:rPr>
            </w:pPr>
            <w:r>
              <w:rPr>
                <w:rFonts w:hint="default" w:ascii="Times New Roman"/>
                <w:kern w:val="2"/>
                <w:sz w:val="21"/>
                <w:szCs w:val="21"/>
              </w:rPr>
              <w:t>项目</w:t>
            </w:r>
          </w:p>
        </w:tc>
        <w:tc>
          <w:tcPr>
            <w:tcW w:w="755" w:type="dxa"/>
            <w:vAlign w:val="center"/>
          </w:tcPr>
          <w:p>
            <w:pPr>
              <w:spacing w:line="480" w:lineRule="exact"/>
              <w:jc w:val="center"/>
              <w:rPr>
                <w:rFonts w:ascii="Times New Roman" w:hAnsi="Times New Roman"/>
                <w:szCs w:val="21"/>
              </w:rPr>
            </w:pPr>
            <w:r>
              <w:rPr>
                <w:rFonts w:ascii="Times New Roman" w:hAnsi="Times New Roman"/>
                <w:szCs w:val="21"/>
              </w:rPr>
              <w:t>DO</w:t>
            </w:r>
          </w:p>
        </w:tc>
        <w:tc>
          <w:tcPr>
            <w:tcW w:w="849" w:type="dxa"/>
            <w:vAlign w:val="center"/>
          </w:tcPr>
          <w:p>
            <w:pPr>
              <w:spacing w:line="480" w:lineRule="exact"/>
              <w:jc w:val="center"/>
              <w:rPr>
                <w:rFonts w:ascii="Times New Roman" w:hAnsi="Times New Roman"/>
                <w:szCs w:val="21"/>
              </w:rPr>
            </w:pPr>
            <w:r>
              <w:rPr>
                <w:rFonts w:ascii="Times New Roman" w:hAnsi="Times New Roman"/>
                <w:szCs w:val="21"/>
              </w:rPr>
              <w:t>pH</w:t>
            </w:r>
          </w:p>
        </w:tc>
        <w:tc>
          <w:tcPr>
            <w:tcW w:w="936" w:type="dxa"/>
            <w:vAlign w:val="center"/>
          </w:tcPr>
          <w:p>
            <w:pPr>
              <w:spacing w:line="480" w:lineRule="exact"/>
              <w:jc w:val="center"/>
              <w:rPr>
                <w:rFonts w:ascii="Times New Roman" w:hAnsi="Times New Roman"/>
                <w:szCs w:val="21"/>
              </w:rPr>
            </w:pPr>
            <w:r>
              <w:rPr>
                <w:rFonts w:ascii="Times New Roman" w:hAnsi="Times New Roman"/>
                <w:szCs w:val="21"/>
              </w:rPr>
              <w:t>COD</w:t>
            </w:r>
          </w:p>
        </w:tc>
        <w:tc>
          <w:tcPr>
            <w:tcW w:w="1118" w:type="dxa"/>
            <w:vAlign w:val="center"/>
          </w:tcPr>
          <w:p>
            <w:pPr>
              <w:spacing w:line="480" w:lineRule="exact"/>
              <w:jc w:val="center"/>
              <w:rPr>
                <w:rFonts w:ascii="Times New Roman" w:hAnsi="Times New Roman"/>
                <w:szCs w:val="21"/>
              </w:rPr>
            </w:pPr>
            <w:r>
              <w:rPr>
                <w:rFonts w:ascii="Times New Roman" w:hAnsi="Times New Roman"/>
                <w:szCs w:val="21"/>
              </w:rPr>
              <w:t>BOD</w:t>
            </w:r>
            <w:r>
              <w:rPr>
                <w:rFonts w:ascii="Times New Roman" w:hAnsi="Times New Roman"/>
                <w:szCs w:val="21"/>
                <w:vertAlign w:val="subscript"/>
              </w:rPr>
              <w:t>5</w:t>
            </w:r>
          </w:p>
        </w:tc>
        <w:tc>
          <w:tcPr>
            <w:tcW w:w="1192" w:type="dxa"/>
            <w:vAlign w:val="center"/>
          </w:tcPr>
          <w:p>
            <w:pPr>
              <w:spacing w:line="480" w:lineRule="exact"/>
              <w:jc w:val="center"/>
              <w:rPr>
                <w:rFonts w:ascii="Times New Roman" w:hAnsi="Times New Roman"/>
                <w:szCs w:val="21"/>
              </w:rPr>
            </w:pPr>
            <w:r>
              <w:rPr>
                <w:rFonts w:ascii="Times New Roman" w:hAnsi="Times New Roman"/>
                <w:szCs w:val="21"/>
              </w:rPr>
              <w:t>NH</w:t>
            </w:r>
            <w:r>
              <w:rPr>
                <w:rFonts w:ascii="Times New Roman" w:hAnsi="Times New Roman"/>
                <w:szCs w:val="21"/>
                <w:vertAlign w:val="subscript"/>
              </w:rPr>
              <w:t>3</w:t>
            </w:r>
            <w:r>
              <w:rPr>
                <w:rFonts w:ascii="Times New Roman" w:hAnsi="Times New Roman"/>
                <w:szCs w:val="21"/>
              </w:rPr>
              <w:t>-N</w:t>
            </w:r>
          </w:p>
        </w:tc>
        <w:tc>
          <w:tcPr>
            <w:tcW w:w="1112" w:type="dxa"/>
            <w:vAlign w:val="center"/>
          </w:tcPr>
          <w:p>
            <w:pPr>
              <w:spacing w:line="480" w:lineRule="exact"/>
              <w:jc w:val="center"/>
              <w:rPr>
                <w:rFonts w:ascii="Times New Roman" w:hAnsi="Times New Roman"/>
                <w:szCs w:val="21"/>
              </w:rPr>
            </w:pPr>
            <w:r>
              <w:rPr>
                <w:rFonts w:ascii="Times New Roman" w:hAnsi="Times New Roman"/>
                <w:szCs w:val="21"/>
              </w:rPr>
              <w:t>TP</w:t>
            </w:r>
          </w:p>
        </w:tc>
        <w:tc>
          <w:tcPr>
            <w:tcW w:w="1322" w:type="dxa"/>
            <w:vAlign w:val="center"/>
          </w:tcPr>
          <w:p>
            <w:pPr>
              <w:spacing w:line="480" w:lineRule="exact"/>
              <w:jc w:val="center"/>
              <w:rPr>
                <w:rFonts w:ascii="Times New Roman" w:hAnsi="Times New Roman"/>
                <w:szCs w:val="21"/>
              </w:rPr>
            </w:pPr>
            <w:r>
              <w:rPr>
                <w:rFonts w:ascii="Times New Roman" w:hAnsi="宋体"/>
                <w:szCs w:val="21"/>
              </w:rPr>
              <w:t>石油类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221" w:type="dxa"/>
            <w:vAlign w:val="center"/>
          </w:tcPr>
          <w:p>
            <w:pPr>
              <w:spacing w:line="480" w:lineRule="exact"/>
              <w:jc w:val="center"/>
              <w:rPr>
                <w:rFonts w:ascii="Times New Roman" w:hAnsi="Times New Roman"/>
                <w:szCs w:val="21"/>
              </w:rPr>
            </w:pPr>
            <w:r>
              <w:rPr>
                <w:rFonts w:ascii="Times New Roman" w:hAnsi="宋体"/>
                <w:szCs w:val="21"/>
              </w:rPr>
              <w:t>标准值</w:t>
            </w:r>
          </w:p>
        </w:tc>
        <w:tc>
          <w:tcPr>
            <w:tcW w:w="755" w:type="dxa"/>
            <w:vAlign w:val="center"/>
          </w:tcPr>
          <w:p>
            <w:pPr>
              <w:spacing w:line="480" w:lineRule="exact"/>
              <w:jc w:val="center"/>
              <w:rPr>
                <w:rFonts w:ascii="Times New Roman" w:hAnsi="Times New Roman"/>
                <w:szCs w:val="21"/>
              </w:rPr>
            </w:pPr>
            <w:r>
              <w:rPr>
                <w:rFonts w:ascii="Times New Roman" w:hAnsi="Times New Roman"/>
                <w:szCs w:val="21"/>
              </w:rPr>
              <w:t>≥2</w:t>
            </w:r>
          </w:p>
        </w:tc>
        <w:tc>
          <w:tcPr>
            <w:tcW w:w="849" w:type="dxa"/>
            <w:vAlign w:val="center"/>
          </w:tcPr>
          <w:p>
            <w:pPr>
              <w:spacing w:line="480" w:lineRule="exact"/>
              <w:jc w:val="center"/>
              <w:rPr>
                <w:rFonts w:ascii="Times New Roman" w:hAnsi="Times New Roman"/>
                <w:szCs w:val="21"/>
              </w:rPr>
            </w:pPr>
            <w:r>
              <w:rPr>
                <w:rFonts w:ascii="Times New Roman" w:hAnsi="Times New Roman"/>
                <w:szCs w:val="21"/>
              </w:rPr>
              <w:t>6</w:t>
            </w:r>
            <w:r>
              <w:rPr>
                <w:rFonts w:ascii="Times New Roman" w:hAnsi="宋体"/>
                <w:szCs w:val="21"/>
              </w:rPr>
              <w:t>～</w:t>
            </w:r>
            <w:r>
              <w:rPr>
                <w:rFonts w:ascii="Times New Roman" w:hAnsi="Times New Roman"/>
                <w:szCs w:val="21"/>
              </w:rPr>
              <w:t>9</w:t>
            </w:r>
          </w:p>
        </w:tc>
        <w:tc>
          <w:tcPr>
            <w:tcW w:w="936" w:type="dxa"/>
            <w:vAlign w:val="center"/>
          </w:tcPr>
          <w:p>
            <w:pPr>
              <w:spacing w:line="480" w:lineRule="exact"/>
              <w:jc w:val="center"/>
              <w:rPr>
                <w:rFonts w:ascii="Times New Roman" w:hAnsi="Times New Roman"/>
                <w:szCs w:val="21"/>
              </w:rPr>
            </w:pPr>
            <w:r>
              <w:rPr>
                <w:rFonts w:ascii="Times New Roman" w:hAnsi="Times New Roman"/>
                <w:szCs w:val="21"/>
              </w:rPr>
              <w:t>≤40</w:t>
            </w:r>
          </w:p>
        </w:tc>
        <w:tc>
          <w:tcPr>
            <w:tcW w:w="1118" w:type="dxa"/>
            <w:vAlign w:val="center"/>
          </w:tcPr>
          <w:p>
            <w:pPr>
              <w:spacing w:line="480" w:lineRule="exact"/>
              <w:jc w:val="center"/>
              <w:rPr>
                <w:rFonts w:ascii="Times New Roman" w:hAnsi="Times New Roman"/>
                <w:szCs w:val="21"/>
              </w:rPr>
            </w:pPr>
            <w:r>
              <w:rPr>
                <w:rFonts w:ascii="Times New Roman" w:hAnsi="Times New Roman"/>
                <w:szCs w:val="21"/>
              </w:rPr>
              <w:t>≤10</w:t>
            </w:r>
          </w:p>
        </w:tc>
        <w:tc>
          <w:tcPr>
            <w:tcW w:w="1192" w:type="dxa"/>
            <w:vAlign w:val="center"/>
          </w:tcPr>
          <w:p>
            <w:pPr>
              <w:spacing w:line="480" w:lineRule="exact"/>
              <w:jc w:val="center"/>
              <w:rPr>
                <w:rFonts w:ascii="Times New Roman" w:hAnsi="Times New Roman"/>
                <w:szCs w:val="21"/>
              </w:rPr>
            </w:pPr>
            <w:r>
              <w:rPr>
                <w:rFonts w:ascii="Times New Roman" w:hAnsi="Times New Roman"/>
                <w:szCs w:val="21"/>
              </w:rPr>
              <w:t>≤1.5</w:t>
            </w:r>
          </w:p>
        </w:tc>
        <w:tc>
          <w:tcPr>
            <w:tcW w:w="1112" w:type="dxa"/>
            <w:vAlign w:val="center"/>
          </w:tcPr>
          <w:p>
            <w:pPr>
              <w:spacing w:line="480" w:lineRule="exact"/>
              <w:jc w:val="center"/>
              <w:rPr>
                <w:rFonts w:ascii="Times New Roman" w:hAnsi="Times New Roman"/>
                <w:szCs w:val="21"/>
              </w:rPr>
            </w:pPr>
            <w:r>
              <w:rPr>
                <w:rFonts w:ascii="Times New Roman" w:hAnsi="Times New Roman"/>
                <w:szCs w:val="21"/>
              </w:rPr>
              <w:t>0.4</w:t>
            </w:r>
          </w:p>
        </w:tc>
        <w:tc>
          <w:tcPr>
            <w:tcW w:w="1322" w:type="dxa"/>
            <w:vAlign w:val="center"/>
          </w:tcPr>
          <w:p>
            <w:pPr>
              <w:spacing w:line="480" w:lineRule="exact"/>
              <w:jc w:val="center"/>
              <w:rPr>
                <w:rFonts w:ascii="Times New Roman" w:hAnsi="Times New Roman"/>
                <w:szCs w:val="21"/>
              </w:rPr>
            </w:pPr>
            <w:r>
              <w:rPr>
                <w:rFonts w:ascii="Times New Roman" w:hAnsi="Times New Roman"/>
                <w:szCs w:val="21"/>
              </w:rPr>
              <w:t>≤1.0</w:t>
            </w:r>
          </w:p>
        </w:tc>
      </w:tr>
    </w:tbl>
    <w:p>
      <w:pPr>
        <w:spacing w:line="360" w:lineRule="auto"/>
        <w:ind w:firstLine="482"/>
        <w:rPr>
          <w:rFonts w:ascii="Times New Roman" w:hAnsi="Times New Roman"/>
          <w:sz w:val="24"/>
          <w:szCs w:val="24"/>
        </w:rPr>
      </w:pPr>
      <w:r>
        <w:rPr>
          <w:rFonts w:ascii="Times New Roman" w:hAnsi="宋体"/>
          <w:sz w:val="24"/>
          <w:szCs w:val="24"/>
        </w:rPr>
        <w:t>（</w:t>
      </w:r>
      <w:r>
        <w:rPr>
          <w:rFonts w:ascii="Times New Roman" w:hAnsi="Times New Roman"/>
          <w:sz w:val="24"/>
          <w:szCs w:val="24"/>
        </w:rPr>
        <w:t>3</w:t>
      </w:r>
      <w:r>
        <w:rPr>
          <w:rFonts w:ascii="Times New Roman" w:hAnsi="宋体"/>
          <w:sz w:val="24"/>
          <w:szCs w:val="24"/>
        </w:rPr>
        <w:t>）声环境</w:t>
      </w:r>
    </w:p>
    <w:p>
      <w:pPr>
        <w:spacing w:line="360" w:lineRule="auto"/>
        <w:ind w:firstLine="482"/>
        <w:rPr>
          <w:rFonts w:ascii="Times New Roman" w:hAnsi="Times New Roman"/>
          <w:sz w:val="24"/>
          <w:szCs w:val="24"/>
        </w:rPr>
      </w:pPr>
      <w:r>
        <w:rPr>
          <w:rFonts w:ascii="Times New Roman" w:hAnsi="宋体"/>
          <w:sz w:val="24"/>
          <w:szCs w:val="24"/>
        </w:rPr>
        <w:t>根据《重庆市环境保护局关于修正城市区域环境噪声标准适用区域划分规定调整方案有关内容的通知》（渝环发</w:t>
      </w:r>
      <w:r>
        <w:rPr>
          <w:rFonts w:ascii="Times New Roman" w:hAnsi="Times New Roman"/>
          <w:sz w:val="24"/>
          <w:szCs w:val="24"/>
        </w:rPr>
        <w:t>[2007]78</w:t>
      </w:r>
      <w:r>
        <w:rPr>
          <w:rFonts w:ascii="Times New Roman" w:hAnsi="宋体"/>
          <w:sz w:val="24"/>
          <w:szCs w:val="24"/>
        </w:rPr>
        <w:t>号）规定，本项目所在区域除</w:t>
      </w:r>
      <w:r>
        <w:rPr>
          <w:rFonts w:ascii="Times New Roman" w:hAnsi="Times New Roman"/>
          <w:sz w:val="24"/>
          <w:szCs w:val="24"/>
        </w:rPr>
        <w:t>319</w:t>
      </w:r>
      <w:r>
        <w:rPr>
          <w:rFonts w:ascii="Times New Roman" w:hAnsi="宋体"/>
          <w:sz w:val="24"/>
          <w:szCs w:val="24"/>
        </w:rPr>
        <w:t>国道两侧</w:t>
      </w:r>
      <w:r>
        <w:rPr>
          <w:rFonts w:ascii="Times New Roman" w:hAnsi="Times New Roman"/>
          <w:sz w:val="24"/>
          <w:szCs w:val="24"/>
        </w:rPr>
        <w:t>30</w:t>
      </w:r>
      <w:r>
        <w:rPr>
          <w:rFonts w:ascii="Times New Roman" w:hAnsi="宋体"/>
          <w:sz w:val="24"/>
          <w:szCs w:val="24"/>
        </w:rPr>
        <w:t>米范围内执行《声环境质量标准》（</w:t>
      </w:r>
      <w:r>
        <w:rPr>
          <w:rFonts w:ascii="Times New Roman" w:hAnsi="Times New Roman"/>
          <w:sz w:val="24"/>
          <w:szCs w:val="24"/>
        </w:rPr>
        <w:t>GB3096-2008</w:t>
      </w:r>
      <w:r>
        <w:rPr>
          <w:rFonts w:ascii="Times New Roman" w:hAnsi="宋体"/>
          <w:sz w:val="24"/>
          <w:szCs w:val="24"/>
        </w:rPr>
        <w:t>）中</w:t>
      </w:r>
      <w:r>
        <w:rPr>
          <w:rFonts w:ascii="Times New Roman" w:hAnsi="Times New Roman"/>
          <w:sz w:val="24"/>
          <w:szCs w:val="24"/>
        </w:rPr>
        <w:t>4</w:t>
      </w:r>
      <w:r>
        <w:rPr>
          <w:rFonts w:ascii="Times New Roman" w:hAnsi="宋体"/>
          <w:sz w:val="24"/>
          <w:szCs w:val="24"/>
        </w:rPr>
        <w:t>类标准（昼间为</w:t>
      </w:r>
      <w:r>
        <w:rPr>
          <w:rFonts w:ascii="Times New Roman" w:hAnsi="Times New Roman"/>
          <w:sz w:val="24"/>
          <w:szCs w:val="24"/>
        </w:rPr>
        <w:t>70dB</w:t>
      </w:r>
      <w:r>
        <w:rPr>
          <w:rFonts w:ascii="Times New Roman" w:hAnsi="宋体"/>
          <w:sz w:val="24"/>
          <w:szCs w:val="24"/>
        </w:rPr>
        <w:t>，夜间</w:t>
      </w:r>
      <w:r>
        <w:rPr>
          <w:rFonts w:ascii="Times New Roman" w:hAnsi="Times New Roman"/>
          <w:sz w:val="24"/>
          <w:szCs w:val="24"/>
        </w:rPr>
        <w:t>55dB</w:t>
      </w:r>
      <w:r>
        <w:rPr>
          <w:rFonts w:ascii="Times New Roman" w:hAnsi="宋体"/>
          <w:sz w:val="24"/>
          <w:szCs w:val="24"/>
        </w:rPr>
        <w:t>）外，其余均执行</w:t>
      </w:r>
      <w:r>
        <w:rPr>
          <w:rFonts w:ascii="Times New Roman" w:hAnsi="Times New Roman"/>
          <w:sz w:val="24"/>
          <w:szCs w:val="24"/>
        </w:rPr>
        <w:t>2</w:t>
      </w:r>
      <w:r>
        <w:rPr>
          <w:rFonts w:ascii="Times New Roman" w:hAnsi="宋体"/>
          <w:sz w:val="24"/>
          <w:szCs w:val="24"/>
        </w:rPr>
        <w:t>类标准，即昼间为</w:t>
      </w:r>
      <w:r>
        <w:rPr>
          <w:rFonts w:ascii="Times New Roman" w:hAnsi="Times New Roman"/>
          <w:sz w:val="24"/>
          <w:szCs w:val="24"/>
        </w:rPr>
        <w:t>60dB</w:t>
      </w:r>
      <w:r>
        <w:rPr>
          <w:rFonts w:ascii="Times New Roman" w:hAnsi="宋体"/>
          <w:sz w:val="24"/>
          <w:szCs w:val="24"/>
        </w:rPr>
        <w:t>，夜间</w:t>
      </w:r>
      <w:r>
        <w:rPr>
          <w:rFonts w:ascii="Times New Roman" w:hAnsi="Times New Roman"/>
          <w:sz w:val="24"/>
          <w:szCs w:val="24"/>
        </w:rPr>
        <w:t>50dB</w:t>
      </w:r>
      <w:r>
        <w:rPr>
          <w:rFonts w:ascii="Times New Roman" w:hAnsi="宋体"/>
          <w:sz w:val="24"/>
          <w:szCs w:val="24"/>
        </w:rPr>
        <w:t>。</w:t>
      </w:r>
    </w:p>
    <w:p>
      <w:pPr>
        <w:pStyle w:val="3"/>
        <w:rPr>
          <w:rFonts w:hint="eastAsia"/>
        </w:rPr>
      </w:pPr>
      <w:bookmarkStart w:id="581" w:name="_Toc461048094"/>
      <w:bookmarkStart w:id="582" w:name="_Toc338230941"/>
      <w:bookmarkStart w:id="583" w:name="_Toc338228588"/>
      <w:r>
        <w:t>1.</w:t>
      </w:r>
      <w:r>
        <w:rPr>
          <w:rFonts w:hint="eastAsia"/>
        </w:rPr>
        <w:t>7事件定义及分级</w:t>
      </w:r>
      <w:bookmarkEnd w:id="581"/>
      <w:bookmarkEnd w:id="582"/>
      <w:bookmarkEnd w:id="583"/>
    </w:p>
    <w:p>
      <w:pPr>
        <w:spacing w:line="360" w:lineRule="auto"/>
        <w:ind w:firstLine="480" w:firstLineChars="200"/>
        <w:rPr>
          <w:rFonts w:hint="eastAsia"/>
          <w:sz w:val="24"/>
          <w:szCs w:val="24"/>
        </w:rPr>
      </w:pPr>
      <w:r>
        <w:rPr>
          <w:rFonts w:hint="eastAsia"/>
          <w:sz w:val="24"/>
          <w:szCs w:val="24"/>
        </w:rPr>
        <w:t>突发环境事件是指由于违反环境保护法律法规的经济、社会活动与行为，以及意外因素的影响或不可抗拒的自然灾害等原因致使环境受到污染、人体健康受到危害、社会经济与人民财产受到损失，造成不良社会影响的突发性事件。主要包括水污染事件、大气污染事件、噪声与振动危害事件、固体废弃物污染事件等。</w:t>
      </w:r>
    </w:p>
    <w:p>
      <w:pPr>
        <w:spacing w:line="360" w:lineRule="auto"/>
        <w:ind w:firstLine="480" w:firstLineChars="200"/>
        <w:rPr>
          <w:rFonts w:hint="eastAsia"/>
          <w:sz w:val="24"/>
          <w:szCs w:val="24"/>
        </w:rPr>
      </w:pPr>
      <w:r>
        <w:rPr>
          <w:rFonts w:hint="eastAsia"/>
          <w:sz w:val="24"/>
          <w:szCs w:val="24"/>
        </w:rPr>
        <w:t>根据《国家突发环境事件应急预案》等有关规定，按照事件严重程度，突发环境事件分为特别重大、重大、较大和一般四级。</w:t>
      </w:r>
    </w:p>
    <w:p>
      <w:pPr>
        <w:pStyle w:val="3"/>
        <w:rPr>
          <w:rFonts w:hint="eastAsia"/>
          <w:sz w:val="24"/>
          <w:szCs w:val="24"/>
        </w:rPr>
      </w:pPr>
      <w:bookmarkStart w:id="584" w:name="_Toc461048095"/>
      <w:r>
        <w:rPr>
          <w:sz w:val="24"/>
          <w:szCs w:val="24"/>
        </w:rPr>
        <w:t>1.</w:t>
      </w:r>
      <w:r>
        <w:rPr>
          <w:rFonts w:hint="eastAsia"/>
          <w:sz w:val="24"/>
          <w:szCs w:val="24"/>
        </w:rPr>
        <w:t>7.1特别重大突发环境事件</w:t>
      </w:r>
      <w:bookmarkEnd w:id="584"/>
    </w:p>
    <w:p>
      <w:pPr>
        <w:spacing w:line="360" w:lineRule="auto"/>
        <w:ind w:firstLine="480" w:firstLineChars="200"/>
        <w:rPr>
          <w:rFonts w:hint="eastAsia"/>
          <w:sz w:val="24"/>
          <w:szCs w:val="24"/>
        </w:rPr>
      </w:pPr>
      <w:r>
        <w:rPr>
          <w:rFonts w:hint="eastAsia"/>
          <w:sz w:val="24"/>
          <w:szCs w:val="24"/>
        </w:rPr>
        <w:t>凡符合下列情形之一的，为特别重大环境事件：</w:t>
      </w:r>
    </w:p>
    <w:p>
      <w:pPr>
        <w:spacing w:line="360" w:lineRule="auto"/>
        <w:ind w:firstLine="480" w:firstLineChars="200"/>
        <w:rPr>
          <w:rFonts w:hint="eastAsia"/>
          <w:sz w:val="24"/>
          <w:szCs w:val="24"/>
        </w:rPr>
      </w:pPr>
      <w:r>
        <w:rPr>
          <w:rFonts w:hint="eastAsia"/>
          <w:sz w:val="24"/>
          <w:szCs w:val="24"/>
        </w:rPr>
        <w:t>（1）发生1人以上死亡，或中毒（重伤）10人以上；</w:t>
      </w:r>
    </w:p>
    <w:p>
      <w:pPr>
        <w:spacing w:line="360" w:lineRule="auto"/>
        <w:ind w:firstLine="480" w:firstLineChars="200"/>
        <w:rPr>
          <w:rFonts w:hint="eastAsia"/>
          <w:sz w:val="24"/>
          <w:szCs w:val="24"/>
        </w:rPr>
      </w:pPr>
      <w:r>
        <w:rPr>
          <w:rFonts w:hint="eastAsia"/>
          <w:sz w:val="24"/>
          <w:szCs w:val="24"/>
        </w:rPr>
        <w:t>（2）因环境事件需疏散、转移群众1000人以上，或直接经济损失10万元以上；</w:t>
      </w:r>
    </w:p>
    <w:p>
      <w:pPr>
        <w:spacing w:line="360" w:lineRule="auto"/>
        <w:ind w:firstLine="480" w:firstLineChars="200"/>
        <w:rPr>
          <w:rFonts w:hint="eastAsia"/>
          <w:sz w:val="24"/>
          <w:szCs w:val="24"/>
        </w:rPr>
      </w:pPr>
      <w:r>
        <w:rPr>
          <w:rFonts w:hint="eastAsia"/>
          <w:sz w:val="24"/>
          <w:szCs w:val="24"/>
        </w:rPr>
        <w:t>（3）区域生态功能严重丧失或濒危物种生存环境遭到严重污染；</w:t>
      </w:r>
    </w:p>
    <w:p>
      <w:pPr>
        <w:spacing w:line="360" w:lineRule="auto"/>
        <w:ind w:firstLine="480" w:firstLineChars="200"/>
        <w:rPr>
          <w:rFonts w:hint="eastAsia"/>
          <w:sz w:val="24"/>
          <w:szCs w:val="24"/>
        </w:rPr>
      </w:pPr>
      <w:r>
        <w:rPr>
          <w:rFonts w:hint="eastAsia"/>
          <w:sz w:val="24"/>
          <w:szCs w:val="24"/>
        </w:rPr>
        <w:t>（4）因环境污染使当地正常的经济、社会活动受到严重影响；</w:t>
      </w:r>
    </w:p>
    <w:p>
      <w:pPr>
        <w:spacing w:line="360" w:lineRule="auto"/>
        <w:ind w:firstLine="480" w:firstLineChars="200"/>
        <w:rPr>
          <w:rFonts w:hint="eastAsia"/>
          <w:sz w:val="24"/>
          <w:szCs w:val="24"/>
        </w:rPr>
      </w:pPr>
      <w:r>
        <w:rPr>
          <w:rFonts w:hint="eastAsia"/>
          <w:sz w:val="24"/>
          <w:szCs w:val="24"/>
        </w:rPr>
        <w:t>（5）因环境污染造成重要周边主要水源地取水中断的污染事故；</w:t>
      </w:r>
    </w:p>
    <w:p>
      <w:pPr>
        <w:spacing w:line="360" w:lineRule="auto"/>
        <w:ind w:firstLine="480" w:firstLineChars="200"/>
        <w:rPr>
          <w:rFonts w:hint="eastAsia"/>
          <w:sz w:val="24"/>
          <w:szCs w:val="24"/>
        </w:rPr>
      </w:pPr>
      <w:r>
        <w:rPr>
          <w:rFonts w:hint="eastAsia"/>
          <w:sz w:val="24"/>
          <w:szCs w:val="24"/>
        </w:rPr>
        <w:t>（6）因危险固废在生产和贮运中发生泄漏，严重影响人民群众生产、生活的污染事故。</w:t>
      </w:r>
    </w:p>
    <w:p>
      <w:pPr>
        <w:pStyle w:val="3"/>
        <w:rPr>
          <w:rFonts w:hint="eastAsia"/>
          <w:sz w:val="24"/>
          <w:szCs w:val="24"/>
        </w:rPr>
      </w:pPr>
      <w:bookmarkStart w:id="585" w:name="_Toc461048096"/>
      <w:r>
        <w:rPr>
          <w:sz w:val="24"/>
          <w:szCs w:val="24"/>
        </w:rPr>
        <w:t>1.</w:t>
      </w:r>
      <w:r>
        <w:rPr>
          <w:rFonts w:hint="eastAsia"/>
          <w:sz w:val="24"/>
          <w:szCs w:val="24"/>
        </w:rPr>
        <w:t>7.2重大突发环境事件</w:t>
      </w:r>
      <w:bookmarkEnd w:id="585"/>
    </w:p>
    <w:p>
      <w:pPr>
        <w:spacing w:line="360" w:lineRule="auto"/>
        <w:ind w:firstLine="480" w:firstLineChars="200"/>
        <w:rPr>
          <w:rFonts w:hint="eastAsia"/>
          <w:sz w:val="24"/>
          <w:szCs w:val="24"/>
        </w:rPr>
      </w:pPr>
      <w:r>
        <w:rPr>
          <w:rFonts w:hint="eastAsia"/>
          <w:sz w:val="24"/>
          <w:szCs w:val="24"/>
        </w:rPr>
        <w:t>凡符合下列情形之一的，为重大环境事件：</w:t>
      </w:r>
    </w:p>
    <w:p>
      <w:pPr>
        <w:spacing w:line="360" w:lineRule="auto"/>
        <w:ind w:firstLine="480" w:firstLineChars="200"/>
        <w:rPr>
          <w:rFonts w:hint="eastAsia"/>
          <w:sz w:val="24"/>
          <w:szCs w:val="24"/>
        </w:rPr>
      </w:pPr>
      <w:r>
        <w:rPr>
          <w:rFonts w:hint="eastAsia"/>
          <w:sz w:val="24"/>
          <w:szCs w:val="24"/>
        </w:rPr>
        <w:t>（1）发生环境污染直接损失在1万元以上，10万元以下；</w:t>
      </w:r>
    </w:p>
    <w:p>
      <w:pPr>
        <w:spacing w:line="360" w:lineRule="auto"/>
        <w:ind w:firstLine="480" w:firstLineChars="200"/>
        <w:rPr>
          <w:rFonts w:hint="eastAsia"/>
          <w:sz w:val="24"/>
          <w:szCs w:val="24"/>
        </w:rPr>
      </w:pPr>
      <w:r>
        <w:rPr>
          <w:rFonts w:hint="eastAsia"/>
          <w:sz w:val="24"/>
          <w:szCs w:val="24"/>
        </w:rPr>
        <w:t>（2）区域生态功能部分丧失或濒危物种生存环境受到污染；</w:t>
      </w:r>
    </w:p>
    <w:p>
      <w:pPr>
        <w:spacing w:line="360" w:lineRule="auto"/>
        <w:ind w:firstLine="480" w:firstLineChars="200"/>
        <w:rPr>
          <w:rFonts w:hint="eastAsia"/>
          <w:sz w:val="24"/>
          <w:szCs w:val="24"/>
        </w:rPr>
      </w:pPr>
      <w:r>
        <w:rPr>
          <w:rFonts w:hint="eastAsia"/>
          <w:sz w:val="24"/>
          <w:szCs w:val="24"/>
        </w:rPr>
        <w:t>（3）因环境污染使当地经济、社会活动受到较大影响，疏散转移群众500人以上、1000人以下的；</w:t>
      </w:r>
    </w:p>
    <w:p>
      <w:pPr>
        <w:spacing w:line="360" w:lineRule="auto"/>
        <w:ind w:firstLine="480" w:firstLineChars="200"/>
        <w:rPr>
          <w:rFonts w:hint="eastAsia"/>
          <w:sz w:val="24"/>
          <w:szCs w:val="24"/>
        </w:rPr>
      </w:pPr>
      <w:r>
        <w:rPr>
          <w:rFonts w:hint="eastAsia"/>
          <w:sz w:val="24"/>
          <w:szCs w:val="24"/>
        </w:rPr>
        <w:t>（4）因环境污染造成重要河流、湖泊、水库及沿海水域大面积污染，或周边1000人以上的取水中断的污染事件。</w:t>
      </w:r>
    </w:p>
    <w:p>
      <w:pPr>
        <w:pStyle w:val="3"/>
        <w:rPr>
          <w:rFonts w:hint="eastAsia"/>
          <w:sz w:val="24"/>
          <w:szCs w:val="24"/>
        </w:rPr>
      </w:pPr>
      <w:bookmarkStart w:id="586" w:name="_Toc461048097"/>
      <w:bookmarkStart w:id="587" w:name="_Toc280698159"/>
      <w:bookmarkStart w:id="588" w:name="_Toc269494229"/>
      <w:r>
        <w:rPr>
          <w:sz w:val="24"/>
          <w:szCs w:val="24"/>
        </w:rPr>
        <w:t>1.</w:t>
      </w:r>
      <w:r>
        <w:rPr>
          <w:rFonts w:hint="eastAsia"/>
          <w:sz w:val="24"/>
          <w:szCs w:val="24"/>
        </w:rPr>
        <w:t>7.3较大突发环境事件</w:t>
      </w:r>
      <w:bookmarkEnd w:id="586"/>
    </w:p>
    <w:bookmarkEnd w:id="587"/>
    <w:bookmarkEnd w:id="588"/>
    <w:p>
      <w:pPr>
        <w:spacing w:line="360" w:lineRule="auto"/>
        <w:ind w:firstLine="480" w:firstLineChars="200"/>
        <w:rPr>
          <w:rFonts w:hint="eastAsia"/>
          <w:sz w:val="24"/>
          <w:szCs w:val="24"/>
        </w:rPr>
      </w:pPr>
      <w:r>
        <w:rPr>
          <w:rFonts w:hint="eastAsia"/>
          <w:sz w:val="24"/>
          <w:szCs w:val="24"/>
        </w:rPr>
        <w:t>凡符合下列情形之一的，为较大环境事件：</w:t>
      </w:r>
    </w:p>
    <w:p>
      <w:pPr>
        <w:spacing w:line="360" w:lineRule="auto"/>
        <w:ind w:firstLine="480" w:firstLineChars="200"/>
        <w:rPr>
          <w:rFonts w:hint="eastAsia"/>
          <w:sz w:val="24"/>
          <w:szCs w:val="24"/>
        </w:rPr>
      </w:pPr>
      <w:r>
        <w:rPr>
          <w:rFonts w:hint="eastAsia"/>
          <w:sz w:val="24"/>
          <w:szCs w:val="24"/>
        </w:rPr>
        <w:t>（1）发生10人以上、100人以下的人员中毒；</w:t>
      </w:r>
    </w:p>
    <w:p>
      <w:pPr>
        <w:spacing w:line="360" w:lineRule="auto"/>
        <w:ind w:firstLine="480" w:firstLineChars="200"/>
        <w:rPr>
          <w:rFonts w:hint="eastAsia"/>
          <w:sz w:val="24"/>
          <w:szCs w:val="24"/>
        </w:rPr>
      </w:pPr>
      <w:r>
        <w:rPr>
          <w:rFonts w:hint="eastAsia"/>
          <w:sz w:val="24"/>
          <w:szCs w:val="24"/>
        </w:rPr>
        <w:t>（2）因环境污染造成周边区域纠纷，使周边的经济、社会活动受到影响。</w:t>
      </w:r>
    </w:p>
    <w:p>
      <w:pPr>
        <w:pStyle w:val="3"/>
        <w:rPr>
          <w:rFonts w:hint="eastAsia"/>
          <w:sz w:val="24"/>
          <w:szCs w:val="24"/>
        </w:rPr>
      </w:pPr>
      <w:bookmarkStart w:id="589" w:name="_Toc461048098"/>
      <w:r>
        <w:rPr>
          <w:sz w:val="24"/>
          <w:szCs w:val="24"/>
        </w:rPr>
        <w:t>1.</w:t>
      </w:r>
      <w:r>
        <w:rPr>
          <w:rFonts w:hint="eastAsia"/>
          <w:sz w:val="24"/>
          <w:szCs w:val="24"/>
        </w:rPr>
        <w:t>7.4一般突发环境事件</w:t>
      </w:r>
      <w:bookmarkEnd w:id="589"/>
    </w:p>
    <w:p>
      <w:pPr>
        <w:spacing w:line="360" w:lineRule="auto"/>
        <w:ind w:firstLine="480" w:firstLineChars="200"/>
        <w:rPr>
          <w:rFonts w:hint="eastAsia"/>
          <w:sz w:val="24"/>
          <w:szCs w:val="24"/>
        </w:rPr>
      </w:pPr>
      <w:r>
        <w:rPr>
          <w:rFonts w:hint="eastAsia"/>
          <w:sz w:val="24"/>
          <w:szCs w:val="24"/>
        </w:rPr>
        <w:t>凡符合下列情形之一的，为一般环境事件：</w:t>
      </w:r>
    </w:p>
    <w:p>
      <w:pPr>
        <w:spacing w:line="360" w:lineRule="auto"/>
        <w:ind w:firstLine="480" w:firstLineChars="200"/>
        <w:rPr>
          <w:rFonts w:hint="eastAsia"/>
          <w:sz w:val="24"/>
          <w:szCs w:val="24"/>
        </w:rPr>
      </w:pPr>
      <w:r>
        <w:rPr>
          <w:rFonts w:hint="eastAsia"/>
          <w:sz w:val="24"/>
          <w:szCs w:val="24"/>
        </w:rPr>
        <w:t>（1）发生10人以下中毒事故；</w:t>
      </w:r>
    </w:p>
    <w:p>
      <w:pPr>
        <w:spacing w:line="360" w:lineRule="auto"/>
        <w:ind w:firstLine="480" w:firstLineChars="200"/>
        <w:rPr>
          <w:rFonts w:hint="eastAsia"/>
          <w:sz w:val="24"/>
          <w:szCs w:val="24"/>
        </w:rPr>
      </w:pPr>
      <w:r>
        <w:rPr>
          <w:rFonts w:hint="eastAsia"/>
          <w:sz w:val="24"/>
          <w:szCs w:val="24"/>
        </w:rPr>
        <w:t>（2）因环境污染造成周边小面积影响</w:t>
      </w:r>
      <w:bookmarkStart w:id="590" w:name="_Toc317862266"/>
      <w:bookmarkStart w:id="591" w:name="_Toc317862332"/>
      <w:bookmarkStart w:id="592" w:name="_Toc317862134"/>
      <w:bookmarkStart w:id="593" w:name="_Toc338230942"/>
      <w:bookmarkStart w:id="594" w:name="_Toc338228589"/>
      <w:r>
        <w:rPr>
          <w:rFonts w:hint="eastAsia"/>
          <w:sz w:val="24"/>
          <w:szCs w:val="24"/>
        </w:rPr>
        <w:t>。</w:t>
      </w:r>
    </w:p>
    <w:p>
      <w:pPr>
        <w:pStyle w:val="3"/>
        <w:rPr>
          <w:rFonts w:hint="eastAsia"/>
        </w:rPr>
      </w:pPr>
      <w:bookmarkStart w:id="595" w:name="_Toc461048099"/>
      <w:r>
        <w:rPr>
          <w:rFonts w:hint="eastAsia"/>
        </w:rPr>
        <w:t>1.8</w:t>
      </w:r>
      <w:r>
        <w:t>周边环境状况及环境</w:t>
      </w:r>
      <w:bookmarkEnd w:id="590"/>
      <w:bookmarkEnd w:id="591"/>
      <w:bookmarkEnd w:id="592"/>
      <w:bookmarkStart w:id="596" w:name="_Toc180242547"/>
      <w:bookmarkStart w:id="597" w:name="_Toc179769682"/>
      <w:bookmarkStart w:id="598" w:name="_Toc179714531"/>
      <w:bookmarkStart w:id="599" w:name="_Toc179730713"/>
      <w:bookmarkStart w:id="600" w:name="_Toc178755674"/>
      <w:bookmarkStart w:id="601" w:name="_Toc180241773"/>
      <w:r>
        <w:rPr>
          <w:rFonts w:hint="eastAsia"/>
        </w:rPr>
        <w:t>保护目标</w:t>
      </w:r>
      <w:bookmarkEnd w:id="593"/>
      <w:bookmarkEnd w:id="594"/>
      <w:bookmarkEnd w:id="595"/>
    </w:p>
    <w:p>
      <w:pPr>
        <w:pStyle w:val="36"/>
        <w:ind w:firstLine="480"/>
        <w:rPr>
          <w:rFonts w:eastAsia="宋体" w:cs="Times New Roman"/>
          <w:szCs w:val="24"/>
        </w:rPr>
      </w:pPr>
      <w:bookmarkStart w:id="602" w:name="_Toc317862333"/>
      <w:bookmarkStart w:id="603" w:name="_Toc317862135"/>
      <w:bookmarkStart w:id="604" w:name="_Toc317862267"/>
      <w:r>
        <w:rPr>
          <w:rFonts w:hAnsi="宋体" w:eastAsia="宋体" w:cs="Times New Roman"/>
          <w:szCs w:val="24"/>
        </w:rPr>
        <w:t>根据现场踏勘和综合分析，企业评价范围内无文物古迹、名树古木等。企业的用地属于工业用地，周边</w:t>
      </w:r>
      <w:r>
        <w:rPr>
          <w:rFonts w:hint="eastAsia" w:hAnsi="宋体" w:eastAsia="宋体" w:cs="Times New Roman"/>
          <w:szCs w:val="24"/>
        </w:rPr>
        <w:t>以</w:t>
      </w:r>
      <w:r>
        <w:rPr>
          <w:rFonts w:hAnsi="宋体" w:eastAsia="宋体" w:cs="Times New Roman"/>
          <w:szCs w:val="24"/>
        </w:rPr>
        <w:t>山丘为主，外环境整体不太敏感。根据现状调查情况可知：项目北临国道</w:t>
      </w:r>
      <w:r>
        <w:rPr>
          <w:rFonts w:eastAsia="宋体" w:cs="Times New Roman"/>
          <w:szCs w:val="24"/>
        </w:rPr>
        <w:t>319</w:t>
      </w:r>
      <w:r>
        <w:rPr>
          <w:rFonts w:hAnsi="宋体" w:eastAsia="宋体" w:cs="Times New Roman"/>
          <w:szCs w:val="24"/>
        </w:rPr>
        <w:t>，东面、西面和南面为山地，现状存在的环境敏感目标较少。</w:t>
      </w:r>
    </w:p>
    <w:p>
      <w:pPr>
        <w:spacing w:line="360" w:lineRule="auto"/>
        <w:ind w:firstLine="480" w:firstLineChars="200"/>
        <w:rPr>
          <w:rFonts w:ascii="Times New Roman" w:hAnsi="Times New Roman"/>
          <w:sz w:val="24"/>
          <w:szCs w:val="24"/>
        </w:rPr>
      </w:pPr>
      <w:r>
        <w:rPr>
          <w:rFonts w:ascii="Times New Roman" w:hAnsi="宋体"/>
          <w:sz w:val="24"/>
          <w:szCs w:val="24"/>
        </w:rPr>
        <w:t>该企业无生产废水排放，生活污水经生化池处理达《污水综合排放标准》（</w:t>
      </w:r>
      <w:r>
        <w:rPr>
          <w:rFonts w:ascii="Times New Roman" w:hAnsi="Times New Roman"/>
          <w:sz w:val="24"/>
          <w:szCs w:val="24"/>
        </w:rPr>
        <w:t>GB8978-1996</w:t>
      </w:r>
      <w:r>
        <w:rPr>
          <w:rFonts w:ascii="Times New Roman" w:hAnsi="宋体"/>
          <w:sz w:val="24"/>
          <w:szCs w:val="24"/>
        </w:rPr>
        <w:t>）一级标准后，经厂区北侧无名小溪沟排入梁滩河。梁滩河目前为</w:t>
      </w:r>
      <w:r>
        <w:rPr>
          <w:rFonts w:ascii="宋体" w:hAnsi="宋体"/>
          <w:sz w:val="24"/>
          <w:szCs w:val="24"/>
        </w:rPr>
        <w:t>∨</w:t>
      </w:r>
      <w:r>
        <w:rPr>
          <w:rFonts w:ascii="Times New Roman" w:hAnsi="宋体"/>
          <w:sz w:val="24"/>
          <w:szCs w:val="24"/>
        </w:rPr>
        <w:t>类水域功能，属于农业用水，小溪沟汇入梁滩河处上游</w:t>
      </w:r>
      <w:r>
        <w:rPr>
          <w:rFonts w:ascii="Times New Roman" w:hAnsi="Times New Roman"/>
          <w:sz w:val="24"/>
          <w:szCs w:val="24"/>
        </w:rPr>
        <w:t>100m</w:t>
      </w:r>
      <w:r>
        <w:rPr>
          <w:rFonts w:ascii="Times New Roman" w:hAnsi="宋体"/>
          <w:sz w:val="24"/>
          <w:szCs w:val="24"/>
        </w:rPr>
        <w:t>，下游</w:t>
      </w:r>
      <w:r>
        <w:rPr>
          <w:rFonts w:ascii="Times New Roman" w:hAnsi="Times New Roman"/>
          <w:sz w:val="24"/>
          <w:szCs w:val="24"/>
        </w:rPr>
        <w:t>1000m</w:t>
      </w:r>
      <w:r>
        <w:rPr>
          <w:rFonts w:ascii="Times New Roman" w:hAnsi="宋体"/>
          <w:sz w:val="24"/>
          <w:szCs w:val="24"/>
        </w:rPr>
        <w:t>范围类无饮用水源取水口。</w:t>
      </w:r>
    </w:p>
    <w:p>
      <w:pPr>
        <w:jc w:val="center"/>
        <w:rPr>
          <w:rFonts w:ascii="Times New Roman" w:hAnsi="Times New Roman"/>
          <w:b/>
          <w:sz w:val="24"/>
          <w:szCs w:val="24"/>
        </w:rPr>
      </w:pPr>
      <w:r>
        <w:rPr>
          <w:rFonts w:ascii="Times New Roman" w:hAnsi="宋体"/>
          <w:b/>
          <w:szCs w:val="21"/>
        </w:rPr>
        <w:br w:type="page"/>
      </w:r>
      <w:r>
        <w:rPr>
          <w:rFonts w:ascii="Times New Roman" w:hAnsi="宋体"/>
          <w:b/>
          <w:sz w:val="24"/>
          <w:szCs w:val="24"/>
        </w:rPr>
        <w:t>表</w:t>
      </w:r>
      <w:r>
        <w:rPr>
          <w:rFonts w:ascii="Times New Roman" w:hAnsi="Times New Roman"/>
          <w:b/>
          <w:sz w:val="24"/>
          <w:szCs w:val="24"/>
        </w:rPr>
        <w:t>1</w:t>
      </w:r>
      <w:r>
        <w:rPr>
          <w:rFonts w:hint="eastAsia" w:ascii="Times New Roman" w:hAnsi="Times New Roman"/>
          <w:b/>
          <w:sz w:val="24"/>
          <w:szCs w:val="24"/>
        </w:rPr>
        <w:t>.8—</w:t>
      </w:r>
      <w:r>
        <w:rPr>
          <w:rFonts w:ascii="Times New Roman" w:hAnsi="Times New Roman"/>
          <w:b/>
          <w:sz w:val="24"/>
          <w:szCs w:val="24"/>
        </w:rPr>
        <w:t xml:space="preserve">1  </w:t>
      </w:r>
      <w:r>
        <w:rPr>
          <w:rFonts w:ascii="Times New Roman" w:hAnsi="宋体"/>
          <w:b/>
          <w:sz w:val="24"/>
          <w:szCs w:val="24"/>
        </w:rPr>
        <w:t>企业周边环境风险受体情况一览表</w:t>
      </w:r>
    </w:p>
    <w:tbl>
      <w:tblPr>
        <w:tblStyle w:val="21"/>
        <w:tblW w:w="850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14"/>
        <w:gridCol w:w="1629"/>
        <w:gridCol w:w="1364"/>
        <w:gridCol w:w="532"/>
        <w:gridCol w:w="1391"/>
        <w:gridCol w:w="1381"/>
        <w:gridCol w:w="15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614" w:type="dxa"/>
            <w:vAlign w:val="center"/>
          </w:tcPr>
          <w:p>
            <w:pPr>
              <w:jc w:val="center"/>
              <w:rPr>
                <w:rFonts w:ascii="Times New Roman" w:hAnsi="Times New Roman"/>
                <w:szCs w:val="21"/>
              </w:rPr>
            </w:pPr>
            <w:r>
              <w:rPr>
                <w:rFonts w:ascii="Times New Roman" w:hAnsi="宋体"/>
                <w:szCs w:val="21"/>
              </w:rPr>
              <w:t>序号</w:t>
            </w:r>
          </w:p>
        </w:tc>
        <w:tc>
          <w:tcPr>
            <w:tcW w:w="1629" w:type="dxa"/>
            <w:vAlign w:val="center"/>
          </w:tcPr>
          <w:p>
            <w:pPr>
              <w:jc w:val="center"/>
              <w:rPr>
                <w:rFonts w:ascii="Times New Roman" w:hAnsi="Times New Roman"/>
                <w:szCs w:val="21"/>
              </w:rPr>
            </w:pPr>
            <w:r>
              <w:rPr>
                <w:rFonts w:ascii="Times New Roman" w:hAnsi="宋体"/>
                <w:szCs w:val="21"/>
              </w:rPr>
              <w:t>环境风险受体</w:t>
            </w:r>
          </w:p>
        </w:tc>
        <w:tc>
          <w:tcPr>
            <w:tcW w:w="1364" w:type="dxa"/>
            <w:vAlign w:val="center"/>
          </w:tcPr>
          <w:p>
            <w:pPr>
              <w:jc w:val="center"/>
              <w:rPr>
                <w:rFonts w:ascii="Times New Roman" w:hAnsi="Times New Roman"/>
                <w:szCs w:val="21"/>
              </w:rPr>
            </w:pPr>
            <w:r>
              <w:rPr>
                <w:rFonts w:ascii="Times New Roman" w:hAnsi="宋体"/>
                <w:szCs w:val="21"/>
              </w:rPr>
              <w:t>中心</w:t>
            </w:r>
          </w:p>
          <w:p>
            <w:pPr>
              <w:jc w:val="center"/>
              <w:rPr>
                <w:rFonts w:ascii="Times New Roman" w:hAnsi="Times New Roman"/>
                <w:szCs w:val="21"/>
              </w:rPr>
            </w:pPr>
            <w:r>
              <w:rPr>
                <w:rFonts w:ascii="Times New Roman" w:hAnsi="宋体"/>
                <w:szCs w:val="21"/>
              </w:rPr>
              <w:t>经纬度</w:t>
            </w:r>
          </w:p>
        </w:tc>
        <w:tc>
          <w:tcPr>
            <w:tcW w:w="532" w:type="dxa"/>
            <w:vAlign w:val="center"/>
          </w:tcPr>
          <w:p>
            <w:pPr>
              <w:jc w:val="center"/>
              <w:rPr>
                <w:rFonts w:ascii="Times New Roman" w:hAnsi="Times New Roman"/>
                <w:szCs w:val="21"/>
              </w:rPr>
            </w:pPr>
            <w:r>
              <w:rPr>
                <w:rFonts w:ascii="Times New Roman" w:hAnsi="宋体"/>
                <w:szCs w:val="21"/>
              </w:rPr>
              <w:t>方位</w:t>
            </w:r>
          </w:p>
        </w:tc>
        <w:tc>
          <w:tcPr>
            <w:tcW w:w="1391" w:type="dxa"/>
            <w:vAlign w:val="center"/>
          </w:tcPr>
          <w:p>
            <w:pPr>
              <w:jc w:val="center"/>
              <w:rPr>
                <w:rFonts w:ascii="Times New Roman" w:hAnsi="Times New Roman"/>
                <w:szCs w:val="21"/>
              </w:rPr>
            </w:pPr>
            <w:r>
              <w:rPr>
                <w:rFonts w:ascii="Times New Roman" w:hAnsi="宋体"/>
                <w:szCs w:val="21"/>
              </w:rPr>
              <w:t>厂界</w:t>
            </w:r>
          </w:p>
          <w:p>
            <w:pPr>
              <w:jc w:val="center"/>
              <w:rPr>
                <w:rFonts w:ascii="Times New Roman" w:hAnsi="Times New Roman"/>
                <w:szCs w:val="21"/>
              </w:rPr>
            </w:pPr>
            <w:r>
              <w:rPr>
                <w:rFonts w:ascii="Times New Roman" w:hAnsi="宋体"/>
                <w:szCs w:val="21"/>
              </w:rPr>
              <w:t>距离（</w:t>
            </w:r>
            <w:r>
              <w:rPr>
                <w:rFonts w:ascii="Times New Roman" w:hAnsi="Times New Roman"/>
                <w:szCs w:val="21"/>
              </w:rPr>
              <w:t>m</w:t>
            </w:r>
            <w:r>
              <w:rPr>
                <w:rFonts w:ascii="Times New Roman" w:hAnsi="宋体"/>
                <w:szCs w:val="21"/>
              </w:rPr>
              <w:t>）</w:t>
            </w:r>
          </w:p>
        </w:tc>
        <w:tc>
          <w:tcPr>
            <w:tcW w:w="1381" w:type="dxa"/>
            <w:vAlign w:val="center"/>
          </w:tcPr>
          <w:p>
            <w:pPr>
              <w:jc w:val="center"/>
              <w:rPr>
                <w:rFonts w:ascii="Times New Roman" w:hAnsi="Times New Roman"/>
                <w:szCs w:val="21"/>
              </w:rPr>
            </w:pPr>
            <w:r>
              <w:rPr>
                <w:rFonts w:ascii="Times New Roman" w:hAnsi="宋体"/>
                <w:szCs w:val="21"/>
              </w:rPr>
              <w:t>规模</w:t>
            </w:r>
          </w:p>
        </w:tc>
        <w:tc>
          <w:tcPr>
            <w:tcW w:w="1594" w:type="dxa"/>
            <w:vAlign w:val="center"/>
          </w:tcPr>
          <w:p>
            <w:pPr>
              <w:jc w:val="center"/>
              <w:rPr>
                <w:rFonts w:ascii="Times New Roman" w:hAnsi="Times New Roman"/>
                <w:szCs w:val="21"/>
              </w:rPr>
            </w:pPr>
            <w:r>
              <w:rPr>
                <w:rFonts w:ascii="Times New Roman" w:hAnsi="宋体"/>
                <w:szCs w:val="21"/>
              </w:rPr>
              <w:t>联系人及电话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8505" w:type="dxa"/>
            <w:gridSpan w:val="7"/>
            <w:vAlign w:val="center"/>
          </w:tcPr>
          <w:p>
            <w:pPr>
              <w:jc w:val="center"/>
              <w:rPr>
                <w:rFonts w:ascii="Times New Roman" w:hAnsi="Times New Roman"/>
                <w:szCs w:val="21"/>
              </w:rPr>
            </w:pPr>
            <w:r>
              <w:rPr>
                <w:rFonts w:ascii="Times New Roman" w:hAnsi="宋体"/>
                <w:szCs w:val="21"/>
              </w:rPr>
              <w:t>大气、土壤环境风险受体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614" w:type="dxa"/>
            <w:vAlign w:val="center"/>
          </w:tcPr>
          <w:p>
            <w:pPr>
              <w:jc w:val="center"/>
              <w:rPr>
                <w:rFonts w:ascii="Times New Roman" w:hAnsi="Times New Roman"/>
                <w:szCs w:val="21"/>
              </w:rPr>
            </w:pPr>
            <w:r>
              <w:rPr>
                <w:rFonts w:ascii="Times New Roman" w:hAnsi="Times New Roman"/>
                <w:szCs w:val="21"/>
              </w:rPr>
              <w:t>1</w:t>
            </w:r>
          </w:p>
        </w:tc>
        <w:tc>
          <w:tcPr>
            <w:tcW w:w="1629" w:type="dxa"/>
            <w:vAlign w:val="center"/>
          </w:tcPr>
          <w:p>
            <w:pPr>
              <w:adjustRightInd w:val="0"/>
              <w:snapToGrid w:val="0"/>
              <w:jc w:val="center"/>
              <w:rPr>
                <w:rFonts w:ascii="Times New Roman" w:hAnsi="Times New Roman"/>
                <w:szCs w:val="21"/>
              </w:rPr>
            </w:pPr>
            <w:r>
              <w:rPr>
                <w:rFonts w:ascii="Times New Roman" w:hAnsi="宋体"/>
                <w:szCs w:val="21"/>
              </w:rPr>
              <w:t>关口村</w:t>
            </w:r>
          </w:p>
        </w:tc>
        <w:tc>
          <w:tcPr>
            <w:tcW w:w="1364" w:type="dxa"/>
            <w:vAlign w:val="center"/>
          </w:tcPr>
          <w:p>
            <w:pPr>
              <w:jc w:val="center"/>
              <w:rPr>
                <w:rFonts w:ascii="Times New Roman" w:hAnsi="Times New Roman"/>
                <w:szCs w:val="21"/>
              </w:rPr>
            </w:pPr>
            <w:r>
              <w:rPr>
                <w:rFonts w:ascii="Times New Roman" w:hAnsi="Times New Roman"/>
                <w:szCs w:val="21"/>
              </w:rPr>
              <w:t>106°16'55"E</w:t>
            </w:r>
          </w:p>
          <w:p>
            <w:pPr>
              <w:jc w:val="center"/>
              <w:rPr>
                <w:rFonts w:ascii="Times New Roman" w:hAnsi="Times New Roman"/>
                <w:szCs w:val="21"/>
              </w:rPr>
            </w:pPr>
            <w:r>
              <w:rPr>
                <w:rFonts w:ascii="Times New Roman" w:hAnsi="Times New Roman"/>
                <w:szCs w:val="21"/>
              </w:rPr>
              <w:t>29°40'59" N</w:t>
            </w:r>
          </w:p>
        </w:tc>
        <w:tc>
          <w:tcPr>
            <w:tcW w:w="532" w:type="dxa"/>
            <w:vAlign w:val="center"/>
          </w:tcPr>
          <w:p>
            <w:pPr>
              <w:adjustRightInd w:val="0"/>
              <w:snapToGrid w:val="0"/>
              <w:jc w:val="center"/>
              <w:rPr>
                <w:rFonts w:ascii="Times New Roman" w:hAnsi="Times New Roman"/>
                <w:szCs w:val="21"/>
              </w:rPr>
            </w:pPr>
            <w:r>
              <w:rPr>
                <w:rFonts w:ascii="Times New Roman" w:hAnsi="Times New Roman"/>
                <w:szCs w:val="21"/>
              </w:rPr>
              <w:t>N</w:t>
            </w:r>
          </w:p>
        </w:tc>
        <w:tc>
          <w:tcPr>
            <w:tcW w:w="1391" w:type="dxa"/>
            <w:vAlign w:val="center"/>
          </w:tcPr>
          <w:p>
            <w:pPr>
              <w:adjustRightInd w:val="0"/>
              <w:snapToGrid w:val="0"/>
              <w:jc w:val="center"/>
              <w:rPr>
                <w:rFonts w:ascii="Times New Roman" w:hAnsi="Times New Roman"/>
                <w:szCs w:val="21"/>
              </w:rPr>
            </w:pPr>
            <w:r>
              <w:rPr>
                <w:rFonts w:ascii="Times New Roman" w:hAnsi="Times New Roman"/>
                <w:szCs w:val="21"/>
              </w:rPr>
              <w:t>10m</w:t>
            </w:r>
          </w:p>
        </w:tc>
        <w:tc>
          <w:tcPr>
            <w:tcW w:w="1381" w:type="dxa"/>
            <w:vAlign w:val="center"/>
          </w:tcPr>
          <w:p>
            <w:pPr>
              <w:jc w:val="center"/>
              <w:rPr>
                <w:rFonts w:ascii="Times New Roman" w:hAnsi="Times New Roman"/>
                <w:szCs w:val="21"/>
              </w:rPr>
            </w:pPr>
            <w:r>
              <w:rPr>
                <w:rFonts w:ascii="Times New Roman" w:hAnsi="宋体"/>
                <w:szCs w:val="21"/>
              </w:rPr>
              <w:t>大型</w:t>
            </w:r>
          </w:p>
          <w:p>
            <w:pPr>
              <w:jc w:val="center"/>
              <w:rPr>
                <w:rFonts w:ascii="Times New Roman" w:hAnsi="Times New Roman"/>
                <w:szCs w:val="21"/>
              </w:rPr>
            </w:pPr>
            <w:r>
              <w:rPr>
                <w:rFonts w:ascii="Times New Roman" w:hAnsi="Times New Roman"/>
                <w:szCs w:val="21"/>
              </w:rPr>
              <w:t>600</w:t>
            </w:r>
            <w:r>
              <w:rPr>
                <w:rFonts w:ascii="Times New Roman" w:hAnsi="宋体"/>
                <w:szCs w:val="21"/>
              </w:rPr>
              <w:t>人</w:t>
            </w:r>
          </w:p>
        </w:tc>
        <w:tc>
          <w:tcPr>
            <w:tcW w:w="1594" w:type="dxa"/>
            <w:vAlign w:val="center"/>
          </w:tcPr>
          <w:p>
            <w:pPr>
              <w:jc w:val="center"/>
              <w:rPr>
                <w:rFonts w:ascii="Times New Roman" w:hAnsi="Times New Roman"/>
                <w:szCs w:val="21"/>
              </w:rPr>
            </w:pPr>
            <w:r>
              <w:rPr>
                <w:rFonts w:ascii="Times New Roman" w:hAnsi="宋体"/>
                <w:szCs w:val="21"/>
              </w:rPr>
              <w:t>青木关镇政府</w:t>
            </w:r>
          </w:p>
          <w:p>
            <w:pPr>
              <w:jc w:val="center"/>
              <w:rPr>
                <w:rFonts w:ascii="Times New Roman" w:hAnsi="Times New Roman"/>
                <w:szCs w:val="21"/>
              </w:rPr>
            </w:pPr>
            <w:r>
              <w:rPr>
                <w:rFonts w:ascii="Times New Roman" w:hAnsi="Times New Roman"/>
                <w:szCs w:val="21"/>
              </w:rPr>
              <w:t>023-65603628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614" w:type="dxa"/>
            <w:vAlign w:val="center"/>
          </w:tcPr>
          <w:p>
            <w:pPr>
              <w:jc w:val="center"/>
              <w:rPr>
                <w:rFonts w:ascii="Times New Roman" w:hAnsi="Times New Roman"/>
                <w:szCs w:val="21"/>
              </w:rPr>
            </w:pPr>
            <w:r>
              <w:rPr>
                <w:rFonts w:ascii="Times New Roman" w:hAnsi="Times New Roman"/>
                <w:szCs w:val="21"/>
              </w:rPr>
              <w:t>2</w:t>
            </w:r>
          </w:p>
        </w:tc>
        <w:tc>
          <w:tcPr>
            <w:tcW w:w="1629" w:type="dxa"/>
            <w:vAlign w:val="center"/>
          </w:tcPr>
          <w:p>
            <w:pPr>
              <w:adjustRightInd w:val="0"/>
              <w:snapToGrid w:val="0"/>
              <w:jc w:val="center"/>
              <w:rPr>
                <w:rFonts w:ascii="Times New Roman" w:hAnsi="Times New Roman"/>
                <w:szCs w:val="21"/>
              </w:rPr>
            </w:pPr>
            <w:r>
              <w:rPr>
                <w:rFonts w:ascii="Times New Roman" w:hAnsi="宋体"/>
                <w:szCs w:val="21"/>
              </w:rPr>
              <w:t>重庆永荣青鹏煤业有限公司家属区</w:t>
            </w:r>
          </w:p>
        </w:tc>
        <w:tc>
          <w:tcPr>
            <w:tcW w:w="1364" w:type="dxa"/>
            <w:vAlign w:val="center"/>
          </w:tcPr>
          <w:p>
            <w:pPr>
              <w:jc w:val="center"/>
              <w:rPr>
                <w:rFonts w:ascii="Times New Roman" w:hAnsi="Times New Roman"/>
                <w:szCs w:val="21"/>
              </w:rPr>
            </w:pPr>
            <w:r>
              <w:rPr>
                <w:rFonts w:ascii="Times New Roman" w:hAnsi="Times New Roman"/>
                <w:szCs w:val="21"/>
              </w:rPr>
              <w:t>106°17'03"E</w:t>
            </w:r>
          </w:p>
          <w:p>
            <w:pPr>
              <w:jc w:val="center"/>
              <w:rPr>
                <w:rFonts w:ascii="Times New Roman" w:hAnsi="Times New Roman"/>
                <w:szCs w:val="21"/>
              </w:rPr>
            </w:pPr>
            <w:r>
              <w:rPr>
                <w:rFonts w:ascii="Times New Roman" w:hAnsi="Times New Roman"/>
                <w:szCs w:val="21"/>
              </w:rPr>
              <w:t>29°40'49" N</w:t>
            </w:r>
          </w:p>
        </w:tc>
        <w:tc>
          <w:tcPr>
            <w:tcW w:w="532" w:type="dxa"/>
            <w:vAlign w:val="center"/>
          </w:tcPr>
          <w:p>
            <w:pPr>
              <w:adjustRightInd w:val="0"/>
              <w:snapToGrid w:val="0"/>
              <w:jc w:val="center"/>
              <w:rPr>
                <w:rFonts w:ascii="Times New Roman" w:hAnsi="Times New Roman"/>
                <w:szCs w:val="21"/>
              </w:rPr>
            </w:pPr>
            <w:r>
              <w:rPr>
                <w:rFonts w:ascii="Times New Roman" w:hAnsi="Times New Roman"/>
                <w:szCs w:val="21"/>
              </w:rPr>
              <w:t>NE</w:t>
            </w:r>
          </w:p>
        </w:tc>
        <w:tc>
          <w:tcPr>
            <w:tcW w:w="1391" w:type="dxa"/>
            <w:vAlign w:val="center"/>
          </w:tcPr>
          <w:p>
            <w:pPr>
              <w:adjustRightInd w:val="0"/>
              <w:snapToGrid w:val="0"/>
              <w:jc w:val="center"/>
              <w:rPr>
                <w:rFonts w:ascii="Times New Roman" w:hAnsi="Times New Roman"/>
                <w:szCs w:val="21"/>
              </w:rPr>
            </w:pPr>
            <w:r>
              <w:rPr>
                <w:rFonts w:ascii="Times New Roman" w:hAnsi="Times New Roman"/>
                <w:szCs w:val="21"/>
              </w:rPr>
              <w:t>100m</w:t>
            </w:r>
          </w:p>
        </w:tc>
        <w:tc>
          <w:tcPr>
            <w:tcW w:w="1381" w:type="dxa"/>
            <w:vAlign w:val="center"/>
          </w:tcPr>
          <w:p>
            <w:pPr>
              <w:jc w:val="center"/>
              <w:rPr>
                <w:rFonts w:ascii="Times New Roman" w:hAnsi="Times New Roman"/>
                <w:szCs w:val="21"/>
              </w:rPr>
            </w:pPr>
            <w:r>
              <w:rPr>
                <w:rFonts w:ascii="Times New Roman" w:hAnsi="宋体"/>
                <w:szCs w:val="21"/>
              </w:rPr>
              <w:t>大型</w:t>
            </w:r>
          </w:p>
          <w:p>
            <w:pPr>
              <w:jc w:val="center"/>
              <w:rPr>
                <w:rFonts w:ascii="Times New Roman" w:hAnsi="Times New Roman"/>
                <w:szCs w:val="21"/>
              </w:rPr>
            </w:pPr>
            <w:r>
              <w:rPr>
                <w:rFonts w:ascii="Times New Roman" w:hAnsi="Times New Roman"/>
                <w:szCs w:val="21"/>
              </w:rPr>
              <w:t>400</w:t>
            </w:r>
            <w:r>
              <w:rPr>
                <w:rFonts w:ascii="Times New Roman" w:hAnsi="宋体"/>
                <w:szCs w:val="21"/>
              </w:rPr>
              <w:t>人</w:t>
            </w:r>
          </w:p>
        </w:tc>
        <w:tc>
          <w:tcPr>
            <w:tcW w:w="1594" w:type="dxa"/>
            <w:vAlign w:val="center"/>
          </w:tcPr>
          <w:p>
            <w:pPr>
              <w:jc w:val="center"/>
              <w:rPr>
                <w:rFonts w:ascii="Times New Roman" w:hAnsi="Times New Roman"/>
                <w:szCs w:val="21"/>
              </w:rPr>
            </w:pPr>
            <w:r>
              <w:rPr>
                <w:rFonts w:ascii="Times New Roman" w:hAnsi="宋体"/>
                <w:szCs w:val="21"/>
              </w:rPr>
              <w:t>青木关镇政府</w:t>
            </w:r>
          </w:p>
          <w:p>
            <w:pPr>
              <w:jc w:val="center"/>
              <w:rPr>
                <w:rFonts w:ascii="Times New Roman" w:hAnsi="Times New Roman"/>
                <w:szCs w:val="21"/>
              </w:rPr>
            </w:pPr>
            <w:r>
              <w:rPr>
                <w:rFonts w:ascii="Times New Roman" w:hAnsi="Times New Roman"/>
                <w:szCs w:val="21"/>
              </w:rPr>
              <w:t>023-65603628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614" w:type="dxa"/>
            <w:vAlign w:val="center"/>
          </w:tcPr>
          <w:p>
            <w:pPr>
              <w:jc w:val="center"/>
              <w:rPr>
                <w:rFonts w:ascii="Times New Roman" w:hAnsi="Times New Roman"/>
                <w:szCs w:val="21"/>
              </w:rPr>
            </w:pPr>
            <w:r>
              <w:rPr>
                <w:rFonts w:ascii="Times New Roman" w:hAnsi="Times New Roman"/>
                <w:szCs w:val="21"/>
              </w:rPr>
              <w:t>3</w:t>
            </w:r>
          </w:p>
        </w:tc>
        <w:tc>
          <w:tcPr>
            <w:tcW w:w="1629" w:type="dxa"/>
            <w:vAlign w:val="center"/>
          </w:tcPr>
          <w:p>
            <w:pPr>
              <w:adjustRightInd w:val="0"/>
              <w:snapToGrid w:val="0"/>
              <w:jc w:val="center"/>
              <w:rPr>
                <w:rFonts w:ascii="Times New Roman" w:hAnsi="Times New Roman"/>
                <w:szCs w:val="21"/>
              </w:rPr>
            </w:pPr>
            <w:r>
              <w:rPr>
                <w:rFonts w:ascii="Times New Roman" w:hAnsi="宋体"/>
                <w:szCs w:val="21"/>
              </w:rPr>
              <w:t>青木关镇</w:t>
            </w:r>
          </w:p>
        </w:tc>
        <w:tc>
          <w:tcPr>
            <w:tcW w:w="1364" w:type="dxa"/>
            <w:vAlign w:val="center"/>
          </w:tcPr>
          <w:p>
            <w:pPr>
              <w:jc w:val="center"/>
              <w:rPr>
                <w:rFonts w:ascii="Times New Roman" w:hAnsi="Times New Roman"/>
                <w:szCs w:val="21"/>
              </w:rPr>
            </w:pPr>
            <w:r>
              <w:rPr>
                <w:rFonts w:ascii="Times New Roman" w:hAnsi="Times New Roman"/>
                <w:szCs w:val="21"/>
              </w:rPr>
              <w:t>106°17'14"E</w:t>
            </w:r>
          </w:p>
          <w:p>
            <w:pPr>
              <w:jc w:val="center"/>
              <w:rPr>
                <w:rFonts w:ascii="Times New Roman" w:hAnsi="Times New Roman"/>
                <w:szCs w:val="21"/>
              </w:rPr>
            </w:pPr>
            <w:r>
              <w:rPr>
                <w:rFonts w:ascii="Times New Roman" w:hAnsi="Times New Roman"/>
                <w:szCs w:val="21"/>
              </w:rPr>
              <w:t>29°40'44" N</w:t>
            </w:r>
          </w:p>
        </w:tc>
        <w:tc>
          <w:tcPr>
            <w:tcW w:w="532" w:type="dxa"/>
            <w:vAlign w:val="center"/>
          </w:tcPr>
          <w:p>
            <w:pPr>
              <w:adjustRightInd w:val="0"/>
              <w:snapToGrid w:val="0"/>
              <w:jc w:val="center"/>
              <w:rPr>
                <w:rFonts w:ascii="Times New Roman" w:hAnsi="Times New Roman"/>
                <w:szCs w:val="21"/>
              </w:rPr>
            </w:pPr>
            <w:r>
              <w:rPr>
                <w:rFonts w:ascii="Times New Roman" w:hAnsi="Times New Roman"/>
                <w:szCs w:val="21"/>
              </w:rPr>
              <w:t>E</w:t>
            </w:r>
          </w:p>
        </w:tc>
        <w:tc>
          <w:tcPr>
            <w:tcW w:w="1391" w:type="dxa"/>
            <w:vAlign w:val="center"/>
          </w:tcPr>
          <w:p>
            <w:pPr>
              <w:adjustRightInd w:val="0"/>
              <w:snapToGrid w:val="0"/>
              <w:jc w:val="center"/>
              <w:rPr>
                <w:rFonts w:ascii="Times New Roman" w:hAnsi="Times New Roman"/>
                <w:szCs w:val="21"/>
              </w:rPr>
            </w:pPr>
            <w:r>
              <w:rPr>
                <w:rFonts w:ascii="Times New Roman" w:hAnsi="Times New Roman"/>
                <w:szCs w:val="21"/>
              </w:rPr>
              <w:t>1000m</w:t>
            </w:r>
          </w:p>
        </w:tc>
        <w:tc>
          <w:tcPr>
            <w:tcW w:w="1381" w:type="dxa"/>
            <w:vAlign w:val="center"/>
          </w:tcPr>
          <w:p>
            <w:pPr>
              <w:jc w:val="center"/>
              <w:rPr>
                <w:rFonts w:ascii="Times New Roman" w:hAnsi="Times New Roman"/>
                <w:szCs w:val="21"/>
              </w:rPr>
            </w:pPr>
            <w:r>
              <w:rPr>
                <w:rFonts w:ascii="Times New Roman" w:hAnsi="宋体"/>
                <w:szCs w:val="21"/>
              </w:rPr>
              <w:t>大型</w:t>
            </w:r>
          </w:p>
          <w:p>
            <w:pPr>
              <w:jc w:val="center"/>
              <w:rPr>
                <w:rFonts w:ascii="Times New Roman" w:hAnsi="Times New Roman"/>
                <w:szCs w:val="21"/>
              </w:rPr>
            </w:pPr>
            <w:r>
              <w:rPr>
                <w:rFonts w:ascii="Times New Roman" w:hAnsi="Times New Roman"/>
                <w:szCs w:val="21"/>
              </w:rPr>
              <w:t>3.5</w:t>
            </w:r>
            <w:r>
              <w:rPr>
                <w:rFonts w:ascii="Times New Roman" w:hAnsi="宋体"/>
                <w:szCs w:val="21"/>
              </w:rPr>
              <w:t>人</w:t>
            </w:r>
          </w:p>
        </w:tc>
        <w:tc>
          <w:tcPr>
            <w:tcW w:w="1594" w:type="dxa"/>
            <w:vAlign w:val="center"/>
          </w:tcPr>
          <w:p>
            <w:pPr>
              <w:jc w:val="center"/>
              <w:rPr>
                <w:rFonts w:ascii="Times New Roman" w:hAnsi="Times New Roman"/>
                <w:szCs w:val="21"/>
              </w:rPr>
            </w:pPr>
            <w:r>
              <w:rPr>
                <w:rFonts w:ascii="Times New Roman" w:hAnsi="宋体"/>
                <w:szCs w:val="21"/>
              </w:rPr>
              <w:t>青木关镇政府</w:t>
            </w:r>
          </w:p>
          <w:p>
            <w:pPr>
              <w:jc w:val="center"/>
              <w:rPr>
                <w:rFonts w:ascii="Times New Roman" w:hAnsi="Times New Roman"/>
                <w:szCs w:val="21"/>
              </w:rPr>
            </w:pPr>
            <w:r>
              <w:rPr>
                <w:rFonts w:ascii="Times New Roman" w:hAnsi="Times New Roman"/>
                <w:szCs w:val="21"/>
              </w:rPr>
              <w:t>023-65603628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614" w:type="dxa"/>
            <w:vAlign w:val="center"/>
          </w:tcPr>
          <w:p>
            <w:pPr>
              <w:jc w:val="center"/>
              <w:rPr>
                <w:rFonts w:ascii="Times New Roman" w:hAnsi="Times New Roman"/>
                <w:szCs w:val="21"/>
              </w:rPr>
            </w:pPr>
            <w:r>
              <w:rPr>
                <w:rFonts w:ascii="Times New Roman" w:hAnsi="Times New Roman"/>
                <w:szCs w:val="21"/>
              </w:rPr>
              <w:t>4</w:t>
            </w:r>
          </w:p>
        </w:tc>
        <w:tc>
          <w:tcPr>
            <w:tcW w:w="1629" w:type="dxa"/>
            <w:vAlign w:val="center"/>
          </w:tcPr>
          <w:p>
            <w:pPr>
              <w:adjustRightInd w:val="0"/>
              <w:snapToGrid w:val="0"/>
              <w:jc w:val="center"/>
              <w:rPr>
                <w:rFonts w:ascii="Times New Roman" w:hAnsi="Times New Roman"/>
                <w:szCs w:val="21"/>
              </w:rPr>
            </w:pPr>
            <w:r>
              <w:rPr>
                <w:rFonts w:ascii="Times New Roman" w:hAnsi="宋体"/>
                <w:szCs w:val="21"/>
              </w:rPr>
              <w:t>福里树村</w:t>
            </w:r>
          </w:p>
        </w:tc>
        <w:tc>
          <w:tcPr>
            <w:tcW w:w="1364" w:type="dxa"/>
            <w:vAlign w:val="center"/>
          </w:tcPr>
          <w:p>
            <w:pPr>
              <w:jc w:val="center"/>
              <w:rPr>
                <w:rFonts w:ascii="Times New Roman" w:hAnsi="Times New Roman"/>
                <w:szCs w:val="21"/>
              </w:rPr>
            </w:pPr>
            <w:r>
              <w:rPr>
                <w:rFonts w:ascii="Times New Roman" w:hAnsi="Times New Roman"/>
                <w:szCs w:val="21"/>
              </w:rPr>
              <w:t>106°16'37"E</w:t>
            </w:r>
          </w:p>
          <w:p>
            <w:pPr>
              <w:jc w:val="center"/>
              <w:rPr>
                <w:rFonts w:ascii="Times New Roman" w:hAnsi="Times New Roman"/>
                <w:szCs w:val="21"/>
              </w:rPr>
            </w:pPr>
            <w:r>
              <w:rPr>
                <w:rFonts w:ascii="Times New Roman" w:hAnsi="Times New Roman"/>
                <w:szCs w:val="21"/>
              </w:rPr>
              <w:t>29°40'41" N</w:t>
            </w:r>
          </w:p>
        </w:tc>
        <w:tc>
          <w:tcPr>
            <w:tcW w:w="532" w:type="dxa"/>
            <w:vAlign w:val="center"/>
          </w:tcPr>
          <w:p>
            <w:pPr>
              <w:adjustRightInd w:val="0"/>
              <w:snapToGrid w:val="0"/>
              <w:jc w:val="center"/>
              <w:rPr>
                <w:rFonts w:ascii="Times New Roman" w:hAnsi="Times New Roman"/>
                <w:szCs w:val="21"/>
              </w:rPr>
            </w:pPr>
            <w:r>
              <w:rPr>
                <w:rFonts w:ascii="Times New Roman" w:hAnsi="Times New Roman"/>
                <w:szCs w:val="21"/>
              </w:rPr>
              <w:t>W</w:t>
            </w:r>
          </w:p>
        </w:tc>
        <w:tc>
          <w:tcPr>
            <w:tcW w:w="1391" w:type="dxa"/>
            <w:vAlign w:val="center"/>
          </w:tcPr>
          <w:p>
            <w:pPr>
              <w:adjustRightInd w:val="0"/>
              <w:snapToGrid w:val="0"/>
              <w:jc w:val="center"/>
              <w:rPr>
                <w:rFonts w:ascii="Times New Roman" w:hAnsi="Times New Roman"/>
                <w:szCs w:val="21"/>
              </w:rPr>
            </w:pPr>
            <w:r>
              <w:rPr>
                <w:rFonts w:ascii="Times New Roman" w:hAnsi="Times New Roman"/>
                <w:szCs w:val="21"/>
              </w:rPr>
              <w:t>1200m</w:t>
            </w:r>
          </w:p>
        </w:tc>
        <w:tc>
          <w:tcPr>
            <w:tcW w:w="1381" w:type="dxa"/>
            <w:vAlign w:val="center"/>
          </w:tcPr>
          <w:p>
            <w:pPr>
              <w:jc w:val="center"/>
              <w:rPr>
                <w:rFonts w:ascii="Times New Roman" w:hAnsi="Times New Roman"/>
                <w:szCs w:val="21"/>
              </w:rPr>
            </w:pPr>
            <w:r>
              <w:rPr>
                <w:rFonts w:ascii="Times New Roman" w:hAnsi="宋体"/>
                <w:szCs w:val="21"/>
              </w:rPr>
              <w:t>大型</w:t>
            </w:r>
          </w:p>
          <w:p>
            <w:pPr>
              <w:jc w:val="center"/>
              <w:rPr>
                <w:rFonts w:ascii="Times New Roman" w:hAnsi="Times New Roman"/>
                <w:szCs w:val="21"/>
              </w:rPr>
            </w:pPr>
            <w:r>
              <w:rPr>
                <w:rFonts w:ascii="Times New Roman" w:hAnsi="Times New Roman"/>
                <w:szCs w:val="21"/>
              </w:rPr>
              <w:t>400</w:t>
            </w:r>
            <w:r>
              <w:rPr>
                <w:rFonts w:ascii="Times New Roman" w:hAnsi="宋体"/>
                <w:szCs w:val="21"/>
              </w:rPr>
              <w:t>人</w:t>
            </w:r>
          </w:p>
        </w:tc>
        <w:tc>
          <w:tcPr>
            <w:tcW w:w="1594" w:type="dxa"/>
            <w:vAlign w:val="center"/>
          </w:tcPr>
          <w:p>
            <w:pPr>
              <w:jc w:val="center"/>
              <w:rPr>
                <w:rFonts w:ascii="Times New Roman" w:hAnsi="Times New Roman"/>
                <w:szCs w:val="21"/>
              </w:rPr>
            </w:pPr>
            <w:r>
              <w:rPr>
                <w:rFonts w:ascii="Times New Roman" w:hAnsi="宋体"/>
                <w:szCs w:val="21"/>
              </w:rPr>
              <w:t>青木关镇政府</w:t>
            </w:r>
          </w:p>
          <w:p>
            <w:pPr>
              <w:jc w:val="center"/>
              <w:rPr>
                <w:rFonts w:ascii="Times New Roman" w:hAnsi="Times New Roman"/>
                <w:szCs w:val="21"/>
              </w:rPr>
            </w:pPr>
            <w:r>
              <w:rPr>
                <w:rFonts w:ascii="Times New Roman" w:hAnsi="Times New Roman"/>
                <w:szCs w:val="21"/>
              </w:rPr>
              <w:t>023-65603628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8505" w:type="dxa"/>
            <w:gridSpan w:val="7"/>
            <w:vAlign w:val="center"/>
          </w:tcPr>
          <w:p>
            <w:pPr>
              <w:jc w:val="center"/>
              <w:rPr>
                <w:rFonts w:ascii="Times New Roman" w:hAnsi="Times New Roman"/>
                <w:szCs w:val="21"/>
              </w:rPr>
            </w:pPr>
            <w:r>
              <w:rPr>
                <w:rFonts w:ascii="Times New Roman" w:hAnsi="宋体"/>
                <w:szCs w:val="21"/>
              </w:rPr>
              <w:t>水环境风险受体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614" w:type="dxa"/>
            <w:vAlign w:val="center"/>
          </w:tcPr>
          <w:p>
            <w:pPr>
              <w:jc w:val="center"/>
              <w:rPr>
                <w:rFonts w:ascii="Times New Roman" w:hAnsi="Times New Roman"/>
                <w:szCs w:val="21"/>
              </w:rPr>
            </w:pPr>
            <w:r>
              <w:rPr>
                <w:rFonts w:ascii="Times New Roman" w:hAnsi="Times New Roman"/>
                <w:szCs w:val="21"/>
              </w:rPr>
              <w:t>5</w:t>
            </w:r>
          </w:p>
        </w:tc>
        <w:tc>
          <w:tcPr>
            <w:tcW w:w="1629" w:type="dxa"/>
            <w:vAlign w:val="center"/>
          </w:tcPr>
          <w:p>
            <w:pPr>
              <w:jc w:val="center"/>
              <w:rPr>
                <w:rFonts w:ascii="Times New Roman" w:hAnsi="Times New Roman"/>
                <w:szCs w:val="21"/>
              </w:rPr>
            </w:pPr>
            <w:r>
              <w:rPr>
                <w:rFonts w:ascii="Times New Roman" w:hAnsi="宋体"/>
                <w:szCs w:val="21"/>
              </w:rPr>
              <w:t>梁滩河</w:t>
            </w:r>
          </w:p>
        </w:tc>
        <w:tc>
          <w:tcPr>
            <w:tcW w:w="1364" w:type="dxa"/>
            <w:vAlign w:val="center"/>
          </w:tcPr>
          <w:p>
            <w:pPr>
              <w:jc w:val="center"/>
              <w:rPr>
                <w:rFonts w:ascii="Times New Roman" w:hAnsi="Times New Roman"/>
                <w:szCs w:val="21"/>
              </w:rPr>
            </w:pPr>
            <w:r>
              <w:rPr>
                <w:rFonts w:ascii="Times New Roman" w:hAnsi="Times New Roman"/>
                <w:szCs w:val="21"/>
              </w:rPr>
              <w:t>106°18'04"E</w:t>
            </w:r>
          </w:p>
          <w:p>
            <w:pPr>
              <w:jc w:val="center"/>
              <w:rPr>
                <w:rFonts w:ascii="Times New Roman" w:hAnsi="Times New Roman"/>
                <w:szCs w:val="21"/>
              </w:rPr>
            </w:pPr>
            <w:r>
              <w:rPr>
                <w:rFonts w:ascii="Times New Roman" w:hAnsi="Times New Roman"/>
                <w:szCs w:val="21"/>
              </w:rPr>
              <w:t>29°40'26" N</w:t>
            </w:r>
          </w:p>
        </w:tc>
        <w:tc>
          <w:tcPr>
            <w:tcW w:w="532" w:type="dxa"/>
            <w:vAlign w:val="center"/>
          </w:tcPr>
          <w:p>
            <w:pPr>
              <w:jc w:val="center"/>
              <w:rPr>
                <w:rFonts w:ascii="Times New Roman" w:hAnsi="Times New Roman"/>
                <w:szCs w:val="21"/>
              </w:rPr>
            </w:pPr>
            <w:r>
              <w:rPr>
                <w:rFonts w:ascii="Times New Roman" w:hAnsi="Times New Roman"/>
                <w:szCs w:val="21"/>
              </w:rPr>
              <w:t>S</w:t>
            </w:r>
          </w:p>
        </w:tc>
        <w:tc>
          <w:tcPr>
            <w:tcW w:w="1391" w:type="dxa"/>
            <w:vAlign w:val="center"/>
          </w:tcPr>
          <w:p>
            <w:pPr>
              <w:jc w:val="center"/>
              <w:rPr>
                <w:rFonts w:ascii="Times New Roman" w:hAnsi="Times New Roman"/>
                <w:szCs w:val="21"/>
              </w:rPr>
            </w:pPr>
            <w:r>
              <w:rPr>
                <w:rFonts w:ascii="Times New Roman" w:hAnsi="Times New Roman"/>
                <w:szCs w:val="21"/>
              </w:rPr>
              <w:t>3200</w:t>
            </w:r>
          </w:p>
        </w:tc>
        <w:tc>
          <w:tcPr>
            <w:tcW w:w="1381" w:type="dxa"/>
            <w:vAlign w:val="center"/>
          </w:tcPr>
          <w:p>
            <w:pPr>
              <w:jc w:val="center"/>
              <w:rPr>
                <w:rFonts w:ascii="Times New Roman" w:hAnsi="Times New Roman"/>
                <w:szCs w:val="21"/>
              </w:rPr>
            </w:pPr>
            <w:r>
              <w:rPr>
                <w:rFonts w:ascii="宋体" w:hAnsi="宋体"/>
                <w:szCs w:val="21"/>
              </w:rPr>
              <w:t>∨</w:t>
            </w:r>
            <w:r>
              <w:rPr>
                <w:rFonts w:ascii="Times New Roman" w:hAnsi="宋体"/>
                <w:szCs w:val="21"/>
              </w:rPr>
              <w:t>类水域功能、农业用水</w:t>
            </w:r>
          </w:p>
        </w:tc>
        <w:tc>
          <w:tcPr>
            <w:tcW w:w="1594" w:type="dxa"/>
            <w:vAlign w:val="center"/>
          </w:tcPr>
          <w:p>
            <w:pPr>
              <w:jc w:val="center"/>
              <w:rPr>
                <w:rFonts w:ascii="Times New Roman" w:hAnsi="Times New Roman"/>
                <w:szCs w:val="21"/>
              </w:rPr>
            </w:pPr>
            <w:r>
              <w:rPr>
                <w:rFonts w:ascii="Times New Roman" w:hAnsi="宋体"/>
                <w:szCs w:val="21"/>
              </w:rPr>
              <w:t>青木关镇政府</w:t>
            </w:r>
          </w:p>
          <w:p>
            <w:pPr>
              <w:jc w:val="center"/>
              <w:rPr>
                <w:rFonts w:ascii="Times New Roman" w:hAnsi="Times New Roman"/>
                <w:szCs w:val="21"/>
              </w:rPr>
            </w:pPr>
            <w:r>
              <w:rPr>
                <w:rFonts w:ascii="Times New Roman" w:hAnsi="Times New Roman"/>
                <w:szCs w:val="21"/>
              </w:rPr>
              <w:t>023-65603628</w:t>
            </w:r>
          </w:p>
        </w:tc>
      </w:tr>
    </w:tbl>
    <w:p>
      <w:pPr>
        <w:jc w:val="center"/>
        <w:rPr>
          <w:rFonts w:hint="eastAsia" w:eastAsia="黑体"/>
          <w:b/>
          <w:color w:val="FF0000"/>
        </w:rPr>
      </w:pPr>
    </w:p>
    <w:p>
      <w:pPr>
        <w:jc w:val="center"/>
        <w:rPr>
          <w:rFonts w:hint="eastAsia" w:eastAsia="黑体"/>
          <w:b/>
          <w:color w:val="FF0000"/>
        </w:rPr>
      </w:pPr>
    </w:p>
    <w:p>
      <w:pPr>
        <w:jc w:val="center"/>
        <w:rPr>
          <w:rFonts w:eastAsia="黑体"/>
          <w:b/>
          <w:color w:val="FF0000"/>
        </w:rPr>
      </w:pPr>
    </w:p>
    <w:p>
      <w:pPr>
        <w:rPr>
          <w:rFonts w:hint="eastAsia"/>
          <w:snapToGrid w:val="0"/>
          <w:kern w:val="0"/>
        </w:rPr>
      </w:pPr>
    </w:p>
    <w:bookmarkEnd w:id="602"/>
    <w:bookmarkEnd w:id="603"/>
    <w:bookmarkEnd w:id="604"/>
    <w:p>
      <w:pPr>
        <w:spacing w:line="360" w:lineRule="auto"/>
        <w:jc w:val="center"/>
        <w:rPr>
          <w:b/>
          <w:sz w:val="24"/>
          <w:szCs w:val="24"/>
        </w:rPr>
        <w:sectPr>
          <w:pgSz w:w="11906" w:h="16838"/>
          <w:pgMar w:top="1247" w:right="1531" w:bottom="1247" w:left="1531" w:header="851" w:footer="992" w:gutter="0"/>
          <w:pgNumType w:start="1"/>
          <w:cols w:space="720" w:num="1"/>
          <w:docGrid w:type="linesAndChars" w:linePitch="312" w:charSpace="0"/>
        </w:sectPr>
      </w:pPr>
      <w:bookmarkStart w:id="605" w:name="_Toc179769687"/>
      <w:bookmarkStart w:id="606" w:name="_Toc179730718"/>
      <w:bookmarkStart w:id="607" w:name="_Toc179714536"/>
      <w:bookmarkStart w:id="608" w:name="_Toc180242552"/>
      <w:bookmarkStart w:id="609" w:name="_Toc180241778"/>
      <w:bookmarkStart w:id="610" w:name="_Toc178755679"/>
    </w:p>
    <w:p>
      <w:pPr>
        <w:pStyle w:val="2"/>
        <w:rPr>
          <w:rFonts w:hint="eastAsia"/>
        </w:rPr>
      </w:pPr>
      <w:bookmarkStart w:id="611" w:name="_Toc338228590"/>
      <w:bookmarkStart w:id="612" w:name="_Toc461048100"/>
      <w:bookmarkStart w:id="613" w:name="_Toc338230943"/>
      <w:r>
        <w:rPr>
          <w:rFonts w:hint="eastAsia"/>
        </w:rPr>
        <w:t>2企业基本情况</w:t>
      </w:r>
      <w:bookmarkEnd w:id="611"/>
      <w:bookmarkEnd w:id="612"/>
      <w:bookmarkEnd w:id="613"/>
    </w:p>
    <w:p>
      <w:pPr>
        <w:pStyle w:val="3"/>
        <w:rPr>
          <w:rFonts w:hint="eastAsia"/>
        </w:rPr>
      </w:pPr>
      <w:bookmarkStart w:id="614" w:name="_Toc338228591"/>
      <w:bookmarkStart w:id="615" w:name="_Toc338230944"/>
      <w:bookmarkStart w:id="616" w:name="_Toc461048101"/>
      <w:r>
        <w:rPr>
          <w:rFonts w:hint="eastAsia"/>
        </w:rPr>
        <w:t>2.1企业基本情况</w:t>
      </w:r>
      <w:bookmarkEnd w:id="614"/>
      <w:bookmarkEnd w:id="615"/>
      <w:bookmarkEnd w:id="616"/>
    </w:p>
    <w:p>
      <w:pPr>
        <w:pStyle w:val="4"/>
        <w:rPr>
          <w:rFonts w:hint="eastAsia" w:ascii="宋体" w:hAnsi="宋体"/>
          <w:szCs w:val="24"/>
        </w:rPr>
      </w:pPr>
      <w:r>
        <w:t>2.1</w:t>
      </w:r>
      <w:r>
        <w:rPr>
          <w:rFonts w:hint="eastAsia"/>
        </w:rPr>
        <w:t>.1企业基本信息</w:t>
      </w:r>
    </w:p>
    <w:p>
      <w:pPr>
        <w:spacing w:line="360" w:lineRule="auto"/>
        <w:jc w:val="center"/>
        <w:rPr>
          <w:rFonts w:eastAsia="黑体"/>
          <w:b/>
          <w:sz w:val="24"/>
          <w:szCs w:val="24"/>
        </w:rPr>
      </w:pPr>
      <w:bookmarkStart w:id="617" w:name="_Toc366543978"/>
      <w:bookmarkStart w:id="618" w:name="_Toc376335113"/>
      <w:r>
        <w:rPr>
          <w:rFonts w:hint="eastAsia" w:eastAsia="黑体"/>
          <w:b/>
          <w:sz w:val="24"/>
          <w:szCs w:val="24"/>
        </w:rPr>
        <w:t>表</w:t>
      </w:r>
      <w:r>
        <w:rPr>
          <w:rFonts w:eastAsia="黑体"/>
          <w:b/>
          <w:sz w:val="24"/>
          <w:szCs w:val="24"/>
        </w:rPr>
        <w:t>2</w:t>
      </w:r>
      <w:r>
        <w:rPr>
          <w:rFonts w:hint="eastAsia" w:eastAsia="黑体"/>
          <w:b/>
          <w:sz w:val="24"/>
          <w:szCs w:val="24"/>
        </w:rPr>
        <w:t>.1—</w:t>
      </w:r>
      <w:r>
        <w:rPr>
          <w:rFonts w:eastAsia="黑体"/>
          <w:b/>
          <w:sz w:val="24"/>
          <w:szCs w:val="24"/>
        </w:rPr>
        <w:t>1</w:t>
      </w:r>
      <w:r>
        <w:rPr>
          <w:rFonts w:hint="eastAsia" w:eastAsia="黑体"/>
          <w:b/>
          <w:sz w:val="24"/>
          <w:szCs w:val="24"/>
        </w:rPr>
        <w:t xml:space="preserve">  </w:t>
      </w:r>
      <w:r>
        <w:rPr>
          <w:rFonts w:eastAsia="黑体"/>
          <w:b/>
          <w:sz w:val="24"/>
          <w:szCs w:val="24"/>
        </w:rPr>
        <w:t xml:space="preserve"> </w:t>
      </w:r>
      <w:r>
        <w:rPr>
          <w:rFonts w:hint="eastAsia" w:eastAsia="黑体"/>
          <w:b/>
          <w:sz w:val="24"/>
          <w:szCs w:val="24"/>
        </w:rPr>
        <w:t>企业基本信息表</w:t>
      </w:r>
    </w:p>
    <w:bookmarkEnd w:id="617"/>
    <w:bookmarkEnd w:id="618"/>
    <w:tbl>
      <w:tblPr>
        <w:tblStyle w:val="21"/>
        <w:tblW w:w="850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62"/>
        <w:gridCol w:w="2720"/>
        <w:gridCol w:w="1050"/>
        <w:gridCol w:w="30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662" w:type="dxa"/>
            <w:vAlign w:val="center"/>
          </w:tcPr>
          <w:p>
            <w:pPr>
              <w:spacing w:line="300" w:lineRule="exact"/>
              <w:jc w:val="center"/>
              <w:rPr>
                <w:rFonts w:ascii="Times New Roman" w:hAnsi="Times New Roman"/>
                <w:szCs w:val="21"/>
              </w:rPr>
            </w:pPr>
            <w:bookmarkStart w:id="619" w:name="_Toc366543987"/>
            <w:bookmarkStart w:id="620" w:name="_Toc376335122"/>
            <w:r>
              <w:rPr>
                <w:rFonts w:ascii="Times New Roman" w:hAnsi="宋体"/>
                <w:szCs w:val="21"/>
              </w:rPr>
              <w:t>单位名称</w:t>
            </w:r>
          </w:p>
        </w:tc>
        <w:tc>
          <w:tcPr>
            <w:tcW w:w="6843" w:type="dxa"/>
            <w:gridSpan w:val="3"/>
            <w:vAlign w:val="center"/>
          </w:tcPr>
          <w:p>
            <w:pPr>
              <w:spacing w:line="300" w:lineRule="exact"/>
              <w:jc w:val="center"/>
              <w:rPr>
                <w:rFonts w:ascii="Times New Roman" w:hAnsi="Times New Roman"/>
                <w:szCs w:val="21"/>
              </w:rPr>
            </w:pPr>
            <w:r>
              <w:rPr>
                <w:rFonts w:ascii="Times New Roman" w:hAnsi="宋体"/>
                <w:spacing w:val="8"/>
                <w:szCs w:val="21"/>
              </w:rPr>
              <w:t>重庆永荣青鹏煤业有限公司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662" w:type="dxa"/>
            <w:vAlign w:val="center"/>
          </w:tcPr>
          <w:p>
            <w:pPr>
              <w:spacing w:line="300" w:lineRule="exact"/>
              <w:jc w:val="center"/>
              <w:rPr>
                <w:rFonts w:ascii="Times New Roman" w:hAnsi="Times New Roman"/>
                <w:szCs w:val="21"/>
              </w:rPr>
            </w:pPr>
            <w:r>
              <w:rPr>
                <w:rFonts w:ascii="Times New Roman" w:hAnsi="宋体"/>
                <w:szCs w:val="21"/>
              </w:rPr>
              <w:t>隶属关系</w:t>
            </w:r>
          </w:p>
        </w:tc>
        <w:tc>
          <w:tcPr>
            <w:tcW w:w="6843" w:type="dxa"/>
            <w:gridSpan w:val="3"/>
            <w:vAlign w:val="center"/>
          </w:tcPr>
          <w:p>
            <w:pPr>
              <w:spacing w:line="300" w:lineRule="exact"/>
              <w:jc w:val="center"/>
              <w:rPr>
                <w:rFonts w:ascii="Times New Roman" w:hAnsi="Times New Roman"/>
                <w:spacing w:val="8"/>
                <w:szCs w:val="21"/>
              </w:rPr>
            </w:pPr>
            <w:r>
              <w:rPr>
                <w:rFonts w:ascii="Times New Roman" w:hAnsi="宋体"/>
                <w:spacing w:val="8"/>
                <w:szCs w:val="21"/>
              </w:rPr>
              <w:t>隶属重庆能投集团永荣矿业公司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662" w:type="dxa"/>
            <w:vAlign w:val="center"/>
          </w:tcPr>
          <w:p>
            <w:pPr>
              <w:spacing w:line="300" w:lineRule="exact"/>
              <w:jc w:val="center"/>
              <w:rPr>
                <w:rFonts w:ascii="Times New Roman" w:hAnsi="Times New Roman"/>
                <w:szCs w:val="21"/>
              </w:rPr>
            </w:pPr>
            <w:r>
              <w:rPr>
                <w:rFonts w:ascii="Times New Roman" w:hAnsi="宋体"/>
                <w:szCs w:val="21"/>
              </w:rPr>
              <w:t>单位地址</w:t>
            </w:r>
          </w:p>
        </w:tc>
        <w:tc>
          <w:tcPr>
            <w:tcW w:w="2720" w:type="dxa"/>
            <w:vAlign w:val="center"/>
          </w:tcPr>
          <w:p>
            <w:pPr>
              <w:spacing w:line="300" w:lineRule="exact"/>
              <w:jc w:val="center"/>
              <w:rPr>
                <w:rFonts w:ascii="Times New Roman" w:hAnsi="Times New Roman"/>
                <w:spacing w:val="8"/>
                <w:szCs w:val="21"/>
              </w:rPr>
            </w:pPr>
            <w:r>
              <w:rPr>
                <w:rFonts w:ascii="Times New Roman" w:hAnsi="宋体"/>
                <w:szCs w:val="21"/>
              </w:rPr>
              <w:t>重庆市沙坪坝区青木关镇关口村</w:t>
            </w:r>
          </w:p>
        </w:tc>
        <w:tc>
          <w:tcPr>
            <w:tcW w:w="1050" w:type="dxa"/>
            <w:vAlign w:val="center"/>
          </w:tcPr>
          <w:p>
            <w:pPr>
              <w:spacing w:line="300" w:lineRule="exact"/>
              <w:jc w:val="center"/>
              <w:rPr>
                <w:rFonts w:ascii="Times New Roman" w:hAnsi="Times New Roman"/>
                <w:szCs w:val="21"/>
              </w:rPr>
            </w:pPr>
            <w:r>
              <w:rPr>
                <w:rFonts w:ascii="Times New Roman" w:hAnsi="宋体"/>
                <w:szCs w:val="21"/>
              </w:rPr>
              <w:t>中心经度坐标</w:t>
            </w:r>
          </w:p>
        </w:tc>
        <w:tc>
          <w:tcPr>
            <w:tcW w:w="3073" w:type="dxa"/>
            <w:vAlign w:val="center"/>
          </w:tcPr>
          <w:p>
            <w:pPr>
              <w:spacing w:line="300" w:lineRule="exact"/>
              <w:jc w:val="center"/>
              <w:rPr>
                <w:rFonts w:ascii="Times New Roman" w:hAnsi="Times New Roman"/>
                <w:spacing w:val="8"/>
                <w:szCs w:val="21"/>
              </w:rPr>
            </w:pPr>
            <w:r>
              <w:rPr>
                <w:rFonts w:ascii="Times New Roman" w:hAnsi="Times New Roman"/>
                <w:spacing w:val="8"/>
                <w:szCs w:val="21"/>
              </w:rPr>
              <w:t>104°04'58.66"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662" w:type="dxa"/>
            <w:vAlign w:val="center"/>
          </w:tcPr>
          <w:p>
            <w:pPr>
              <w:spacing w:line="300" w:lineRule="exact"/>
              <w:jc w:val="center"/>
              <w:rPr>
                <w:rFonts w:ascii="Times New Roman" w:hAnsi="Times New Roman"/>
                <w:szCs w:val="21"/>
              </w:rPr>
            </w:pPr>
            <w:r>
              <w:rPr>
                <w:rFonts w:ascii="Times New Roman" w:hAnsi="宋体"/>
                <w:szCs w:val="21"/>
              </w:rPr>
              <w:t>企业性质</w:t>
            </w:r>
          </w:p>
        </w:tc>
        <w:tc>
          <w:tcPr>
            <w:tcW w:w="2720" w:type="dxa"/>
            <w:vAlign w:val="center"/>
          </w:tcPr>
          <w:p>
            <w:pPr>
              <w:spacing w:line="300" w:lineRule="exact"/>
              <w:jc w:val="center"/>
              <w:rPr>
                <w:rFonts w:ascii="Times New Roman" w:hAnsi="Times New Roman"/>
                <w:szCs w:val="21"/>
              </w:rPr>
            </w:pPr>
            <w:r>
              <w:rPr>
                <w:rFonts w:ascii="Times New Roman" w:hAnsi="宋体"/>
                <w:szCs w:val="21"/>
              </w:rPr>
              <w:t>国有独资</w:t>
            </w:r>
          </w:p>
        </w:tc>
        <w:tc>
          <w:tcPr>
            <w:tcW w:w="1050" w:type="dxa"/>
            <w:vAlign w:val="center"/>
          </w:tcPr>
          <w:p>
            <w:pPr>
              <w:spacing w:line="300" w:lineRule="exact"/>
              <w:jc w:val="center"/>
              <w:rPr>
                <w:rFonts w:ascii="Times New Roman" w:hAnsi="Times New Roman"/>
                <w:szCs w:val="21"/>
              </w:rPr>
            </w:pPr>
            <w:r>
              <w:rPr>
                <w:rFonts w:ascii="Times New Roman" w:hAnsi="宋体"/>
                <w:szCs w:val="21"/>
              </w:rPr>
              <w:t>中心纬度坐标</w:t>
            </w:r>
          </w:p>
        </w:tc>
        <w:tc>
          <w:tcPr>
            <w:tcW w:w="3073" w:type="dxa"/>
            <w:vAlign w:val="center"/>
          </w:tcPr>
          <w:p>
            <w:pPr>
              <w:spacing w:line="300" w:lineRule="exact"/>
              <w:jc w:val="center"/>
              <w:rPr>
                <w:rFonts w:ascii="Times New Roman" w:hAnsi="Times New Roman"/>
                <w:spacing w:val="8"/>
                <w:szCs w:val="21"/>
              </w:rPr>
            </w:pPr>
            <w:r>
              <w:rPr>
                <w:rFonts w:ascii="Times New Roman" w:hAnsi="Times New Roman"/>
                <w:spacing w:val="8"/>
                <w:szCs w:val="21"/>
              </w:rPr>
              <w:t>38°29'27.97"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662" w:type="dxa"/>
            <w:vAlign w:val="center"/>
          </w:tcPr>
          <w:p>
            <w:pPr>
              <w:spacing w:line="300" w:lineRule="exact"/>
              <w:jc w:val="center"/>
              <w:rPr>
                <w:rFonts w:ascii="Times New Roman" w:hAnsi="Times New Roman"/>
                <w:szCs w:val="21"/>
              </w:rPr>
            </w:pPr>
            <w:r>
              <w:rPr>
                <w:rFonts w:ascii="Times New Roman" w:hAnsi="宋体"/>
                <w:szCs w:val="21"/>
              </w:rPr>
              <w:t>组织机构代码</w:t>
            </w:r>
          </w:p>
        </w:tc>
        <w:tc>
          <w:tcPr>
            <w:tcW w:w="2720" w:type="dxa"/>
            <w:vAlign w:val="center"/>
          </w:tcPr>
          <w:p>
            <w:pPr>
              <w:spacing w:line="300" w:lineRule="exact"/>
              <w:jc w:val="center"/>
              <w:rPr>
                <w:rFonts w:ascii="Times New Roman" w:hAnsi="Times New Roman"/>
                <w:szCs w:val="21"/>
              </w:rPr>
            </w:pPr>
            <w:r>
              <w:rPr>
                <w:rFonts w:ascii="Times New Roman" w:hAnsi="Times New Roman"/>
                <w:szCs w:val="21"/>
              </w:rPr>
              <w:t>20340166-4</w:t>
            </w:r>
          </w:p>
        </w:tc>
        <w:tc>
          <w:tcPr>
            <w:tcW w:w="1050" w:type="dxa"/>
            <w:vAlign w:val="center"/>
          </w:tcPr>
          <w:p>
            <w:pPr>
              <w:spacing w:line="300" w:lineRule="exact"/>
              <w:jc w:val="center"/>
              <w:rPr>
                <w:rFonts w:ascii="Times New Roman" w:hAnsi="Times New Roman"/>
                <w:szCs w:val="21"/>
              </w:rPr>
            </w:pPr>
            <w:r>
              <w:rPr>
                <w:rFonts w:ascii="Times New Roman" w:hAnsi="宋体"/>
                <w:szCs w:val="21"/>
              </w:rPr>
              <w:t>法人代表</w:t>
            </w:r>
          </w:p>
        </w:tc>
        <w:tc>
          <w:tcPr>
            <w:tcW w:w="3073" w:type="dxa"/>
            <w:vAlign w:val="center"/>
          </w:tcPr>
          <w:p>
            <w:pPr>
              <w:spacing w:line="300" w:lineRule="exact"/>
              <w:jc w:val="center"/>
              <w:rPr>
                <w:rFonts w:ascii="Times New Roman" w:hAnsi="Times New Roman"/>
                <w:spacing w:val="8"/>
                <w:szCs w:val="21"/>
              </w:rPr>
            </w:pPr>
            <w:r>
              <w:rPr>
                <w:rFonts w:ascii="Times New Roman" w:hAnsi="宋体"/>
                <w:spacing w:val="8"/>
                <w:szCs w:val="21"/>
              </w:rPr>
              <w:t>张安俊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662" w:type="dxa"/>
            <w:vAlign w:val="center"/>
          </w:tcPr>
          <w:p>
            <w:pPr>
              <w:spacing w:line="300" w:lineRule="exact"/>
              <w:jc w:val="center"/>
              <w:rPr>
                <w:rFonts w:ascii="Times New Roman" w:hAnsi="Times New Roman"/>
                <w:szCs w:val="21"/>
              </w:rPr>
            </w:pPr>
            <w:r>
              <w:rPr>
                <w:rFonts w:ascii="Times New Roman" w:hAnsi="宋体"/>
                <w:szCs w:val="21"/>
              </w:rPr>
              <w:t>所属行业</w:t>
            </w:r>
          </w:p>
        </w:tc>
        <w:tc>
          <w:tcPr>
            <w:tcW w:w="2720" w:type="dxa"/>
            <w:vAlign w:val="center"/>
          </w:tcPr>
          <w:p>
            <w:pPr>
              <w:spacing w:line="300" w:lineRule="exact"/>
              <w:jc w:val="center"/>
              <w:rPr>
                <w:rFonts w:ascii="Times New Roman" w:hAnsi="Times New Roman"/>
                <w:szCs w:val="21"/>
              </w:rPr>
            </w:pPr>
            <w:r>
              <w:rPr>
                <w:rFonts w:ascii="Times New Roman" w:hAnsi="宋体"/>
                <w:szCs w:val="21"/>
              </w:rPr>
              <w:t>水泥制造</w:t>
            </w:r>
            <w:r>
              <w:rPr>
                <w:rFonts w:ascii="Times New Roman" w:hAnsi="Times New Roman"/>
                <w:szCs w:val="21"/>
              </w:rPr>
              <w:t xml:space="preserve">  </w:t>
            </w:r>
            <w:r>
              <w:rPr>
                <w:rFonts w:ascii="Times New Roman" w:hAnsi="宋体"/>
                <w:szCs w:val="21"/>
              </w:rPr>
              <w:t>代码</w:t>
            </w:r>
            <w:r>
              <w:rPr>
                <w:rFonts w:ascii="Times New Roman" w:hAnsi="Times New Roman"/>
                <w:szCs w:val="21"/>
              </w:rPr>
              <w:t>C3011</w:t>
            </w:r>
          </w:p>
        </w:tc>
        <w:tc>
          <w:tcPr>
            <w:tcW w:w="1050" w:type="dxa"/>
            <w:vAlign w:val="center"/>
          </w:tcPr>
          <w:p>
            <w:pPr>
              <w:spacing w:line="300" w:lineRule="exact"/>
              <w:jc w:val="center"/>
              <w:rPr>
                <w:rFonts w:ascii="Times New Roman" w:hAnsi="Times New Roman"/>
                <w:szCs w:val="21"/>
              </w:rPr>
            </w:pPr>
            <w:r>
              <w:rPr>
                <w:rFonts w:ascii="Times New Roman" w:hAnsi="宋体"/>
                <w:szCs w:val="21"/>
              </w:rPr>
              <w:t>厂区面积</w:t>
            </w:r>
          </w:p>
        </w:tc>
        <w:tc>
          <w:tcPr>
            <w:tcW w:w="3073" w:type="dxa"/>
            <w:vAlign w:val="center"/>
          </w:tcPr>
          <w:p>
            <w:pPr>
              <w:spacing w:line="300" w:lineRule="exact"/>
              <w:jc w:val="center"/>
              <w:rPr>
                <w:rFonts w:ascii="Times New Roman" w:hAnsi="Times New Roman"/>
                <w:spacing w:val="8"/>
                <w:szCs w:val="21"/>
              </w:rPr>
            </w:pPr>
            <w:r>
              <w:rPr>
                <w:rFonts w:ascii="Times New Roman" w:hAnsi="Times New Roman"/>
                <w:spacing w:val="8"/>
                <w:szCs w:val="21"/>
              </w:rPr>
              <w:t>83853m</w:t>
            </w:r>
            <w:r>
              <w:rPr>
                <w:rFonts w:ascii="Times New Roman" w:hAnsi="Times New Roman"/>
                <w:spacing w:val="8"/>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662" w:type="dxa"/>
            <w:vAlign w:val="center"/>
          </w:tcPr>
          <w:p>
            <w:pPr>
              <w:spacing w:line="300" w:lineRule="exact"/>
              <w:jc w:val="center"/>
              <w:rPr>
                <w:rFonts w:ascii="Times New Roman" w:hAnsi="Times New Roman"/>
                <w:szCs w:val="21"/>
              </w:rPr>
            </w:pPr>
            <w:r>
              <w:rPr>
                <w:rFonts w:ascii="Times New Roman" w:hAnsi="宋体"/>
                <w:szCs w:val="21"/>
              </w:rPr>
              <w:t>建成年月</w:t>
            </w:r>
            <w:r>
              <w:rPr>
                <w:rFonts w:ascii="Times New Roman" w:hAnsi="Times New Roman"/>
                <w:szCs w:val="21"/>
              </w:rPr>
              <w:t xml:space="preserve"> </w:t>
            </w:r>
          </w:p>
        </w:tc>
        <w:tc>
          <w:tcPr>
            <w:tcW w:w="2720" w:type="dxa"/>
            <w:vAlign w:val="center"/>
          </w:tcPr>
          <w:p>
            <w:pPr>
              <w:spacing w:line="300" w:lineRule="exact"/>
              <w:jc w:val="center"/>
              <w:rPr>
                <w:rFonts w:ascii="Times New Roman" w:hAnsi="Times New Roman"/>
                <w:szCs w:val="21"/>
              </w:rPr>
            </w:pPr>
            <w:r>
              <w:rPr>
                <w:rFonts w:ascii="Times New Roman" w:hAnsi="Times New Roman"/>
                <w:szCs w:val="21"/>
              </w:rPr>
              <w:t>1956</w:t>
            </w:r>
            <w:r>
              <w:rPr>
                <w:rFonts w:ascii="Times New Roman" w:hAnsi="宋体"/>
                <w:szCs w:val="21"/>
              </w:rPr>
              <w:t>年</w:t>
            </w:r>
            <w:r>
              <w:rPr>
                <w:rFonts w:ascii="Times New Roman" w:hAnsi="Times New Roman"/>
                <w:szCs w:val="21"/>
              </w:rPr>
              <w:t>6</w:t>
            </w:r>
            <w:r>
              <w:rPr>
                <w:rFonts w:ascii="Times New Roman" w:hAnsi="宋体"/>
                <w:szCs w:val="21"/>
              </w:rPr>
              <w:t>月</w:t>
            </w:r>
          </w:p>
        </w:tc>
        <w:tc>
          <w:tcPr>
            <w:tcW w:w="1050" w:type="dxa"/>
            <w:vAlign w:val="center"/>
          </w:tcPr>
          <w:p>
            <w:pPr>
              <w:spacing w:line="300" w:lineRule="exact"/>
              <w:jc w:val="center"/>
              <w:rPr>
                <w:rFonts w:ascii="Times New Roman" w:hAnsi="Times New Roman"/>
                <w:szCs w:val="21"/>
              </w:rPr>
            </w:pPr>
            <w:r>
              <w:rPr>
                <w:rFonts w:ascii="Times New Roman" w:hAnsi="宋体"/>
                <w:szCs w:val="21"/>
              </w:rPr>
              <w:t>职工人数</w:t>
            </w:r>
          </w:p>
        </w:tc>
        <w:tc>
          <w:tcPr>
            <w:tcW w:w="3073" w:type="dxa"/>
            <w:vAlign w:val="center"/>
          </w:tcPr>
          <w:p>
            <w:pPr>
              <w:spacing w:line="300" w:lineRule="exact"/>
              <w:jc w:val="center"/>
              <w:rPr>
                <w:rFonts w:ascii="Times New Roman" w:hAnsi="Times New Roman"/>
                <w:spacing w:val="8"/>
                <w:szCs w:val="21"/>
              </w:rPr>
            </w:pPr>
            <w:r>
              <w:rPr>
                <w:rFonts w:ascii="Times New Roman" w:hAnsi="Times New Roman"/>
                <w:szCs w:val="21"/>
              </w:rPr>
              <w:t>273</w:t>
            </w:r>
            <w:r>
              <w:rPr>
                <w:rFonts w:ascii="Times New Roman" w:hAnsi="宋体"/>
                <w:szCs w:val="21"/>
              </w:rPr>
              <w:t>人，管理人员</w:t>
            </w:r>
            <w:r>
              <w:rPr>
                <w:rFonts w:ascii="Times New Roman" w:hAnsi="Times New Roman"/>
                <w:szCs w:val="21"/>
              </w:rPr>
              <w:t>19</w:t>
            </w:r>
            <w:r>
              <w:rPr>
                <w:rFonts w:ascii="Times New Roman" w:hAnsi="宋体"/>
                <w:szCs w:val="21"/>
              </w:rPr>
              <w:t>人，工人</w:t>
            </w:r>
            <w:r>
              <w:rPr>
                <w:rFonts w:ascii="Times New Roman" w:hAnsi="Times New Roman"/>
                <w:szCs w:val="21"/>
              </w:rPr>
              <w:t>254</w:t>
            </w:r>
            <w:r>
              <w:rPr>
                <w:rFonts w:ascii="Times New Roman" w:hAnsi="宋体"/>
                <w:szCs w:val="21"/>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662" w:type="dxa"/>
            <w:vAlign w:val="center"/>
          </w:tcPr>
          <w:p>
            <w:pPr>
              <w:spacing w:line="300" w:lineRule="exact"/>
              <w:jc w:val="center"/>
              <w:rPr>
                <w:rFonts w:ascii="Times New Roman" w:hAnsi="Times New Roman"/>
                <w:szCs w:val="21"/>
              </w:rPr>
            </w:pPr>
            <w:r>
              <w:rPr>
                <w:rFonts w:ascii="Times New Roman" w:hAnsi="宋体"/>
                <w:szCs w:val="21"/>
              </w:rPr>
              <w:t>最新改扩建年月</w:t>
            </w:r>
          </w:p>
        </w:tc>
        <w:tc>
          <w:tcPr>
            <w:tcW w:w="2720" w:type="dxa"/>
            <w:vAlign w:val="center"/>
          </w:tcPr>
          <w:p>
            <w:pPr>
              <w:spacing w:line="300" w:lineRule="exact"/>
              <w:jc w:val="center"/>
              <w:rPr>
                <w:rFonts w:ascii="Times New Roman" w:hAnsi="Times New Roman"/>
                <w:szCs w:val="21"/>
              </w:rPr>
            </w:pPr>
            <w:r>
              <w:rPr>
                <w:rFonts w:ascii="Times New Roman" w:hAnsi="Times New Roman"/>
                <w:szCs w:val="21"/>
              </w:rPr>
              <w:t>2011</w:t>
            </w:r>
            <w:r>
              <w:rPr>
                <w:rFonts w:ascii="Times New Roman" w:hAnsi="宋体"/>
                <w:szCs w:val="21"/>
              </w:rPr>
              <w:t>年</w:t>
            </w:r>
            <w:r>
              <w:rPr>
                <w:rFonts w:ascii="Times New Roman" w:hAnsi="Times New Roman"/>
                <w:szCs w:val="21"/>
              </w:rPr>
              <w:t>9</w:t>
            </w:r>
            <w:r>
              <w:rPr>
                <w:rFonts w:ascii="Times New Roman" w:hAnsi="宋体"/>
                <w:szCs w:val="21"/>
              </w:rPr>
              <w:t>月</w:t>
            </w:r>
          </w:p>
        </w:tc>
        <w:tc>
          <w:tcPr>
            <w:tcW w:w="1050" w:type="dxa"/>
            <w:vAlign w:val="center"/>
          </w:tcPr>
          <w:p>
            <w:pPr>
              <w:spacing w:line="300" w:lineRule="exact"/>
              <w:jc w:val="center"/>
              <w:rPr>
                <w:rFonts w:ascii="Times New Roman" w:hAnsi="Times New Roman"/>
                <w:szCs w:val="21"/>
              </w:rPr>
            </w:pPr>
            <w:r>
              <w:rPr>
                <w:rFonts w:ascii="Times New Roman" w:hAnsi="宋体"/>
                <w:szCs w:val="21"/>
              </w:rPr>
              <w:t>企业规模</w:t>
            </w:r>
          </w:p>
        </w:tc>
        <w:tc>
          <w:tcPr>
            <w:tcW w:w="3073" w:type="dxa"/>
            <w:vAlign w:val="center"/>
          </w:tcPr>
          <w:p>
            <w:pPr>
              <w:spacing w:line="300" w:lineRule="exact"/>
              <w:jc w:val="center"/>
              <w:rPr>
                <w:rFonts w:ascii="Times New Roman" w:hAnsi="Times New Roman"/>
                <w:szCs w:val="21"/>
              </w:rPr>
            </w:pPr>
            <w:r>
              <w:rPr>
                <w:rFonts w:ascii="Times New Roman" w:hAnsi="宋体"/>
                <w:szCs w:val="21"/>
              </w:rPr>
              <w:t>大型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662" w:type="dxa"/>
            <w:vAlign w:val="center"/>
          </w:tcPr>
          <w:p>
            <w:pPr>
              <w:spacing w:line="300" w:lineRule="exact"/>
              <w:jc w:val="center"/>
              <w:rPr>
                <w:rFonts w:ascii="Times New Roman" w:hAnsi="Times New Roman"/>
                <w:szCs w:val="21"/>
              </w:rPr>
            </w:pPr>
            <w:r>
              <w:rPr>
                <w:rFonts w:ascii="Times New Roman" w:hAnsi="宋体"/>
                <w:szCs w:val="21"/>
              </w:rPr>
              <w:t>注册资本</w:t>
            </w:r>
          </w:p>
        </w:tc>
        <w:tc>
          <w:tcPr>
            <w:tcW w:w="2720" w:type="dxa"/>
            <w:vAlign w:val="center"/>
          </w:tcPr>
          <w:p>
            <w:pPr>
              <w:spacing w:line="300" w:lineRule="exact"/>
              <w:jc w:val="center"/>
              <w:rPr>
                <w:rFonts w:ascii="Times New Roman" w:hAnsi="Times New Roman"/>
                <w:szCs w:val="21"/>
              </w:rPr>
            </w:pPr>
            <w:r>
              <w:rPr>
                <w:rFonts w:ascii="Times New Roman" w:hAnsi="Times New Roman"/>
                <w:szCs w:val="21"/>
              </w:rPr>
              <w:t>1.264047</w:t>
            </w:r>
            <w:r>
              <w:rPr>
                <w:rFonts w:ascii="Times New Roman" w:hAnsi="宋体"/>
                <w:szCs w:val="21"/>
              </w:rPr>
              <w:t>亿元</w:t>
            </w:r>
            <w:r>
              <w:rPr>
                <w:rFonts w:ascii="Times New Roman" w:hAnsi="Times New Roman"/>
                <w:szCs w:val="21"/>
              </w:rPr>
              <w:t xml:space="preserve"> </w:t>
            </w:r>
          </w:p>
        </w:tc>
        <w:tc>
          <w:tcPr>
            <w:tcW w:w="1050" w:type="dxa"/>
            <w:vAlign w:val="center"/>
          </w:tcPr>
          <w:p>
            <w:pPr>
              <w:spacing w:line="300" w:lineRule="exact"/>
              <w:jc w:val="center"/>
              <w:rPr>
                <w:rFonts w:ascii="Times New Roman" w:hAnsi="Times New Roman"/>
                <w:szCs w:val="21"/>
              </w:rPr>
            </w:pPr>
            <w:r>
              <w:rPr>
                <w:rFonts w:ascii="Times New Roman" w:hAnsi="宋体"/>
                <w:szCs w:val="21"/>
              </w:rPr>
              <w:t>邮政编码</w:t>
            </w:r>
          </w:p>
        </w:tc>
        <w:tc>
          <w:tcPr>
            <w:tcW w:w="3073" w:type="dxa"/>
            <w:vAlign w:val="center"/>
          </w:tcPr>
          <w:p>
            <w:pPr>
              <w:spacing w:line="300" w:lineRule="exact"/>
              <w:jc w:val="center"/>
              <w:rPr>
                <w:rFonts w:ascii="Times New Roman" w:hAnsi="Times New Roman"/>
                <w:szCs w:val="21"/>
              </w:rPr>
            </w:pPr>
            <w:r>
              <w:rPr>
                <w:rFonts w:ascii="Times New Roman" w:hAnsi="Times New Roman"/>
                <w:szCs w:val="21"/>
              </w:rPr>
              <w:t>401334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662" w:type="dxa"/>
            <w:vAlign w:val="center"/>
          </w:tcPr>
          <w:p>
            <w:pPr>
              <w:spacing w:line="300" w:lineRule="exact"/>
              <w:jc w:val="center"/>
              <w:rPr>
                <w:rFonts w:ascii="Times New Roman" w:hAnsi="Times New Roman"/>
                <w:szCs w:val="21"/>
              </w:rPr>
            </w:pPr>
            <w:r>
              <w:rPr>
                <w:rFonts w:ascii="Times New Roman" w:hAnsi="宋体"/>
                <w:szCs w:val="21"/>
              </w:rPr>
              <w:t>企业网站</w:t>
            </w:r>
          </w:p>
        </w:tc>
        <w:tc>
          <w:tcPr>
            <w:tcW w:w="2720" w:type="dxa"/>
            <w:vAlign w:val="center"/>
          </w:tcPr>
          <w:p>
            <w:pPr>
              <w:spacing w:line="300" w:lineRule="exact"/>
              <w:jc w:val="center"/>
              <w:rPr>
                <w:rFonts w:ascii="Times New Roman" w:hAnsi="Times New Roman"/>
                <w:szCs w:val="21"/>
              </w:rPr>
            </w:pPr>
            <w:r>
              <w:rPr>
                <w:rFonts w:ascii="Times New Roman" w:hAnsi="Times New Roman"/>
                <w:szCs w:val="21"/>
              </w:rPr>
              <w:t>/</w:t>
            </w:r>
          </w:p>
        </w:tc>
        <w:tc>
          <w:tcPr>
            <w:tcW w:w="1050" w:type="dxa"/>
            <w:vAlign w:val="center"/>
          </w:tcPr>
          <w:p>
            <w:pPr>
              <w:spacing w:line="300" w:lineRule="exact"/>
              <w:jc w:val="center"/>
              <w:rPr>
                <w:rFonts w:ascii="Times New Roman" w:hAnsi="Times New Roman"/>
                <w:szCs w:val="21"/>
              </w:rPr>
            </w:pPr>
            <w:r>
              <w:rPr>
                <w:rFonts w:ascii="Times New Roman" w:hAnsi="宋体"/>
                <w:szCs w:val="21"/>
              </w:rPr>
              <w:t>联系电话</w:t>
            </w:r>
          </w:p>
        </w:tc>
        <w:tc>
          <w:tcPr>
            <w:tcW w:w="3073" w:type="dxa"/>
            <w:vAlign w:val="center"/>
          </w:tcPr>
          <w:p>
            <w:pPr>
              <w:spacing w:line="300" w:lineRule="exact"/>
              <w:jc w:val="center"/>
              <w:rPr>
                <w:rFonts w:ascii="Times New Roman" w:hAnsi="Times New Roman"/>
                <w:szCs w:val="21"/>
              </w:rPr>
            </w:pPr>
            <w:r>
              <w:rPr>
                <w:rFonts w:ascii="Times New Roman" w:hAnsi="Times New Roman"/>
                <w:szCs w:val="21"/>
              </w:rPr>
              <w:t>65606180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5" w:hRule="atLeast"/>
          <w:jc w:val="center"/>
        </w:trPr>
        <w:tc>
          <w:tcPr>
            <w:tcW w:w="1662" w:type="dxa"/>
            <w:vAlign w:val="center"/>
          </w:tcPr>
          <w:p>
            <w:pPr>
              <w:spacing w:line="300" w:lineRule="exact"/>
              <w:jc w:val="center"/>
              <w:rPr>
                <w:rFonts w:ascii="Times New Roman" w:hAnsi="Times New Roman"/>
                <w:szCs w:val="21"/>
              </w:rPr>
            </w:pPr>
            <w:r>
              <w:rPr>
                <w:rFonts w:ascii="Times New Roman" w:hAnsi="宋体"/>
                <w:szCs w:val="21"/>
              </w:rPr>
              <w:t>工作制</w:t>
            </w:r>
          </w:p>
        </w:tc>
        <w:tc>
          <w:tcPr>
            <w:tcW w:w="6843" w:type="dxa"/>
            <w:gridSpan w:val="3"/>
            <w:vAlign w:val="center"/>
          </w:tcPr>
          <w:p>
            <w:pPr>
              <w:spacing w:line="300" w:lineRule="exact"/>
              <w:ind w:firstLine="420" w:firstLineChars="200"/>
              <w:rPr>
                <w:rFonts w:ascii="Times New Roman" w:hAnsi="Times New Roman"/>
                <w:szCs w:val="21"/>
              </w:rPr>
            </w:pPr>
            <w:r>
              <w:rPr>
                <w:rFonts w:ascii="Times New Roman" w:hAnsi="宋体"/>
                <w:szCs w:val="21"/>
              </w:rPr>
              <w:t>水泥年生产时间约</w:t>
            </w:r>
            <w:r>
              <w:rPr>
                <w:rFonts w:ascii="Times New Roman" w:hAnsi="Times New Roman"/>
                <w:szCs w:val="21"/>
              </w:rPr>
              <w:t>310</w:t>
            </w:r>
            <w:r>
              <w:rPr>
                <w:rFonts w:ascii="Times New Roman" w:hAnsi="宋体"/>
                <w:szCs w:val="21"/>
              </w:rPr>
              <w:t>天（</w:t>
            </w:r>
            <w:r>
              <w:rPr>
                <w:rFonts w:ascii="Times New Roman" w:hAnsi="Times New Roman"/>
                <w:szCs w:val="21"/>
              </w:rPr>
              <w:t>7440</w:t>
            </w:r>
            <w:r>
              <w:rPr>
                <w:rFonts w:ascii="Times New Roman" w:hAnsi="宋体"/>
                <w:szCs w:val="21"/>
              </w:rPr>
              <w:t>小时），余热发电</w:t>
            </w:r>
            <w:r>
              <w:rPr>
                <w:rFonts w:ascii="Times New Roman" w:hAnsi="Times New Roman"/>
                <w:szCs w:val="21"/>
              </w:rPr>
              <w:t>300</w:t>
            </w:r>
            <w:r>
              <w:rPr>
                <w:rFonts w:ascii="Times New Roman" w:hAnsi="宋体"/>
                <w:szCs w:val="21"/>
              </w:rPr>
              <w:t>天（</w:t>
            </w:r>
            <w:r>
              <w:rPr>
                <w:rFonts w:ascii="Times New Roman" w:hAnsi="Times New Roman"/>
                <w:szCs w:val="21"/>
              </w:rPr>
              <w:t>7200</w:t>
            </w:r>
            <w:r>
              <w:rPr>
                <w:rFonts w:ascii="Times New Roman" w:hAnsi="宋体"/>
                <w:szCs w:val="21"/>
              </w:rPr>
              <w:t>小时）。</w:t>
            </w:r>
          </w:p>
          <w:p>
            <w:pPr>
              <w:spacing w:line="300" w:lineRule="exact"/>
              <w:ind w:firstLine="420" w:firstLineChars="200"/>
              <w:rPr>
                <w:rFonts w:ascii="Times New Roman" w:hAnsi="Times New Roman"/>
                <w:szCs w:val="21"/>
              </w:rPr>
            </w:pPr>
            <w:r>
              <w:rPr>
                <w:rFonts w:ascii="Times New Roman" w:hAnsi="宋体"/>
                <w:szCs w:val="21"/>
              </w:rPr>
              <w:t>水泥和余热发电生产系统及与生产紧密相关的辅助生产部门按四班三运转（三班生产，一班替换）</w:t>
            </w:r>
            <w:r>
              <w:rPr>
                <w:rFonts w:ascii="Times New Roman" w:hAnsi="Times New Roman"/>
                <w:szCs w:val="21"/>
              </w:rPr>
              <w:t>24</w:t>
            </w:r>
            <w:r>
              <w:rPr>
                <w:rFonts w:ascii="Times New Roman" w:hAnsi="宋体"/>
                <w:szCs w:val="21"/>
              </w:rPr>
              <w:t>小时连续生产，管理及一般辅助部门全部实行白班</w:t>
            </w:r>
            <w:r>
              <w:rPr>
                <w:rFonts w:ascii="Times New Roman" w:hAnsi="Times New Roman"/>
                <w:szCs w:val="21"/>
              </w:rPr>
              <w:t>8</w:t>
            </w:r>
            <w:r>
              <w:rPr>
                <w:rFonts w:ascii="Times New Roman" w:hAnsi="宋体"/>
                <w:szCs w:val="21"/>
              </w:rPr>
              <w:t>小时工作制。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662" w:type="dxa"/>
            <w:vAlign w:val="center"/>
          </w:tcPr>
          <w:p>
            <w:pPr>
              <w:spacing w:line="300" w:lineRule="exact"/>
              <w:jc w:val="center"/>
              <w:rPr>
                <w:rFonts w:ascii="Times New Roman" w:hAnsi="Times New Roman"/>
                <w:szCs w:val="21"/>
              </w:rPr>
            </w:pPr>
            <w:r>
              <w:rPr>
                <w:rFonts w:ascii="Times New Roman" w:hAnsi="宋体"/>
                <w:szCs w:val="21"/>
              </w:rPr>
              <w:t>企业历史</w:t>
            </w:r>
          </w:p>
          <w:p>
            <w:pPr>
              <w:spacing w:line="300" w:lineRule="exact"/>
              <w:jc w:val="center"/>
              <w:rPr>
                <w:rFonts w:ascii="Times New Roman" w:hAnsi="Times New Roman"/>
                <w:szCs w:val="21"/>
              </w:rPr>
            </w:pPr>
            <w:r>
              <w:rPr>
                <w:rFonts w:ascii="Times New Roman" w:hAnsi="宋体"/>
                <w:szCs w:val="21"/>
              </w:rPr>
              <w:t>发展沿革</w:t>
            </w:r>
          </w:p>
        </w:tc>
        <w:tc>
          <w:tcPr>
            <w:tcW w:w="6843" w:type="dxa"/>
            <w:gridSpan w:val="3"/>
            <w:vAlign w:val="center"/>
          </w:tcPr>
          <w:p>
            <w:pPr>
              <w:spacing w:line="300" w:lineRule="exact"/>
              <w:ind w:firstLine="420" w:firstLineChars="200"/>
              <w:rPr>
                <w:rFonts w:ascii="Times New Roman" w:hAnsi="Times New Roman"/>
                <w:szCs w:val="21"/>
              </w:rPr>
            </w:pPr>
            <w:r>
              <w:rPr>
                <w:rFonts w:ascii="Times New Roman" w:hAnsi="宋体"/>
                <w:szCs w:val="21"/>
              </w:rPr>
              <w:t>重庆永荣青鹏煤业有限公司是集煤炭、水泥两大板块产业为一体的</w:t>
            </w:r>
            <w:r>
              <w:rPr>
                <w:rFonts w:ascii="Times New Roman" w:hAnsi="Times New Roman"/>
                <w:szCs w:val="21"/>
              </w:rPr>
              <w:t>“</w:t>
            </w:r>
            <w:r>
              <w:rPr>
                <w:rFonts w:ascii="Times New Roman" w:hAnsi="宋体"/>
                <w:szCs w:val="21"/>
              </w:rPr>
              <w:t>双主业</w:t>
            </w:r>
            <w:r>
              <w:rPr>
                <w:rFonts w:ascii="Times New Roman" w:hAnsi="Times New Roman"/>
                <w:szCs w:val="21"/>
              </w:rPr>
              <w:t>”</w:t>
            </w:r>
            <w:r>
              <w:rPr>
                <w:rFonts w:ascii="Times New Roman" w:hAnsi="宋体"/>
                <w:szCs w:val="21"/>
              </w:rPr>
              <w:t>企业。</w:t>
            </w:r>
            <w:r>
              <w:rPr>
                <w:rFonts w:ascii="Times New Roman" w:hAnsi="Times New Roman"/>
                <w:szCs w:val="21"/>
              </w:rPr>
              <w:t>1956</w:t>
            </w:r>
            <w:r>
              <w:rPr>
                <w:rFonts w:ascii="Times New Roman" w:hAnsi="宋体"/>
                <w:szCs w:val="21"/>
              </w:rPr>
              <w:t>年由</w:t>
            </w:r>
            <w:r>
              <w:rPr>
                <w:rFonts w:ascii="Times New Roman" w:hAnsi="Times New Roman"/>
                <w:szCs w:val="21"/>
              </w:rPr>
              <w:t>12</w:t>
            </w:r>
            <w:r>
              <w:rPr>
                <w:rFonts w:ascii="Times New Roman" w:hAnsi="宋体"/>
                <w:szCs w:val="21"/>
              </w:rPr>
              <w:t>个小煤窑和</w:t>
            </w:r>
            <w:r>
              <w:rPr>
                <w:rFonts w:ascii="Times New Roman" w:hAnsi="Times New Roman"/>
                <w:szCs w:val="21"/>
              </w:rPr>
              <w:t>4</w:t>
            </w:r>
            <w:r>
              <w:rPr>
                <w:rFonts w:ascii="Times New Roman" w:hAnsi="宋体"/>
                <w:szCs w:val="21"/>
              </w:rPr>
              <w:t>个附属小厂通过公私合营组建</w:t>
            </w:r>
            <w:r>
              <w:rPr>
                <w:rFonts w:ascii="Times New Roman" w:hAnsi="Times New Roman"/>
                <w:szCs w:val="21"/>
              </w:rPr>
              <w:t>“</w:t>
            </w:r>
            <w:r>
              <w:rPr>
                <w:rFonts w:ascii="Times New Roman" w:hAnsi="宋体"/>
                <w:szCs w:val="21"/>
              </w:rPr>
              <w:t>巴县地方合营合盛煤厂</w:t>
            </w:r>
            <w:r>
              <w:rPr>
                <w:rFonts w:ascii="Times New Roman" w:hAnsi="Times New Roman"/>
                <w:szCs w:val="21"/>
              </w:rPr>
              <w:t>”</w:t>
            </w:r>
            <w:r>
              <w:rPr>
                <w:rFonts w:ascii="Times New Roman" w:hAnsi="宋体"/>
                <w:szCs w:val="21"/>
              </w:rPr>
              <w:t>，</w:t>
            </w:r>
            <w:r>
              <w:rPr>
                <w:rFonts w:ascii="Times New Roman" w:hAnsi="Times New Roman"/>
                <w:szCs w:val="21"/>
              </w:rPr>
              <w:t>1958</w:t>
            </w:r>
            <w:r>
              <w:rPr>
                <w:rFonts w:ascii="Times New Roman" w:hAnsi="宋体"/>
                <w:szCs w:val="21"/>
              </w:rPr>
              <w:t>年</w:t>
            </w:r>
            <w:r>
              <w:rPr>
                <w:rFonts w:ascii="Times New Roman" w:hAnsi="Times New Roman"/>
                <w:szCs w:val="21"/>
              </w:rPr>
              <w:t>7</w:t>
            </w:r>
            <w:r>
              <w:rPr>
                <w:rFonts w:ascii="Times New Roman" w:hAnsi="宋体"/>
                <w:szCs w:val="21"/>
              </w:rPr>
              <w:t>月更名为</w:t>
            </w:r>
            <w:r>
              <w:rPr>
                <w:rFonts w:ascii="Times New Roman" w:hAnsi="Times New Roman"/>
                <w:szCs w:val="21"/>
              </w:rPr>
              <w:t>“</w:t>
            </w:r>
            <w:r>
              <w:rPr>
                <w:rFonts w:ascii="Times New Roman" w:hAnsi="宋体"/>
                <w:szCs w:val="21"/>
              </w:rPr>
              <w:t>巴县关口煤矿</w:t>
            </w:r>
            <w:r>
              <w:rPr>
                <w:rFonts w:ascii="Times New Roman" w:hAnsi="Times New Roman"/>
                <w:szCs w:val="21"/>
              </w:rPr>
              <w:t>”</w:t>
            </w:r>
            <w:r>
              <w:rPr>
                <w:rFonts w:ascii="Times New Roman" w:hAnsi="宋体"/>
                <w:szCs w:val="21"/>
              </w:rPr>
              <w:t>，</w:t>
            </w:r>
            <w:r>
              <w:rPr>
                <w:rFonts w:ascii="Times New Roman" w:hAnsi="Times New Roman"/>
                <w:szCs w:val="21"/>
              </w:rPr>
              <w:t>1960</w:t>
            </w:r>
            <w:r>
              <w:rPr>
                <w:rFonts w:ascii="Times New Roman" w:hAnsi="宋体"/>
                <w:szCs w:val="21"/>
              </w:rPr>
              <w:t>年</w:t>
            </w:r>
            <w:r>
              <w:rPr>
                <w:rFonts w:ascii="Times New Roman" w:hAnsi="Times New Roman"/>
                <w:szCs w:val="21"/>
              </w:rPr>
              <w:t>5</w:t>
            </w:r>
            <w:r>
              <w:rPr>
                <w:rFonts w:ascii="Times New Roman" w:hAnsi="宋体"/>
                <w:szCs w:val="21"/>
              </w:rPr>
              <w:t>月将</w:t>
            </w:r>
            <w:r>
              <w:rPr>
                <w:rFonts w:ascii="Times New Roman" w:hAnsi="Times New Roman"/>
                <w:szCs w:val="21"/>
              </w:rPr>
              <w:t>“</w:t>
            </w:r>
            <w:r>
              <w:rPr>
                <w:rFonts w:ascii="Times New Roman" w:hAnsi="宋体"/>
                <w:szCs w:val="21"/>
              </w:rPr>
              <w:t>关口煤矿</w:t>
            </w:r>
            <w:r>
              <w:rPr>
                <w:rFonts w:ascii="Times New Roman" w:hAnsi="Times New Roman"/>
                <w:szCs w:val="21"/>
              </w:rPr>
              <w:t>”</w:t>
            </w:r>
            <w:r>
              <w:rPr>
                <w:rFonts w:ascii="Times New Roman" w:hAnsi="宋体"/>
                <w:szCs w:val="21"/>
              </w:rPr>
              <w:t>与</w:t>
            </w:r>
            <w:r>
              <w:rPr>
                <w:rFonts w:ascii="Times New Roman" w:hAnsi="Times New Roman"/>
                <w:szCs w:val="21"/>
              </w:rPr>
              <w:t>“</w:t>
            </w:r>
            <w:r>
              <w:rPr>
                <w:rFonts w:ascii="Times New Roman" w:hAnsi="宋体"/>
                <w:szCs w:val="21"/>
              </w:rPr>
              <w:t>杉树林煤矿</w:t>
            </w:r>
            <w:r>
              <w:rPr>
                <w:rFonts w:ascii="Times New Roman" w:hAnsi="Times New Roman"/>
                <w:szCs w:val="21"/>
              </w:rPr>
              <w:t>”</w:t>
            </w:r>
            <w:r>
              <w:rPr>
                <w:rFonts w:ascii="Times New Roman" w:hAnsi="宋体"/>
                <w:szCs w:val="21"/>
              </w:rPr>
              <w:t>合并成立</w:t>
            </w:r>
            <w:r>
              <w:rPr>
                <w:rFonts w:ascii="Times New Roman" w:hAnsi="Times New Roman"/>
                <w:szCs w:val="21"/>
              </w:rPr>
              <w:t>“</w:t>
            </w:r>
            <w:r>
              <w:rPr>
                <w:rFonts w:ascii="Times New Roman" w:hAnsi="宋体"/>
                <w:szCs w:val="21"/>
              </w:rPr>
              <w:t>巴县青木关煤矿</w:t>
            </w:r>
            <w:r>
              <w:rPr>
                <w:rFonts w:ascii="Times New Roman" w:hAnsi="Times New Roman"/>
                <w:szCs w:val="21"/>
              </w:rPr>
              <w:t>”</w:t>
            </w:r>
            <w:r>
              <w:rPr>
                <w:rFonts w:ascii="Times New Roman" w:hAnsi="宋体"/>
                <w:szCs w:val="21"/>
              </w:rPr>
              <w:t>，历经发展变迁，先后隶属原巴县工业局、工交局、经委管理。</w:t>
            </w:r>
            <w:r>
              <w:rPr>
                <w:rFonts w:ascii="Times New Roman" w:hAnsi="Times New Roman"/>
                <w:szCs w:val="21"/>
              </w:rPr>
              <w:t>1993</w:t>
            </w:r>
            <w:r>
              <w:rPr>
                <w:rFonts w:ascii="Times New Roman" w:hAnsi="宋体"/>
                <w:szCs w:val="21"/>
              </w:rPr>
              <w:t>年扩大产业规模修建水泥厂。</w:t>
            </w:r>
            <w:r>
              <w:rPr>
                <w:rFonts w:ascii="Times New Roman" w:hAnsi="Times New Roman"/>
                <w:szCs w:val="21"/>
              </w:rPr>
              <w:t>1997</w:t>
            </w:r>
            <w:r>
              <w:rPr>
                <w:rFonts w:ascii="Times New Roman" w:hAnsi="宋体"/>
                <w:szCs w:val="21"/>
              </w:rPr>
              <w:t>年</w:t>
            </w:r>
            <w:r>
              <w:rPr>
                <w:rFonts w:ascii="Times New Roman" w:hAnsi="Times New Roman"/>
                <w:szCs w:val="21"/>
              </w:rPr>
              <w:t>3</w:t>
            </w:r>
            <w:r>
              <w:rPr>
                <w:rFonts w:ascii="Times New Roman" w:hAnsi="宋体"/>
                <w:szCs w:val="21"/>
              </w:rPr>
              <w:t>月</w:t>
            </w:r>
            <w:r>
              <w:rPr>
                <w:rFonts w:ascii="Times New Roman" w:hAnsi="Times New Roman"/>
                <w:szCs w:val="21"/>
              </w:rPr>
              <w:t>20</w:t>
            </w:r>
            <w:r>
              <w:rPr>
                <w:rFonts w:ascii="Times New Roman" w:hAnsi="宋体"/>
                <w:szCs w:val="21"/>
              </w:rPr>
              <w:t>日</w:t>
            </w:r>
            <w:r>
              <w:rPr>
                <w:rFonts w:ascii="Times New Roman" w:hAnsi="Times New Roman"/>
                <w:szCs w:val="21"/>
              </w:rPr>
              <w:t>“</w:t>
            </w:r>
            <w:r>
              <w:rPr>
                <w:rFonts w:ascii="Times New Roman" w:hAnsi="宋体"/>
                <w:szCs w:val="21"/>
              </w:rPr>
              <w:t>巴县青木关煤矿</w:t>
            </w:r>
            <w:r>
              <w:rPr>
                <w:rFonts w:ascii="Times New Roman" w:hAnsi="Times New Roman"/>
                <w:szCs w:val="21"/>
              </w:rPr>
              <w:t>”</w:t>
            </w:r>
            <w:r>
              <w:rPr>
                <w:rFonts w:ascii="Times New Roman" w:hAnsi="宋体"/>
                <w:szCs w:val="21"/>
              </w:rPr>
              <w:t>更名为</w:t>
            </w:r>
            <w:r>
              <w:rPr>
                <w:rFonts w:ascii="Times New Roman" w:hAnsi="Times New Roman"/>
                <w:szCs w:val="21"/>
              </w:rPr>
              <w:t>“</w:t>
            </w:r>
            <w:r>
              <w:rPr>
                <w:rFonts w:ascii="Times New Roman" w:hAnsi="宋体"/>
                <w:szCs w:val="21"/>
              </w:rPr>
              <w:t>重庆市青木关煤矿</w:t>
            </w:r>
            <w:r>
              <w:rPr>
                <w:rFonts w:ascii="Times New Roman" w:hAnsi="Times New Roman"/>
                <w:szCs w:val="21"/>
              </w:rPr>
              <w:t>”</w:t>
            </w:r>
            <w:r>
              <w:rPr>
                <w:rFonts w:ascii="Times New Roman" w:hAnsi="宋体"/>
                <w:szCs w:val="21"/>
              </w:rPr>
              <w:t>，隶属市煤炭工业管理局，重庆煤炭集团公司。煤炭、水泥年设计生产能力</w:t>
            </w:r>
            <w:r>
              <w:rPr>
                <w:rFonts w:ascii="Times New Roman" w:hAnsi="Times New Roman"/>
                <w:szCs w:val="21"/>
              </w:rPr>
              <w:t>10</w:t>
            </w:r>
            <w:r>
              <w:rPr>
                <w:rFonts w:ascii="Times New Roman" w:hAnsi="宋体"/>
                <w:szCs w:val="21"/>
              </w:rPr>
              <w:t>万吨和</w:t>
            </w:r>
            <w:r>
              <w:rPr>
                <w:rFonts w:ascii="Times New Roman" w:hAnsi="Times New Roman"/>
                <w:szCs w:val="21"/>
              </w:rPr>
              <w:t>45</w:t>
            </w:r>
            <w:r>
              <w:rPr>
                <w:rFonts w:ascii="Times New Roman" w:hAnsi="宋体"/>
                <w:szCs w:val="21"/>
              </w:rPr>
              <w:t>万吨。</w:t>
            </w:r>
            <w:r>
              <w:rPr>
                <w:rFonts w:ascii="Times New Roman" w:hAnsi="Times New Roman"/>
                <w:szCs w:val="21"/>
              </w:rPr>
              <w:t>2003</w:t>
            </w:r>
            <w:r>
              <w:rPr>
                <w:rFonts w:ascii="Times New Roman" w:hAnsi="宋体"/>
                <w:szCs w:val="21"/>
              </w:rPr>
              <w:t>年</w:t>
            </w:r>
            <w:r>
              <w:rPr>
                <w:rFonts w:ascii="Times New Roman" w:hAnsi="Times New Roman"/>
                <w:szCs w:val="21"/>
              </w:rPr>
              <w:t>12</w:t>
            </w:r>
            <w:r>
              <w:rPr>
                <w:rFonts w:ascii="Times New Roman" w:hAnsi="宋体"/>
                <w:szCs w:val="21"/>
              </w:rPr>
              <w:t>月划归永荣矿业公司后，于</w:t>
            </w:r>
            <w:r>
              <w:rPr>
                <w:rFonts w:ascii="Times New Roman" w:hAnsi="Times New Roman"/>
                <w:szCs w:val="21"/>
              </w:rPr>
              <w:t>2005</w:t>
            </w:r>
            <w:r>
              <w:rPr>
                <w:rFonts w:ascii="Times New Roman" w:hAnsi="宋体"/>
                <w:szCs w:val="21"/>
              </w:rPr>
              <w:t>年</w:t>
            </w:r>
            <w:r>
              <w:rPr>
                <w:rFonts w:ascii="Times New Roman" w:hAnsi="Times New Roman"/>
                <w:szCs w:val="21"/>
              </w:rPr>
              <w:t>11</w:t>
            </w:r>
            <w:r>
              <w:rPr>
                <w:rFonts w:ascii="Times New Roman" w:hAnsi="宋体"/>
                <w:szCs w:val="21"/>
              </w:rPr>
              <w:t>月改制为国有独资企业，现隶属重庆能源集团公司。</w:t>
            </w:r>
          </w:p>
          <w:p>
            <w:pPr>
              <w:spacing w:line="300" w:lineRule="exact"/>
              <w:ind w:firstLine="420" w:firstLineChars="200"/>
              <w:rPr>
                <w:rFonts w:ascii="Times New Roman" w:hAnsi="Times New Roman"/>
                <w:szCs w:val="21"/>
              </w:rPr>
            </w:pPr>
            <w:r>
              <w:rPr>
                <w:rFonts w:ascii="Times New Roman" w:hAnsi="Times New Roman"/>
                <w:szCs w:val="21"/>
              </w:rPr>
              <w:t>2007</w:t>
            </w:r>
            <w:r>
              <w:rPr>
                <w:rFonts w:ascii="Times New Roman" w:hAnsi="宋体"/>
                <w:szCs w:val="21"/>
              </w:rPr>
              <w:t>年</w:t>
            </w:r>
            <w:r>
              <w:rPr>
                <w:rFonts w:ascii="Times New Roman" w:hAnsi="Times New Roman"/>
                <w:szCs w:val="21"/>
              </w:rPr>
              <w:t>7</w:t>
            </w:r>
            <w:r>
              <w:rPr>
                <w:rFonts w:ascii="Times New Roman" w:hAnsi="宋体"/>
                <w:szCs w:val="21"/>
              </w:rPr>
              <w:t>月，青鹏公司矿井实施延深工程。扩大生产规模，生产能力从年产</w:t>
            </w:r>
            <w:r>
              <w:rPr>
                <w:rFonts w:ascii="Times New Roman" w:hAnsi="Times New Roman"/>
                <w:szCs w:val="21"/>
              </w:rPr>
              <w:t>10</w:t>
            </w:r>
            <w:r>
              <w:rPr>
                <w:rFonts w:ascii="Times New Roman" w:hAnsi="宋体"/>
                <w:szCs w:val="21"/>
              </w:rPr>
              <w:t>万吨，扩大到</w:t>
            </w:r>
            <w:r>
              <w:rPr>
                <w:rFonts w:ascii="Times New Roman" w:hAnsi="Times New Roman"/>
                <w:szCs w:val="21"/>
              </w:rPr>
              <w:t>15</w:t>
            </w:r>
            <w:r>
              <w:rPr>
                <w:rFonts w:ascii="Times New Roman" w:hAnsi="宋体"/>
                <w:szCs w:val="21"/>
              </w:rPr>
              <w:t>万吨。</w:t>
            </w:r>
          </w:p>
          <w:p>
            <w:pPr>
              <w:spacing w:line="300" w:lineRule="exact"/>
              <w:ind w:firstLine="420" w:firstLineChars="200"/>
              <w:jc w:val="left"/>
              <w:rPr>
                <w:rFonts w:ascii="Times New Roman" w:hAnsi="Times New Roman"/>
                <w:szCs w:val="21"/>
              </w:rPr>
            </w:pPr>
            <w:r>
              <w:rPr>
                <w:rFonts w:ascii="Times New Roman" w:hAnsi="宋体"/>
                <w:szCs w:val="21"/>
              </w:rPr>
              <w:t>水泥生产规模从最初年产</w:t>
            </w:r>
            <w:r>
              <w:rPr>
                <w:rFonts w:ascii="Times New Roman" w:hAnsi="Times New Roman"/>
                <w:szCs w:val="21"/>
              </w:rPr>
              <w:t>4</w:t>
            </w:r>
            <w:r>
              <w:rPr>
                <w:rFonts w:ascii="Times New Roman" w:hAnsi="宋体"/>
                <w:szCs w:val="21"/>
              </w:rPr>
              <w:t>万吨水平，经两次改扩建，从</w:t>
            </w:r>
            <w:r>
              <w:rPr>
                <w:rFonts w:ascii="Times New Roman" w:hAnsi="Times New Roman"/>
                <w:szCs w:val="21"/>
              </w:rPr>
              <w:t>1998</w:t>
            </w:r>
            <w:r>
              <w:rPr>
                <w:rFonts w:ascii="Times New Roman" w:hAnsi="宋体"/>
                <w:szCs w:val="21"/>
              </w:rPr>
              <w:t>年至</w:t>
            </w:r>
            <w:r>
              <w:rPr>
                <w:rFonts w:ascii="Times New Roman" w:hAnsi="Times New Roman"/>
                <w:szCs w:val="21"/>
              </w:rPr>
              <w:t>2001</w:t>
            </w:r>
            <w:r>
              <w:rPr>
                <w:rFonts w:ascii="Times New Roman" w:hAnsi="宋体"/>
                <w:szCs w:val="21"/>
              </w:rPr>
              <w:t>年，扩大到四条生产线，水泥生产规模达</w:t>
            </w:r>
            <w:r>
              <w:rPr>
                <w:rFonts w:ascii="Times New Roman" w:hAnsi="Times New Roman"/>
                <w:szCs w:val="21"/>
              </w:rPr>
              <w:t>50</w:t>
            </w:r>
            <w:r>
              <w:rPr>
                <w:rFonts w:ascii="Times New Roman" w:hAnsi="宋体"/>
                <w:szCs w:val="21"/>
              </w:rPr>
              <w:t>万吨水平，比建厂时翻了十二倍多。由于是立窑生产线，属国家淘汰落后产业，经市政府批准，于</w:t>
            </w:r>
            <w:r>
              <w:rPr>
                <w:rFonts w:ascii="Times New Roman" w:hAnsi="Times New Roman"/>
                <w:szCs w:val="21"/>
              </w:rPr>
              <w:t>2011</w:t>
            </w:r>
            <w:r>
              <w:rPr>
                <w:rFonts w:ascii="Times New Roman" w:hAnsi="宋体"/>
                <w:szCs w:val="21"/>
              </w:rPr>
              <w:t>年</w:t>
            </w:r>
            <w:r>
              <w:rPr>
                <w:rFonts w:ascii="Times New Roman" w:hAnsi="Times New Roman"/>
                <w:szCs w:val="21"/>
              </w:rPr>
              <w:t>8</w:t>
            </w:r>
            <w:r>
              <w:rPr>
                <w:rFonts w:ascii="Times New Roman" w:hAnsi="宋体"/>
                <w:szCs w:val="21"/>
              </w:rPr>
              <w:t>月全面停产撤除。于</w:t>
            </w:r>
            <w:r>
              <w:rPr>
                <w:rFonts w:ascii="Times New Roman" w:hAnsi="Times New Roman"/>
                <w:szCs w:val="21"/>
              </w:rPr>
              <w:t>2011</w:t>
            </w:r>
            <w:r>
              <w:rPr>
                <w:rFonts w:ascii="Times New Roman" w:hAnsi="宋体"/>
                <w:szCs w:val="21"/>
              </w:rPr>
              <w:t>年</w:t>
            </w:r>
            <w:r>
              <w:rPr>
                <w:rFonts w:ascii="Times New Roman" w:hAnsi="Times New Roman"/>
                <w:szCs w:val="21"/>
              </w:rPr>
              <w:t>9</w:t>
            </w:r>
            <w:r>
              <w:rPr>
                <w:rFonts w:ascii="Times New Roman" w:hAnsi="宋体"/>
                <w:szCs w:val="21"/>
              </w:rPr>
              <w:t>月，对水泥厂进行环保技改</w:t>
            </w:r>
            <w:r>
              <w:rPr>
                <w:rFonts w:ascii="Times New Roman" w:hAnsi="Times New Roman"/>
                <w:szCs w:val="21"/>
              </w:rPr>
              <w:t>2500t/d</w:t>
            </w:r>
            <w:r>
              <w:rPr>
                <w:rFonts w:ascii="Times New Roman" w:hAnsi="宋体"/>
                <w:szCs w:val="21"/>
              </w:rPr>
              <w:t>新型干法旋窑水泥生产线。于</w:t>
            </w:r>
            <w:r>
              <w:rPr>
                <w:rFonts w:ascii="Times New Roman" w:hAnsi="Times New Roman"/>
                <w:szCs w:val="21"/>
              </w:rPr>
              <w:t>2013</w:t>
            </w:r>
            <w:r>
              <w:rPr>
                <w:rFonts w:ascii="Times New Roman" w:hAnsi="宋体"/>
                <w:szCs w:val="21"/>
              </w:rPr>
              <w:t>年</w:t>
            </w:r>
            <w:r>
              <w:rPr>
                <w:rFonts w:ascii="Times New Roman" w:hAnsi="Times New Roman"/>
                <w:szCs w:val="21"/>
              </w:rPr>
              <w:t>6</w:t>
            </w:r>
            <w:r>
              <w:rPr>
                <w:rFonts w:ascii="Times New Roman" w:hAnsi="宋体"/>
                <w:szCs w:val="21"/>
              </w:rPr>
              <w:t>月</w:t>
            </w:r>
            <w:r>
              <w:rPr>
                <w:rFonts w:ascii="Times New Roman" w:hAnsi="Times New Roman"/>
                <w:szCs w:val="21"/>
              </w:rPr>
              <w:t>19</w:t>
            </w:r>
            <w:r>
              <w:rPr>
                <w:rFonts w:ascii="Times New Roman" w:hAnsi="宋体"/>
                <w:szCs w:val="21"/>
              </w:rPr>
              <w:t>日点火生产。</w:t>
            </w:r>
          </w:p>
        </w:tc>
      </w:tr>
    </w:tbl>
    <w:p>
      <w:pPr>
        <w:jc w:val="center"/>
        <w:rPr>
          <w:rFonts w:eastAsia="黑体"/>
          <w:b/>
          <w:sz w:val="24"/>
          <w:szCs w:val="24"/>
        </w:rPr>
      </w:pPr>
      <w:r>
        <w:rPr>
          <w:rFonts w:hint="eastAsia" w:eastAsia="黑体"/>
          <w:b/>
          <w:sz w:val="24"/>
          <w:szCs w:val="24"/>
        </w:rPr>
        <w:t>表</w:t>
      </w:r>
      <w:r>
        <w:rPr>
          <w:rFonts w:eastAsia="黑体"/>
          <w:b/>
          <w:sz w:val="24"/>
          <w:szCs w:val="24"/>
        </w:rPr>
        <w:t>2</w:t>
      </w:r>
      <w:r>
        <w:rPr>
          <w:rFonts w:hint="eastAsia" w:eastAsia="黑体"/>
          <w:b/>
          <w:sz w:val="24"/>
          <w:szCs w:val="24"/>
        </w:rPr>
        <w:t>.1—</w:t>
      </w:r>
      <w:r>
        <w:rPr>
          <w:rFonts w:eastAsia="黑体"/>
          <w:b/>
          <w:sz w:val="24"/>
          <w:szCs w:val="24"/>
        </w:rPr>
        <w:t xml:space="preserve">2   </w:t>
      </w:r>
      <w:r>
        <w:rPr>
          <w:rFonts w:hint="eastAsia" w:eastAsia="黑体"/>
          <w:b/>
          <w:sz w:val="24"/>
          <w:szCs w:val="24"/>
        </w:rPr>
        <w:t>企业主要原辅材料一览表</w:t>
      </w:r>
    </w:p>
    <w:tbl>
      <w:tblPr>
        <w:tblStyle w:val="21"/>
        <w:tblW w:w="850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60"/>
        <w:gridCol w:w="1121"/>
        <w:gridCol w:w="1402"/>
        <w:gridCol w:w="1180"/>
        <w:gridCol w:w="908"/>
        <w:gridCol w:w="2589"/>
        <w:gridCol w:w="8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60" w:type="dxa"/>
            <w:vAlign w:val="center"/>
          </w:tcPr>
          <w:p>
            <w:pPr>
              <w:jc w:val="center"/>
              <w:rPr>
                <w:rFonts w:ascii="Times New Roman" w:hAnsi="Times New Roman"/>
                <w:szCs w:val="21"/>
              </w:rPr>
            </w:pPr>
            <w:r>
              <w:rPr>
                <w:rFonts w:ascii="Times New Roman" w:hAnsi="宋体"/>
                <w:szCs w:val="21"/>
              </w:rPr>
              <w:t>序</w:t>
            </w:r>
          </w:p>
          <w:p>
            <w:pPr>
              <w:jc w:val="center"/>
              <w:rPr>
                <w:rFonts w:ascii="Times New Roman" w:hAnsi="Times New Roman"/>
                <w:szCs w:val="21"/>
              </w:rPr>
            </w:pPr>
            <w:r>
              <w:rPr>
                <w:rFonts w:ascii="Times New Roman" w:hAnsi="宋体"/>
                <w:szCs w:val="21"/>
              </w:rPr>
              <w:t>号</w:t>
            </w:r>
          </w:p>
        </w:tc>
        <w:tc>
          <w:tcPr>
            <w:tcW w:w="1121" w:type="dxa"/>
            <w:vAlign w:val="center"/>
          </w:tcPr>
          <w:p>
            <w:pPr>
              <w:jc w:val="center"/>
              <w:rPr>
                <w:rFonts w:ascii="Times New Roman" w:hAnsi="Times New Roman"/>
                <w:szCs w:val="21"/>
              </w:rPr>
            </w:pPr>
            <w:r>
              <w:rPr>
                <w:rFonts w:ascii="Times New Roman" w:hAnsi="宋体"/>
                <w:szCs w:val="21"/>
              </w:rPr>
              <w:t>物料</w:t>
            </w:r>
          </w:p>
          <w:p>
            <w:pPr>
              <w:jc w:val="center"/>
              <w:rPr>
                <w:rFonts w:ascii="Times New Roman" w:hAnsi="Times New Roman"/>
                <w:szCs w:val="21"/>
              </w:rPr>
            </w:pPr>
            <w:r>
              <w:rPr>
                <w:rFonts w:ascii="Times New Roman" w:hAnsi="宋体"/>
                <w:szCs w:val="21"/>
              </w:rPr>
              <w:t>名称</w:t>
            </w:r>
          </w:p>
        </w:tc>
        <w:tc>
          <w:tcPr>
            <w:tcW w:w="1402" w:type="dxa"/>
            <w:vAlign w:val="center"/>
          </w:tcPr>
          <w:p>
            <w:pPr>
              <w:jc w:val="center"/>
              <w:rPr>
                <w:rFonts w:ascii="Times New Roman" w:hAnsi="Times New Roman"/>
                <w:szCs w:val="21"/>
              </w:rPr>
            </w:pPr>
            <w:r>
              <w:rPr>
                <w:rFonts w:ascii="Times New Roman" w:hAnsi="宋体"/>
                <w:szCs w:val="21"/>
              </w:rPr>
              <w:t>湿基年</w:t>
            </w:r>
          </w:p>
          <w:p>
            <w:pPr>
              <w:jc w:val="center"/>
              <w:rPr>
                <w:rFonts w:ascii="Times New Roman" w:hAnsi="Times New Roman"/>
                <w:szCs w:val="21"/>
              </w:rPr>
            </w:pPr>
            <w:r>
              <w:rPr>
                <w:rFonts w:ascii="Times New Roman" w:hAnsi="宋体"/>
                <w:szCs w:val="21"/>
              </w:rPr>
              <w:t>消耗量（</w:t>
            </w:r>
            <w:r>
              <w:rPr>
                <w:rFonts w:ascii="Times New Roman" w:hAnsi="Times New Roman"/>
                <w:szCs w:val="21"/>
              </w:rPr>
              <w:t>t/a</w:t>
            </w:r>
            <w:r>
              <w:rPr>
                <w:rFonts w:ascii="Times New Roman" w:hAnsi="宋体"/>
                <w:szCs w:val="21"/>
              </w:rPr>
              <w:t>）</w:t>
            </w:r>
          </w:p>
        </w:tc>
        <w:tc>
          <w:tcPr>
            <w:tcW w:w="1180" w:type="dxa"/>
            <w:vAlign w:val="center"/>
          </w:tcPr>
          <w:p>
            <w:pPr>
              <w:jc w:val="center"/>
              <w:rPr>
                <w:rFonts w:ascii="Times New Roman" w:hAnsi="Times New Roman"/>
                <w:szCs w:val="21"/>
              </w:rPr>
            </w:pPr>
            <w:r>
              <w:rPr>
                <w:rFonts w:ascii="Times New Roman" w:hAnsi="宋体"/>
                <w:szCs w:val="21"/>
              </w:rPr>
              <w:t>干基年消耗量（</w:t>
            </w:r>
            <w:r>
              <w:rPr>
                <w:rFonts w:ascii="Times New Roman" w:hAnsi="Times New Roman"/>
                <w:szCs w:val="21"/>
              </w:rPr>
              <w:t>t/a</w:t>
            </w:r>
            <w:r>
              <w:rPr>
                <w:rFonts w:ascii="Times New Roman" w:hAnsi="宋体"/>
                <w:szCs w:val="21"/>
              </w:rPr>
              <w:t>）</w:t>
            </w:r>
          </w:p>
        </w:tc>
        <w:tc>
          <w:tcPr>
            <w:tcW w:w="908" w:type="dxa"/>
            <w:vAlign w:val="center"/>
          </w:tcPr>
          <w:p>
            <w:pPr>
              <w:jc w:val="center"/>
              <w:rPr>
                <w:rFonts w:ascii="Times New Roman" w:hAnsi="Times New Roman"/>
                <w:szCs w:val="21"/>
              </w:rPr>
            </w:pPr>
            <w:r>
              <w:rPr>
                <w:rFonts w:ascii="Times New Roman" w:hAnsi="宋体"/>
                <w:szCs w:val="21"/>
              </w:rPr>
              <w:t>水分</w:t>
            </w:r>
          </w:p>
          <w:p>
            <w:pPr>
              <w:jc w:val="center"/>
              <w:rPr>
                <w:rFonts w:ascii="Times New Roman" w:hAnsi="Times New Roman"/>
                <w:szCs w:val="21"/>
              </w:rPr>
            </w:pPr>
            <w:r>
              <w:rPr>
                <w:rFonts w:ascii="Times New Roman" w:hAnsi="宋体"/>
                <w:szCs w:val="21"/>
              </w:rPr>
              <w:t>（</w:t>
            </w:r>
            <w:r>
              <w:rPr>
                <w:rFonts w:ascii="Times New Roman" w:hAnsi="Times New Roman"/>
                <w:szCs w:val="21"/>
              </w:rPr>
              <w:t>%</w:t>
            </w:r>
            <w:r>
              <w:rPr>
                <w:rFonts w:ascii="Times New Roman" w:hAnsi="宋体"/>
                <w:szCs w:val="21"/>
              </w:rPr>
              <w:t>）</w:t>
            </w:r>
          </w:p>
        </w:tc>
        <w:tc>
          <w:tcPr>
            <w:tcW w:w="2589" w:type="dxa"/>
            <w:vAlign w:val="center"/>
          </w:tcPr>
          <w:p>
            <w:pPr>
              <w:jc w:val="center"/>
              <w:rPr>
                <w:rFonts w:ascii="Times New Roman" w:hAnsi="Times New Roman"/>
                <w:szCs w:val="21"/>
              </w:rPr>
            </w:pPr>
            <w:r>
              <w:rPr>
                <w:rFonts w:ascii="Times New Roman" w:hAnsi="宋体"/>
                <w:szCs w:val="21"/>
              </w:rPr>
              <w:t>来源</w:t>
            </w:r>
          </w:p>
        </w:tc>
        <w:tc>
          <w:tcPr>
            <w:tcW w:w="845" w:type="dxa"/>
            <w:vAlign w:val="center"/>
          </w:tcPr>
          <w:p>
            <w:pPr>
              <w:jc w:val="center"/>
              <w:rPr>
                <w:rFonts w:ascii="Times New Roman" w:hAnsi="Times New Roman"/>
                <w:szCs w:val="21"/>
              </w:rPr>
            </w:pPr>
            <w:r>
              <w:rPr>
                <w:rFonts w:ascii="Times New Roman" w:hAnsi="宋体"/>
                <w:szCs w:val="21"/>
              </w:rPr>
              <w:t>运距</w:t>
            </w:r>
            <w:r>
              <w:rPr>
                <w:rFonts w:ascii="Times New Roman" w:hAnsi="Times New Roman"/>
                <w:szCs w:val="21"/>
              </w:rPr>
              <w:t>(Km)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1" w:hRule="atLeast"/>
          <w:jc w:val="center"/>
        </w:trPr>
        <w:tc>
          <w:tcPr>
            <w:tcW w:w="460" w:type="dxa"/>
            <w:vAlign w:val="center"/>
          </w:tcPr>
          <w:p>
            <w:pPr>
              <w:jc w:val="center"/>
              <w:rPr>
                <w:rFonts w:ascii="Times New Roman" w:hAnsi="Times New Roman"/>
                <w:szCs w:val="21"/>
              </w:rPr>
            </w:pPr>
            <w:r>
              <w:rPr>
                <w:rFonts w:ascii="Times New Roman" w:hAnsi="Times New Roman"/>
                <w:szCs w:val="21"/>
              </w:rPr>
              <w:t>1</w:t>
            </w:r>
          </w:p>
        </w:tc>
        <w:tc>
          <w:tcPr>
            <w:tcW w:w="1121" w:type="dxa"/>
            <w:vAlign w:val="center"/>
          </w:tcPr>
          <w:p>
            <w:pPr>
              <w:jc w:val="center"/>
              <w:rPr>
                <w:rFonts w:ascii="Times New Roman" w:hAnsi="Times New Roman"/>
                <w:szCs w:val="21"/>
              </w:rPr>
            </w:pPr>
            <w:r>
              <w:rPr>
                <w:rFonts w:ascii="Times New Roman" w:hAnsi="宋体"/>
                <w:szCs w:val="21"/>
              </w:rPr>
              <w:t>石灰石</w:t>
            </w:r>
          </w:p>
        </w:tc>
        <w:tc>
          <w:tcPr>
            <w:tcW w:w="1402" w:type="dxa"/>
            <w:vAlign w:val="center"/>
          </w:tcPr>
          <w:p>
            <w:pPr>
              <w:jc w:val="center"/>
              <w:rPr>
                <w:rFonts w:ascii="Times New Roman" w:hAnsi="Times New Roman"/>
                <w:szCs w:val="21"/>
              </w:rPr>
            </w:pPr>
            <w:r>
              <w:rPr>
                <w:rFonts w:ascii="Times New Roman" w:hAnsi="Times New Roman"/>
                <w:szCs w:val="21"/>
              </w:rPr>
              <w:t>1018660</w:t>
            </w:r>
          </w:p>
        </w:tc>
        <w:tc>
          <w:tcPr>
            <w:tcW w:w="1180" w:type="dxa"/>
            <w:vAlign w:val="center"/>
          </w:tcPr>
          <w:p>
            <w:pPr>
              <w:jc w:val="center"/>
              <w:rPr>
                <w:rFonts w:ascii="Times New Roman" w:hAnsi="Times New Roman"/>
                <w:szCs w:val="21"/>
              </w:rPr>
            </w:pPr>
            <w:r>
              <w:rPr>
                <w:rFonts w:ascii="Times New Roman" w:hAnsi="Times New Roman"/>
                <w:szCs w:val="21"/>
              </w:rPr>
              <w:t>1008430</w:t>
            </w:r>
          </w:p>
        </w:tc>
        <w:tc>
          <w:tcPr>
            <w:tcW w:w="908" w:type="dxa"/>
            <w:vAlign w:val="center"/>
          </w:tcPr>
          <w:p>
            <w:pPr>
              <w:jc w:val="center"/>
              <w:rPr>
                <w:rFonts w:ascii="Times New Roman" w:hAnsi="Times New Roman"/>
                <w:szCs w:val="21"/>
              </w:rPr>
            </w:pPr>
            <w:r>
              <w:rPr>
                <w:rFonts w:ascii="Times New Roman" w:hAnsi="Times New Roman"/>
                <w:szCs w:val="21"/>
              </w:rPr>
              <w:t>1</w:t>
            </w:r>
          </w:p>
        </w:tc>
        <w:tc>
          <w:tcPr>
            <w:tcW w:w="2589" w:type="dxa"/>
            <w:vAlign w:val="center"/>
          </w:tcPr>
          <w:p>
            <w:pPr>
              <w:jc w:val="center"/>
              <w:rPr>
                <w:rFonts w:ascii="Times New Roman" w:hAnsi="Times New Roman"/>
                <w:szCs w:val="21"/>
              </w:rPr>
            </w:pPr>
            <w:r>
              <w:rPr>
                <w:rFonts w:ascii="Times New Roman" w:hAnsi="宋体"/>
                <w:szCs w:val="21"/>
              </w:rPr>
              <w:t>璧山县福禄镇</w:t>
            </w:r>
          </w:p>
        </w:tc>
        <w:tc>
          <w:tcPr>
            <w:tcW w:w="845" w:type="dxa"/>
            <w:vAlign w:val="center"/>
          </w:tcPr>
          <w:p>
            <w:pPr>
              <w:jc w:val="center"/>
              <w:rPr>
                <w:rFonts w:ascii="Times New Roman" w:hAnsi="Times New Roman"/>
                <w:szCs w:val="21"/>
              </w:rPr>
            </w:pPr>
            <w:r>
              <w:rPr>
                <w:rFonts w:ascii="Times New Roman" w:hAnsi="Times New Roman"/>
                <w:szCs w:val="21"/>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1" w:hRule="atLeast"/>
          <w:jc w:val="center"/>
        </w:trPr>
        <w:tc>
          <w:tcPr>
            <w:tcW w:w="460" w:type="dxa"/>
            <w:vAlign w:val="center"/>
          </w:tcPr>
          <w:p>
            <w:pPr>
              <w:jc w:val="center"/>
              <w:rPr>
                <w:rFonts w:ascii="Times New Roman" w:hAnsi="Times New Roman"/>
                <w:szCs w:val="21"/>
              </w:rPr>
            </w:pPr>
            <w:r>
              <w:rPr>
                <w:rFonts w:ascii="Times New Roman" w:hAnsi="Times New Roman"/>
                <w:szCs w:val="21"/>
              </w:rPr>
              <w:t>2</w:t>
            </w:r>
          </w:p>
        </w:tc>
        <w:tc>
          <w:tcPr>
            <w:tcW w:w="1121" w:type="dxa"/>
            <w:vAlign w:val="center"/>
          </w:tcPr>
          <w:p>
            <w:pPr>
              <w:jc w:val="center"/>
              <w:rPr>
                <w:rFonts w:ascii="Times New Roman" w:hAnsi="Times New Roman"/>
                <w:szCs w:val="21"/>
              </w:rPr>
            </w:pPr>
            <w:r>
              <w:rPr>
                <w:rFonts w:ascii="Times New Roman" w:hAnsi="宋体"/>
                <w:szCs w:val="21"/>
              </w:rPr>
              <w:t>砂岩</w:t>
            </w:r>
          </w:p>
        </w:tc>
        <w:tc>
          <w:tcPr>
            <w:tcW w:w="1402" w:type="dxa"/>
            <w:vAlign w:val="center"/>
          </w:tcPr>
          <w:p>
            <w:pPr>
              <w:jc w:val="center"/>
              <w:rPr>
                <w:rFonts w:ascii="Times New Roman" w:hAnsi="Times New Roman"/>
                <w:szCs w:val="21"/>
              </w:rPr>
            </w:pPr>
            <w:r>
              <w:rPr>
                <w:rFonts w:ascii="Times New Roman" w:hAnsi="Times New Roman"/>
                <w:szCs w:val="21"/>
              </w:rPr>
              <w:t>66960</w:t>
            </w:r>
          </w:p>
        </w:tc>
        <w:tc>
          <w:tcPr>
            <w:tcW w:w="1180" w:type="dxa"/>
            <w:vAlign w:val="center"/>
          </w:tcPr>
          <w:p>
            <w:pPr>
              <w:jc w:val="center"/>
              <w:rPr>
                <w:rFonts w:ascii="Times New Roman" w:hAnsi="Times New Roman"/>
                <w:szCs w:val="21"/>
              </w:rPr>
            </w:pPr>
            <w:r>
              <w:rPr>
                <w:rFonts w:ascii="Times New Roman" w:hAnsi="Times New Roman"/>
                <w:szCs w:val="21"/>
              </w:rPr>
              <w:t>66650</w:t>
            </w:r>
          </w:p>
        </w:tc>
        <w:tc>
          <w:tcPr>
            <w:tcW w:w="908" w:type="dxa"/>
            <w:vAlign w:val="center"/>
          </w:tcPr>
          <w:p>
            <w:pPr>
              <w:jc w:val="center"/>
              <w:rPr>
                <w:rFonts w:ascii="Times New Roman" w:hAnsi="Times New Roman"/>
                <w:szCs w:val="21"/>
              </w:rPr>
            </w:pPr>
            <w:r>
              <w:rPr>
                <w:rFonts w:ascii="Times New Roman" w:hAnsi="Times New Roman"/>
                <w:szCs w:val="21"/>
              </w:rPr>
              <w:t>1</w:t>
            </w:r>
          </w:p>
        </w:tc>
        <w:tc>
          <w:tcPr>
            <w:tcW w:w="2589" w:type="dxa"/>
            <w:vAlign w:val="center"/>
          </w:tcPr>
          <w:p>
            <w:pPr>
              <w:jc w:val="center"/>
              <w:rPr>
                <w:rFonts w:ascii="Times New Roman" w:hAnsi="Times New Roman"/>
                <w:szCs w:val="21"/>
              </w:rPr>
            </w:pPr>
            <w:r>
              <w:rPr>
                <w:rFonts w:ascii="Times New Roman" w:hAnsi="宋体"/>
                <w:szCs w:val="21"/>
              </w:rPr>
              <w:t>合川盐井镇塘坝村</w:t>
            </w:r>
          </w:p>
        </w:tc>
        <w:tc>
          <w:tcPr>
            <w:tcW w:w="845" w:type="dxa"/>
            <w:vAlign w:val="center"/>
          </w:tcPr>
          <w:p>
            <w:pPr>
              <w:jc w:val="center"/>
              <w:rPr>
                <w:rFonts w:ascii="Times New Roman" w:hAnsi="Times New Roman"/>
                <w:szCs w:val="21"/>
              </w:rPr>
            </w:pPr>
            <w:r>
              <w:rPr>
                <w:rFonts w:ascii="Times New Roman" w:hAnsi="Times New Roman"/>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3" w:hRule="atLeast"/>
          <w:jc w:val="center"/>
        </w:trPr>
        <w:tc>
          <w:tcPr>
            <w:tcW w:w="460" w:type="dxa"/>
            <w:vAlign w:val="center"/>
          </w:tcPr>
          <w:p>
            <w:pPr>
              <w:jc w:val="center"/>
              <w:rPr>
                <w:rFonts w:ascii="Times New Roman" w:hAnsi="Times New Roman"/>
                <w:szCs w:val="21"/>
              </w:rPr>
            </w:pPr>
            <w:r>
              <w:rPr>
                <w:rFonts w:ascii="Times New Roman" w:hAnsi="Times New Roman"/>
                <w:szCs w:val="21"/>
              </w:rPr>
              <w:t>3</w:t>
            </w:r>
          </w:p>
        </w:tc>
        <w:tc>
          <w:tcPr>
            <w:tcW w:w="1121" w:type="dxa"/>
            <w:vAlign w:val="center"/>
          </w:tcPr>
          <w:p>
            <w:pPr>
              <w:jc w:val="center"/>
              <w:rPr>
                <w:rFonts w:ascii="Times New Roman" w:hAnsi="Times New Roman"/>
                <w:szCs w:val="21"/>
              </w:rPr>
            </w:pPr>
            <w:r>
              <w:rPr>
                <w:rFonts w:ascii="Times New Roman" w:hAnsi="宋体"/>
                <w:szCs w:val="21"/>
              </w:rPr>
              <w:t>煤矸石</w:t>
            </w:r>
          </w:p>
        </w:tc>
        <w:tc>
          <w:tcPr>
            <w:tcW w:w="1402" w:type="dxa"/>
            <w:vAlign w:val="center"/>
          </w:tcPr>
          <w:p>
            <w:pPr>
              <w:jc w:val="center"/>
              <w:rPr>
                <w:rFonts w:ascii="Times New Roman" w:hAnsi="Times New Roman"/>
                <w:szCs w:val="21"/>
              </w:rPr>
            </w:pPr>
            <w:r>
              <w:rPr>
                <w:rFonts w:ascii="Times New Roman" w:hAnsi="Times New Roman"/>
                <w:szCs w:val="21"/>
              </w:rPr>
              <w:t>92039</w:t>
            </w:r>
          </w:p>
        </w:tc>
        <w:tc>
          <w:tcPr>
            <w:tcW w:w="1180" w:type="dxa"/>
            <w:vAlign w:val="center"/>
          </w:tcPr>
          <w:p>
            <w:pPr>
              <w:jc w:val="center"/>
              <w:rPr>
                <w:rFonts w:ascii="Times New Roman" w:hAnsi="Times New Roman"/>
                <w:szCs w:val="21"/>
              </w:rPr>
            </w:pPr>
            <w:r>
              <w:rPr>
                <w:rFonts w:ascii="Times New Roman" w:hAnsi="Times New Roman"/>
                <w:szCs w:val="21"/>
              </w:rPr>
              <w:t>87730</w:t>
            </w:r>
          </w:p>
        </w:tc>
        <w:tc>
          <w:tcPr>
            <w:tcW w:w="908" w:type="dxa"/>
            <w:vAlign w:val="center"/>
          </w:tcPr>
          <w:p>
            <w:pPr>
              <w:jc w:val="center"/>
              <w:rPr>
                <w:rFonts w:ascii="Times New Roman" w:hAnsi="Times New Roman"/>
                <w:szCs w:val="21"/>
              </w:rPr>
            </w:pPr>
            <w:r>
              <w:rPr>
                <w:rFonts w:ascii="Times New Roman" w:hAnsi="Times New Roman"/>
                <w:szCs w:val="21"/>
              </w:rPr>
              <w:t>5</w:t>
            </w:r>
          </w:p>
        </w:tc>
        <w:tc>
          <w:tcPr>
            <w:tcW w:w="2589" w:type="dxa"/>
            <w:vAlign w:val="center"/>
          </w:tcPr>
          <w:p>
            <w:pPr>
              <w:jc w:val="center"/>
              <w:rPr>
                <w:rFonts w:ascii="Times New Roman" w:hAnsi="Times New Roman"/>
                <w:szCs w:val="21"/>
              </w:rPr>
            </w:pPr>
            <w:r>
              <w:rPr>
                <w:rFonts w:ascii="Times New Roman" w:hAnsi="宋体"/>
                <w:szCs w:val="21"/>
              </w:rPr>
              <w:t>厂区内</w:t>
            </w:r>
          </w:p>
        </w:tc>
        <w:tc>
          <w:tcPr>
            <w:tcW w:w="845" w:type="dxa"/>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1" w:hRule="atLeast"/>
          <w:jc w:val="center"/>
        </w:trPr>
        <w:tc>
          <w:tcPr>
            <w:tcW w:w="460" w:type="dxa"/>
            <w:vAlign w:val="center"/>
          </w:tcPr>
          <w:p>
            <w:pPr>
              <w:jc w:val="center"/>
              <w:rPr>
                <w:rFonts w:ascii="Times New Roman" w:hAnsi="Times New Roman"/>
                <w:szCs w:val="21"/>
              </w:rPr>
            </w:pPr>
            <w:r>
              <w:rPr>
                <w:rFonts w:ascii="Times New Roman" w:hAnsi="Times New Roman"/>
                <w:szCs w:val="21"/>
              </w:rPr>
              <w:t>4</w:t>
            </w:r>
          </w:p>
        </w:tc>
        <w:tc>
          <w:tcPr>
            <w:tcW w:w="1121" w:type="dxa"/>
            <w:vAlign w:val="center"/>
          </w:tcPr>
          <w:p>
            <w:pPr>
              <w:jc w:val="center"/>
              <w:rPr>
                <w:rFonts w:ascii="Times New Roman" w:hAnsi="Times New Roman"/>
                <w:szCs w:val="21"/>
              </w:rPr>
            </w:pPr>
            <w:r>
              <w:rPr>
                <w:rFonts w:ascii="Times New Roman" w:hAnsi="宋体"/>
                <w:szCs w:val="21"/>
              </w:rPr>
              <w:t>硫酸渣</w:t>
            </w:r>
          </w:p>
        </w:tc>
        <w:tc>
          <w:tcPr>
            <w:tcW w:w="1402" w:type="dxa"/>
            <w:vAlign w:val="center"/>
          </w:tcPr>
          <w:p>
            <w:pPr>
              <w:jc w:val="center"/>
              <w:rPr>
                <w:rFonts w:ascii="Times New Roman" w:hAnsi="Times New Roman"/>
                <w:szCs w:val="21"/>
              </w:rPr>
            </w:pPr>
            <w:r>
              <w:rPr>
                <w:rFonts w:ascii="Times New Roman" w:hAnsi="Times New Roman"/>
                <w:szCs w:val="21"/>
              </w:rPr>
              <w:t>15847</w:t>
            </w:r>
          </w:p>
        </w:tc>
        <w:tc>
          <w:tcPr>
            <w:tcW w:w="1180" w:type="dxa"/>
            <w:vAlign w:val="center"/>
          </w:tcPr>
          <w:p>
            <w:pPr>
              <w:jc w:val="center"/>
              <w:rPr>
                <w:rFonts w:ascii="Times New Roman" w:hAnsi="Times New Roman"/>
                <w:szCs w:val="21"/>
              </w:rPr>
            </w:pPr>
            <w:r>
              <w:rPr>
                <w:rFonts w:ascii="Times New Roman" w:hAnsi="Times New Roman"/>
                <w:szCs w:val="21"/>
              </w:rPr>
              <w:t>13330</w:t>
            </w:r>
          </w:p>
        </w:tc>
        <w:tc>
          <w:tcPr>
            <w:tcW w:w="908" w:type="dxa"/>
            <w:vAlign w:val="center"/>
          </w:tcPr>
          <w:p>
            <w:pPr>
              <w:jc w:val="center"/>
              <w:rPr>
                <w:rFonts w:ascii="Times New Roman" w:hAnsi="Times New Roman"/>
                <w:szCs w:val="21"/>
              </w:rPr>
            </w:pPr>
            <w:r>
              <w:rPr>
                <w:rFonts w:ascii="Times New Roman" w:hAnsi="Times New Roman"/>
                <w:szCs w:val="21"/>
              </w:rPr>
              <w:t>18</w:t>
            </w:r>
          </w:p>
        </w:tc>
        <w:tc>
          <w:tcPr>
            <w:tcW w:w="2589" w:type="dxa"/>
            <w:vAlign w:val="center"/>
          </w:tcPr>
          <w:p>
            <w:pPr>
              <w:jc w:val="center"/>
              <w:rPr>
                <w:rFonts w:ascii="Times New Roman" w:hAnsi="Times New Roman"/>
                <w:szCs w:val="21"/>
              </w:rPr>
            </w:pPr>
            <w:r>
              <w:rPr>
                <w:rFonts w:ascii="Times New Roman" w:hAnsi="宋体"/>
                <w:szCs w:val="21"/>
              </w:rPr>
              <w:t>江津前进化工厂</w:t>
            </w:r>
          </w:p>
        </w:tc>
        <w:tc>
          <w:tcPr>
            <w:tcW w:w="845" w:type="dxa"/>
            <w:vAlign w:val="center"/>
          </w:tcPr>
          <w:p>
            <w:pPr>
              <w:jc w:val="center"/>
              <w:rPr>
                <w:rFonts w:ascii="Times New Roman" w:hAnsi="Times New Roman"/>
                <w:szCs w:val="21"/>
              </w:rPr>
            </w:pPr>
            <w:r>
              <w:rPr>
                <w:rFonts w:ascii="Times New Roman" w:hAnsi="Times New Roman"/>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jc w:val="center"/>
        </w:trPr>
        <w:tc>
          <w:tcPr>
            <w:tcW w:w="460" w:type="dxa"/>
            <w:vAlign w:val="center"/>
          </w:tcPr>
          <w:p>
            <w:pPr>
              <w:jc w:val="center"/>
              <w:rPr>
                <w:rFonts w:ascii="Times New Roman" w:hAnsi="Times New Roman"/>
                <w:szCs w:val="21"/>
              </w:rPr>
            </w:pPr>
            <w:r>
              <w:rPr>
                <w:rFonts w:ascii="Times New Roman" w:hAnsi="Times New Roman"/>
                <w:szCs w:val="21"/>
              </w:rPr>
              <w:t>5</w:t>
            </w:r>
          </w:p>
        </w:tc>
        <w:tc>
          <w:tcPr>
            <w:tcW w:w="1121" w:type="dxa"/>
            <w:vAlign w:val="center"/>
          </w:tcPr>
          <w:p>
            <w:pPr>
              <w:jc w:val="center"/>
              <w:rPr>
                <w:rFonts w:ascii="Times New Roman" w:hAnsi="Times New Roman"/>
                <w:szCs w:val="21"/>
              </w:rPr>
            </w:pPr>
            <w:r>
              <w:rPr>
                <w:rFonts w:ascii="Times New Roman" w:hAnsi="宋体"/>
                <w:szCs w:val="21"/>
              </w:rPr>
              <w:t>烟煤</w:t>
            </w:r>
          </w:p>
        </w:tc>
        <w:tc>
          <w:tcPr>
            <w:tcW w:w="1402" w:type="dxa"/>
            <w:vAlign w:val="center"/>
          </w:tcPr>
          <w:p>
            <w:pPr>
              <w:jc w:val="center"/>
              <w:rPr>
                <w:rFonts w:ascii="Times New Roman" w:hAnsi="Times New Roman"/>
                <w:szCs w:val="21"/>
              </w:rPr>
            </w:pPr>
            <w:r>
              <w:rPr>
                <w:rFonts w:ascii="Times New Roman" w:hAnsi="Times New Roman"/>
                <w:szCs w:val="21"/>
              </w:rPr>
              <w:t>118632</w:t>
            </w:r>
          </w:p>
        </w:tc>
        <w:tc>
          <w:tcPr>
            <w:tcW w:w="1180" w:type="dxa"/>
            <w:vAlign w:val="center"/>
          </w:tcPr>
          <w:p>
            <w:pPr>
              <w:jc w:val="center"/>
              <w:rPr>
                <w:rFonts w:ascii="Times New Roman" w:hAnsi="Times New Roman"/>
                <w:szCs w:val="21"/>
              </w:rPr>
            </w:pPr>
            <w:r>
              <w:rPr>
                <w:rFonts w:ascii="Times New Roman" w:hAnsi="Times New Roman"/>
                <w:szCs w:val="21"/>
              </w:rPr>
              <w:t>109142</w:t>
            </w:r>
          </w:p>
        </w:tc>
        <w:tc>
          <w:tcPr>
            <w:tcW w:w="908" w:type="dxa"/>
            <w:vAlign w:val="center"/>
          </w:tcPr>
          <w:p>
            <w:pPr>
              <w:jc w:val="center"/>
              <w:rPr>
                <w:rFonts w:ascii="Times New Roman" w:hAnsi="Times New Roman"/>
                <w:szCs w:val="21"/>
              </w:rPr>
            </w:pPr>
            <w:r>
              <w:rPr>
                <w:rFonts w:ascii="Times New Roman" w:hAnsi="Times New Roman"/>
                <w:szCs w:val="21"/>
              </w:rPr>
              <w:t>8</w:t>
            </w:r>
          </w:p>
        </w:tc>
        <w:tc>
          <w:tcPr>
            <w:tcW w:w="2589" w:type="dxa"/>
            <w:vAlign w:val="center"/>
          </w:tcPr>
          <w:p>
            <w:pPr>
              <w:jc w:val="center"/>
              <w:rPr>
                <w:rFonts w:ascii="Times New Roman" w:hAnsi="Times New Roman"/>
                <w:szCs w:val="21"/>
              </w:rPr>
            </w:pPr>
            <w:r>
              <w:rPr>
                <w:rFonts w:ascii="Times New Roman" w:hAnsi="宋体"/>
                <w:szCs w:val="21"/>
              </w:rPr>
              <w:t>厂区内</w:t>
            </w:r>
          </w:p>
        </w:tc>
        <w:tc>
          <w:tcPr>
            <w:tcW w:w="845" w:type="dxa"/>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jc w:val="center"/>
        </w:trPr>
        <w:tc>
          <w:tcPr>
            <w:tcW w:w="460" w:type="dxa"/>
            <w:vAlign w:val="center"/>
          </w:tcPr>
          <w:p>
            <w:pPr>
              <w:jc w:val="center"/>
              <w:rPr>
                <w:rFonts w:ascii="Times New Roman" w:hAnsi="Times New Roman"/>
                <w:szCs w:val="21"/>
              </w:rPr>
            </w:pPr>
            <w:r>
              <w:rPr>
                <w:rFonts w:ascii="Times New Roman" w:hAnsi="Times New Roman"/>
                <w:szCs w:val="21"/>
              </w:rPr>
              <w:t>6</w:t>
            </w:r>
          </w:p>
        </w:tc>
        <w:tc>
          <w:tcPr>
            <w:tcW w:w="1121" w:type="dxa"/>
            <w:vAlign w:val="center"/>
          </w:tcPr>
          <w:p>
            <w:pPr>
              <w:jc w:val="center"/>
              <w:rPr>
                <w:rFonts w:ascii="Times New Roman" w:hAnsi="Times New Roman"/>
                <w:szCs w:val="21"/>
              </w:rPr>
            </w:pPr>
            <w:r>
              <w:rPr>
                <w:rFonts w:ascii="Times New Roman" w:hAnsi="宋体"/>
                <w:szCs w:val="21"/>
              </w:rPr>
              <w:t>炉渣</w:t>
            </w:r>
          </w:p>
        </w:tc>
        <w:tc>
          <w:tcPr>
            <w:tcW w:w="1402" w:type="dxa"/>
            <w:vAlign w:val="center"/>
          </w:tcPr>
          <w:p>
            <w:pPr>
              <w:jc w:val="center"/>
              <w:rPr>
                <w:rFonts w:ascii="Times New Roman" w:hAnsi="Times New Roman"/>
                <w:szCs w:val="21"/>
              </w:rPr>
            </w:pPr>
            <w:r>
              <w:rPr>
                <w:rFonts w:ascii="Times New Roman" w:hAnsi="Times New Roman"/>
                <w:szCs w:val="21"/>
              </w:rPr>
              <w:t>189100</w:t>
            </w:r>
          </w:p>
        </w:tc>
        <w:tc>
          <w:tcPr>
            <w:tcW w:w="1180" w:type="dxa"/>
            <w:vAlign w:val="center"/>
          </w:tcPr>
          <w:p>
            <w:pPr>
              <w:jc w:val="center"/>
              <w:rPr>
                <w:rFonts w:ascii="Times New Roman" w:hAnsi="Times New Roman"/>
                <w:szCs w:val="21"/>
              </w:rPr>
            </w:pPr>
            <w:r>
              <w:rPr>
                <w:rFonts w:ascii="Times New Roman" w:hAnsi="Times New Roman"/>
                <w:szCs w:val="21"/>
              </w:rPr>
              <w:t>/</w:t>
            </w:r>
          </w:p>
        </w:tc>
        <w:tc>
          <w:tcPr>
            <w:tcW w:w="908" w:type="dxa"/>
            <w:vAlign w:val="center"/>
          </w:tcPr>
          <w:p>
            <w:pPr>
              <w:jc w:val="center"/>
              <w:rPr>
                <w:rFonts w:ascii="Times New Roman" w:hAnsi="Times New Roman"/>
                <w:szCs w:val="21"/>
              </w:rPr>
            </w:pPr>
            <w:r>
              <w:rPr>
                <w:rFonts w:ascii="Times New Roman" w:hAnsi="Times New Roman"/>
                <w:szCs w:val="21"/>
              </w:rPr>
              <w:t>/</w:t>
            </w:r>
          </w:p>
        </w:tc>
        <w:tc>
          <w:tcPr>
            <w:tcW w:w="2589" w:type="dxa"/>
            <w:vAlign w:val="center"/>
          </w:tcPr>
          <w:p>
            <w:pPr>
              <w:jc w:val="center"/>
              <w:rPr>
                <w:rFonts w:ascii="Times New Roman" w:hAnsi="Times New Roman"/>
                <w:szCs w:val="21"/>
              </w:rPr>
            </w:pPr>
            <w:r>
              <w:rPr>
                <w:rFonts w:ascii="Times New Roman" w:hAnsi="宋体"/>
                <w:szCs w:val="21"/>
              </w:rPr>
              <w:t>重庆乾帝物资有限责任公司</w:t>
            </w:r>
          </w:p>
        </w:tc>
        <w:tc>
          <w:tcPr>
            <w:tcW w:w="845" w:type="dxa"/>
            <w:vAlign w:val="center"/>
          </w:tcPr>
          <w:p>
            <w:pPr>
              <w:jc w:val="center"/>
              <w:rPr>
                <w:rFonts w:ascii="Times New Roman" w:hAnsi="Times New Roman"/>
                <w:szCs w:val="21"/>
              </w:rPr>
            </w:pPr>
            <w:r>
              <w:rPr>
                <w:rFonts w:ascii="Times New Roman" w:hAnsi="Times New Roman"/>
                <w:szCs w:val="21"/>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jc w:val="center"/>
        </w:trPr>
        <w:tc>
          <w:tcPr>
            <w:tcW w:w="460" w:type="dxa"/>
            <w:vAlign w:val="center"/>
          </w:tcPr>
          <w:p>
            <w:pPr>
              <w:jc w:val="center"/>
              <w:rPr>
                <w:rFonts w:ascii="Times New Roman" w:hAnsi="Times New Roman"/>
                <w:szCs w:val="21"/>
              </w:rPr>
            </w:pPr>
            <w:r>
              <w:rPr>
                <w:rFonts w:ascii="Times New Roman" w:hAnsi="Times New Roman"/>
                <w:szCs w:val="21"/>
              </w:rPr>
              <w:t>7</w:t>
            </w:r>
          </w:p>
        </w:tc>
        <w:tc>
          <w:tcPr>
            <w:tcW w:w="1121" w:type="dxa"/>
            <w:vAlign w:val="center"/>
          </w:tcPr>
          <w:p>
            <w:pPr>
              <w:jc w:val="center"/>
              <w:rPr>
                <w:rFonts w:ascii="Times New Roman" w:hAnsi="Times New Roman"/>
                <w:szCs w:val="21"/>
              </w:rPr>
            </w:pPr>
            <w:r>
              <w:rPr>
                <w:rFonts w:ascii="Times New Roman" w:hAnsi="宋体"/>
                <w:szCs w:val="21"/>
              </w:rPr>
              <w:t>石膏</w:t>
            </w:r>
          </w:p>
        </w:tc>
        <w:tc>
          <w:tcPr>
            <w:tcW w:w="1402" w:type="dxa"/>
            <w:vAlign w:val="center"/>
          </w:tcPr>
          <w:p>
            <w:pPr>
              <w:jc w:val="center"/>
              <w:rPr>
                <w:rFonts w:ascii="Times New Roman" w:hAnsi="Times New Roman"/>
                <w:szCs w:val="21"/>
              </w:rPr>
            </w:pPr>
            <w:r>
              <w:rPr>
                <w:rFonts w:ascii="Times New Roman" w:hAnsi="Times New Roman"/>
                <w:szCs w:val="21"/>
              </w:rPr>
              <w:t>37200</w:t>
            </w:r>
          </w:p>
        </w:tc>
        <w:tc>
          <w:tcPr>
            <w:tcW w:w="1180" w:type="dxa"/>
            <w:vAlign w:val="center"/>
          </w:tcPr>
          <w:p>
            <w:pPr>
              <w:jc w:val="center"/>
              <w:rPr>
                <w:rFonts w:ascii="Times New Roman" w:hAnsi="Times New Roman"/>
                <w:szCs w:val="21"/>
              </w:rPr>
            </w:pPr>
            <w:r>
              <w:rPr>
                <w:rFonts w:ascii="Times New Roman" w:hAnsi="Times New Roman"/>
                <w:szCs w:val="21"/>
              </w:rPr>
              <w:t>/</w:t>
            </w:r>
          </w:p>
        </w:tc>
        <w:tc>
          <w:tcPr>
            <w:tcW w:w="908" w:type="dxa"/>
            <w:vAlign w:val="center"/>
          </w:tcPr>
          <w:p>
            <w:pPr>
              <w:jc w:val="center"/>
              <w:rPr>
                <w:rFonts w:ascii="Times New Roman" w:hAnsi="Times New Roman"/>
                <w:szCs w:val="21"/>
              </w:rPr>
            </w:pPr>
            <w:r>
              <w:rPr>
                <w:rFonts w:ascii="Times New Roman" w:hAnsi="Times New Roman"/>
                <w:szCs w:val="21"/>
              </w:rPr>
              <w:t>/</w:t>
            </w:r>
          </w:p>
        </w:tc>
        <w:tc>
          <w:tcPr>
            <w:tcW w:w="2589" w:type="dxa"/>
            <w:vAlign w:val="center"/>
          </w:tcPr>
          <w:p>
            <w:pPr>
              <w:jc w:val="center"/>
              <w:rPr>
                <w:rFonts w:ascii="Times New Roman" w:hAnsi="Times New Roman"/>
                <w:szCs w:val="21"/>
              </w:rPr>
            </w:pPr>
            <w:r>
              <w:rPr>
                <w:rFonts w:ascii="Times New Roman" w:hAnsi="宋体"/>
                <w:szCs w:val="21"/>
              </w:rPr>
              <w:t>江北特种建材建材有限公司</w:t>
            </w:r>
          </w:p>
        </w:tc>
        <w:tc>
          <w:tcPr>
            <w:tcW w:w="845" w:type="dxa"/>
            <w:vAlign w:val="center"/>
          </w:tcPr>
          <w:p>
            <w:pPr>
              <w:jc w:val="center"/>
              <w:rPr>
                <w:rFonts w:ascii="Times New Roman" w:hAnsi="Times New Roman"/>
                <w:szCs w:val="21"/>
              </w:rPr>
            </w:pPr>
            <w:r>
              <w:rPr>
                <w:rFonts w:ascii="Times New Roman" w:hAnsi="Times New Roman"/>
                <w:szCs w:val="21"/>
              </w:rPr>
              <w:t>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jc w:val="center"/>
        </w:trPr>
        <w:tc>
          <w:tcPr>
            <w:tcW w:w="460" w:type="dxa"/>
            <w:vAlign w:val="center"/>
          </w:tcPr>
          <w:p>
            <w:pPr>
              <w:jc w:val="center"/>
              <w:rPr>
                <w:rFonts w:ascii="Times New Roman" w:hAnsi="Times New Roman"/>
                <w:szCs w:val="21"/>
              </w:rPr>
            </w:pPr>
            <w:r>
              <w:rPr>
                <w:rFonts w:ascii="Times New Roman" w:hAnsi="Times New Roman"/>
                <w:szCs w:val="21"/>
              </w:rPr>
              <w:t>8</w:t>
            </w:r>
          </w:p>
        </w:tc>
        <w:tc>
          <w:tcPr>
            <w:tcW w:w="1121" w:type="dxa"/>
            <w:vAlign w:val="center"/>
          </w:tcPr>
          <w:p>
            <w:pPr>
              <w:jc w:val="center"/>
              <w:rPr>
                <w:rFonts w:ascii="Times New Roman" w:hAnsi="Times New Roman"/>
                <w:szCs w:val="21"/>
              </w:rPr>
            </w:pPr>
            <w:r>
              <w:rPr>
                <w:rFonts w:ascii="Times New Roman" w:hAnsi="宋体"/>
                <w:szCs w:val="21"/>
              </w:rPr>
              <w:t>氨水</w:t>
            </w:r>
          </w:p>
        </w:tc>
        <w:tc>
          <w:tcPr>
            <w:tcW w:w="1402" w:type="dxa"/>
            <w:vAlign w:val="center"/>
          </w:tcPr>
          <w:p>
            <w:pPr>
              <w:jc w:val="center"/>
              <w:rPr>
                <w:rFonts w:ascii="Times New Roman" w:hAnsi="Times New Roman"/>
                <w:szCs w:val="21"/>
              </w:rPr>
            </w:pPr>
            <w:r>
              <w:rPr>
                <w:rFonts w:ascii="Times New Roman" w:hAnsi="Times New Roman"/>
                <w:szCs w:val="21"/>
              </w:rPr>
              <w:t>3700</w:t>
            </w:r>
          </w:p>
        </w:tc>
        <w:tc>
          <w:tcPr>
            <w:tcW w:w="1180" w:type="dxa"/>
            <w:vAlign w:val="center"/>
          </w:tcPr>
          <w:p>
            <w:pPr>
              <w:jc w:val="center"/>
              <w:rPr>
                <w:rFonts w:ascii="Times New Roman" w:hAnsi="Times New Roman"/>
                <w:szCs w:val="21"/>
              </w:rPr>
            </w:pPr>
            <w:r>
              <w:rPr>
                <w:rFonts w:ascii="Times New Roman" w:hAnsi="Times New Roman"/>
                <w:szCs w:val="21"/>
              </w:rPr>
              <w:t>814</w:t>
            </w:r>
          </w:p>
        </w:tc>
        <w:tc>
          <w:tcPr>
            <w:tcW w:w="908" w:type="dxa"/>
            <w:vAlign w:val="center"/>
          </w:tcPr>
          <w:p>
            <w:pPr>
              <w:jc w:val="center"/>
              <w:rPr>
                <w:rFonts w:ascii="Times New Roman" w:hAnsi="Times New Roman"/>
                <w:szCs w:val="21"/>
              </w:rPr>
            </w:pPr>
            <w:r>
              <w:rPr>
                <w:rFonts w:ascii="Times New Roman" w:hAnsi="Times New Roman"/>
                <w:szCs w:val="21"/>
              </w:rPr>
              <w:t>17-22%</w:t>
            </w:r>
            <w:r>
              <w:rPr>
                <w:rFonts w:ascii="Times New Roman" w:hAnsi="宋体"/>
                <w:szCs w:val="21"/>
              </w:rPr>
              <w:t>稀氨水</w:t>
            </w:r>
          </w:p>
        </w:tc>
        <w:tc>
          <w:tcPr>
            <w:tcW w:w="2589" w:type="dxa"/>
            <w:vAlign w:val="center"/>
          </w:tcPr>
          <w:p>
            <w:pPr>
              <w:jc w:val="center"/>
              <w:rPr>
                <w:rFonts w:ascii="Times New Roman" w:hAnsi="Times New Roman"/>
                <w:szCs w:val="21"/>
              </w:rPr>
            </w:pPr>
            <w:r>
              <w:rPr>
                <w:rFonts w:ascii="Times New Roman" w:hAnsi="宋体"/>
                <w:szCs w:val="21"/>
              </w:rPr>
              <w:t>重庆永荣矿业有限公司</w:t>
            </w:r>
          </w:p>
        </w:tc>
        <w:tc>
          <w:tcPr>
            <w:tcW w:w="845" w:type="dxa"/>
            <w:vAlign w:val="center"/>
          </w:tcPr>
          <w:p>
            <w:pPr>
              <w:jc w:val="center"/>
              <w:rPr>
                <w:rFonts w:ascii="Times New Roman" w:hAnsi="Times New Roman"/>
                <w:szCs w:val="21"/>
              </w:rPr>
            </w:pPr>
            <w:r>
              <w:rPr>
                <w:rFonts w:ascii="Times New Roman" w:hAnsi="Times New Roman"/>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jc w:val="center"/>
        </w:trPr>
        <w:tc>
          <w:tcPr>
            <w:tcW w:w="460" w:type="dxa"/>
            <w:vAlign w:val="center"/>
          </w:tcPr>
          <w:p>
            <w:pPr>
              <w:jc w:val="center"/>
              <w:rPr>
                <w:rFonts w:ascii="Times New Roman" w:hAnsi="Times New Roman"/>
                <w:szCs w:val="21"/>
              </w:rPr>
            </w:pPr>
            <w:r>
              <w:rPr>
                <w:rFonts w:ascii="Times New Roman" w:hAnsi="Times New Roman"/>
                <w:szCs w:val="21"/>
              </w:rPr>
              <w:t>9</w:t>
            </w:r>
          </w:p>
        </w:tc>
        <w:tc>
          <w:tcPr>
            <w:tcW w:w="1121" w:type="dxa"/>
            <w:vAlign w:val="center"/>
          </w:tcPr>
          <w:p>
            <w:pPr>
              <w:jc w:val="center"/>
              <w:rPr>
                <w:rFonts w:ascii="Times New Roman" w:hAnsi="Times New Roman"/>
                <w:szCs w:val="21"/>
              </w:rPr>
            </w:pPr>
            <w:r>
              <w:rPr>
                <w:rFonts w:ascii="Times New Roman" w:hAnsi="宋体"/>
                <w:szCs w:val="21"/>
              </w:rPr>
              <w:t>柴油</w:t>
            </w:r>
          </w:p>
        </w:tc>
        <w:tc>
          <w:tcPr>
            <w:tcW w:w="1402" w:type="dxa"/>
            <w:vAlign w:val="center"/>
          </w:tcPr>
          <w:p>
            <w:pPr>
              <w:jc w:val="center"/>
              <w:rPr>
                <w:rFonts w:ascii="Times New Roman" w:hAnsi="Times New Roman"/>
                <w:szCs w:val="21"/>
              </w:rPr>
            </w:pPr>
            <w:r>
              <w:rPr>
                <w:rFonts w:ascii="Times New Roman" w:hAnsi="Times New Roman"/>
                <w:szCs w:val="21"/>
              </w:rPr>
              <w:t>200</w:t>
            </w:r>
          </w:p>
        </w:tc>
        <w:tc>
          <w:tcPr>
            <w:tcW w:w="1180" w:type="dxa"/>
            <w:vAlign w:val="center"/>
          </w:tcPr>
          <w:p>
            <w:pPr>
              <w:jc w:val="center"/>
              <w:rPr>
                <w:rFonts w:ascii="Times New Roman" w:hAnsi="Times New Roman"/>
                <w:szCs w:val="21"/>
              </w:rPr>
            </w:pPr>
            <w:r>
              <w:rPr>
                <w:rFonts w:ascii="Times New Roman" w:hAnsi="Times New Roman"/>
                <w:szCs w:val="21"/>
              </w:rPr>
              <w:t>/</w:t>
            </w:r>
          </w:p>
        </w:tc>
        <w:tc>
          <w:tcPr>
            <w:tcW w:w="908" w:type="dxa"/>
            <w:vAlign w:val="center"/>
          </w:tcPr>
          <w:p>
            <w:pPr>
              <w:jc w:val="center"/>
              <w:rPr>
                <w:rFonts w:ascii="Times New Roman" w:hAnsi="Times New Roman"/>
                <w:szCs w:val="21"/>
              </w:rPr>
            </w:pPr>
            <w:r>
              <w:rPr>
                <w:rFonts w:ascii="Times New Roman" w:hAnsi="Times New Roman"/>
                <w:szCs w:val="21"/>
              </w:rPr>
              <w:t>/</w:t>
            </w:r>
          </w:p>
        </w:tc>
        <w:tc>
          <w:tcPr>
            <w:tcW w:w="2589" w:type="dxa"/>
            <w:vAlign w:val="center"/>
          </w:tcPr>
          <w:p>
            <w:pPr>
              <w:jc w:val="center"/>
              <w:rPr>
                <w:rFonts w:ascii="Times New Roman" w:hAnsi="Times New Roman"/>
                <w:szCs w:val="21"/>
              </w:rPr>
            </w:pPr>
            <w:r>
              <w:rPr>
                <w:rFonts w:ascii="Times New Roman" w:hAnsi="Times New Roman"/>
                <w:szCs w:val="21"/>
              </w:rPr>
              <w:t>/</w:t>
            </w:r>
          </w:p>
        </w:tc>
        <w:tc>
          <w:tcPr>
            <w:tcW w:w="845" w:type="dxa"/>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jc w:val="center"/>
        </w:trPr>
        <w:tc>
          <w:tcPr>
            <w:tcW w:w="460" w:type="dxa"/>
            <w:vAlign w:val="center"/>
          </w:tcPr>
          <w:p>
            <w:pPr>
              <w:jc w:val="center"/>
              <w:rPr>
                <w:rFonts w:ascii="Times New Roman" w:hAnsi="Times New Roman"/>
                <w:szCs w:val="21"/>
              </w:rPr>
            </w:pPr>
            <w:r>
              <w:rPr>
                <w:rFonts w:ascii="Times New Roman" w:hAnsi="Times New Roman"/>
                <w:szCs w:val="21"/>
              </w:rPr>
              <w:t>10</w:t>
            </w:r>
          </w:p>
        </w:tc>
        <w:tc>
          <w:tcPr>
            <w:tcW w:w="1121" w:type="dxa"/>
            <w:vAlign w:val="center"/>
          </w:tcPr>
          <w:p>
            <w:pPr>
              <w:jc w:val="center"/>
              <w:rPr>
                <w:rFonts w:ascii="Times New Roman" w:hAnsi="Times New Roman"/>
                <w:szCs w:val="21"/>
              </w:rPr>
            </w:pPr>
            <w:r>
              <w:rPr>
                <w:rFonts w:ascii="Times New Roman" w:hAnsi="宋体"/>
                <w:szCs w:val="21"/>
              </w:rPr>
              <w:t>润滑油</w:t>
            </w:r>
          </w:p>
        </w:tc>
        <w:tc>
          <w:tcPr>
            <w:tcW w:w="1402" w:type="dxa"/>
            <w:vAlign w:val="center"/>
          </w:tcPr>
          <w:p>
            <w:pPr>
              <w:jc w:val="center"/>
              <w:rPr>
                <w:rFonts w:ascii="Times New Roman" w:hAnsi="Times New Roman"/>
                <w:szCs w:val="21"/>
              </w:rPr>
            </w:pPr>
            <w:r>
              <w:rPr>
                <w:rFonts w:ascii="Times New Roman" w:hAnsi="Times New Roman"/>
                <w:szCs w:val="21"/>
              </w:rPr>
              <w:t>10</w:t>
            </w:r>
          </w:p>
        </w:tc>
        <w:tc>
          <w:tcPr>
            <w:tcW w:w="1180" w:type="dxa"/>
            <w:vAlign w:val="center"/>
          </w:tcPr>
          <w:p>
            <w:pPr>
              <w:jc w:val="center"/>
              <w:rPr>
                <w:rFonts w:ascii="Times New Roman" w:hAnsi="Times New Roman"/>
                <w:szCs w:val="21"/>
              </w:rPr>
            </w:pPr>
            <w:r>
              <w:rPr>
                <w:rFonts w:ascii="Times New Roman" w:hAnsi="Times New Roman"/>
                <w:szCs w:val="21"/>
              </w:rPr>
              <w:t>/</w:t>
            </w:r>
          </w:p>
        </w:tc>
        <w:tc>
          <w:tcPr>
            <w:tcW w:w="908" w:type="dxa"/>
            <w:vAlign w:val="center"/>
          </w:tcPr>
          <w:p>
            <w:pPr>
              <w:jc w:val="center"/>
              <w:rPr>
                <w:rFonts w:ascii="Times New Roman" w:hAnsi="Times New Roman"/>
                <w:szCs w:val="21"/>
              </w:rPr>
            </w:pPr>
            <w:r>
              <w:rPr>
                <w:rFonts w:ascii="Times New Roman" w:hAnsi="Times New Roman"/>
                <w:szCs w:val="21"/>
              </w:rPr>
              <w:t>/</w:t>
            </w:r>
          </w:p>
        </w:tc>
        <w:tc>
          <w:tcPr>
            <w:tcW w:w="2589" w:type="dxa"/>
            <w:vAlign w:val="center"/>
          </w:tcPr>
          <w:p>
            <w:pPr>
              <w:jc w:val="center"/>
              <w:rPr>
                <w:rFonts w:ascii="Times New Roman" w:hAnsi="Times New Roman"/>
                <w:szCs w:val="21"/>
              </w:rPr>
            </w:pPr>
            <w:r>
              <w:rPr>
                <w:rFonts w:ascii="Times New Roman" w:hAnsi="Times New Roman"/>
                <w:szCs w:val="21"/>
              </w:rPr>
              <w:t>/</w:t>
            </w:r>
          </w:p>
        </w:tc>
        <w:tc>
          <w:tcPr>
            <w:tcW w:w="845" w:type="dxa"/>
            <w:vAlign w:val="center"/>
          </w:tcPr>
          <w:p>
            <w:pPr>
              <w:jc w:val="center"/>
              <w:rPr>
                <w:rFonts w:ascii="Times New Roman" w:hAnsi="Times New Roman"/>
                <w:szCs w:val="21"/>
              </w:rPr>
            </w:pPr>
            <w:r>
              <w:rPr>
                <w:rFonts w:ascii="Times New Roman" w:hAnsi="Times New Roman"/>
                <w:szCs w:val="21"/>
              </w:rPr>
              <w:t>/</w:t>
            </w:r>
          </w:p>
        </w:tc>
      </w:tr>
    </w:tbl>
    <w:p>
      <w:pPr>
        <w:tabs>
          <w:tab w:val="left" w:pos="720"/>
        </w:tabs>
        <w:ind w:firstLine="420" w:firstLineChars="200"/>
        <w:rPr>
          <w:color w:val="000000"/>
          <w:szCs w:val="21"/>
        </w:rPr>
      </w:pPr>
      <w:r>
        <w:rPr>
          <w:rFonts w:hAnsi="楷体"/>
          <w:szCs w:val="21"/>
        </w:rPr>
        <w:t>注：</w:t>
      </w:r>
      <w:r>
        <w:rPr>
          <w:rFonts w:hAnsi="楷体"/>
          <w:color w:val="000000"/>
          <w:szCs w:val="21"/>
        </w:rPr>
        <w:t>本项目选用</w:t>
      </w:r>
      <w:r>
        <w:rPr>
          <w:color w:val="000000"/>
          <w:szCs w:val="21"/>
        </w:rPr>
        <w:t>17-22%</w:t>
      </w:r>
      <w:r>
        <w:rPr>
          <w:rFonts w:hAnsi="楷体"/>
          <w:color w:val="000000"/>
          <w:szCs w:val="21"/>
        </w:rPr>
        <w:t>浓度的氨水作为还原剂，购买该浓度的合格氨水用罐车运送至厂内，安装两台卸氨泵（一用一备），泵流量大小按每车氨水罐车（</w:t>
      </w:r>
      <w:r>
        <w:rPr>
          <w:color w:val="000000"/>
          <w:szCs w:val="21"/>
        </w:rPr>
        <w:t>20t</w:t>
      </w:r>
      <w:r>
        <w:rPr>
          <w:rFonts w:hAnsi="楷体"/>
          <w:color w:val="000000"/>
          <w:szCs w:val="21"/>
        </w:rPr>
        <w:t>）卸料时间不超过</w:t>
      </w:r>
      <w:r>
        <w:rPr>
          <w:color w:val="000000"/>
          <w:szCs w:val="21"/>
        </w:rPr>
        <w:t>2</w:t>
      </w:r>
      <w:r>
        <w:rPr>
          <w:rFonts w:hAnsi="楷体"/>
          <w:color w:val="000000"/>
          <w:szCs w:val="21"/>
        </w:rPr>
        <w:t>小时考虑。</w:t>
      </w:r>
      <w:r>
        <w:rPr>
          <w:rFonts w:hAnsi="楷体"/>
          <w:color w:val="000000"/>
          <w:kern w:val="0"/>
          <w:szCs w:val="21"/>
        </w:rPr>
        <w:t>氨水装入氨水储罐，氨水储罐的大小考虑</w:t>
      </w:r>
      <w:r>
        <w:rPr>
          <w:color w:val="000000"/>
          <w:kern w:val="0"/>
          <w:szCs w:val="21"/>
        </w:rPr>
        <w:t>4</w:t>
      </w:r>
      <w:r>
        <w:rPr>
          <w:rFonts w:hAnsi="楷体"/>
          <w:color w:val="000000"/>
          <w:kern w:val="0"/>
          <w:szCs w:val="21"/>
        </w:rPr>
        <w:t>天的用量进行设计，设置</w:t>
      </w:r>
      <w:r>
        <w:rPr>
          <w:color w:val="000000"/>
          <w:kern w:val="0"/>
          <w:szCs w:val="21"/>
        </w:rPr>
        <w:t>1</w:t>
      </w:r>
      <w:r>
        <w:rPr>
          <w:rFonts w:hAnsi="楷体"/>
          <w:color w:val="000000"/>
          <w:kern w:val="0"/>
          <w:szCs w:val="21"/>
        </w:rPr>
        <w:t>个氨水储罐，储罐容量为</w:t>
      </w:r>
      <w:r>
        <w:rPr>
          <w:color w:val="000000"/>
          <w:kern w:val="0"/>
          <w:szCs w:val="21"/>
        </w:rPr>
        <w:t>50m</w:t>
      </w:r>
      <w:r>
        <w:rPr>
          <w:color w:val="000000"/>
          <w:kern w:val="0"/>
          <w:szCs w:val="21"/>
          <w:vertAlign w:val="superscript"/>
        </w:rPr>
        <w:t>3</w:t>
      </w:r>
      <w:r>
        <w:rPr>
          <w:rFonts w:hAnsi="楷体"/>
          <w:color w:val="000000"/>
          <w:kern w:val="0"/>
          <w:szCs w:val="21"/>
        </w:rPr>
        <w:t>，直径</w:t>
      </w:r>
      <w:r>
        <w:rPr>
          <w:color w:val="000000"/>
          <w:kern w:val="0"/>
          <w:szCs w:val="21"/>
        </w:rPr>
        <w:t>2.8m×8.2m</w:t>
      </w:r>
      <w:r>
        <w:rPr>
          <w:rFonts w:hAnsi="楷体"/>
          <w:color w:val="000000"/>
          <w:szCs w:val="21"/>
        </w:rPr>
        <w:t>，则氨水最大储存量为</w:t>
      </w:r>
      <w:r>
        <w:rPr>
          <w:color w:val="000000"/>
          <w:kern w:val="0"/>
          <w:szCs w:val="21"/>
        </w:rPr>
        <w:t>50m</w:t>
      </w:r>
      <w:r>
        <w:rPr>
          <w:color w:val="000000"/>
          <w:kern w:val="0"/>
          <w:szCs w:val="21"/>
          <w:vertAlign w:val="superscript"/>
        </w:rPr>
        <w:t>3</w:t>
      </w:r>
      <w:r>
        <w:rPr>
          <w:rFonts w:hAnsi="楷体"/>
          <w:color w:val="000000"/>
          <w:kern w:val="0"/>
          <w:szCs w:val="21"/>
        </w:rPr>
        <w:t>（约</w:t>
      </w:r>
      <w:r>
        <w:rPr>
          <w:color w:val="000000"/>
          <w:kern w:val="0"/>
          <w:szCs w:val="21"/>
        </w:rPr>
        <w:t>46t</w:t>
      </w:r>
      <w:r>
        <w:rPr>
          <w:rFonts w:hAnsi="楷体"/>
          <w:color w:val="000000"/>
          <w:kern w:val="0"/>
          <w:szCs w:val="21"/>
        </w:rPr>
        <w:t>）。氨水储罐设置液位计，材质选用不锈钢。</w:t>
      </w:r>
    </w:p>
    <w:p>
      <w:pPr>
        <w:pStyle w:val="4"/>
        <w:rPr>
          <w:rFonts w:hint="eastAsia" w:ascii="宋体" w:hAnsi="宋体"/>
          <w:szCs w:val="24"/>
        </w:rPr>
      </w:pPr>
      <w:r>
        <w:t>2.1</w:t>
      </w:r>
      <w:r>
        <w:rPr>
          <w:rFonts w:hint="eastAsia"/>
        </w:rPr>
        <w:t>.2</w:t>
      </w:r>
      <w:r>
        <w:t>工艺流程</w:t>
      </w:r>
      <w:bookmarkEnd w:id="619"/>
      <w:bookmarkEnd w:id="620"/>
    </w:p>
    <w:p>
      <w:pPr>
        <w:spacing w:line="360" w:lineRule="auto"/>
        <w:ind w:firstLine="480" w:firstLineChars="200"/>
        <w:rPr>
          <w:rFonts w:ascii="宋体" w:hAnsi="宋体"/>
          <w:sz w:val="24"/>
          <w:szCs w:val="24"/>
        </w:rPr>
      </w:pPr>
      <w:bookmarkStart w:id="621" w:name="_Toc376335123"/>
      <w:bookmarkStart w:id="622" w:name="_Toc366543988"/>
      <w:r>
        <w:rPr>
          <w:rFonts w:hint="eastAsia" w:ascii="宋体" w:hAnsi="宋体"/>
          <w:sz w:val="24"/>
          <w:szCs w:val="24"/>
        </w:rPr>
        <w:t>该企业采用新型干法——窑外预分解熟料生产工艺，主要包括生料制备、熟料煅烧、水泥调配等过程，其生产工艺流程见图2.1—1。</w:t>
      </w:r>
    </w:p>
    <w:p>
      <w:pPr>
        <w:spacing w:line="360" w:lineRule="auto"/>
        <w:ind w:firstLine="480" w:firstLineChars="200"/>
        <w:rPr>
          <w:rFonts w:hint="eastAsia" w:ascii="宋体" w:hAnsi="宋体"/>
          <w:sz w:val="24"/>
          <w:szCs w:val="24"/>
        </w:rPr>
      </w:pPr>
      <w:r>
        <w:rPr>
          <w:rFonts w:hint="eastAsia" w:ascii="宋体" w:hAnsi="宋体"/>
          <w:sz w:val="24"/>
          <w:szCs w:val="24"/>
        </w:rPr>
        <w:t>主要工艺流程简述：</w:t>
      </w:r>
    </w:p>
    <w:p>
      <w:pPr>
        <w:spacing w:line="360" w:lineRule="auto"/>
        <w:ind w:firstLine="480" w:firstLineChars="200"/>
        <w:rPr>
          <w:rFonts w:hint="eastAsia" w:ascii="宋体" w:hAnsi="宋体"/>
          <w:sz w:val="24"/>
          <w:szCs w:val="24"/>
        </w:rPr>
      </w:pPr>
      <w:r>
        <w:rPr>
          <w:rFonts w:hint="eastAsia" w:ascii="宋体" w:hAnsi="宋体"/>
          <w:sz w:val="24"/>
          <w:szCs w:val="24"/>
        </w:rPr>
        <w:t>（1）</w:t>
      </w:r>
      <w:r>
        <w:rPr>
          <w:rFonts w:ascii="宋体" w:hAnsi="宋体"/>
          <w:sz w:val="24"/>
          <w:szCs w:val="24"/>
        </w:rPr>
        <w:t>石灰石破碎及预均化</w:t>
      </w:r>
    </w:p>
    <w:p>
      <w:pPr>
        <w:spacing w:line="360" w:lineRule="auto"/>
        <w:ind w:firstLine="480" w:firstLineChars="200"/>
        <w:rPr>
          <w:rFonts w:ascii="宋体" w:hAnsi="宋体"/>
          <w:sz w:val="24"/>
          <w:szCs w:val="24"/>
        </w:rPr>
      </w:pPr>
      <w:r>
        <w:rPr>
          <w:rFonts w:ascii="宋体" w:hAnsi="宋体"/>
          <w:sz w:val="24"/>
          <w:szCs w:val="24"/>
        </w:rPr>
        <w:t>石灰石运到石灰石破碎机前料仓内，或储存在石灰石堆场；堆场内的石灰石由装载机卸入破碎机前料仓，由仓下板喂机喂入PCF20.18石灰石单段锤式破碎机，</w:t>
      </w:r>
      <w:r>
        <w:rPr>
          <w:rFonts w:hint="eastAsia" w:ascii="宋体" w:hAnsi="宋体"/>
          <w:sz w:val="24"/>
          <w:szCs w:val="24"/>
        </w:rPr>
        <w:t>破碎后的</w:t>
      </w:r>
      <w:r>
        <w:rPr>
          <w:rFonts w:ascii="宋体" w:hAnsi="宋体"/>
          <w:sz w:val="24"/>
          <w:szCs w:val="24"/>
        </w:rPr>
        <w:t>石灰石由皮带机送入</w:t>
      </w:r>
      <w:r>
        <w:rPr>
          <w:rFonts w:hint="eastAsia" w:ascii="宋体" w:hAnsi="宋体"/>
          <w:sz w:val="24"/>
          <w:szCs w:val="24"/>
        </w:rPr>
        <w:t>Φ6</w:t>
      </w:r>
      <w:r>
        <w:rPr>
          <w:rFonts w:ascii="宋体" w:hAnsi="宋体"/>
          <w:sz w:val="24"/>
          <w:szCs w:val="24"/>
        </w:rPr>
        <w:t>0m石灰石预均化堆场。</w:t>
      </w:r>
    </w:p>
    <w:p>
      <w:pPr>
        <w:spacing w:line="360" w:lineRule="auto"/>
        <w:ind w:firstLine="480" w:firstLineChars="200"/>
        <w:rPr>
          <w:rFonts w:ascii="宋体" w:hAnsi="宋体"/>
          <w:sz w:val="24"/>
          <w:szCs w:val="24"/>
        </w:rPr>
      </w:pPr>
      <w:r>
        <w:rPr>
          <w:rFonts w:ascii="宋体" w:hAnsi="宋体"/>
          <w:sz w:val="24"/>
          <w:szCs w:val="24"/>
        </w:rPr>
        <w:t>用皮带机送至预均化堆场中心的石灰石，由悬臂堆料皮带机进行连续人字形堆料，由刮板取料机横切取料。预均化后的石灰石从堆场中心漏斗卸出，经带式输送机输送至Φ8m石灰石配料库中。库底设置调速定量给料秤，经过计量的石灰石通过皮带输送机输送到生料磨中粉磨。</w:t>
      </w:r>
    </w:p>
    <w:p>
      <w:pPr>
        <w:spacing w:line="360" w:lineRule="auto"/>
        <w:ind w:firstLine="480" w:firstLineChars="200"/>
        <w:rPr>
          <w:rFonts w:ascii="宋体" w:hAnsi="宋体"/>
          <w:sz w:val="24"/>
          <w:szCs w:val="24"/>
        </w:rPr>
      </w:pPr>
      <w:r>
        <w:rPr>
          <w:rFonts w:hint="eastAsia" w:ascii="宋体" w:hAnsi="宋体"/>
          <w:sz w:val="24"/>
          <w:szCs w:val="24"/>
        </w:rPr>
        <w:t>（2）</w:t>
      </w:r>
      <w:r>
        <w:rPr>
          <w:rFonts w:ascii="宋体" w:hAnsi="宋体"/>
          <w:sz w:val="24"/>
          <w:szCs w:val="24"/>
        </w:rPr>
        <w:t xml:space="preserve"> 辅助原料破碎</w:t>
      </w:r>
    </w:p>
    <w:p>
      <w:pPr>
        <w:spacing w:line="360" w:lineRule="auto"/>
        <w:ind w:firstLine="480" w:firstLineChars="200"/>
        <w:rPr>
          <w:rFonts w:ascii="宋体" w:hAnsi="宋体"/>
          <w:sz w:val="24"/>
          <w:szCs w:val="24"/>
        </w:rPr>
      </w:pPr>
      <w:r>
        <w:rPr>
          <w:rFonts w:ascii="宋体" w:hAnsi="宋体"/>
          <w:sz w:val="24"/>
          <w:szCs w:val="24"/>
        </w:rPr>
        <w:t>从矿区采出的砂岩及煤矸石由汽车运入厂区，计量后卸入原料堆场，堆场内的砂岩及煤矸石由装载机分别卸入破碎机前料仓，由仓下板喂机喂入各自破碎机，出破碎机砂岩及煤矸石由皮带机送入辅助原料预均化堆场。</w:t>
      </w:r>
    </w:p>
    <w:p>
      <w:pPr>
        <w:spacing w:line="360" w:lineRule="auto"/>
        <w:ind w:firstLine="480" w:firstLineChars="200"/>
        <w:rPr>
          <w:rFonts w:ascii="宋体" w:hAnsi="宋体"/>
          <w:sz w:val="24"/>
          <w:szCs w:val="24"/>
        </w:rPr>
      </w:pPr>
      <w:r>
        <w:rPr>
          <w:rFonts w:hint="eastAsia" w:ascii="宋体" w:hAnsi="宋体"/>
          <w:sz w:val="24"/>
          <w:szCs w:val="24"/>
        </w:rPr>
        <w:t>（3）</w:t>
      </w:r>
      <w:r>
        <w:rPr>
          <w:rFonts w:ascii="宋体" w:hAnsi="宋体"/>
          <w:sz w:val="24"/>
          <w:szCs w:val="24"/>
        </w:rPr>
        <w:t>原料储库及输送</w:t>
      </w:r>
    </w:p>
    <w:p>
      <w:pPr>
        <w:spacing w:line="360" w:lineRule="auto"/>
        <w:ind w:firstLine="480" w:firstLineChars="200"/>
        <w:rPr>
          <w:rFonts w:ascii="宋体" w:hAnsi="宋体"/>
          <w:sz w:val="24"/>
          <w:szCs w:val="24"/>
        </w:rPr>
      </w:pPr>
      <w:r>
        <w:rPr>
          <w:rFonts w:ascii="宋体" w:hAnsi="宋体"/>
          <w:sz w:val="24"/>
          <w:szCs w:val="24"/>
        </w:rPr>
        <w:t>硫酸渣由汽车运输进厂，计量后卸入原料预均化堆场中储存。</w:t>
      </w:r>
    </w:p>
    <w:p>
      <w:pPr>
        <w:spacing w:line="360" w:lineRule="auto"/>
        <w:ind w:firstLine="480" w:firstLineChars="200"/>
        <w:rPr>
          <w:rFonts w:ascii="宋体" w:hAnsi="宋体"/>
          <w:sz w:val="24"/>
          <w:szCs w:val="24"/>
        </w:rPr>
      </w:pPr>
      <w:r>
        <w:rPr>
          <w:rFonts w:ascii="宋体" w:hAnsi="宋体"/>
          <w:sz w:val="24"/>
          <w:szCs w:val="24"/>
        </w:rPr>
        <w:t>辅助原料预均化堆场内的砂岩、煤矸石、硫酸渣分别用取料机送至各自配料库，经库底调速板喂机,定量给料秤计量，通过皮带输送机输送到生料磨中粉磨。</w:t>
      </w:r>
    </w:p>
    <w:p>
      <w:pPr>
        <w:spacing w:line="360" w:lineRule="auto"/>
        <w:ind w:firstLine="480" w:firstLineChars="200"/>
        <w:rPr>
          <w:rFonts w:ascii="宋体" w:hAnsi="宋体"/>
          <w:sz w:val="24"/>
          <w:szCs w:val="24"/>
        </w:rPr>
      </w:pPr>
      <w:r>
        <w:rPr>
          <w:rFonts w:hint="eastAsia" w:ascii="宋体" w:hAnsi="宋体"/>
          <w:sz w:val="24"/>
          <w:szCs w:val="24"/>
        </w:rPr>
        <w:t>（4）</w:t>
      </w:r>
      <w:r>
        <w:rPr>
          <w:rFonts w:ascii="宋体" w:hAnsi="宋体"/>
          <w:sz w:val="24"/>
          <w:szCs w:val="24"/>
        </w:rPr>
        <w:t xml:space="preserve"> 石膏破碎及储存</w:t>
      </w:r>
    </w:p>
    <w:p>
      <w:pPr>
        <w:spacing w:line="360" w:lineRule="auto"/>
        <w:ind w:firstLine="480" w:firstLineChars="200"/>
        <w:rPr>
          <w:rFonts w:ascii="宋体" w:hAnsi="宋体"/>
          <w:sz w:val="24"/>
          <w:szCs w:val="24"/>
        </w:rPr>
      </w:pPr>
      <w:r>
        <w:rPr>
          <w:rFonts w:ascii="宋体" w:hAnsi="宋体"/>
          <w:sz w:val="24"/>
          <w:szCs w:val="24"/>
        </w:rPr>
        <w:t>石膏由汽车运输进厂，计量后卸至堆场，再由轮式装载机运至卸车坑，经卸料坑坑下板喂机喂入破碎机中。破碎后的石膏经皮带机输送至φ8m石膏库。</w:t>
      </w:r>
    </w:p>
    <w:p>
      <w:pPr>
        <w:spacing w:line="360" w:lineRule="auto"/>
        <w:ind w:firstLine="480" w:firstLineChars="200"/>
        <w:rPr>
          <w:rFonts w:ascii="宋体" w:hAnsi="宋体"/>
          <w:sz w:val="24"/>
          <w:szCs w:val="24"/>
        </w:rPr>
      </w:pPr>
      <w:r>
        <w:rPr>
          <w:rFonts w:hint="eastAsia" w:ascii="宋体" w:hAnsi="宋体"/>
          <w:sz w:val="24"/>
          <w:szCs w:val="24"/>
        </w:rPr>
        <w:t>（5）</w:t>
      </w:r>
      <w:r>
        <w:rPr>
          <w:rFonts w:ascii="宋体" w:hAnsi="宋体"/>
          <w:sz w:val="24"/>
          <w:szCs w:val="24"/>
        </w:rPr>
        <w:t xml:space="preserve"> 煤输送、破碎及储存</w:t>
      </w:r>
    </w:p>
    <w:p>
      <w:pPr>
        <w:spacing w:line="360" w:lineRule="auto"/>
        <w:ind w:firstLine="480" w:firstLineChars="200"/>
        <w:rPr>
          <w:rFonts w:ascii="宋体" w:hAnsi="宋体"/>
          <w:sz w:val="24"/>
          <w:szCs w:val="24"/>
        </w:rPr>
      </w:pPr>
      <w:r>
        <w:rPr>
          <w:rFonts w:ascii="宋体" w:hAnsi="宋体"/>
          <w:sz w:val="24"/>
          <w:szCs w:val="24"/>
        </w:rPr>
        <w:t>原煤由汽车运输进厂，卸至堆场。由轮式装载机运至卸车坑，经卸料坑坑下板喂机喂入破碎机中破碎。再由皮带机输送至原煤预均化堆场。</w:t>
      </w:r>
    </w:p>
    <w:p>
      <w:pPr>
        <w:spacing w:line="360" w:lineRule="auto"/>
        <w:ind w:firstLine="480" w:firstLineChars="200"/>
        <w:rPr>
          <w:rFonts w:ascii="宋体" w:hAnsi="宋体"/>
          <w:sz w:val="24"/>
          <w:szCs w:val="24"/>
        </w:rPr>
      </w:pPr>
      <w:r>
        <w:rPr>
          <w:rFonts w:ascii="宋体" w:hAnsi="宋体"/>
          <w:sz w:val="24"/>
          <w:szCs w:val="24"/>
        </w:rPr>
        <w:t>原煤破碎机采用一台PCH-1010型环锤式破碎机。</w:t>
      </w:r>
    </w:p>
    <w:p>
      <w:pPr>
        <w:spacing w:line="360" w:lineRule="auto"/>
        <w:ind w:firstLine="480" w:firstLineChars="200"/>
        <w:rPr>
          <w:rFonts w:ascii="宋体" w:hAnsi="宋体"/>
          <w:sz w:val="24"/>
          <w:szCs w:val="24"/>
        </w:rPr>
      </w:pPr>
      <w:r>
        <w:rPr>
          <w:rFonts w:hint="eastAsia" w:ascii="宋体" w:hAnsi="宋体"/>
          <w:sz w:val="24"/>
          <w:szCs w:val="24"/>
        </w:rPr>
        <w:t>（6）</w:t>
      </w:r>
      <w:r>
        <w:rPr>
          <w:rFonts w:ascii="宋体" w:hAnsi="宋体"/>
          <w:sz w:val="24"/>
          <w:szCs w:val="24"/>
        </w:rPr>
        <w:t xml:space="preserve"> 原煤预均化</w:t>
      </w:r>
    </w:p>
    <w:p>
      <w:pPr>
        <w:spacing w:line="360" w:lineRule="auto"/>
        <w:ind w:firstLine="480" w:firstLineChars="200"/>
        <w:rPr>
          <w:rFonts w:hint="eastAsia" w:ascii="宋体" w:hAnsi="宋体"/>
          <w:sz w:val="24"/>
          <w:szCs w:val="24"/>
        </w:rPr>
      </w:pPr>
      <w:r>
        <w:rPr>
          <w:rFonts w:ascii="宋体" w:hAnsi="宋体"/>
          <w:sz w:val="24"/>
          <w:szCs w:val="24"/>
        </w:rPr>
        <w:t>破碎后的原煤输送至预均化堆场，堆场内由一台小车式皮带机进行布料，堆场内仅堆放原煤。一台桥式刮板取料机用于原煤取料，并经带式输送机输送至煤粉制备原煤仓。</w:t>
      </w:r>
    </w:p>
    <w:p>
      <w:pPr>
        <w:spacing w:line="500" w:lineRule="exact"/>
        <w:ind w:firstLine="480" w:firstLineChars="200"/>
        <w:rPr>
          <w:rFonts w:hint="eastAsia" w:ascii="宋体" w:hAnsi="宋体"/>
          <w:sz w:val="24"/>
          <w:szCs w:val="24"/>
        </w:rPr>
      </w:pPr>
    </w:p>
    <w:p>
      <w:pPr>
        <w:spacing w:line="500" w:lineRule="exact"/>
        <w:ind w:firstLine="480" w:firstLineChars="200"/>
        <w:rPr>
          <w:rFonts w:hint="eastAsia" w:ascii="宋体" w:hAnsi="宋体"/>
          <w:sz w:val="24"/>
          <w:szCs w:val="24"/>
        </w:rPr>
      </w:pPr>
    </w:p>
    <w:p>
      <w:pPr>
        <w:spacing w:line="500" w:lineRule="exact"/>
        <w:ind w:firstLine="480" w:firstLineChars="200"/>
        <w:rPr>
          <w:rFonts w:hint="eastAsia" w:ascii="宋体" w:hAnsi="宋体"/>
          <w:sz w:val="24"/>
          <w:szCs w:val="24"/>
        </w:rPr>
      </w:pPr>
    </w:p>
    <w:p>
      <w:pPr>
        <w:spacing w:line="500" w:lineRule="exact"/>
        <w:ind w:firstLine="480" w:firstLineChars="200"/>
        <w:rPr>
          <w:rFonts w:hint="eastAsia" w:ascii="宋体" w:hAnsi="宋体"/>
          <w:sz w:val="24"/>
          <w:szCs w:val="24"/>
        </w:rPr>
      </w:pPr>
    </w:p>
    <w:p>
      <w:pPr>
        <w:spacing w:line="500" w:lineRule="exact"/>
        <w:ind w:firstLine="480" w:firstLineChars="200"/>
        <w:rPr>
          <w:rFonts w:hint="eastAsia" w:ascii="宋体" w:hAnsi="宋体"/>
          <w:sz w:val="24"/>
          <w:szCs w:val="24"/>
        </w:rPr>
      </w:pPr>
    </w:p>
    <w:p>
      <w:pPr>
        <w:spacing w:line="500" w:lineRule="exact"/>
        <w:ind w:firstLine="480" w:firstLineChars="200"/>
        <w:rPr>
          <w:rFonts w:hint="eastAsia" w:ascii="宋体" w:hAnsi="宋体"/>
          <w:sz w:val="24"/>
          <w:szCs w:val="24"/>
        </w:rPr>
      </w:pPr>
    </w:p>
    <w:p>
      <w:pPr>
        <w:spacing w:line="500" w:lineRule="exact"/>
        <w:ind w:firstLine="480" w:firstLineChars="200"/>
        <w:rPr>
          <w:rFonts w:hint="eastAsia" w:ascii="宋体" w:hAnsi="宋体"/>
          <w:sz w:val="24"/>
          <w:szCs w:val="24"/>
        </w:rPr>
      </w:pPr>
    </w:p>
    <w:p>
      <w:pPr>
        <w:spacing w:line="500" w:lineRule="exact"/>
        <w:ind w:firstLine="480" w:firstLineChars="200"/>
        <w:rPr>
          <w:rFonts w:hint="eastAsia" w:ascii="宋体" w:hAnsi="宋体"/>
          <w:sz w:val="24"/>
          <w:szCs w:val="24"/>
        </w:rPr>
      </w:pPr>
    </w:p>
    <w:p>
      <w:pPr>
        <w:spacing w:line="500" w:lineRule="exact"/>
        <w:ind w:firstLine="480" w:firstLineChars="200"/>
        <w:rPr>
          <w:rFonts w:hint="eastAsia" w:ascii="宋体" w:hAnsi="宋体"/>
          <w:sz w:val="24"/>
          <w:szCs w:val="24"/>
        </w:rPr>
      </w:pPr>
    </w:p>
    <w:p>
      <w:pPr>
        <w:spacing w:line="500" w:lineRule="exact"/>
        <w:ind w:firstLine="480" w:firstLineChars="200"/>
        <w:rPr>
          <w:rFonts w:hint="eastAsia" w:ascii="宋体" w:hAnsi="宋体"/>
          <w:sz w:val="24"/>
          <w:szCs w:val="24"/>
        </w:rPr>
      </w:pPr>
    </w:p>
    <w:p>
      <w:pPr>
        <w:spacing w:line="500" w:lineRule="exact"/>
        <w:ind w:firstLine="480" w:firstLineChars="200"/>
        <w:rPr>
          <w:rFonts w:hint="eastAsia" w:ascii="宋体" w:hAnsi="宋体"/>
          <w:sz w:val="24"/>
          <w:szCs w:val="24"/>
        </w:rPr>
      </w:pPr>
    </w:p>
    <w:p>
      <w:pPr>
        <w:spacing w:line="500" w:lineRule="exact"/>
        <w:ind w:firstLine="480" w:firstLineChars="200"/>
        <w:rPr>
          <w:rFonts w:hint="eastAsia" w:ascii="宋体" w:hAnsi="宋体"/>
          <w:sz w:val="24"/>
          <w:szCs w:val="24"/>
        </w:rPr>
      </w:pPr>
    </w:p>
    <w:p>
      <w:pPr>
        <w:spacing w:line="500" w:lineRule="exact"/>
        <w:ind w:firstLine="480" w:firstLineChars="200"/>
        <w:rPr>
          <w:rFonts w:hint="eastAsia" w:ascii="宋体" w:hAnsi="宋体"/>
          <w:sz w:val="24"/>
          <w:szCs w:val="24"/>
        </w:rPr>
      </w:pPr>
    </w:p>
    <w:p>
      <w:pPr>
        <w:spacing w:line="500" w:lineRule="exact"/>
        <w:ind w:firstLine="480" w:firstLineChars="200"/>
        <w:rPr>
          <w:rFonts w:hint="eastAsia" w:ascii="宋体" w:hAnsi="宋体"/>
          <w:sz w:val="24"/>
          <w:szCs w:val="24"/>
        </w:rPr>
      </w:pPr>
    </w:p>
    <w:p>
      <w:pPr>
        <w:spacing w:line="480" w:lineRule="exact"/>
        <w:rPr>
          <w:rFonts w:hint="eastAsia" w:ascii="宋体" w:hAnsi="宋体"/>
        </w:rPr>
      </w:pPr>
      <w:r>
        <w:rPr>
          <w:rFonts w:ascii="宋体" w:hAnsi="宋体"/>
          <w:sz w:val="20"/>
        </w:rPr>
        <mc:AlternateContent>
          <mc:Choice Requires="wps">
            <w:drawing>
              <wp:anchor distT="0" distB="0" distL="114300" distR="114300" simplePos="0" relativeHeight="252034048" behindDoc="0" locked="0" layoutInCell="1" allowOverlap="1">
                <wp:simplePos x="0" y="0"/>
                <wp:positionH relativeFrom="column">
                  <wp:posOffset>3090545</wp:posOffset>
                </wp:positionH>
                <wp:positionV relativeFrom="paragraph">
                  <wp:posOffset>297180</wp:posOffset>
                </wp:positionV>
                <wp:extent cx="0" cy="297180"/>
                <wp:effectExtent l="38100" t="0" r="38100" b="7620"/>
                <wp:wrapNone/>
                <wp:docPr id="428" name="直接连接符 42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3.35pt;margin-top:23.4pt;height:23.4pt;width:0pt;z-index:252034048;mso-width-relative:page;mso-height-relative:page;" filled="f" stroked="t" coordsize="21600,21600" o:gfxdata="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198dM9gAAAAJ&#10;AQAADwAAAAAAAAABACAAAAAiAAAAZHJzL2Rvd25yZXYueG1sUEsBAhQAFAAAAAgAh07iQG5IDZPj&#10;AQAAnQMAAA4AAAAAAAAAAQAgAAAAJwEAAGRycy9lMm9Eb2MueG1sUEsFBgAAAAAGAAYAWQEAAHwF&#10;A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2032000" behindDoc="0" locked="0" layoutInCell="1" allowOverlap="1">
                <wp:simplePos x="0" y="0"/>
                <wp:positionH relativeFrom="column">
                  <wp:posOffset>1736725</wp:posOffset>
                </wp:positionH>
                <wp:positionV relativeFrom="paragraph">
                  <wp:posOffset>-9525</wp:posOffset>
                </wp:positionV>
                <wp:extent cx="585470" cy="297180"/>
                <wp:effectExtent l="0" t="0" r="5080" b="7620"/>
                <wp:wrapNone/>
                <wp:docPr id="439" name="矩形 439"/>
                <wp:cNvGraphicFramePr/>
                <a:graphic xmlns:a="http://schemas.openxmlformats.org/drawingml/2006/main">
                  <a:graphicData uri="http://schemas.microsoft.com/office/word/2010/wordprocessingShape">
                    <wps:wsp>
                      <wps:cNvSpPr/>
                      <wps:spPr>
                        <a:xfrm>
                          <a:off x="0" y="0"/>
                          <a:ext cx="585470" cy="297180"/>
                        </a:xfrm>
                        <a:prstGeom prst="rect">
                          <a:avLst/>
                        </a:prstGeom>
                        <a:solidFill>
                          <a:srgbClr val="FFFFFF"/>
                        </a:solidFill>
                        <a:ln>
                          <a:noFill/>
                        </a:ln>
                      </wps:spPr>
                      <wps:txbx>
                        <w:txbxContent>
                          <w:p>
                            <w:r>
                              <w:rPr>
                                <w:rFonts w:hint="eastAsia" w:ascii="宋体" w:hAnsi="宋体"/>
                              </w:rPr>
                              <w:t>砂岩</w:t>
                            </w:r>
                          </w:p>
                        </w:txbxContent>
                      </wps:txbx>
                      <wps:bodyPr upright="1"/>
                    </wps:wsp>
                  </a:graphicData>
                </a:graphic>
              </wp:anchor>
            </w:drawing>
          </mc:Choice>
          <mc:Fallback>
            <w:pict>
              <v:rect id="_x0000_s1026" o:spid="_x0000_s1026" o:spt="1" style="position:absolute;left:0pt;margin-left:136.75pt;margin-top:-0.75pt;height:23.4pt;width:46.1pt;z-index:252032000;mso-width-relative:page;mso-height-relative:page;" fillcolor="#FFFFFF" filled="t" stroked="f" coordsize="21600,21600" o:gfxdata="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pp6MPYAAAACQEAAA8AAAAAAAAA&#10;AQAgAAAAIgAAAGRycy9kb3ducmV2LnhtbFBLAQIUABQAAAAIAIdO4kB8eRR1nwEAAB8DAAAOAAAA&#10;AAAAAAEAIAAAACcBAABkcnMvZTJvRG9jLnhtbFBLBQYAAAAABgAGAFkBAAA4BQAAAAA=&#10;">
                <v:fill on="t" focussize="0,0"/>
                <v:stroke on="f"/>
                <v:imagedata o:title=""/>
                <o:lock v:ext="edit" aspectratio="f"/>
                <v:textbox>
                  <w:txbxContent>
                    <w:p>
                      <w:r>
                        <w:rPr>
                          <w:rFonts w:hint="eastAsia" w:ascii="宋体" w:hAnsi="宋体"/>
                        </w:rPr>
                        <w:t>砂岩</w:t>
                      </w:r>
                    </w:p>
                  </w:txbxContent>
                </v:textbox>
              </v:rect>
            </w:pict>
          </mc:Fallback>
        </mc:AlternateContent>
      </w:r>
      <w:r>
        <w:rPr>
          <w:rFonts w:ascii="宋体" w:hAnsi="宋体"/>
          <w:sz w:val="20"/>
        </w:rPr>
        <mc:AlternateContent>
          <mc:Choice Requires="wps">
            <w:drawing>
              <wp:anchor distT="0" distB="0" distL="114300" distR="114300" simplePos="0" relativeHeight="252033024" behindDoc="0" locked="0" layoutInCell="1" allowOverlap="1">
                <wp:simplePos x="0" y="0"/>
                <wp:positionH relativeFrom="column">
                  <wp:posOffset>1988820</wp:posOffset>
                </wp:positionH>
                <wp:positionV relativeFrom="paragraph">
                  <wp:posOffset>281940</wp:posOffset>
                </wp:positionV>
                <wp:extent cx="0" cy="297180"/>
                <wp:effectExtent l="38100" t="0" r="38100" b="7620"/>
                <wp:wrapNone/>
                <wp:docPr id="425" name="直接连接符 42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6.6pt;margin-top:22.2pt;height:23.4pt;width:0pt;z-index:252033024;mso-width-relative:page;mso-height-relative:page;" filled="f" stroked="t" coordsize="21600,21600" o:gfxdata="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Co4gwtkAAAAJ&#10;AQAADwAAAAAAAAABACAAAAAiAAAAZHJzL2Rvd25yZXYueG1sUEsBAhQAFAAAAAgAh07iQNU/Leri&#10;AQAAnQMAAA4AAAAAAAAAAQAgAAAAKAEAAGRycy9lMm9Eb2MueG1sUEsFBgAAAAAGAAYAWQEAAHwF&#10;A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2030976" behindDoc="0" locked="0" layoutInCell="1" allowOverlap="1">
                <wp:simplePos x="0" y="0"/>
                <wp:positionH relativeFrom="column">
                  <wp:posOffset>523240</wp:posOffset>
                </wp:positionH>
                <wp:positionV relativeFrom="paragraph">
                  <wp:posOffset>11430</wp:posOffset>
                </wp:positionV>
                <wp:extent cx="763270" cy="297180"/>
                <wp:effectExtent l="0" t="0" r="17780" b="7620"/>
                <wp:wrapNone/>
                <wp:docPr id="434" name="矩形 434"/>
                <wp:cNvGraphicFramePr/>
                <a:graphic xmlns:a="http://schemas.openxmlformats.org/drawingml/2006/main">
                  <a:graphicData uri="http://schemas.microsoft.com/office/word/2010/wordprocessingShape">
                    <wps:wsp>
                      <wps:cNvSpPr/>
                      <wps:spPr>
                        <a:xfrm>
                          <a:off x="0" y="0"/>
                          <a:ext cx="763270" cy="297180"/>
                        </a:xfrm>
                        <a:prstGeom prst="rect">
                          <a:avLst/>
                        </a:prstGeom>
                        <a:solidFill>
                          <a:srgbClr val="FFFFFF"/>
                        </a:solidFill>
                        <a:ln>
                          <a:noFill/>
                        </a:ln>
                      </wps:spPr>
                      <wps:txbx>
                        <w:txbxContent>
                          <w:p>
                            <w:r>
                              <w:rPr>
                                <w:rFonts w:hint="eastAsia" w:ascii="宋体" w:hAnsi="宋体"/>
                              </w:rPr>
                              <w:t>石灰石</w:t>
                            </w:r>
                          </w:p>
                        </w:txbxContent>
                      </wps:txbx>
                      <wps:bodyPr upright="1"/>
                    </wps:wsp>
                  </a:graphicData>
                </a:graphic>
              </wp:anchor>
            </w:drawing>
          </mc:Choice>
          <mc:Fallback>
            <w:pict>
              <v:rect id="_x0000_s1026" o:spid="_x0000_s1026" o:spt="1" style="position:absolute;left:0pt;margin-left:41.2pt;margin-top:0.9pt;height:23.4pt;width:60.1pt;z-index:252030976;mso-width-relative:page;mso-height-relative:page;" fillcolor="#FFFFFF" filled="t" stroked="f" coordsize="21600,21600" o:gfxdata="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8aKyHVAAAABwEAAA8AAAAAAAAAAQAg&#10;AAAAIgAAAGRycy9kb3ducmV2LnhtbFBLAQIUABQAAAAIAIdO4kCXvuvXnwEAAB8DAAAOAAAAAAAA&#10;AAEAIAAAACQBAABkcnMvZTJvRG9jLnhtbFBLBQYAAAAABgAGAFkBAAA1BQAAAAA=&#10;">
                <v:fill on="t" focussize="0,0"/>
                <v:stroke on="f"/>
                <v:imagedata o:title=""/>
                <o:lock v:ext="edit" aspectratio="f"/>
                <v:textbox>
                  <w:txbxContent>
                    <w:p>
                      <w:r>
                        <w:rPr>
                          <w:rFonts w:hint="eastAsia" w:ascii="宋体" w:hAnsi="宋体"/>
                        </w:rPr>
                        <w:t>石灰石</w:t>
                      </w:r>
                    </w:p>
                  </w:txbxContent>
                </v:textbox>
              </v:rect>
            </w:pict>
          </mc:Fallback>
        </mc:AlternateContent>
      </w:r>
      <w:r>
        <w:rPr>
          <w:rFonts w:ascii="宋体" w:hAnsi="宋体"/>
          <w:sz w:val="20"/>
        </w:rPr>
        <mc:AlternateContent>
          <mc:Choice Requires="wps">
            <w:drawing>
              <wp:anchor distT="0" distB="0" distL="114300" distR="114300" simplePos="0" relativeHeight="252023808" behindDoc="0" locked="0" layoutInCell="1" allowOverlap="1">
                <wp:simplePos x="0" y="0"/>
                <wp:positionH relativeFrom="column">
                  <wp:posOffset>499745</wp:posOffset>
                </wp:positionH>
                <wp:positionV relativeFrom="paragraph">
                  <wp:posOffset>70485</wp:posOffset>
                </wp:positionV>
                <wp:extent cx="763270" cy="226695"/>
                <wp:effectExtent l="0" t="0" r="17780" b="1905"/>
                <wp:wrapNone/>
                <wp:docPr id="435" name="矩形 435"/>
                <wp:cNvGraphicFramePr/>
                <a:graphic xmlns:a="http://schemas.openxmlformats.org/drawingml/2006/main">
                  <a:graphicData uri="http://schemas.microsoft.com/office/word/2010/wordprocessingShape">
                    <wps:wsp>
                      <wps:cNvSpPr/>
                      <wps:spPr>
                        <a:xfrm>
                          <a:off x="0" y="0"/>
                          <a:ext cx="763270" cy="226695"/>
                        </a:xfrm>
                        <a:prstGeom prst="rect">
                          <a:avLst/>
                        </a:prstGeom>
                        <a:solidFill>
                          <a:srgbClr val="FFFFFF"/>
                        </a:solidFill>
                        <a:ln>
                          <a:noFill/>
                        </a:ln>
                      </wps:spPr>
                      <wps:txbx>
                        <w:txbxContent>
                          <w:p>
                            <w:r>
                              <w:rPr>
                                <w:rFonts w:hint="eastAsia" w:ascii="宋体" w:hAnsi="宋体"/>
                              </w:rPr>
                              <w:t>石灰石</w:t>
                            </w:r>
                            <w:r>
                              <w:rPr>
                                <w:rFonts w:hint="eastAsia" w:ascii="宋体" w:hAnsi="宋体"/>
                                <w:szCs w:val="21"/>
                              </w:rPr>
                              <w:t>△</w:t>
                            </w:r>
                          </w:p>
                        </w:txbxContent>
                      </wps:txbx>
                      <wps:bodyPr upright="1"/>
                    </wps:wsp>
                  </a:graphicData>
                </a:graphic>
              </wp:anchor>
            </w:drawing>
          </mc:Choice>
          <mc:Fallback>
            <w:pict>
              <v:rect id="_x0000_s1026" o:spid="_x0000_s1026" o:spt="1" style="position:absolute;left:0pt;margin-left:39.35pt;margin-top:5.55pt;height:17.85pt;width:60.1pt;z-index:252023808;mso-width-relative:page;mso-height-relative:page;" fillcolor="#FFFFFF" filled="t" stroked="f" coordsize="21600,21600" o:gfxdata="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dQJNPWAAAACAEAAA8AAAAAAAAAAQAg&#10;AAAAIgAAAGRycy9kb3ducmV2LnhtbFBLAQIUABQAAAAIAIdO4kCPdnk6ngEAAB8DAAAOAAAAAAAA&#10;AAEAIAAAACUBAABkcnMvZTJvRG9jLnhtbFBLBQYAAAAABgAGAFkBAAA1BQAAAAA=&#10;">
                <v:fill on="t" focussize="0,0"/>
                <v:stroke on="f"/>
                <v:imagedata o:title=""/>
                <o:lock v:ext="edit" aspectratio="f"/>
                <v:textbox>
                  <w:txbxContent>
                    <w:p>
                      <w:r>
                        <w:rPr>
                          <w:rFonts w:hint="eastAsia" w:ascii="宋体" w:hAnsi="宋体"/>
                        </w:rPr>
                        <w:t>石灰石</w:t>
                      </w:r>
                      <w:r>
                        <w:rPr>
                          <w:rFonts w:hint="eastAsia" w:ascii="宋体" w:hAnsi="宋体"/>
                          <w:szCs w:val="21"/>
                        </w:rPr>
                        <w:t>△</w:t>
                      </w:r>
                    </w:p>
                  </w:txbxContent>
                </v:textbox>
              </v:rect>
            </w:pict>
          </mc:Fallback>
        </mc:AlternateContent>
      </w:r>
      <w:r>
        <w:rPr>
          <w:rFonts w:ascii="宋体" w:hAnsi="宋体"/>
          <w:sz w:val="20"/>
        </w:rPr>
        <mc:AlternateContent>
          <mc:Choice Requires="wps">
            <w:drawing>
              <wp:anchor distT="0" distB="0" distL="114300" distR="114300" simplePos="0" relativeHeight="252025856" behindDoc="0" locked="0" layoutInCell="1" allowOverlap="1">
                <wp:simplePos x="0" y="0"/>
                <wp:positionH relativeFrom="column">
                  <wp:posOffset>889000</wp:posOffset>
                </wp:positionH>
                <wp:positionV relativeFrom="paragraph">
                  <wp:posOffset>297180</wp:posOffset>
                </wp:positionV>
                <wp:extent cx="0" cy="297180"/>
                <wp:effectExtent l="38100" t="0" r="38100" b="7620"/>
                <wp:wrapNone/>
                <wp:docPr id="436" name="直接连接符 43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0pt;margin-top:23.4pt;height:23.4pt;width:0pt;z-index:252025856;mso-width-relative:page;mso-height-relative:page;" filled="f" stroked="t" coordsize="21600,21600" o:gfxdata="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eTfgLYAAAA&#10;CQEAAA8AAAAAAAAAAQAgAAAAIgAAAGRycy9kb3ducmV2LnhtbFBLAQIUABQAAAAIAIdO4kCDspH6&#10;5AEAAJ0DAAAOAAAAAAAAAAEAIAAAACcBAABkcnMvZTJvRG9jLnhtbFBLBQYAAAAABgAGAFkBAAB9&#10;BQ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2026880" behindDoc="0" locked="0" layoutInCell="1" allowOverlap="1">
                <wp:simplePos x="0" y="0"/>
                <wp:positionH relativeFrom="column">
                  <wp:posOffset>2736850</wp:posOffset>
                </wp:positionH>
                <wp:positionV relativeFrom="paragraph">
                  <wp:posOffset>-1905</wp:posOffset>
                </wp:positionV>
                <wp:extent cx="763270" cy="297180"/>
                <wp:effectExtent l="0" t="0" r="17780" b="7620"/>
                <wp:wrapNone/>
                <wp:docPr id="437" name="矩形 437"/>
                <wp:cNvGraphicFramePr/>
                <a:graphic xmlns:a="http://schemas.openxmlformats.org/drawingml/2006/main">
                  <a:graphicData uri="http://schemas.microsoft.com/office/word/2010/wordprocessingShape">
                    <wps:wsp>
                      <wps:cNvSpPr/>
                      <wps:spPr>
                        <a:xfrm>
                          <a:off x="0" y="0"/>
                          <a:ext cx="763270" cy="297180"/>
                        </a:xfrm>
                        <a:prstGeom prst="rect">
                          <a:avLst/>
                        </a:prstGeom>
                        <a:solidFill>
                          <a:srgbClr val="FFFFFF"/>
                        </a:solidFill>
                        <a:ln>
                          <a:noFill/>
                        </a:ln>
                      </wps:spPr>
                      <wps:txbx>
                        <w:txbxContent>
                          <w:p>
                            <w:r>
                              <w:rPr>
                                <w:rFonts w:hint="eastAsia" w:ascii="宋体" w:hAnsi="宋体"/>
                              </w:rPr>
                              <w:t>煤矸石</w:t>
                            </w:r>
                          </w:p>
                        </w:txbxContent>
                      </wps:txbx>
                      <wps:bodyPr upright="1"/>
                    </wps:wsp>
                  </a:graphicData>
                </a:graphic>
              </wp:anchor>
            </w:drawing>
          </mc:Choice>
          <mc:Fallback>
            <w:pict>
              <v:rect id="_x0000_s1026" o:spid="_x0000_s1026" o:spt="1" style="position:absolute;left:0pt;margin-left:215.5pt;margin-top:-0.15pt;height:23.4pt;width:60.1pt;z-index:252026880;mso-width-relative:page;mso-height-relative:page;" fillcolor="#FFFFFF" filled="t" stroked="f" coordsize="21600,21600" o:gfxdata="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I4mP7WAAAACAEAAA8AAAAAAAAAAQAg&#10;AAAAIgAAAGRycy9kb3ducmV2LnhtbFBLAQIUABQAAAAIAIdO4kAvva7HngEAAB8DAAAOAAAAAAAA&#10;AAEAIAAAACUBAABkcnMvZTJvRG9jLnhtbFBLBQYAAAAABgAGAFkBAAA1BQAAAAA=&#10;">
                <v:fill on="t" focussize="0,0"/>
                <v:stroke on="f"/>
                <v:imagedata o:title=""/>
                <o:lock v:ext="edit" aspectratio="f"/>
                <v:textbox>
                  <w:txbxContent>
                    <w:p>
                      <w:r>
                        <w:rPr>
                          <w:rFonts w:hint="eastAsia" w:ascii="宋体" w:hAnsi="宋体"/>
                        </w:rPr>
                        <w:t>煤矸石</w:t>
                      </w:r>
                    </w:p>
                  </w:txbxContent>
                </v:textbox>
              </v:rect>
            </w:pict>
          </mc:Fallback>
        </mc:AlternateContent>
      </w:r>
      <w:r>
        <w:rPr>
          <w:rFonts w:hint="eastAsia" w:ascii="宋体" w:hAnsi="宋体"/>
        </w:rPr>
        <w:t xml:space="preserve">                                     </w: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939840" behindDoc="0" locked="0" layoutInCell="1" allowOverlap="1">
                <wp:simplePos x="0" y="0"/>
                <wp:positionH relativeFrom="column">
                  <wp:posOffset>1617980</wp:posOffset>
                </wp:positionH>
                <wp:positionV relativeFrom="paragraph">
                  <wp:posOffset>280670</wp:posOffset>
                </wp:positionV>
                <wp:extent cx="799465" cy="297180"/>
                <wp:effectExtent l="4445" t="4445" r="15240" b="22225"/>
                <wp:wrapNone/>
                <wp:docPr id="429" name="矩形 429"/>
                <wp:cNvGraphicFramePr/>
                <a:graphic xmlns:a="http://schemas.openxmlformats.org/drawingml/2006/main">
                  <a:graphicData uri="http://schemas.microsoft.com/office/word/2010/wordprocessingShape">
                    <wps:wsp>
                      <wps:cNvSpPr/>
                      <wps:spPr>
                        <a:xfrm>
                          <a:off x="0" y="0"/>
                          <a:ext cx="79946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破碎</w:t>
                            </w:r>
                            <w:r>
                              <w:rPr>
                                <w:rFonts w:hint="eastAsia" w:ascii="宋体" w:hAnsi="宋体"/>
                                <w:szCs w:val="21"/>
                              </w:rPr>
                              <w:t>※△</w:t>
                            </w:r>
                          </w:p>
                        </w:txbxContent>
                      </wps:txbx>
                      <wps:bodyPr upright="1"/>
                    </wps:wsp>
                  </a:graphicData>
                </a:graphic>
              </wp:anchor>
            </w:drawing>
          </mc:Choice>
          <mc:Fallback>
            <w:pict>
              <v:rect id="_x0000_s1026" o:spid="_x0000_s1026" o:spt="1" style="position:absolute;left:0pt;margin-left:127.4pt;margin-top:22.1pt;height:23.4pt;width:62.95pt;z-index:251939840;mso-width-relative:page;mso-height-relative:page;" fillcolor="#FFFFFF" filled="t" stroked="t" coordsize="21600,21600" o:gfxdata="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5&#10;4Se92AAAAAkBAAAPAAAAAAAAAAEAIAAAACIAAABkcnMvZG93bnJldi54bWxQSwECFAAUAAAACACH&#10;TuJA/cov0+sBAADeAwAADgAAAAAAAAABACAAAAAnAQAAZHJzL2Uyb0RvYy54bWxQSwUGAAAAAAYA&#10;BgBZAQAAhAUAAAAA&#10;">
                <v:fill on="t" focussize="0,0"/>
                <v:stroke color="#000000" joinstyle="miter"/>
                <v:imagedata o:title=""/>
                <o:lock v:ext="edit" aspectratio="f"/>
                <v:textbox>
                  <w:txbxContent>
                    <w:p>
                      <w:r>
                        <w:rPr>
                          <w:rFonts w:hint="eastAsia"/>
                        </w:rPr>
                        <w:t>破碎</w:t>
                      </w:r>
                      <w:r>
                        <w:rPr>
                          <w:rFonts w:hint="eastAsia" w:ascii="宋体" w:hAnsi="宋体"/>
                          <w:szCs w:val="21"/>
                        </w:rPr>
                        <w:t>※△</w:t>
                      </w:r>
                    </w:p>
                  </w:txbxContent>
                </v:textbox>
              </v:rect>
            </w:pict>
          </mc:Fallback>
        </mc:AlternateContent>
      </w:r>
      <w:r>
        <w:rPr>
          <w:rFonts w:hint="eastAsia" w:ascii="宋体" w:hAnsi="宋体"/>
        </w:rPr>
        <mc:AlternateContent>
          <mc:Choice Requires="wps">
            <w:drawing>
              <wp:anchor distT="0" distB="0" distL="114300" distR="114300" simplePos="0" relativeHeight="252029952" behindDoc="0" locked="0" layoutInCell="1" allowOverlap="1">
                <wp:simplePos x="0" y="0"/>
                <wp:positionH relativeFrom="column">
                  <wp:posOffset>2733040</wp:posOffset>
                </wp:positionH>
                <wp:positionV relativeFrom="paragraph">
                  <wp:posOffset>270510</wp:posOffset>
                </wp:positionV>
                <wp:extent cx="799465" cy="297180"/>
                <wp:effectExtent l="4445" t="4445" r="15240" b="22225"/>
                <wp:wrapNone/>
                <wp:docPr id="438" name="矩形 438"/>
                <wp:cNvGraphicFramePr/>
                <a:graphic xmlns:a="http://schemas.openxmlformats.org/drawingml/2006/main">
                  <a:graphicData uri="http://schemas.microsoft.com/office/word/2010/wordprocessingShape">
                    <wps:wsp>
                      <wps:cNvSpPr/>
                      <wps:spPr>
                        <a:xfrm>
                          <a:off x="0" y="0"/>
                          <a:ext cx="79946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破碎</w:t>
                            </w:r>
                            <w:r>
                              <w:rPr>
                                <w:rFonts w:hint="eastAsia" w:ascii="宋体" w:hAnsi="宋体"/>
                                <w:szCs w:val="21"/>
                              </w:rPr>
                              <w:t>※△</w:t>
                            </w:r>
                          </w:p>
                        </w:txbxContent>
                      </wps:txbx>
                      <wps:bodyPr upright="1"/>
                    </wps:wsp>
                  </a:graphicData>
                </a:graphic>
              </wp:anchor>
            </w:drawing>
          </mc:Choice>
          <mc:Fallback>
            <w:pict>
              <v:rect id="_x0000_s1026" o:spid="_x0000_s1026" o:spt="1" style="position:absolute;left:0pt;margin-left:215.2pt;margin-top:21.3pt;height:23.4pt;width:62.95pt;z-index:252029952;mso-width-relative:page;mso-height-relative:page;" fillcolor="#FFFFFF" filled="t" stroked="t" coordsize="21600,21600" o:gfxdata="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S&#10;Iy4b2AAAAAkBAAAPAAAAAAAAAAEAIAAAACIAAABkcnMvZG93bnJldi54bWxQSwECFAAUAAAACACH&#10;TuJAJXv6tusBAADeAwAADgAAAAAAAAABACAAAAAnAQAAZHJzL2Uyb0RvYy54bWxQSwUGAAAAAAYA&#10;BgBZAQAAhAUAAAAA&#10;">
                <v:fill on="t" focussize="0,0"/>
                <v:stroke color="#000000" joinstyle="miter"/>
                <v:imagedata o:title=""/>
                <o:lock v:ext="edit" aspectratio="f"/>
                <v:textbox>
                  <w:txbxContent>
                    <w:p>
                      <w:r>
                        <w:rPr>
                          <w:rFonts w:hint="eastAsia"/>
                        </w:rPr>
                        <w:t>破碎</w:t>
                      </w:r>
                      <w:r>
                        <w:rPr>
                          <w:rFonts w:hint="eastAsia" w:ascii="宋体" w:hAnsi="宋体"/>
                          <w:szCs w:val="21"/>
                        </w:rPr>
                        <w:t>※△</w:t>
                      </w:r>
                    </w:p>
                  </w:txbxContent>
                </v:textbox>
              </v:rect>
            </w:pict>
          </mc:Fallback>
        </mc:AlternateContent>
      </w:r>
      <w:r>
        <w:rPr>
          <w:rFonts w:hint="eastAsia" w:ascii="宋体" w:hAnsi="宋体"/>
        </w:rPr>
        <mc:AlternateContent>
          <mc:Choice Requires="wps">
            <w:drawing>
              <wp:anchor distT="0" distB="0" distL="114300" distR="114300" simplePos="0" relativeHeight="252024832" behindDoc="0" locked="0" layoutInCell="1" allowOverlap="1">
                <wp:simplePos x="0" y="0"/>
                <wp:positionH relativeFrom="column">
                  <wp:posOffset>446405</wp:posOffset>
                </wp:positionH>
                <wp:positionV relativeFrom="paragraph">
                  <wp:posOffset>264795</wp:posOffset>
                </wp:positionV>
                <wp:extent cx="799465" cy="297180"/>
                <wp:effectExtent l="4445" t="4445" r="15240" b="22225"/>
                <wp:wrapNone/>
                <wp:docPr id="430" name="矩形 430"/>
                <wp:cNvGraphicFramePr/>
                <a:graphic xmlns:a="http://schemas.openxmlformats.org/drawingml/2006/main">
                  <a:graphicData uri="http://schemas.microsoft.com/office/word/2010/wordprocessingShape">
                    <wps:wsp>
                      <wps:cNvSpPr/>
                      <wps:spPr>
                        <a:xfrm>
                          <a:off x="0" y="0"/>
                          <a:ext cx="79946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破碎</w:t>
                            </w:r>
                            <w:r>
                              <w:rPr>
                                <w:rFonts w:hint="eastAsia" w:ascii="宋体" w:hAnsi="宋体"/>
                                <w:szCs w:val="21"/>
                              </w:rPr>
                              <w:t>※△</w:t>
                            </w:r>
                          </w:p>
                        </w:txbxContent>
                      </wps:txbx>
                      <wps:bodyPr upright="1"/>
                    </wps:wsp>
                  </a:graphicData>
                </a:graphic>
              </wp:anchor>
            </w:drawing>
          </mc:Choice>
          <mc:Fallback>
            <w:pict>
              <v:rect id="_x0000_s1026" o:spid="_x0000_s1026" o:spt="1" style="position:absolute;left:0pt;margin-left:35.15pt;margin-top:20.85pt;height:23.4pt;width:62.95pt;z-index:252024832;mso-width-relative:page;mso-height-relative:page;" fillcolor="#FFFFFF" filled="t" stroked="t" coordsize="21600,21600" o:gfxdata="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rc&#10;ddvXAAAACAEAAA8AAAAAAAAAAQAgAAAAIgAAAGRycy9kb3ducmV2LnhtbFBLAQIUABQAAAAIAIdO&#10;4kC3wzIw6wEAAN4DAAAOAAAAAAAAAAEAIAAAACYBAABkcnMvZTJvRG9jLnhtbFBLBQYAAAAABgAG&#10;AFkBAACDBQAAAAA=&#10;">
                <v:fill on="t" focussize="0,0"/>
                <v:stroke color="#000000" joinstyle="miter"/>
                <v:imagedata o:title=""/>
                <o:lock v:ext="edit" aspectratio="f"/>
                <v:textbox>
                  <w:txbxContent>
                    <w:p>
                      <w:r>
                        <w:rPr>
                          <w:rFonts w:hint="eastAsia"/>
                        </w:rPr>
                        <w:t>破碎</w:t>
                      </w:r>
                      <w:r>
                        <w:rPr>
                          <w:rFonts w:hint="eastAsia" w:ascii="宋体" w:hAnsi="宋体"/>
                          <w:szCs w:val="21"/>
                        </w:rPr>
                        <w:t>※△</w:t>
                      </w:r>
                    </w:p>
                  </w:txbxContent>
                </v:textbox>
              </v:rect>
            </w:pict>
          </mc:Fallback>
        </mc:AlternateContent>
      </w:r>
      <w:r>
        <w:rPr>
          <w:rFonts w:hint="eastAsia" w:ascii="宋体" w:hAnsi="宋体"/>
        </w:rPr>
        <w:t xml:space="preserve">              </w:t>
      </w:r>
    </w:p>
    <w:p>
      <w:pPr>
        <w:autoSpaceDE w:val="0"/>
        <w:autoSpaceDN w:val="0"/>
        <w:spacing w:line="480" w:lineRule="exact"/>
        <w:ind w:firstLine="874" w:firstLineChars="437"/>
        <w:textAlignment w:val="bottom"/>
        <w:rPr>
          <w:rFonts w:hint="eastAsia" w:ascii="宋体" w:hAnsi="宋体"/>
        </w:rPr>
      </w:pPr>
      <w:r>
        <w:rPr>
          <w:rFonts w:ascii="宋体" w:hAnsi="宋体"/>
          <w:sz w:val="20"/>
        </w:rPr>
        <mc:AlternateContent>
          <mc:Choice Requires="wps">
            <w:drawing>
              <wp:anchor distT="0" distB="0" distL="114300" distR="114300" simplePos="0" relativeHeight="251930624" behindDoc="0" locked="0" layoutInCell="1" allowOverlap="1">
                <wp:simplePos x="0" y="0"/>
                <wp:positionH relativeFrom="column">
                  <wp:posOffset>4813935</wp:posOffset>
                </wp:positionH>
                <wp:positionV relativeFrom="paragraph">
                  <wp:posOffset>26670</wp:posOffset>
                </wp:positionV>
                <wp:extent cx="252095" cy="215900"/>
                <wp:effectExtent l="0" t="0" r="14605" b="12700"/>
                <wp:wrapNone/>
                <wp:docPr id="426" name="矩形 426"/>
                <wp:cNvGraphicFramePr/>
                <a:graphic xmlns:a="http://schemas.openxmlformats.org/drawingml/2006/main">
                  <a:graphicData uri="http://schemas.microsoft.com/office/word/2010/wordprocessingShape">
                    <wps:wsp>
                      <wps:cNvSpPr/>
                      <wps:spPr>
                        <a:xfrm flipV="1">
                          <a:off x="0" y="0"/>
                          <a:ext cx="252095" cy="215900"/>
                        </a:xfrm>
                        <a:prstGeom prst="rect">
                          <a:avLst/>
                        </a:prstGeom>
                        <a:solidFill>
                          <a:srgbClr val="FFFFFF"/>
                        </a:solidFill>
                        <a:ln>
                          <a:noFill/>
                        </a:ln>
                      </wps:spPr>
                      <wps:txbx>
                        <w:txbxContent>
                          <w:p>
                            <w:pPr>
                              <w:spacing w:line="240" w:lineRule="exact"/>
                              <w:jc w:val="center"/>
                              <w:rPr>
                                <w:rFonts w:hint="eastAsia"/>
                              </w:rPr>
                            </w:pPr>
                            <w:r>
                              <w:rPr>
                                <w:rFonts w:hint="eastAsia"/>
                              </w:rPr>
                              <w:t>煤</w:t>
                            </w:r>
                          </w:p>
                        </w:txbxContent>
                      </wps:txbx>
                      <wps:bodyPr lIns="0" tIns="0" rIns="0" bIns="0" upright="1"/>
                    </wps:wsp>
                  </a:graphicData>
                </a:graphic>
              </wp:anchor>
            </w:drawing>
          </mc:Choice>
          <mc:Fallback>
            <w:pict>
              <v:rect id="_x0000_s1026" o:spid="_x0000_s1026" o:spt="1" style="position:absolute;left:0pt;flip:y;margin-left:379.05pt;margin-top:2.1pt;height:17pt;width:19.85pt;z-index:251930624;mso-width-relative:page;mso-height-relative:page;" fillcolor="#FFFFFF" filled="t" stroked="f" coordsize="21600,21600" o:gfxdata="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n2&#10;PRLWAAAACAEAAA8AAAAAAAAAAQAgAAAAIgAAAGRycy9kb3ducmV2LnhtbFBLAQIUABQAAAAIAIdO&#10;4kBDi1UKswEAAE0DAAAOAAAAAAAAAAEAIAAAACUBAABkcnMvZTJvRG9jLnhtbFBLBQYAAAAABgAG&#10;AFkBAABKBQAAAAA=&#10;">
                <v:fill on="t" focussize="0,0"/>
                <v:stroke on="f"/>
                <v:imagedata o:title=""/>
                <o:lock v:ext="edit" aspectratio="f"/>
                <v:textbox inset="0mm,0mm,0mm,0mm">
                  <w:txbxContent>
                    <w:p>
                      <w:pPr>
                        <w:spacing w:line="240" w:lineRule="exact"/>
                        <w:jc w:val="center"/>
                        <w:rPr>
                          <w:rFonts w:hint="eastAsia"/>
                        </w:rPr>
                      </w:pPr>
                      <w:r>
                        <w:rPr>
                          <w:rFonts w:hint="eastAsia"/>
                        </w:rPr>
                        <w:t>煤</w:t>
                      </w:r>
                    </w:p>
                  </w:txbxContent>
                </v:textbox>
              </v:rect>
            </w:pict>
          </mc:Fallback>
        </mc:AlternateContent>
      </w:r>
      <w:r>
        <w:rPr>
          <w:rFonts w:ascii="宋体" w:hAnsi="宋体"/>
        </w:rPr>
        <mc:AlternateContent>
          <mc:Choice Requires="wps">
            <w:drawing>
              <wp:anchor distT="0" distB="0" distL="114300" distR="114300" simplePos="0" relativeHeight="251941888" behindDoc="0" locked="0" layoutInCell="1" allowOverlap="1">
                <wp:simplePos x="0" y="0"/>
                <wp:positionH relativeFrom="column">
                  <wp:posOffset>1993265</wp:posOffset>
                </wp:positionH>
                <wp:positionV relativeFrom="paragraph">
                  <wp:posOffset>266065</wp:posOffset>
                </wp:positionV>
                <wp:extent cx="0" cy="297180"/>
                <wp:effectExtent l="38100" t="0" r="38100" b="7620"/>
                <wp:wrapNone/>
                <wp:docPr id="427" name="直接连接符 42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6.95pt;margin-top:20.95pt;height:23.4pt;width:0pt;z-index:251941888;mso-width-relative:page;mso-height-relative:page;" filled="f" stroked="t" coordsize="21600,21600" o:gfxdata="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6GexLdgAAAAJ&#10;AQAADwAAAAAAAAABACAAAAAiAAAAZHJzL2Rvd25yZXYueG1sUEsBAhQAFAAAAAgAh07iQGWOUAXj&#10;AQAAnQMAAA4AAAAAAAAAAQAgAAAAJwEAAGRycy9lMm9Eb2MueG1sUEsFBgAAAAAGAAYAWQEAAHwF&#10;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2021760" behindDoc="0" locked="0" layoutInCell="1" allowOverlap="1">
                <wp:simplePos x="0" y="0"/>
                <wp:positionH relativeFrom="column">
                  <wp:posOffset>4914900</wp:posOffset>
                </wp:positionH>
                <wp:positionV relativeFrom="paragraph">
                  <wp:posOffset>182880</wp:posOffset>
                </wp:positionV>
                <wp:extent cx="0" cy="297180"/>
                <wp:effectExtent l="38100" t="0" r="38100" b="7620"/>
                <wp:wrapNone/>
                <wp:docPr id="431" name="直接连接符 43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87pt;margin-top:14.4pt;height:23.4pt;width:0pt;z-index:252021760;mso-width-relative:page;mso-height-relative:page;" filled="f" stroked="t" coordsize="21600,21600" o:gfxdata="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M+TUPZAAAA&#10;CQEAAA8AAAAAAAAAAQAgAAAAIgAAAGRycy9kb3ducmV2LnhtbFBLAQIUABQAAAAIAIdO4kDKvthn&#10;4wEAAJ0DAAAOAAAAAAAAAAEAIAAAACgBAABkcnMvZTJvRG9jLnhtbFBLBQYAAAAABgAGAFkBAAB9&#10;BQ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943936" behindDoc="0" locked="0" layoutInCell="1" allowOverlap="1">
                <wp:simplePos x="0" y="0"/>
                <wp:positionH relativeFrom="column">
                  <wp:posOffset>3128645</wp:posOffset>
                </wp:positionH>
                <wp:positionV relativeFrom="paragraph">
                  <wp:posOffset>288290</wp:posOffset>
                </wp:positionV>
                <wp:extent cx="0" cy="297180"/>
                <wp:effectExtent l="38100" t="0" r="38100" b="7620"/>
                <wp:wrapNone/>
                <wp:docPr id="432" name="直接连接符 43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6.35pt;margin-top:22.7pt;height:23.4pt;width:0pt;z-index:251943936;mso-width-relative:page;mso-height-relative:page;" filled="f" stroked="t" coordsize="21600,21600" o:gfxdata="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oiUVTYAAAA&#10;CQEAAA8AAAAAAAAAAQAgAAAAIgAAAGRycy9kb3ducmV2LnhtbFBLAQIUABQAAAAIAIdO4kCi1xv/&#10;5AEAAJ0DAAAOAAAAAAAAAAEAIAAAACcBAABkcnMvZTJvRG9jLnhtbFBLBQYAAAAABgAGAFkBAAB9&#10;BQ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942912" behindDoc="0" locked="0" layoutInCell="1" allowOverlap="1">
                <wp:simplePos x="0" y="0"/>
                <wp:positionH relativeFrom="column">
                  <wp:posOffset>861695</wp:posOffset>
                </wp:positionH>
                <wp:positionV relativeFrom="paragraph">
                  <wp:posOffset>255905</wp:posOffset>
                </wp:positionV>
                <wp:extent cx="0" cy="297180"/>
                <wp:effectExtent l="38100" t="0" r="38100" b="7620"/>
                <wp:wrapNone/>
                <wp:docPr id="433" name="直接连接符 43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7.85pt;margin-top:20.15pt;height:23.4pt;width:0pt;z-index:251942912;mso-width-relative:page;mso-height-relative:page;" filled="f" stroked="t" coordsize="21600,21600" o:gfxdata="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AbKws2QAA&#10;AAkBAAAPAAAAAAAAAAEAIAAAACIAAABkcnMvZG93bnJldi54bWxQSwECFAAUAAAACACHTuJAeg+l&#10;iOQBAACdAwAADgAAAAAAAAABACAAAAAoAQAAZHJzL2Uyb0RvYy54bWxQSwUGAAAAAAYABgBZAQAA&#10;fgUAAAAA&#10;">
                <v:fill on="f" focussize="0,0"/>
                <v:stroke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2028928" behindDoc="0" locked="0" layoutInCell="1" allowOverlap="1">
                <wp:simplePos x="0" y="0"/>
                <wp:positionH relativeFrom="column">
                  <wp:posOffset>2743200</wp:posOffset>
                </wp:positionH>
                <wp:positionV relativeFrom="paragraph">
                  <wp:posOffset>274320</wp:posOffset>
                </wp:positionV>
                <wp:extent cx="775970" cy="495300"/>
                <wp:effectExtent l="4445" t="4445" r="19685" b="14605"/>
                <wp:wrapNone/>
                <wp:docPr id="443" name="矩形 443"/>
                <wp:cNvGraphicFramePr/>
                <a:graphic xmlns:a="http://schemas.openxmlformats.org/drawingml/2006/main">
                  <a:graphicData uri="http://schemas.microsoft.com/office/word/2010/wordprocessingShape">
                    <wps:wsp>
                      <wps:cNvSpPr/>
                      <wps:spPr>
                        <a:xfrm>
                          <a:off x="0" y="0"/>
                          <a:ext cx="77597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预均化</w:t>
                            </w:r>
                          </w:p>
                          <w:p>
                            <w:pPr>
                              <w:jc w:val="center"/>
                            </w:pPr>
                            <w:r>
                              <w:rPr>
                                <w:rFonts w:hint="eastAsia"/>
                              </w:rPr>
                              <w:t>堆场</w:t>
                            </w:r>
                            <w:r>
                              <w:rPr>
                                <w:rFonts w:hint="eastAsia" w:ascii="宋体" w:hAnsi="宋体"/>
                                <w:szCs w:val="21"/>
                              </w:rPr>
                              <w:t>※</w:t>
                            </w:r>
                          </w:p>
                        </w:txbxContent>
                      </wps:txbx>
                      <wps:bodyPr upright="1"/>
                    </wps:wsp>
                  </a:graphicData>
                </a:graphic>
              </wp:anchor>
            </w:drawing>
          </mc:Choice>
          <mc:Fallback>
            <w:pict>
              <v:rect id="_x0000_s1026" o:spid="_x0000_s1026" o:spt="1" style="position:absolute;left:0pt;margin-left:216pt;margin-top:21.6pt;height:39pt;width:61.1pt;z-index:252028928;mso-width-relative:page;mso-height-relative:page;" fillcolor="#FFFFFF" filled="t" stroked="t" coordsize="21600,21600" o:gfxdata="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L&#10;oQrXAAAACgEAAA8AAAAAAAAAAQAgAAAAIgAAAGRycy9kb3ducmV2LnhtbFBLAQIUABQAAAAIAIdO&#10;4kDf7t4B6wEAAN4DAAAOAAAAAAAAAAEAIAAAACYBAABkcnMvZTJvRG9jLnhtbFBLBQYAAAAABgAG&#10;AFkBAACDBQAAAAA=&#10;">
                <v:fill on="t" focussize="0,0"/>
                <v:stroke color="#000000" joinstyle="miter"/>
                <v:imagedata o:title=""/>
                <o:lock v:ext="edit" aspectratio="f"/>
                <v:textbox>
                  <w:txbxContent>
                    <w:p>
                      <w:pPr>
                        <w:jc w:val="center"/>
                        <w:rPr>
                          <w:rFonts w:hint="eastAsia"/>
                        </w:rPr>
                      </w:pPr>
                      <w:r>
                        <w:rPr>
                          <w:rFonts w:hint="eastAsia"/>
                        </w:rPr>
                        <w:t>预均化</w:t>
                      </w:r>
                    </w:p>
                    <w:p>
                      <w:pPr>
                        <w:jc w:val="center"/>
                      </w:pPr>
                      <w:r>
                        <w:rPr>
                          <w:rFonts w:hint="eastAsia"/>
                        </w:rPr>
                        <w:t>堆场</w:t>
                      </w:r>
                      <w:r>
                        <w:rPr>
                          <w:rFonts w:hint="eastAsia" w:ascii="宋体" w:hAnsi="宋体"/>
                          <w:szCs w:val="21"/>
                        </w:rPr>
                        <w:t>※</w:t>
                      </w:r>
                    </w:p>
                  </w:txbxContent>
                </v:textbox>
              </v:rect>
            </w:pict>
          </mc:Fallback>
        </mc:AlternateContent>
      </w:r>
      <w:r>
        <w:rPr>
          <w:rFonts w:ascii="宋体" w:hAnsi="宋体"/>
          <w:sz w:val="20"/>
        </w:rPr>
        <mc:AlternateContent>
          <mc:Choice Requires="wps">
            <w:drawing>
              <wp:anchor distT="0" distB="0" distL="114300" distR="114300" simplePos="0" relativeHeight="252027904" behindDoc="0" locked="0" layoutInCell="1" allowOverlap="1">
                <wp:simplePos x="0" y="0"/>
                <wp:positionH relativeFrom="column">
                  <wp:posOffset>1600200</wp:posOffset>
                </wp:positionH>
                <wp:positionV relativeFrom="paragraph">
                  <wp:posOffset>274320</wp:posOffset>
                </wp:positionV>
                <wp:extent cx="775970" cy="495300"/>
                <wp:effectExtent l="4445" t="4445" r="19685" b="14605"/>
                <wp:wrapNone/>
                <wp:docPr id="450" name="矩形 450"/>
                <wp:cNvGraphicFramePr/>
                <a:graphic xmlns:a="http://schemas.openxmlformats.org/drawingml/2006/main">
                  <a:graphicData uri="http://schemas.microsoft.com/office/word/2010/wordprocessingShape">
                    <wps:wsp>
                      <wps:cNvSpPr/>
                      <wps:spPr>
                        <a:xfrm>
                          <a:off x="0" y="0"/>
                          <a:ext cx="77597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预均化</w:t>
                            </w:r>
                          </w:p>
                          <w:p>
                            <w:pPr>
                              <w:jc w:val="center"/>
                            </w:pPr>
                            <w:r>
                              <w:rPr>
                                <w:rFonts w:hint="eastAsia"/>
                              </w:rPr>
                              <w:t>堆场</w:t>
                            </w:r>
                            <w:r>
                              <w:rPr>
                                <w:rFonts w:hint="eastAsia" w:ascii="宋体" w:hAnsi="宋体"/>
                                <w:szCs w:val="21"/>
                              </w:rPr>
                              <w:t>※</w:t>
                            </w:r>
                          </w:p>
                        </w:txbxContent>
                      </wps:txbx>
                      <wps:bodyPr upright="1"/>
                    </wps:wsp>
                  </a:graphicData>
                </a:graphic>
              </wp:anchor>
            </w:drawing>
          </mc:Choice>
          <mc:Fallback>
            <w:pict>
              <v:rect id="_x0000_s1026" o:spid="_x0000_s1026" o:spt="1" style="position:absolute;left:0pt;margin-left:126pt;margin-top:21.6pt;height:39pt;width:61.1pt;z-index:252027904;mso-width-relative:page;mso-height-relative:page;" fillcolor="#FFFFFF" filled="t" stroked="t" coordsize="21600,21600" o:gfxdata="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5o&#10;83XYAAAACgEAAA8AAAAAAAAAAQAgAAAAIgAAAGRycy9kb3ducmV2LnhtbFBLAQIUABQAAAAIAIdO&#10;4kAD8gGo6gEAAN4DAAAOAAAAAAAAAAEAIAAAACcBAABkcnMvZTJvRG9jLnhtbFBLBQYAAAAABgAG&#10;AFkBAACDBQAAAAA=&#10;">
                <v:fill on="t" focussize="0,0"/>
                <v:stroke color="#000000" joinstyle="miter"/>
                <v:imagedata o:title=""/>
                <o:lock v:ext="edit" aspectratio="f"/>
                <v:textbox>
                  <w:txbxContent>
                    <w:p>
                      <w:pPr>
                        <w:jc w:val="center"/>
                        <w:rPr>
                          <w:rFonts w:hint="eastAsia"/>
                        </w:rPr>
                      </w:pPr>
                      <w:r>
                        <w:rPr>
                          <w:rFonts w:hint="eastAsia"/>
                        </w:rPr>
                        <w:t>预均化</w:t>
                      </w:r>
                    </w:p>
                    <w:p>
                      <w:pPr>
                        <w:jc w:val="center"/>
                      </w:pPr>
                      <w:r>
                        <w:rPr>
                          <w:rFonts w:hint="eastAsia"/>
                        </w:rPr>
                        <w:t>堆场</w:t>
                      </w:r>
                      <w:r>
                        <w:rPr>
                          <w:rFonts w:hint="eastAsia" w:ascii="宋体" w:hAnsi="宋体"/>
                          <w:szCs w:val="21"/>
                        </w:rPr>
                        <w:t>※</w:t>
                      </w:r>
                    </w:p>
                  </w:txbxContent>
                </v:textbox>
              </v:rect>
            </w:pict>
          </mc:Fallback>
        </mc:AlternateContent>
      </w:r>
      <w:r>
        <w:rPr>
          <w:rFonts w:ascii="宋体" w:hAnsi="宋体"/>
          <w:sz w:val="20"/>
        </w:rPr>
        <mc:AlternateContent>
          <mc:Choice Requires="wps">
            <w:drawing>
              <wp:anchor distT="0" distB="0" distL="114300" distR="114300" simplePos="0" relativeHeight="252022784" behindDoc="0" locked="0" layoutInCell="1" allowOverlap="1">
                <wp:simplePos x="0" y="0"/>
                <wp:positionH relativeFrom="column">
                  <wp:posOffset>4572000</wp:posOffset>
                </wp:positionH>
                <wp:positionV relativeFrom="paragraph">
                  <wp:posOffset>175260</wp:posOffset>
                </wp:positionV>
                <wp:extent cx="763270" cy="297180"/>
                <wp:effectExtent l="4445" t="4445" r="13335" b="22225"/>
                <wp:wrapNone/>
                <wp:docPr id="468" name="矩形 468"/>
                <wp:cNvGraphicFramePr/>
                <a:graphic xmlns:a="http://schemas.openxmlformats.org/drawingml/2006/main">
                  <a:graphicData uri="http://schemas.microsoft.com/office/word/2010/wordprocessingShape">
                    <wps:wsp>
                      <wps:cNvSpPr/>
                      <wps:spPr>
                        <a:xfrm>
                          <a:off x="0" y="0"/>
                          <a:ext cx="7632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破碎</w:t>
                            </w:r>
                            <w:r>
                              <w:rPr>
                                <w:rFonts w:hint="eastAsia" w:ascii="宋体" w:hAnsi="宋体"/>
                                <w:szCs w:val="21"/>
                              </w:rPr>
                              <w:t>※△</w:t>
                            </w:r>
                          </w:p>
                        </w:txbxContent>
                      </wps:txbx>
                      <wps:bodyPr upright="1"/>
                    </wps:wsp>
                  </a:graphicData>
                </a:graphic>
              </wp:anchor>
            </w:drawing>
          </mc:Choice>
          <mc:Fallback>
            <w:pict>
              <v:rect id="_x0000_s1026" o:spid="_x0000_s1026" o:spt="1" style="position:absolute;left:0pt;margin-left:360pt;margin-top:13.8pt;height:23.4pt;width:60.1pt;z-index:252022784;mso-width-relative:page;mso-height-relative:page;" fillcolor="#FFFFFF" filled="t" stroked="t" coordsize="21600,21600" o:gfxdata="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J&#10;MVkF1wAAAAkBAAAPAAAAAAAAAAEAIAAAACIAAABkcnMvZG93bnJldi54bWxQSwECFAAUAAAACACH&#10;TuJA5Xf5JuwBAADeAwAADgAAAAAAAAABACAAAAAmAQAAZHJzL2Uyb0RvYy54bWxQSwUGAAAAAAYA&#10;BgBZAQAAhAUAAAAA&#10;">
                <v:fill on="t" focussize="0,0"/>
                <v:stroke color="#000000" joinstyle="miter"/>
                <v:imagedata o:title=""/>
                <o:lock v:ext="edit" aspectratio="f"/>
                <v:textbox>
                  <w:txbxContent>
                    <w:p>
                      <w:r>
                        <w:rPr>
                          <w:rFonts w:hint="eastAsia"/>
                        </w:rPr>
                        <w:t>破碎</w:t>
                      </w:r>
                      <w:r>
                        <w:rPr>
                          <w:rFonts w:hint="eastAsia" w:ascii="宋体" w:hAnsi="宋体"/>
                          <w:szCs w:val="21"/>
                        </w:rPr>
                        <w:t>※△</w:t>
                      </w:r>
                    </w:p>
                  </w:txbxContent>
                </v:textbox>
              </v:rect>
            </w:pict>
          </mc:Fallback>
        </mc:AlternateContent>
      </w:r>
      <w:r>
        <w:rPr>
          <w:rFonts w:ascii="宋体" w:hAnsi="宋体"/>
          <w:sz w:val="20"/>
        </w:rPr>
        <mc:AlternateContent>
          <mc:Choice Requires="wps">
            <w:drawing>
              <wp:anchor distT="0" distB="0" distL="114300" distR="114300" simplePos="0" relativeHeight="251934720" behindDoc="0" locked="0" layoutInCell="1" allowOverlap="1">
                <wp:simplePos x="0" y="0"/>
                <wp:positionH relativeFrom="column">
                  <wp:posOffset>480695</wp:posOffset>
                </wp:positionH>
                <wp:positionV relativeFrom="paragraph">
                  <wp:posOffset>252095</wp:posOffset>
                </wp:positionV>
                <wp:extent cx="775970" cy="495300"/>
                <wp:effectExtent l="4445" t="4445" r="19685" b="14605"/>
                <wp:wrapNone/>
                <wp:docPr id="458" name="矩形 458"/>
                <wp:cNvGraphicFramePr/>
                <a:graphic xmlns:a="http://schemas.openxmlformats.org/drawingml/2006/main">
                  <a:graphicData uri="http://schemas.microsoft.com/office/word/2010/wordprocessingShape">
                    <wps:wsp>
                      <wps:cNvSpPr/>
                      <wps:spPr>
                        <a:xfrm>
                          <a:off x="0" y="0"/>
                          <a:ext cx="77597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预均化</w:t>
                            </w:r>
                          </w:p>
                          <w:p>
                            <w:pPr>
                              <w:jc w:val="center"/>
                            </w:pPr>
                            <w:r>
                              <w:rPr>
                                <w:rFonts w:hint="eastAsia"/>
                              </w:rPr>
                              <w:t>堆场</w:t>
                            </w:r>
                            <w:r>
                              <w:rPr>
                                <w:rFonts w:hint="eastAsia" w:ascii="宋体" w:hAnsi="宋体"/>
                                <w:szCs w:val="21"/>
                              </w:rPr>
                              <w:t>※</w:t>
                            </w:r>
                          </w:p>
                        </w:txbxContent>
                      </wps:txbx>
                      <wps:bodyPr upright="1"/>
                    </wps:wsp>
                  </a:graphicData>
                </a:graphic>
              </wp:anchor>
            </w:drawing>
          </mc:Choice>
          <mc:Fallback>
            <w:pict>
              <v:rect id="_x0000_s1026" o:spid="_x0000_s1026" o:spt="1" style="position:absolute;left:0pt;margin-left:37.85pt;margin-top:19.85pt;height:39pt;width:61.1pt;z-index:251934720;mso-width-relative:page;mso-height-relative:page;" fillcolor="#FFFFFF" filled="t" stroked="t" coordsize="21600,21600" o:gfxdata="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lY&#10;uOvXAAAACQEAAA8AAAAAAAAAAQAgAAAAIgAAAGRycy9kb3ducmV2LnhtbFBLAQIUABQAAAAIAIdO&#10;4kCRSsku6wEAAN4DAAAOAAAAAAAAAAEAIAAAACYBAABkcnMvZTJvRG9jLnhtbFBLBQYAAAAABgAG&#10;AFkBAACDBQAAAAA=&#10;">
                <v:fill on="t" focussize="0,0"/>
                <v:stroke color="#000000" joinstyle="miter"/>
                <v:imagedata o:title=""/>
                <o:lock v:ext="edit" aspectratio="f"/>
                <v:textbox>
                  <w:txbxContent>
                    <w:p>
                      <w:pPr>
                        <w:jc w:val="center"/>
                        <w:rPr>
                          <w:rFonts w:hint="eastAsia"/>
                        </w:rPr>
                      </w:pPr>
                      <w:r>
                        <w:rPr>
                          <w:rFonts w:hint="eastAsia"/>
                        </w:rPr>
                        <w:t>预均化</w:t>
                      </w:r>
                    </w:p>
                    <w:p>
                      <w:pPr>
                        <w:jc w:val="center"/>
                      </w:pPr>
                      <w:r>
                        <w:rPr>
                          <w:rFonts w:hint="eastAsia"/>
                        </w:rPr>
                        <w:t>堆场</w:t>
                      </w:r>
                      <w:r>
                        <w:rPr>
                          <w:rFonts w:hint="eastAsia" w:ascii="宋体" w:hAnsi="宋体"/>
                          <w:szCs w:val="21"/>
                        </w:rPr>
                        <w:t>※</w:t>
                      </w:r>
                    </w:p>
                  </w:txbxContent>
                </v:textbox>
              </v:rect>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923456" behindDoc="0" locked="0" layoutInCell="1" allowOverlap="1">
                <wp:simplePos x="0" y="0"/>
                <wp:positionH relativeFrom="column">
                  <wp:posOffset>3700145</wp:posOffset>
                </wp:positionH>
                <wp:positionV relativeFrom="paragraph">
                  <wp:posOffset>118110</wp:posOffset>
                </wp:positionV>
                <wp:extent cx="466725" cy="198120"/>
                <wp:effectExtent l="0" t="0" r="9525" b="11430"/>
                <wp:wrapNone/>
                <wp:docPr id="465" name="矩形 465"/>
                <wp:cNvGraphicFramePr/>
                <a:graphic xmlns:a="http://schemas.openxmlformats.org/drawingml/2006/main">
                  <a:graphicData uri="http://schemas.microsoft.com/office/word/2010/wordprocessingShape">
                    <wps:wsp>
                      <wps:cNvSpPr/>
                      <wps:spPr>
                        <a:xfrm flipV="1">
                          <a:off x="0" y="0"/>
                          <a:ext cx="466725" cy="198120"/>
                        </a:xfrm>
                        <a:prstGeom prst="rect">
                          <a:avLst/>
                        </a:prstGeom>
                        <a:solidFill>
                          <a:srgbClr val="FFFFFF"/>
                        </a:solidFill>
                        <a:ln>
                          <a:noFill/>
                        </a:ln>
                      </wps:spPr>
                      <wps:txbx>
                        <w:txbxContent>
                          <w:p>
                            <w:pPr>
                              <w:spacing w:line="240" w:lineRule="exact"/>
                              <w:jc w:val="center"/>
                              <w:rPr>
                                <w:rFonts w:hint="eastAsia"/>
                              </w:rPr>
                            </w:pPr>
                            <w:r>
                              <w:rPr>
                                <w:rFonts w:hint="eastAsia"/>
                              </w:rPr>
                              <w:t>硫酸渣</w:t>
                            </w:r>
                          </w:p>
                        </w:txbxContent>
                      </wps:txbx>
                      <wps:bodyPr lIns="0" tIns="0" rIns="0" bIns="0" upright="1"/>
                    </wps:wsp>
                  </a:graphicData>
                </a:graphic>
              </wp:anchor>
            </w:drawing>
          </mc:Choice>
          <mc:Fallback>
            <w:pict>
              <v:rect id="_x0000_s1026" o:spid="_x0000_s1026" o:spt="1" style="position:absolute;left:0pt;flip:y;margin-left:291.35pt;margin-top:9.3pt;height:15.6pt;width:36.75pt;z-index:251923456;mso-width-relative:page;mso-height-relative:page;" fillcolor="#FFFFFF" filled="t" stroked="f" coordsize="21600,21600" o:gfxdata="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j&#10;uFSK1wAAAAkBAAAPAAAAAAAAAAEAIAAAACIAAABkcnMvZG93bnJldi54bWxQSwECFAAUAAAACACH&#10;TuJA7mbKjbMBAABNAwAADgAAAAAAAAABACAAAAAmAQAAZHJzL2Uyb0RvYy54bWxQSwUGAAAAAAYA&#10;BgBZAQAASwUAAAAA&#10;">
                <v:fill on="t" focussize="0,0"/>
                <v:stroke on="f"/>
                <v:imagedata o:title=""/>
                <o:lock v:ext="edit" aspectratio="f"/>
                <v:textbox inset="0mm,0mm,0mm,0mm">
                  <w:txbxContent>
                    <w:p>
                      <w:pPr>
                        <w:spacing w:line="240" w:lineRule="exact"/>
                        <w:jc w:val="center"/>
                        <w:rPr>
                          <w:rFonts w:hint="eastAsia"/>
                        </w:rPr>
                      </w:pPr>
                      <w:r>
                        <w:rPr>
                          <w:rFonts w:hint="eastAsia"/>
                        </w:rPr>
                        <w:t>硫酸渣</w:t>
                      </w:r>
                    </w:p>
                  </w:txbxContent>
                </v:textbox>
              </v:rect>
            </w:pict>
          </mc:Fallback>
        </mc:AlternateContent>
      </w:r>
      <w:r>
        <w:rPr>
          <w:rFonts w:ascii="宋体" w:hAnsi="宋体"/>
        </w:rPr>
        <mc:AlternateContent>
          <mc:Choice Requires="wps">
            <w:drawing>
              <wp:anchor distT="0" distB="0" distL="114300" distR="114300" simplePos="0" relativeHeight="251958272" behindDoc="0" locked="0" layoutInCell="1" allowOverlap="1">
                <wp:simplePos x="0" y="0"/>
                <wp:positionH relativeFrom="column">
                  <wp:posOffset>4914900</wp:posOffset>
                </wp:positionH>
                <wp:positionV relativeFrom="paragraph">
                  <wp:posOffset>167640</wp:posOffset>
                </wp:positionV>
                <wp:extent cx="0" cy="396240"/>
                <wp:effectExtent l="38100" t="0" r="38100" b="3810"/>
                <wp:wrapNone/>
                <wp:docPr id="471" name="直接连接符 47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87pt;margin-top:13.2pt;height:31.2pt;width:0pt;z-index:251958272;mso-width-relative:page;mso-height-relative:page;" filled="f" stroked="t" coordsize="21600,21600" o:gfxdata="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Gb4A3ZAAAA&#10;CQEAAA8AAAAAAAAAAQAgAAAAIgAAAGRycy9kb3ducmV2LnhtbFBLAQIUABQAAAAIAIdO4kD69DGN&#10;4wEAAJ0DAAAOAAAAAAAAAAEAIAAAACgBAABkcnMvZTJvRG9jLnhtbFBLBQYAAAAABgAGAFkBAAB9&#10;BQAAAAA=&#10;">
                <v:fill on="f" focussize="0,0"/>
                <v:stroke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rPr>
        <mc:AlternateContent>
          <mc:Choice Requires="wps">
            <w:drawing>
              <wp:anchor distT="0" distB="0" distL="114300" distR="114300" simplePos="0" relativeHeight="251948032" behindDoc="0" locked="0" layoutInCell="1" allowOverlap="1">
                <wp:simplePos x="0" y="0"/>
                <wp:positionH relativeFrom="column">
                  <wp:posOffset>3966845</wp:posOffset>
                </wp:positionH>
                <wp:positionV relativeFrom="paragraph">
                  <wp:posOffset>60960</wp:posOffset>
                </wp:positionV>
                <wp:extent cx="6350" cy="375285"/>
                <wp:effectExtent l="36830" t="0" r="33020" b="5715"/>
                <wp:wrapNone/>
                <wp:docPr id="454" name="直接连接符 454"/>
                <wp:cNvGraphicFramePr/>
                <a:graphic xmlns:a="http://schemas.openxmlformats.org/drawingml/2006/main">
                  <a:graphicData uri="http://schemas.microsoft.com/office/word/2010/wordprocessingShape">
                    <wps:wsp>
                      <wps:cNvCnPr/>
                      <wps:spPr>
                        <a:xfrm flipH="1">
                          <a:off x="0" y="0"/>
                          <a:ext cx="6350" cy="3752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12.35pt;margin-top:4.8pt;height:29.55pt;width:0.5pt;z-index:251948032;mso-width-relative:page;mso-height-relative:page;" filled="f" stroked="t" coordsize="21600,21600" o:gfxdata="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12P2AAAAAgBAAAPAAAAAAAAAAEAIAAAACIAAABkcnMvZG93bnJldi54bWxQSwECFAAUAAAA&#10;CACHTuJA6mEyaO4BAACqAwAADgAAAAAAAAABACAAAAAnAQAAZHJzL2Uyb0RvYy54bWxQSwUGAAAA&#10;AAYABgBZAQAAhwU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945984" behindDoc="0" locked="0" layoutInCell="1" allowOverlap="1">
                <wp:simplePos x="0" y="0"/>
                <wp:positionH relativeFrom="column">
                  <wp:posOffset>1990090</wp:posOffset>
                </wp:positionH>
                <wp:positionV relativeFrom="paragraph">
                  <wp:posOffset>168275</wp:posOffset>
                </wp:positionV>
                <wp:extent cx="0" cy="297180"/>
                <wp:effectExtent l="38100" t="0" r="38100" b="7620"/>
                <wp:wrapNone/>
                <wp:docPr id="466" name="直接连接符 46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6.7pt;margin-top:13.25pt;height:23.4pt;width:0pt;z-index:251945984;mso-width-relative:page;mso-height-relative:page;" filled="f" stroked="t" coordsize="21600,21600" o:gfxdata="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FEW5jZAAAA&#10;CQEAAA8AAAAAAAAAAQAgAAAAIgAAAGRycy9kb3ducmV2LnhtbFBLAQIUABQAAAAIAIdO4kCGzII+&#10;4wEAAJ0DAAAOAAAAAAAAAAEAIAAAACgBAABkcnMvZTJvRG9jLnhtbFBLBQYAAAAABgAGAFkBAAB9&#10;BQ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947008" behindDoc="0" locked="0" layoutInCell="1" allowOverlap="1">
                <wp:simplePos x="0" y="0"/>
                <wp:positionH relativeFrom="column">
                  <wp:posOffset>3138170</wp:posOffset>
                </wp:positionH>
                <wp:positionV relativeFrom="paragraph">
                  <wp:posOffset>160020</wp:posOffset>
                </wp:positionV>
                <wp:extent cx="0" cy="297180"/>
                <wp:effectExtent l="38100" t="0" r="38100" b="7620"/>
                <wp:wrapNone/>
                <wp:docPr id="449" name="直接连接符 44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7.1pt;margin-top:12.6pt;height:23.4pt;width:0pt;z-index:251947008;mso-width-relative:page;mso-height-relative:page;" filled="f" stroked="t" coordsize="21600,21600" o:gfxdata="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4VVVtgAAAAJ&#10;AQAADwAAAAAAAAABACAAAAAiAAAAZHJzL2Rvd25yZXYueG1sUEsBAhQAFAAAAAgAh07iQLDEUWPj&#10;AQAAnQMAAA4AAAAAAAAAAQAgAAAAJwEAAGRycy9lMm9Eb2MueG1sUEsFBgAAAAAGAAYAWQEAAHwF&#10;A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931648" behindDoc="0" locked="0" layoutInCell="1" allowOverlap="1">
                <wp:simplePos x="0" y="0"/>
                <wp:positionH relativeFrom="column">
                  <wp:posOffset>4542790</wp:posOffset>
                </wp:positionH>
                <wp:positionV relativeFrom="paragraph">
                  <wp:posOffset>254635</wp:posOffset>
                </wp:positionV>
                <wp:extent cx="1057910" cy="202565"/>
                <wp:effectExtent l="4445" t="4445" r="23495" b="21590"/>
                <wp:wrapNone/>
                <wp:docPr id="460" name="矩形 460"/>
                <wp:cNvGraphicFramePr/>
                <a:graphic xmlns:a="http://schemas.openxmlformats.org/drawingml/2006/main">
                  <a:graphicData uri="http://schemas.microsoft.com/office/word/2010/wordprocessingShape">
                    <wps:wsp>
                      <wps:cNvSpPr/>
                      <wps:spPr>
                        <a:xfrm flipV="1">
                          <a:off x="0" y="0"/>
                          <a:ext cx="1057910" cy="2025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rPr>
                            </w:pPr>
                            <w:r>
                              <w:rPr>
                                <w:rFonts w:hint="eastAsia"/>
                              </w:rPr>
                              <w:t>预均化堆场</w:t>
                            </w:r>
                            <w:r>
                              <w:rPr>
                                <w:rFonts w:hint="eastAsia" w:ascii="宋体" w:hAnsi="宋体"/>
                                <w:szCs w:val="21"/>
                              </w:rPr>
                              <w:t>※△</w:t>
                            </w:r>
                          </w:p>
                        </w:txbxContent>
                      </wps:txbx>
                      <wps:bodyPr lIns="0" tIns="0" rIns="0" bIns="0" upright="1"/>
                    </wps:wsp>
                  </a:graphicData>
                </a:graphic>
              </wp:anchor>
            </w:drawing>
          </mc:Choice>
          <mc:Fallback>
            <w:pict>
              <v:rect id="_x0000_s1026" o:spid="_x0000_s1026" o:spt="1" style="position:absolute;left:0pt;flip:y;margin-left:357.7pt;margin-top:20.05pt;height:15.95pt;width:83.3pt;z-index:251931648;mso-width-relative:page;mso-height-relative:page;" fillcolor="#FFFFFF" filled="t" stroked="t" coordsize="21600,21600" o:gfxdata="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7bfCtcAAAAJAQAADwAAAAAAAAABACAAAAAiAAAAZHJzL2Rvd25yZXYu&#10;eG1sUEsBAhQAFAAAAAgAh07iQDBG70r8AQAADQQAAA4AAAAAAAAAAQAgAAAAJgEAAGRycy9lMm9E&#10;b2MueG1sUEsFBgAAAAAGAAYAWQEAAJQFAAAAAA==&#10;">
                <v:fill on="t" focussize="0,0"/>
                <v:stroke color="#000000" joinstyle="miter"/>
                <v:imagedata o:title=""/>
                <o:lock v:ext="edit" aspectratio="f"/>
                <v:textbox inset="0mm,0mm,0mm,0mm">
                  <w:txbxContent>
                    <w:p>
                      <w:pPr>
                        <w:spacing w:line="240" w:lineRule="exact"/>
                        <w:rPr>
                          <w:rFonts w:hint="eastAsia"/>
                        </w:rPr>
                      </w:pPr>
                      <w:r>
                        <w:rPr>
                          <w:rFonts w:hint="eastAsia"/>
                        </w:rPr>
                        <w:t>预均化堆场</w:t>
                      </w:r>
                      <w:r>
                        <w:rPr>
                          <w:rFonts w:hint="eastAsia" w:ascii="宋体" w:hAnsi="宋体"/>
                          <w:szCs w:val="21"/>
                        </w:rPr>
                        <w:t>※△</w:t>
                      </w:r>
                    </w:p>
                  </w:txbxContent>
                </v:textbox>
              </v:rect>
            </w:pict>
          </mc:Fallback>
        </mc:AlternateContent>
      </w:r>
      <w:r>
        <w:rPr>
          <w:rFonts w:ascii="宋体" w:hAnsi="宋体"/>
        </w:rPr>
        <mc:AlternateContent>
          <mc:Choice Requires="wps">
            <w:drawing>
              <wp:anchor distT="0" distB="0" distL="114300" distR="114300" simplePos="0" relativeHeight="251944960" behindDoc="0" locked="0" layoutInCell="1" allowOverlap="1">
                <wp:simplePos x="0" y="0"/>
                <wp:positionH relativeFrom="column">
                  <wp:posOffset>823595</wp:posOffset>
                </wp:positionH>
                <wp:positionV relativeFrom="paragraph">
                  <wp:posOffset>170180</wp:posOffset>
                </wp:positionV>
                <wp:extent cx="0" cy="297180"/>
                <wp:effectExtent l="38100" t="0" r="38100" b="7620"/>
                <wp:wrapNone/>
                <wp:docPr id="451" name="直接连接符 45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4.85pt;margin-top:13.4pt;height:23.4pt;width:0pt;z-index:251944960;mso-width-relative:page;mso-height-relative:page;" filled="f" stroked="t" coordsize="21600,21600" o:gfxdata="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dk6O32AAAAAkB&#10;AAAPAAAAAAAAAAEAIAAAACIAAABkcnMvZG93bnJldi54bWxQSwECFAAUAAAACACHTuJAzOo64OIB&#10;AACdAwAADgAAAAAAAAABACAAAAAnAQAAZHJzL2Uyb0RvYy54bWxQSwUGAAAAAAYABgBZAQAAewUA&#10;AAAA&#10;">
                <v:fill on="f" focussize="0,0"/>
                <v:stroke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rPr>
        <mc:AlternateContent>
          <mc:Choice Requires="wps">
            <w:drawing>
              <wp:anchor distT="0" distB="0" distL="114300" distR="114300" simplePos="0" relativeHeight="252020736" behindDoc="0" locked="0" layoutInCell="1" allowOverlap="1">
                <wp:simplePos x="0" y="0"/>
                <wp:positionH relativeFrom="column">
                  <wp:posOffset>2286000</wp:posOffset>
                </wp:positionH>
                <wp:positionV relativeFrom="paragraph">
                  <wp:posOffset>227330</wp:posOffset>
                </wp:positionV>
                <wp:extent cx="333375" cy="125095"/>
                <wp:effectExtent l="3810" t="3175" r="5715" b="5080"/>
                <wp:wrapNone/>
                <wp:docPr id="463" name="任意多边形 463"/>
                <wp:cNvGraphicFramePr/>
                <a:graphic xmlns:a="http://schemas.openxmlformats.org/drawingml/2006/main">
                  <a:graphicData uri="http://schemas.microsoft.com/office/word/2010/wordprocessingShape">
                    <wps:wsp>
                      <wps:cNvSpPr/>
                      <wps:spPr>
                        <a:xfrm>
                          <a:off x="0" y="0"/>
                          <a:ext cx="333375" cy="125095"/>
                        </a:xfrm>
                        <a:custGeom>
                          <a:avLst/>
                          <a:gdLst/>
                          <a:ahLst/>
                          <a:cxnLst/>
                          <a:pathLst>
                            <a:path w="510" h="194">
                              <a:moveTo>
                                <a:pt x="0" y="194"/>
                              </a:moveTo>
                              <a:cubicBezTo>
                                <a:pt x="85" y="99"/>
                                <a:pt x="170" y="4"/>
                                <a:pt x="255" y="2"/>
                              </a:cubicBezTo>
                              <a:cubicBezTo>
                                <a:pt x="340" y="0"/>
                                <a:pt x="425" y="91"/>
                                <a:pt x="510" y="182"/>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80pt;margin-top:17.9pt;height:9.85pt;width:26.25pt;z-index:252020736;mso-width-relative:page;mso-height-relative:page;" filled="f" stroked="t" coordsize="510,194" o:gfxdata="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aIEKDXAAAACQEAAA8A&#10;AAAAAAAAAQAgAAAAIgAAAGRycy9kb3ducmV2LnhtbFBLAQIUABQAAAAIAIdO4kAJm1DdUQIAANkE&#10;AAAOAAAAAAAAAAEAIAAAACYBAABkcnMvZTJvRG9jLnhtbFBLBQYAAAAABgAGAFkBAADpBQAAAAA=&#10;" path="m0,194c85,99,170,4,255,2c340,0,425,91,510,182e">
                <v:fill on="f" focussize="0,0"/>
                <v:stroke color="#000000" joinstyle="round"/>
                <v:imagedata o:title=""/>
                <o:lock v:ext="edit" aspectratio="f"/>
              </v:shape>
            </w:pict>
          </mc:Fallback>
        </mc:AlternateContent>
      </w:r>
      <w:r>
        <w:rPr>
          <w:rFonts w:ascii="宋体" w:hAnsi="宋体"/>
        </w:rPr>
        <mc:AlternateContent>
          <mc:Choice Requires="wps">
            <w:drawing>
              <wp:anchor distT="0" distB="0" distL="114300" distR="114300" simplePos="0" relativeHeight="251959296" behindDoc="0" locked="0" layoutInCell="1" allowOverlap="1">
                <wp:simplePos x="0" y="0"/>
                <wp:positionH relativeFrom="column">
                  <wp:posOffset>4919345</wp:posOffset>
                </wp:positionH>
                <wp:positionV relativeFrom="paragraph">
                  <wp:posOffset>160655</wp:posOffset>
                </wp:positionV>
                <wp:extent cx="0" cy="297180"/>
                <wp:effectExtent l="38100" t="0" r="38100" b="7620"/>
                <wp:wrapNone/>
                <wp:docPr id="464" name="直接连接符 46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87.35pt;margin-top:12.65pt;height:23.4pt;width:0pt;z-index:251959296;mso-width-relative:page;mso-height-relative:page;" filled="f" stroked="t" coordsize="21600,21600" o:gfxdata="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92n/K2QAA&#10;AAkBAAAPAAAAAAAAAAEAIAAAACIAAABkcnMvZG93bnJldi54bWxQSwECFAAUAAAACACHTuJANn3/&#10;0eQBAACdAwAADgAAAAAAAAABACAAAAAoAQAAZHJzL2Uyb0RvYy54bWxQSwUGAAAAAAYABgBZAQAA&#10;fgU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935744" behindDoc="0" locked="0" layoutInCell="1" allowOverlap="1">
                <wp:simplePos x="0" y="0"/>
                <wp:positionH relativeFrom="column">
                  <wp:posOffset>2452370</wp:posOffset>
                </wp:positionH>
                <wp:positionV relativeFrom="paragraph">
                  <wp:posOffset>153035</wp:posOffset>
                </wp:positionV>
                <wp:extent cx="0" cy="274320"/>
                <wp:effectExtent l="42545" t="0" r="52705" b="11430"/>
                <wp:wrapNone/>
                <wp:docPr id="447" name="直接连接符 447"/>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3.1pt;margin-top:12.05pt;height:21.6pt;width:0pt;z-index:251935744;mso-width-relative:page;mso-height-relative:page;" filled="f" stroked="t" coordsize="21600,21600" o:gfxdata="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oKY99UAAAAJAQAA&#10;DwAAAAAAAAABACAAAAAiAAAAZHJzL2Rvd25yZXYueG1sUEsBAhQAFAAAAAgAh07iQGx1hv/jAQAA&#10;ngMAAA4AAAAAAAAAAQAgAAAAJAEAAGRycy9lMm9Eb2MueG1sUEsFBgAAAAAGAAYAWQEAAHkFAAAA&#10;AA==&#10;">
                <v:fill on="f" focussize="0,0"/>
                <v:stroke weight="2.25pt"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949056" behindDoc="0" locked="0" layoutInCell="1" allowOverlap="1">
                <wp:simplePos x="0" y="0"/>
                <wp:positionH relativeFrom="column">
                  <wp:posOffset>800100</wp:posOffset>
                </wp:positionH>
                <wp:positionV relativeFrom="paragraph">
                  <wp:posOffset>152400</wp:posOffset>
                </wp:positionV>
                <wp:extent cx="3200400" cy="0"/>
                <wp:effectExtent l="0" t="0" r="0" b="0"/>
                <wp:wrapNone/>
                <wp:docPr id="467" name="直接连接符 467"/>
                <wp:cNvGraphicFramePr/>
                <a:graphic xmlns:a="http://schemas.openxmlformats.org/drawingml/2006/main">
                  <a:graphicData uri="http://schemas.microsoft.com/office/word/2010/wordprocessingShape">
                    <wps:wsp>
                      <wps:cNvCnPr/>
                      <wps:spPr>
                        <a:xfrm>
                          <a:off x="0" y="0"/>
                          <a:ext cx="3200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pt;margin-top:12pt;height:0pt;width:252pt;z-index:251949056;mso-width-relative:page;mso-height-relative:page;" filled="f" stroked="t" coordsize="21600,21600" o:gfxdata="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YNwOL0wAAAAkBAAAPAAAAAAAA&#10;AAEAIAAAACIAAABkcnMvZG93bnJldi54bWxQSwECFAAUAAAACACHTuJADTSAxN4BAACaAwAADgAA&#10;AAAAAAABACAAAAAiAQAAZHJzL2Uyb0RvYy54bWxQSwUGAAAAAAYABgBZAQAAcgUAAAAA&#10;">
                <v:fill on="f" focussize="0,0"/>
                <v:stroke color="#000000" joinstyle="round"/>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932672" behindDoc="0" locked="0" layoutInCell="1" allowOverlap="1">
                <wp:simplePos x="0" y="0"/>
                <wp:positionH relativeFrom="column">
                  <wp:posOffset>4229100</wp:posOffset>
                </wp:positionH>
                <wp:positionV relativeFrom="paragraph">
                  <wp:posOffset>144780</wp:posOffset>
                </wp:positionV>
                <wp:extent cx="1371600" cy="297180"/>
                <wp:effectExtent l="4445" t="4445" r="14605" b="22225"/>
                <wp:wrapNone/>
                <wp:docPr id="445" name="矩形 445"/>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ZGM80立磨</w:t>
                            </w:r>
                            <w:r>
                              <w:rPr>
                                <w:rFonts w:hint="eastAsia" w:ascii="宋体" w:hAnsi="宋体"/>
                                <w:szCs w:val="21"/>
                              </w:rPr>
                              <w:t>※△</w:t>
                            </w:r>
                          </w:p>
                        </w:txbxContent>
                      </wps:txbx>
                      <wps:bodyPr upright="1"/>
                    </wps:wsp>
                  </a:graphicData>
                </a:graphic>
              </wp:anchor>
            </w:drawing>
          </mc:Choice>
          <mc:Fallback>
            <w:pict>
              <v:rect id="_x0000_s1026" o:spid="_x0000_s1026" o:spt="1" style="position:absolute;left:0pt;margin-left:333pt;margin-top:11.4pt;height:23.4pt;width:108pt;z-index:251932672;mso-width-relative:page;mso-height-relative:page;" fillcolor="#FFFFFF" filled="t" stroked="t" coordsize="21600,21600" o:gfxdata="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BA&#10;3BrWAAAACQEAAA8AAAAAAAAAAQAgAAAAIgAAAGRycy9kb3ducmV2LnhtbFBLAQIUABQAAAAIAIdO&#10;4kDKX0qa7AEAAN8DAAAOAAAAAAAAAAEAIAAAACUBAABkcnMvZTJvRG9jLnhtbFBLBQYAAAAABgAG&#10;AFkBAACDBQAAAAA=&#10;">
                <v:fill on="t" focussize="0,0"/>
                <v:stroke color="#000000" joinstyle="miter"/>
                <v:imagedata o:title=""/>
                <o:lock v:ext="edit" aspectratio="f"/>
                <v:textbox>
                  <w:txbxContent>
                    <w:p>
                      <w:pPr>
                        <w:jc w:val="center"/>
                      </w:pPr>
                      <w:r>
                        <w:rPr>
                          <w:rFonts w:hint="eastAsia"/>
                        </w:rPr>
                        <w:t>ZGM80立磨</w:t>
                      </w:r>
                      <w:r>
                        <w:rPr>
                          <w:rFonts w:hint="eastAsia" w:ascii="宋体" w:hAnsi="宋体"/>
                          <w:szCs w:val="21"/>
                        </w:rPr>
                        <w:t>※△</w:t>
                      </w:r>
                    </w:p>
                  </w:txbxContent>
                </v:textbox>
              </v:rect>
            </w:pict>
          </mc:Fallback>
        </mc:AlternateContent>
      </w:r>
      <w:r>
        <w:rPr>
          <w:rFonts w:hint="eastAsia" w:ascii="宋体" w:hAnsi="宋体"/>
        </w:rPr>
        <mc:AlternateContent>
          <mc:Choice Requires="wps">
            <w:drawing>
              <wp:anchor distT="0" distB="0" distL="114300" distR="114300" simplePos="0" relativeHeight="252016640" behindDoc="0" locked="0" layoutInCell="1" allowOverlap="1">
                <wp:simplePos x="0" y="0"/>
                <wp:positionH relativeFrom="column">
                  <wp:posOffset>-228600</wp:posOffset>
                </wp:positionH>
                <wp:positionV relativeFrom="paragraph">
                  <wp:posOffset>45720</wp:posOffset>
                </wp:positionV>
                <wp:extent cx="2514600" cy="0"/>
                <wp:effectExtent l="0" t="0" r="0" b="0"/>
                <wp:wrapNone/>
                <wp:docPr id="455" name="直接连接符 455"/>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8pt;margin-top:3.6pt;height:0pt;width:198pt;z-index:252016640;mso-width-relative:page;mso-height-relative:page;" filled="f" stroked="t" coordsize="21600,21600" o:gfxdata="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HTF3HTAAAABwEAAA8AAAAAAAAA&#10;AQAgAAAAIgAAAGRycy9kb3ducmV2LnhtbFBLAQIUABQAAAAIAIdO4kCq7PsF3QEAAJoDAAAOAAAA&#10;AAAAAAEAIAAAACIBAABkcnMvZTJvRG9jLnhtbFBLBQYAAAAABgAGAFkBAABxBQAAAAA=&#10;">
                <v:fill on="f" focussize="0,0"/>
                <v:stroke color="#000000" joinstyle="round"/>
                <v:imagedata o:title=""/>
                <o:lock v:ext="edit" aspectratio="f"/>
              </v:line>
            </w:pict>
          </mc:Fallback>
        </mc:AlternateContent>
      </w:r>
      <w:r>
        <w:rPr>
          <w:rFonts w:hint="eastAsia" w:ascii="宋体" w:hAnsi="宋体"/>
        </w:rPr>
        <mc:AlternateContent>
          <mc:Choice Requires="wps">
            <w:drawing>
              <wp:anchor distT="0" distB="0" distL="114300" distR="114300" simplePos="0" relativeHeight="252015616" behindDoc="0" locked="0" layoutInCell="1" allowOverlap="1">
                <wp:simplePos x="0" y="0"/>
                <wp:positionH relativeFrom="column">
                  <wp:posOffset>-228600</wp:posOffset>
                </wp:positionH>
                <wp:positionV relativeFrom="paragraph">
                  <wp:posOffset>45720</wp:posOffset>
                </wp:positionV>
                <wp:extent cx="0" cy="2872740"/>
                <wp:effectExtent l="4445" t="0" r="14605" b="3810"/>
                <wp:wrapNone/>
                <wp:docPr id="469" name="直接连接符 469"/>
                <wp:cNvGraphicFramePr/>
                <a:graphic xmlns:a="http://schemas.openxmlformats.org/drawingml/2006/main">
                  <a:graphicData uri="http://schemas.microsoft.com/office/word/2010/wordprocessingShape">
                    <wps:wsp>
                      <wps:cNvCnPr/>
                      <wps:spPr>
                        <a:xfrm flipV="1">
                          <a:off x="0" y="0"/>
                          <a:ext cx="0" cy="28727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8pt;margin-top:3.6pt;height:226.2pt;width:0pt;z-index:252015616;mso-width-relative:page;mso-height-relative:page;" filled="f" stroked="t" coordsize="21600,21600" o:gfxdata="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mYZ3LWAAAA&#10;CQEAAA8AAAAAAAAAAQAgAAAAIgAAAGRycy9kb3ducmV2LnhtbFBLAQIUABQAAAAIAIdO4kDfgLsA&#10;5gEAAKQDAAAOAAAAAAAAAAEAIAAAACUBAABkcnMvZTJvRG9jLnhtbFBLBQYAAAAABgAGAFkBAAB9&#10;BQAAAAA=&#10;">
                <v:fill on="f" focussize="0,0"/>
                <v:stroke color="#000000" joinstyle="round"/>
                <v:imagedata o:title=""/>
                <o:lock v:ext="edit" aspectratio="f"/>
              </v:line>
            </w:pict>
          </mc:Fallback>
        </mc:AlternateContent>
      </w:r>
      <w:r>
        <w:rPr>
          <w:rFonts w:hint="eastAsia" w:ascii="宋体" w:hAnsi="宋体"/>
        </w:rPr>
        <mc:AlternateContent>
          <mc:Choice Requires="wps">
            <w:drawing>
              <wp:anchor distT="0" distB="0" distL="114300" distR="114300" simplePos="0" relativeHeight="252019712" behindDoc="0" locked="0" layoutInCell="1" allowOverlap="1">
                <wp:simplePos x="0" y="0"/>
                <wp:positionH relativeFrom="column">
                  <wp:posOffset>2628900</wp:posOffset>
                </wp:positionH>
                <wp:positionV relativeFrom="paragraph">
                  <wp:posOffset>45720</wp:posOffset>
                </wp:positionV>
                <wp:extent cx="1257300" cy="0"/>
                <wp:effectExtent l="0" t="0" r="0" b="0"/>
                <wp:wrapNone/>
                <wp:docPr id="470" name="直接连接符 470"/>
                <wp:cNvGraphicFramePr/>
                <a:graphic xmlns:a="http://schemas.openxmlformats.org/drawingml/2006/main">
                  <a:graphicData uri="http://schemas.microsoft.com/office/word/2010/wordprocessingShape">
                    <wps:wsp>
                      <wps:cNvCnPr/>
                      <wps:spPr>
                        <a:xfrm flipH="1">
                          <a:off x="0" y="0"/>
                          <a:ext cx="1257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207pt;margin-top:3.6pt;height:0pt;width:99pt;z-index:252019712;mso-width-relative:page;mso-height-relative:page;" filled="f" stroked="t" coordsize="21600,21600" o:gfxdata="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J6ro9QAAAAHAQAA&#10;DwAAAAAAAAABACAAAAAiAAAAZHJzL2Rvd25yZXYueG1sUEsBAhQAFAAAAAgAh07iQC9QJ/7kAQAA&#10;pAMAAA4AAAAAAAAAAQAgAAAAIwEAAGRycy9lMm9Eb2MueG1sUEsFBgAAAAAGAAYAWQEAAHkFAAAA&#10;AA==&#10;">
                <v:fill on="f" focussize="0,0"/>
                <v:stroke color="#000000" joinstyle="round"/>
                <v:imagedata o:title=""/>
                <o:lock v:ext="edit" aspectratio="f"/>
              </v:line>
            </w:pict>
          </mc:Fallback>
        </mc:AlternateContent>
      </w:r>
      <w:r>
        <w:rPr>
          <w:rFonts w:hint="eastAsia" w:ascii="宋体" w:hAnsi="宋体"/>
        </w:rPr>
        <mc:AlternateContent>
          <mc:Choice Requires="wps">
            <w:drawing>
              <wp:anchor distT="0" distB="0" distL="114300" distR="114300" simplePos="0" relativeHeight="252017664" behindDoc="0" locked="0" layoutInCell="1" allowOverlap="1">
                <wp:simplePos x="0" y="0"/>
                <wp:positionH relativeFrom="column">
                  <wp:posOffset>3886200</wp:posOffset>
                </wp:positionH>
                <wp:positionV relativeFrom="paragraph">
                  <wp:posOffset>45720</wp:posOffset>
                </wp:positionV>
                <wp:extent cx="0" cy="297180"/>
                <wp:effectExtent l="4445" t="0" r="14605" b="7620"/>
                <wp:wrapNone/>
                <wp:docPr id="442" name="直接连接符 44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6pt;margin-top:3.6pt;height:23.4pt;width:0pt;z-index:252017664;mso-width-relative:page;mso-height-relative:page;" filled="f" stroked="t" coordsize="21600,21600" o:gfxdata="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t/GE9UAAAAIAQAADwAAAAAA&#10;AAABACAAAAAiAAAAZHJzL2Rvd25yZXYueG1sUEsBAhQAFAAAAAgAh07iQAqhcnndAQAAmQMAAA4A&#10;AAAAAAAAAQAgAAAAJAEAAGRycy9lMm9Eb2MueG1sUEsFBgAAAAAGAAYAWQEAAHMFAAAAAA==&#10;">
                <v:fill on="f" focussize="0,0"/>
                <v:stroke color="#000000" joinstyle="round"/>
                <v:imagedata o:title=""/>
                <o:lock v:ext="edit" aspectratio="f"/>
              </v:line>
            </w:pict>
          </mc:Fallback>
        </mc:AlternateContent>
      </w:r>
      <w:r>
        <w:rPr>
          <w:rFonts w:hint="eastAsia" w:ascii="宋体" w:hAnsi="宋体"/>
        </w:rPr>
        <mc:AlternateContent>
          <mc:Choice Requires="wps">
            <w:drawing>
              <wp:anchor distT="0" distB="0" distL="114300" distR="114300" simplePos="0" relativeHeight="251925504" behindDoc="0" locked="0" layoutInCell="1" allowOverlap="1">
                <wp:simplePos x="0" y="0"/>
                <wp:positionH relativeFrom="column">
                  <wp:posOffset>1912620</wp:posOffset>
                </wp:positionH>
                <wp:positionV relativeFrom="paragraph">
                  <wp:posOffset>99695</wp:posOffset>
                </wp:positionV>
                <wp:extent cx="1061720" cy="297180"/>
                <wp:effectExtent l="4445" t="4445" r="19685" b="22225"/>
                <wp:wrapNone/>
                <wp:docPr id="441" name="矩形 441"/>
                <wp:cNvGraphicFramePr/>
                <a:graphic xmlns:a="http://schemas.openxmlformats.org/drawingml/2006/main">
                  <a:graphicData uri="http://schemas.microsoft.com/office/word/2010/wordprocessingShape">
                    <wps:wsp>
                      <wps:cNvSpPr/>
                      <wps:spPr>
                        <a:xfrm>
                          <a:off x="0" y="0"/>
                          <a:ext cx="106172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原料调配</w:t>
                            </w:r>
                            <w:r>
                              <w:rPr>
                                <w:rFonts w:hint="eastAsia" w:ascii="宋体" w:hAnsi="宋体"/>
                                <w:szCs w:val="21"/>
                              </w:rPr>
                              <w:t>※</w:t>
                            </w:r>
                          </w:p>
                        </w:txbxContent>
                      </wps:txbx>
                      <wps:bodyPr upright="1"/>
                    </wps:wsp>
                  </a:graphicData>
                </a:graphic>
              </wp:anchor>
            </w:drawing>
          </mc:Choice>
          <mc:Fallback>
            <w:pict>
              <v:rect id="_x0000_s1026" o:spid="_x0000_s1026" o:spt="1" style="position:absolute;left:0pt;margin-left:150.6pt;margin-top:7.85pt;height:23.4pt;width:83.6pt;z-index:251925504;mso-width-relative:page;mso-height-relative:page;" fillcolor="#FFFFFF" filled="t" stroked="t" coordsize="21600,21600" o:gfxdata="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qC&#10;hwPYAAAACQEAAA8AAAAAAAAAAQAgAAAAIgAAAGRycy9kb3ducmV2LnhtbFBLAQIUABQAAAAIAIdO&#10;4kCBwxbg6gEAAN8DAAAOAAAAAAAAAAEAIAAAACcBAABkcnMvZTJvRG9jLnhtbFBLBQYAAAAABgAG&#10;AFkBAACDBQAAAAA=&#10;">
                <v:fill on="t" focussize="0,0"/>
                <v:stroke color="#000000" joinstyle="miter"/>
                <v:imagedata o:title=""/>
                <o:lock v:ext="edit" aspectratio="f"/>
                <v:textbox>
                  <w:txbxContent>
                    <w:p>
                      <w:pPr>
                        <w:jc w:val="center"/>
                      </w:pPr>
                      <w:r>
                        <w:rPr>
                          <w:rFonts w:hint="eastAsia"/>
                        </w:rPr>
                        <w:t>原料调配</w:t>
                      </w:r>
                      <w:r>
                        <w:rPr>
                          <w:rFonts w:hint="eastAsia" w:ascii="宋体" w:hAnsi="宋体"/>
                          <w:szCs w:val="21"/>
                        </w:rPr>
                        <w:t>※</w:t>
                      </w:r>
                    </w:p>
                  </w:txbxContent>
                </v:textbox>
              </v:rect>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2005376" behindDoc="0" locked="0" layoutInCell="1" allowOverlap="1">
                <wp:simplePos x="0" y="0"/>
                <wp:positionH relativeFrom="column">
                  <wp:posOffset>1188720</wp:posOffset>
                </wp:positionH>
                <wp:positionV relativeFrom="paragraph">
                  <wp:posOffset>209550</wp:posOffset>
                </wp:positionV>
                <wp:extent cx="1143000" cy="297180"/>
                <wp:effectExtent l="0" t="0" r="0" b="0"/>
                <wp:wrapNone/>
                <wp:docPr id="440" name="文本框 440"/>
                <wp:cNvGraphicFramePr/>
                <a:graphic xmlns:a="http://schemas.openxmlformats.org/drawingml/2006/main">
                  <a:graphicData uri="http://schemas.microsoft.com/office/word/2010/wordprocessingShape">
                    <wps:wsp>
                      <wps:cNvSpPr txBox="1"/>
                      <wps:spPr>
                        <a:xfrm>
                          <a:off x="0" y="0"/>
                          <a:ext cx="1143000" cy="297180"/>
                        </a:xfrm>
                        <a:prstGeom prst="rect">
                          <a:avLst/>
                        </a:prstGeom>
                        <a:solidFill>
                          <a:srgbClr val="FFFFFF">
                            <a:alpha val="0"/>
                          </a:srgbClr>
                        </a:solidFill>
                        <a:ln>
                          <a:noFill/>
                        </a:ln>
                      </wps:spPr>
                      <wps:txbx>
                        <w:txbxContent>
                          <w:p>
                            <w:pPr>
                              <w:rPr>
                                <w:rFonts w:hint="eastAsia"/>
                              </w:rPr>
                            </w:pPr>
                            <w:r>
                              <w:rPr>
                                <w:rFonts w:hint="eastAsia"/>
                              </w:rPr>
                              <w:t>粉磨废气</w:t>
                            </w:r>
                          </w:p>
                        </w:txbxContent>
                      </wps:txbx>
                      <wps:bodyPr upright="1"/>
                    </wps:wsp>
                  </a:graphicData>
                </a:graphic>
              </wp:anchor>
            </w:drawing>
          </mc:Choice>
          <mc:Fallback>
            <w:pict>
              <v:shape id="_x0000_s1026" o:spid="_x0000_s1026" o:spt="202" type="#_x0000_t202" style="position:absolute;left:0pt;margin-left:93.6pt;margin-top:16.5pt;height:23.4pt;width:90pt;z-index:252005376;mso-width-relative:page;mso-height-relative:page;" fillcolor="#FFFFFF" filled="t" stroked="f" coordsize="21600,21600" o:gfxdata="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82z61wAAAAkBAAAPAAAAAAAAAAEAIAAAACIAAABkcnMvZG93bnJldi54bWxQSwECFAAUAAAACACH&#10;TuJAbcoR6rMBAABKAwAADgAAAAAAAAABACAAAAAmAQAAZHJzL2Uyb0RvYy54bWxQSwUGAAAAAAYA&#10;BgBZAQAASwUAAAAA&#10;">
                <v:fill on="t" opacity="0f" focussize="0,0"/>
                <v:stroke on="f"/>
                <v:imagedata o:title=""/>
                <o:lock v:ext="edit" aspectratio="f"/>
                <v:textbox>
                  <w:txbxContent>
                    <w:p>
                      <w:pPr>
                        <w:rPr>
                          <w:rFonts w:hint="eastAsia"/>
                        </w:rPr>
                      </w:pPr>
                      <w:r>
                        <w:rPr>
                          <w:rFonts w:hint="eastAsia"/>
                        </w:rPr>
                        <w:t>粉磨废气</w:t>
                      </w:r>
                    </w:p>
                  </w:txbxContent>
                </v:textbox>
              </v:shape>
            </w:pict>
          </mc:Fallback>
        </mc:AlternateContent>
      </w:r>
      <w:r>
        <w:rPr>
          <w:rFonts w:hint="eastAsia" w:ascii="宋体" w:hAnsi="宋体"/>
        </w:rPr>
        <mc:AlternateContent>
          <mc:Choice Requires="wps">
            <w:drawing>
              <wp:anchor distT="0" distB="0" distL="114300" distR="114300" simplePos="0" relativeHeight="252018688" behindDoc="0" locked="0" layoutInCell="1" allowOverlap="1">
                <wp:simplePos x="0" y="0"/>
                <wp:positionH relativeFrom="column">
                  <wp:posOffset>3886200</wp:posOffset>
                </wp:positionH>
                <wp:positionV relativeFrom="paragraph">
                  <wp:posOffset>38100</wp:posOffset>
                </wp:positionV>
                <wp:extent cx="342900" cy="0"/>
                <wp:effectExtent l="0" t="38100" r="0" b="38100"/>
                <wp:wrapNone/>
                <wp:docPr id="457" name="直接连接符 457"/>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6pt;margin-top:3pt;height:0pt;width:27pt;z-index:252018688;mso-width-relative:page;mso-height-relative:page;" filled="f" stroked="t" coordsize="21600,21600" o:gfxdata="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A2RFE9UAAAAHAQAA&#10;DwAAAAAAAAABACAAAAAiAAAAZHJzL2Rvd25yZXYueG1sUEsBAhQAFAAAAAgAh07iQEwXIkzjAQAA&#10;nQMAAA4AAAAAAAAAAQAgAAAAJAEAAGRycy9lMm9Eb2MueG1sUEsFBgAAAAAGAAYAWQEAAHkFAAAA&#10;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987968" behindDoc="0" locked="0" layoutInCell="1" allowOverlap="1">
                <wp:simplePos x="0" y="0"/>
                <wp:positionH relativeFrom="column">
                  <wp:posOffset>2971800</wp:posOffset>
                </wp:positionH>
                <wp:positionV relativeFrom="paragraph">
                  <wp:posOffset>236220</wp:posOffset>
                </wp:positionV>
                <wp:extent cx="1143000" cy="297180"/>
                <wp:effectExtent l="0" t="0" r="0" b="0"/>
                <wp:wrapNone/>
                <wp:docPr id="444" name="文本框 444"/>
                <wp:cNvGraphicFramePr/>
                <a:graphic xmlns:a="http://schemas.openxmlformats.org/drawingml/2006/main">
                  <a:graphicData uri="http://schemas.microsoft.com/office/word/2010/wordprocessingShape">
                    <wps:wsp>
                      <wps:cNvSpPr txBox="1"/>
                      <wps:spPr>
                        <a:xfrm>
                          <a:off x="0" y="0"/>
                          <a:ext cx="1143000" cy="297180"/>
                        </a:xfrm>
                        <a:prstGeom prst="rect">
                          <a:avLst/>
                        </a:prstGeom>
                        <a:solidFill>
                          <a:srgbClr val="FFFFFF">
                            <a:alpha val="0"/>
                          </a:srgbClr>
                        </a:solidFill>
                        <a:ln>
                          <a:noFill/>
                        </a:ln>
                      </wps:spPr>
                      <wps:txbx>
                        <w:txbxContent>
                          <w:p>
                            <w:pPr>
                              <w:rPr>
                                <w:rFonts w:hint="eastAsia"/>
                              </w:rPr>
                            </w:pPr>
                            <w:r>
                              <w:rPr>
                                <w:rFonts w:hint="eastAsia"/>
                              </w:rPr>
                              <w:t>锅炉废气</w:t>
                            </w:r>
                          </w:p>
                        </w:txbxContent>
                      </wps:txbx>
                      <wps:bodyPr upright="1"/>
                    </wps:wsp>
                  </a:graphicData>
                </a:graphic>
              </wp:anchor>
            </w:drawing>
          </mc:Choice>
          <mc:Fallback>
            <w:pict>
              <v:shape id="_x0000_s1026" o:spid="_x0000_s1026" o:spt="202" type="#_x0000_t202" style="position:absolute;left:0pt;margin-left:234pt;margin-top:18.6pt;height:23.4pt;width:90pt;z-index:251987968;mso-width-relative:page;mso-height-relative:page;" fillcolor="#FFFFFF" filled="t" stroked="f" coordsize="21600,21600" o:gfxdata="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zUoWdgAAAAJAQAADwAAAAAAAAABACAAAAAiAAAAZHJzL2Rvd25yZXYueG1sUEsBAhQAFAAAAAgA&#10;h07iQM8kXkyzAQAASgMAAA4AAAAAAAAAAQAgAAAAJwEAAGRycy9lMm9Eb2MueG1sUEsFBgAAAAAG&#10;AAYAWQEAAEwFAAAAAA==&#10;">
                <v:fill on="t" opacity="0f" focussize="0,0"/>
                <v:stroke on="f"/>
                <v:imagedata o:title=""/>
                <o:lock v:ext="edit" aspectratio="f"/>
                <v:textbox>
                  <w:txbxContent>
                    <w:p>
                      <w:pPr>
                        <w:rPr>
                          <w:rFonts w:hint="eastAsia"/>
                        </w:rPr>
                      </w:pPr>
                      <w:r>
                        <w:rPr>
                          <w:rFonts w:hint="eastAsia"/>
                        </w:rPr>
                        <w:t>锅炉废气</w:t>
                      </w:r>
                    </w:p>
                  </w:txbxContent>
                </v:textbox>
              </v:shape>
            </w:pict>
          </mc:Fallback>
        </mc:AlternateContent>
      </w:r>
      <w:r>
        <w:rPr>
          <w:rFonts w:hint="eastAsia" w:ascii="宋体" w:hAnsi="宋体"/>
        </w:rPr>
        <mc:AlternateContent>
          <mc:Choice Requires="wps">
            <w:drawing>
              <wp:anchor distT="0" distB="0" distL="114300" distR="114300" simplePos="0" relativeHeight="251957248" behindDoc="0" locked="0" layoutInCell="1" allowOverlap="1">
                <wp:simplePos x="0" y="0"/>
                <wp:positionH relativeFrom="column">
                  <wp:posOffset>4914265</wp:posOffset>
                </wp:positionH>
                <wp:positionV relativeFrom="paragraph">
                  <wp:posOffset>123190</wp:posOffset>
                </wp:positionV>
                <wp:extent cx="0" cy="297180"/>
                <wp:effectExtent l="38100" t="0" r="38100" b="7620"/>
                <wp:wrapNone/>
                <wp:docPr id="446" name="直接连接符 44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86.95pt;margin-top:9.7pt;height:23.4pt;width:0pt;z-index:251957248;mso-width-relative:page;mso-height-relative:page;" filled="f" stroked="t" coordsize="21600,21600" o:gfxdata="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5FaHL2QAA&#10;AAkBAAAPAAAAAAAAAAEAIAAAACIAAABkcnMvZG93bnJldi54bWxQSwECFAAUAAAACACHTuJAuwIM&#10;9eQBAACdAwAADgAAAAAAAAABACAAAAAoAQAAZHJzL2Uyb0RvYy54bWxQSwUGAAAAAAYABgBZAQAA&#10;fgU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950080" behindDoc="0" locked="0" layoutInCell="1" allowOverlap="1">
                <wp:simplePos x="0" y="0"/>
                <wp:positionH relativeFrom="column">
                  <wp:posOffset>2437765</wp:posOffset>
                </wp:positionH>
                <wp:positionV relativeFrom="paragraph">
                  <wp:posOffset>107950</wp:posOffset>
                </wp:positionV>
                <wp:extent cx="0" cy="274320"/>
                <wp:effectExtent l="42545" t="0" r="52705" b="11430"/>
                <wp:wrapNone/>
                <wp:docPr id="448" name="直接连接符 448"/>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1.95pt;margin-top:8.5pt;height:21.6pt;width:0pt;z-index:251950080;mso-width-relative:page;mso-height-relative:page;" filled="f" stroked="t" coordsize="21600,21600" o:gfxdata="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7OmgdUAAAAJAQAA&#10;DwAAAAAAAAABACAAAAAiAAAAZHJzL2Rvd25yZXYueG1sUEsBAhQAFAAAAAgAh07iQCLxwmjjAQAA&#10;ngMAAA4AAAAAAAAAAQAgAAAAJAEAAGRycy9lMm9Eb2MueG1sUEsFBgAAAAAGAAYAWQEAAHkFAAAA&#10;AA==&#10;">
                <v:fill on="f" focussize="0,0"/>
                <v:stroke weight="2.25pt"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1979776" behindDoc="0" locked="0" layoutInCell="1" allowOverlap="1">
                <wp:simplePos x="0" y="0"/>
                <wp:positionH relativeFrom="column">
                  <wp:posOffset>-228600</wp:posOffset>
                </wp:positionH>
                <wp:positionV relativeFrom="paragraph">
                  <wp:posOffset>30480</wp:posOffset>
                </wp:positionV>
                <wp:extent cx="1342390" cy="297180"/>
                <wp:effectExtent l="0" t="0" r="10160" b="7620"/>
                <wp:wrapNone/>
                <wp:docPr id="456" name="矩形 456"/>
                <wp:cNvGraphicFramePr/>
                <a:graphic xmlns:a="http://schemas.openxmlformats.org/drawingml/2006/main">
                  <a:graphicData uri="http://schemas.microsoft.com/office/word/2010/wordprocessingShape">
                    <wps:wsp>
                      <wps:cNvSpPr/>
                      <wps:spPr>
                        <a:xfrm>
                          <a:off x="0" y="0"/>
                          <a:ext cx="1342390" cy="297180"/>
                        </a:xfrm>
                        <a:prstGeom prst="rect">
                          <a:avLst/>
                        </a:prstGeom>
                        <a:solidFill>
                          <a:srgbClr val="FFFFFF"/>
                        </a:solidFill>
                        <a:ln>
                          <a:noFill/>
                        </a:ln>
                      </wps:spPr>
                      <wps:txbx>
                        <w:txbxContent>
                          <w:p>
                            <w:pPr>
                              <w:jc w:val="center"/>
                            </w:pPr>
                            <w:r>
                              <w:rPr>
                                <w:rFonts w:hint="eastAsia" w:ascii="宋体" w:hAnsi="宋体"/>
                                <w:szCs w:val="21"/>
                              </w:rPr>
                              <w:t>※PM</w:t>
                            </w:r>
                            <w:r>
                              <w:rPr>
                                <w:rFonts w:hint="eastAsia" w:ascii="宋体" w:hAnsi="宋体"/>
                                <w:szCs w:val="21"/>
                                <w:vertAlign w:val="subscript"/>
                              </w:rPr>
                              <w:t>10</w:t>
                            </w:r>
                            <w:r>
                              <w:rPr>
                                <w:rFonts w:hint="eastAsia" w:ascii="宋体" w:hAnsi="宋体"/>
                                <w:szCs w:val="21"/>
                              </w:rPr>
                              <w:t>、SO</w:t>
                            </w:r>
                            <w:r>
                              <w:rPr>
                                <w:rFonts w:hint="eastAsia" w:ascii="宋体" w:hAnsi="宋体"/>
                                <w:szCs w:val="21"/>
                                <w:vertAlign w:val="subscript"/>
                              </w:rPr>
                              <w:t>2</w:t>
                            </w:r>
                            <w:r>
                              <w:rPr>
                                <w:rFonts w:hint="eastAsia" w:ascii="宋体" w:hAnsi="宋体"/>
                                <w:szCs w:val="21"/>
                              </w:rPr>
                              <w:t>、NO</w:t>
                            </w:r>
                            <w:r>
                              <w:rPr>
                                <w:rFonts w:hint="eastAsia" w:ascii="宋体" w:hAnsi="宋体"/>
                                <w:szCs w:val="21"/>
                                <w:vertAlign w:val="subscript"/>
                              </w:rPr>
                              <w:t>2</w:t>
                            </w:r>
                          </w:p>
                          <w:p/>
                        </w:txbxContent>
                      </wps:txbx>
                      <wps:bodyPr upright="1"/>
                    </wps:wsp>
                  </a:graphicData>
                </a:graphic>
              </wp:anchor>
            </w:drawing>
          </mc:Choice>
          <mc:Fallback>
            <w:pict>
              <v:rect id="_x0000_s1026" o:spid="_x0000_s1026" o:spt="1" style="position:absolute;left:0pt;margin-left:-18pt;margin-top:2.4pt;height:23.4pt;width:105.7pt;z-index:251979776;mso-width-relative:page;mso-height-relative:page;" fillcolor="#FFFFFF" filled="t" stroked="f" coordsize="21600,21600" o:gfxdata="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MmKa9NYAAAAIAQAADwAAAAAAAAAB&#10;ACAAAAAiAAAAZHJzL2Rvd25yZXYueG1sUEsBAhQAFAAAAAgAh07iQCWBJzmgAQAAIAMAAA4AAAAA&#10;AAAAAQAgAAAAJQEAAGRycy9lMm9Eb2MueG1sUEsFBgAAAAAGAAYAWQEAADcFAAAAAA==&#10;">
                <v:fill on="t" focussize="0,0"/>
                <v:stroke on="f"/>
                <v:imagedata o:title=""/>
                <o:lock v:ext="edit" aspectratio="f"/>
                <v:textbox>
                  <w:txbxContent>
                    <w:p>
                      <w:pPr>
                        <w:jc w:val="center"/>
                      </w:pPr>
                      <w:r>
                        <w:rPr>
                          <w:rFonts w:hint="eastAsia" w:ascii="宋体" w:hAnsi="宋体"/>
                          <w:szCs w:val="21"/>
                        </w:rPr>
                        <w:t>※PM</w:t>
                      </w:r>
                      <w:r>
                        <w:rPr>
                          <w:rFonts w:hint="eastAsia" w:ascii="宋体" w:hAnsi="宋体"/>
                          <w:szCs w:val="21"/>
                          <w:vertAlign w:val="subscript"/>
                        </w:rPr>
                        <w:t>10</w:t>
                      </w:r>
                      <w:r>
                        <w:rPr>
                          <w:rFonts w:hint="eastAsia" w:ascii="宋体" w:hAnsi="宋体"/>
                          <w:szCs w:val="21"/>
                        </w:rPr>
                        <w:t>、SO</w:t>
                      </w:r>
                      <w:r>
                        <w:rPr>
                          <w:rFonts w:hint="eastAsia" w:ascii="宋体" w:hAnsi="宋体"/>
                          <w:szCs w:val="21"/>
                          <w:vertAlign w:val="subscript"/>
                        </w:rPr>
                        <w:t>2</w:t>
                      </w:r>
                      <w:r>
                        <w:rPr>
                          <w:rFonts w:hint="eastAsia" w:ascii="宋体" w:hAnsi="宋体"/>
                          <w:szCs w:val="21"/>
                        </w:rPr>
                        <w:t>、NO</w:t>
                      </w:r>
                      <w:r>
                        <w:rPr>
                          <w:rFonts w:hint="eastAsia" w:ascii="宋体" w:hAnsi="宋体"/>
                          <w:szCs w:val="21"/>
                          <w:vertAlign w:val="subscript"/>
                        </w:rPr>
                        <w:t>2</w:t>
                      </w:r>
                    </w:p>
                    <w:p/>
                  </w:txbxContent>
                </v:textbox>
              </v:rect>
            </w:pict>
          </mc:Fallback>
        </mc:AlternateContent>
      </w:r>
      <w:r>
        <w:rPr>
          <w:rFonts w:hint="eastAsia" w:ascii="宋体" w:hAnsi="宋体"/>
        </w:rPr>
        <mc:AlternateContent>
          <mc:Choice Requires="wps">
            <w:drawing>
              <wp:anchor distT="0" distB="0" distL="114300" distR="114300" simplePos="0" relativeHeight="252003328" behindDoc="0" locked="0" layoutInCell="1" allowOverlap="1">
                <wp:simplePos x="0" y="0"/>
                <wp:positionH relativeFrom="column">
                  <wp:posOffset>1371600</wp:posOffset>
                </wp:positionH>
                <wp:positionV relativeFrom="paragraph">
                  <wp:posOffset>228600</wp:posOffset>
                </wp:positionV>
                <wp:extent cx="0" cy="594360"/>
                <wp:effectExtent l="13970" t="0" r="24130" b="15875"/>
                <wp:wrapNone/>
                <wp:docPr id="453" name="直接连接符 453"/>
                <wp:cNvGraphicFramePr/>
                <a:graphic xmlns:a="http://schemas.openxmlformats.org/drawingml/2006/main">
                  <a:graphicData uri="http://schemas.microsoft.com/office/word/2010/wordprocessingShape">
                    <wps:wsp>
                      <wps:cNvCnPr/>
                      <wps:spPr>
                        <a:xfrm flipV="1">
                          <a:off x="0" y="0"/>
                          <a:ext cx="0" cy="594360"/>
                        </a:xfrm>
                        <a:prstGeom prst="line">
                          <a:avLst/>
                        </a:prstGeom>
                        <a:ln w="2857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y;margin-left:108pt;margin-top:18pt;height:46.8pt;width:0pt;z-index:252003328;mso-width-relative:page;mso-height-relative:page;" filled="f" stroked="t" coordsize="21600,21600" o:gfxdata="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buPVNcA&#10;AAAKAQAADwAAAAAAAAABACAAAAAiAAAAZHJzL2Rvd25yZXYueG1sUEsBAhQAFAAAAAgAh07iQNK3&#10;XP/nAQAAowMAAA4AAAAAAAAAAQAgAAAAJgEAAGRycy9lMm9Eb2MueG1sUEsFBgAAAAAGAAYAWQEA&#10;AH8FAAAAAA==&#10;">
                <v:fill on="f" focussize="0,0"/>
                <v:stroke weight="2.25pt" color="#000000" joinstyle="round" dashstyle="dash"/>
                <v:imagedata o:title=""/>
                <o:lock v:ext="edit" aspectratio="f"/>
              </v:line>
            </w:pict>
          </mc:Fallback>
        </mc:AlternateContent>
      </w:r>
      <w:r>
        <w:rPr>
          <w:rFonts w:ascii="宋体" w:hAnsi="宋体"/>
          <w:sz w:val="20"/>
        </w:rPr>
        <mc:AlternateContent>
          <mc:Choice Requires="wps">
            <w:drawing>
              <wp:anchor distT="0" distB="0" distL="114300" distR="114300" simplePos="0" relativeHeight="252002304" behindDoc="0" locked="0" layoutInCell="1" allowOverlap="1">
                <wp:simplePos x="0" y="0"/>
                <wp:positionH relativeFrom="column">
                  <wp:posOffset>1371600</wp:posOffset>
                </wp:positionH>
                <wp:positionV relativeFrom="paragraph">
                  <wp:posOffset>228600</wp:posOffset>
                </wp:positionV>
                <wp:extent cx="571500" cy="0"/>
                <wp:effectExtent l="0" t="13970" r="0" b="24130"/>
                <wp:wrapNone/>
                <wp:docPr id="452" name="直接连接符 452"/>
                <wp:cNvGraphicFramePr/>
                <a:graphic xmlns:a="http://schemas.openxmlformats.org/drawingml/2006/main">
                  <a:graphicData uri="http://schemas.microsoft.com/office/word/2010/wordprocessingShape">
                    <wps:wsp>
                      <wps:cNvCnPr/>
                      <wps:spPr>
                        <a:xfrm>
                          <a:off x="0" y="0"/>
                          <a:ext cx="571500" cy="0"/>
                        </a:xfrm>
                        <a:prstGeom prst="line">
                          <a:avLst/>
                        </a:prstGeom>
                        <a:ln w="2857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108pt;margin-top:18pt;height:0pt;width:45pt;z-index:252002304;mso-width-relative:page;mso-height-relative:page;" filled="f" stroked="t" coordsize="21600,21600" o:gfxdata="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x/gIzVAAAACQEAAA8AAAAA&#10;AAAAAQAgAAAAIgAAAGRycy9kb3ducmV2LnhtbFBLAQIUABQAAAAIAIdO4kBgMYab3gEAAJkDAAAO&#10;AAAAAAAAAAEAIAAAACQBAABkcnMvZTJvRG9jLnhtbFBLBQYAAAAABgAGAFkBAAB0BQAAAAA=&#10;">
                <v:fill on="f" focussize="0,0"/>
                <v:stroke weight="2.25pt" color="#000000" joinstyle="round" dashstyle="dash"/>
                <v:imagedata o:title=""/>
                <o:lock v:ext="edit" aspectratio="f"/>
              </v:line>
            </w:pict>
          </mc:Fallback>
        </mc:AlternateContent>
      </w:r>
      <w:r>
        <w:rPr>
          <w:rFonts w:hint="eastAsia" w:ascii="宋体" w:hAnsi="宋体"/>
        </w:rPr>
        <mc:AlternateContent>
          <mc:Choice Requires="wps">
            <w:drawing>
              <wp:anchor distT="0" distB="0" distL="114300" distR="114300" simplePos="0" relativeHeight="251985920" behindDoc="0" locked="0" layoutInCell="1" allowOverlap="1">
                <wp:simplePos x="0" y="0"/>
                <wp:positionH relativeFrom="column">
                  <wp:posOffset>3314700</wp:posOffset>
                </wp:positionH>
                <wp:positionV relativeFrom="paragraph">
                  <wp:posOffset>228600</wp:posOffset>
                </wp:positionV>
                <wp:extent cx="0" cy="792480"/>
                <wp:effectExtent l="13970" t="0" r="24130" b="6985"/>
                <wp:wrapNone/>
                <wp:docPr id="461" name="直接连接符 461"/>
                <wp:cNvGraphicFramePr/>
                <a:graphic xmlns:a="http://schemas.openxmlformats.org/drawingml/2006/main">
                  <a:graphicData uri="http://schemas.microsoft.com/office/word/2010/wordprocessingShape">
                    <wps:wsp>
                      <wps:cNvCnPr/>
                      <wps:spPr>
                        <a:xfrm flipV="1">
                          <a:off x="0" y="0"/>
                          <a:ext cx="0" cy="792480"/>
                        </a:xfrm>
                        <a:prstGeom prst="line">
                          <a:avLst/>
                        </a:prstGeom>
                        <a:ln w="2857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y;margin-left:261pt;margin-top:18pt;height:62.4pt;width:0pt;z-index:251985920;mso-width-relative:page;mso-height-relative:page;" filled="f" stroked="t" coordsize="21600,21600" o:gfxdata="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hqBj7XAAAA&#10;CgEAAA8AAAAAAAAAAQAgAAAAIgAAAGRycy9kb3ducmV2LnhtbFBLAQIUABQAAAAIAIdO4kA3dxkH&#10;5QEAAKMDAAAOAAAAAAAAAAEAIAAAACYBAABkcnMvZTJvRG9jLnhtbFBLBQYAAAAABgAGAFkBAAB9&#10;BQAAAAA=&#10;">
                <v:fill on="f" focussize="0,0"/>
                <v:stroke weight="2.25pt" color="#000000" joinstyle="round" dashstyle="dash"/>
                <v:imagedata o:title=""/>
                <o:lock v:ext="edit" aspectratio="f"/>
              </v:line>
            </w:pict>
          </mc:Fallback>
        </mc:AlternateContent>
      </w:r>
      <w:r>
        <w:rPr>
          <w:rFonts w:hint="eastAsia" w:ascii="宋体" w:hAnsi="宋体"/>
        </w:rPr>
        <mc:AlternateContent>
          <mc:Choice Requires="wps">
            <w:drawing>
              <wp:anchor distT="0" distB="0" distL="114300" distR="114300" simplePos="0" relativeHeight="251986944" behindDoc="0" locked="0" layoutInCell="1" allowOverlap="1">
                <wp:simplePos x="0" y="0"/>
                <wp:positionH relativeFrom="column">
                  <wp:posOffset>2971800</wp:posOffset>
                </wp:positionH>
                <wp:positionV relativeFrom="paragraph">
                  <wp:posOffset>228600</wp:posOffset>
                </wp:positionV>
                <wp:extent cx="342900" cy="0"/>
                <wp:effectExtent l="0" t="42545" r="0" b="52705"/>
                <wp:wrapNone/>
                <wp:docPr id="459" name="直接连接符 459"/>
                <wp:cNvGraphicFramePr/>
                <a:graphic xmlns:a="http://schemas.openxmlformats.org/drawingml/2006/main">
                  <a:graphicData uri="http://schemas.microsoft.com/office/word/2010/wordprocessingShape">
                    <wps:wsp>
                      <wps:cNvCnPr/>
                      <wps:spPr>
                        <a:xfrm flipH="1">
                          <a:off x="0" y="0"/>
                          <a:ext cx="342900" cy="0"/>
                        </a:xfrm>
                        <a:prstGeom prst="line">
                          <a:avLst/>
                        </a:prstGeom>
                        <a:ln w="2857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x;margin-left:234pt;margin-top:18pt;height:0pt;width:27pt;z-index:251986944;mso-width-relative:page;mso-height-relative:page;" filled="f" stroked="t" coordsize="21600,21600" o:gfxdata="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TRAPU2AAAAAkBAAAPAAAAAAAAAAEAIAAAACIAAABkcnMvZG93bnJldi54bWxQSwECFAAUAAAA&#10;CACHTuJApII9vO4BAACnAwAADgAAAAAAAAABACAAAAAnAQAAZHJzL2Uyb0RvYy54bWxQSwUGAAAA&#10;AAYABgBZAQAAhwUAAAAA&#10;">
                <v:fill on="f" focussize="0,0"/>
                <v:stroke weight="2.25pt" color="#000000" joinstyle="round" dashstyle="dash"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933696" behindDoc="0" locked="0" layoutInCell="1" allowOverlap="1">
                <wp:simplePos x="0" y="0"/>
                <wp:positionH relativeFrom="column">
                  <wp:posOffset>4365625</wp:posOffset>
                </wp:positionH>
                <wp:positionV relativeFrom="paragraph">
                  <wp:posOffset>126365</wp:posOffset>
                </wp:positionV>
                <wp:extent cx="1005205" cy="297180"/>
                <wp:effectExtent l="4445" t="5080" r="19050" b="21590"/>
                <wp:wrapNone/>
                <wp:docPr id="462" name="矩形 462"/>
                <wp:cNvGraphicFramePr/>
                <a:graphic xmlns:a="http://schemas.openxmlformats.org/drawingml/2006/main">
                  <a:graphicData uri="http://schemas.microsoft.com/office/word/2010/wordprocessingShape">
                    <wps:wsp>
                      <wps:cNvSpPr/>
                      <wps:spPr>
                        <a:xfrm>
                          <a:off x="0" y="0"/>
                          <a:ext cx="100520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煤粉仓</w:t>
                            </w:r>
                            <w:r>
                              <w:rPr>
                                <w:rFonts w:hint="eastAsia" w:ascii="宋体" w:hAnsi="宋体"/>
                                <w:szCs w:val="21"/>
                              </w:rPr>
                              <w:t>※</w:t>
                            </w:r>
                          </w:p>
                        </w:txbxContent>
                      </wps:txbx>
                      <wps:bodyPr upright="1"/>
                    </wps:wsp>
                  </a:graphicData>
                </a:graphic>
              </wp:anchor>
            </w:drawing>
          </mc:Choice>
          <mc:Fallback>
            <w:pict>
              <v:rect id="_x0000_s1026" o:spid="_x0000_s1026" o:spt="1" style="position:absolute;left:0pt;margin-left:343.75pt;margin-top:9.95pt;height:23.4pt;width:79.15pt;z-index:251933696;mso-width-relative:page;mso-height-relative:page;" fillcolor="#FFFFFF" filled="t" stroked="t" coordsize="21600,21600" o:gfxdata="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gK&#10;s2LXAAAACQEAAA8AAAAAAAAAAQAgAAAAIgAAAGRycy9kb3ducmV2LnhtbFBLAQIUABQAAAAIAIdO&#10;4kBzN8op6wEAAN8DAAAOAAAAAAAAAAEAIAAAACYBAABkcnMvZTJvRG9jLnhtbFBLBQYAAAAABgAG&#10;AFkBAACDBQAAAAA=&#10;">
                <v:fill on="t" focussize="0,0"/>
                <v:stroke color="#000000" joinstyle="miter"/>
                <v:imagedata o:title=""/>
                <o:lock v:ext="edit" aspectratio="f"/>
                <v:textbox>
                  <w:txbxContent>
                    <w:p>
                      <w:pPr>
                        <w:jc w:val="center"/>
                      </w:pPr>
                      <w:r>
                        <w:rPr>
                          <w:rFonts w:hint="eastAsia"/>
                        </w:rPr>
                        <w:t>煤粉仓</w:t>
                      </w:r>
                      <w:r>
                        <w:rPr>
                          <w:rFonts w:hint="eastAsia" w:ascii="宋体" w:hAnsi="宋体"/>
                          <w:szCs w:val="21"/>
                        </w:rPr>
                        <w:t>※</w:t>
                      </w:r>
                    </w:p>
                  </w:txbxContent>
                </v:textbox>
              </v:rect>
            </w:pict>
          </mc:Fallback>
        </mc:AlternateContent>
      </w:r>
      <w:r>
        <w:rPr>
          <w:rFonts w:ascii="宋体" w:hAnsi="宋体"/>
          <w:sz w:val="20"/>
        </w:rPr>
        <mc:AlternateContent>
          <mc:Choice Requires="wps">
            <w:drawing>
              <wp:anchor distT="0" distB="0" distL="114300" distR="114300" simplePos="0" relativeHeight="251924480" behindDoc="0" locked="0" layoutInCell="1" allowOverlap="1">
                <wp:simplePos x="0" y="0"/>
                <wp:positionH relativeFrom="column">
                  <wp:posOffset>1877060</wp:posOffset>
                </wp:positionH>
                <wp:positionV relativeFrom="paragraph">
                  <wp:posOffset>78105</wp:posOffset>
                </wp:positionV>
                <wp:extent cx="1109345" cy="297180"/>
                <wp:effectExtent l="4445" t="5080" r="10160" b="21590"/>
                <wp:wrapNone/>
                <wp:docPr id="490" name="矩形 490"/>
                <wp:cNvGraphicFramePr/>
                <a:graphic xmlns:a="http://schemas.openxmlformats.org/drawingml/2006/main">
                  <a:graphicData uri="http://schemas.microsoft.com/office/word/2010/wordprocessingShape">
                    <wps:wsp>
                      <wps:cNvSpPr/>
                      <wps:spPr>
                        <a:xfrm>
                          <a:off x="0" y="0"/>
                          <a:ext cx="11093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5"/>
                              <w:widowControl w:val="0"/>
                              <w:spacing w:before="0" w:beforeAutospacing="0" w:after="0" w:afterAutospacing="0"/>
                              <w:rPr>
                                <w:rFonts w:ascii="Times New Roman" w:hAnsi="Times New Roman"/>
                                <w:kern w:val="2"/>
                                <w:sz w:val="21"/>
                              </w:rPr>
                            </w:pPr>
                            <w:r>
                              <w:rPr>
                                <w:rFonts w:ascii="Times New Roman" w:hAnsi="Times New Roman"/>
                                <w:kern w:val="2"/>
                                <w:sz w:val="21"/>
                              </w:rPr>
                              <w:t>粉磨、烘干</w:t>
                            </w:r>
                            <w:r>
                              <w:rPr>
                                <w:sz w:val="21"/>
                                <w:szCs w:val="21"/>
                              </w:rPr>
                              <w:t>※△</w:t>
                            </w:r>
                          </w:p>
                        </w:txbxContent>
                      </wps:txbx>
                      <wps:bodyPr upright="1"/>
                    </wps:wsp>
                  </a:graphicData>
                </a:graphic>
              </wp:anchor>
            </w:drawing>
          </mc:Choice>
          <mc:Fallback>
            <w:pict>
              <v:rect id="_x0000_s1026" o:spid="_x0000_s1026" o:spt="1" style="position:absolute;left:0pt;margin-left:147.8pt;margin-top:6.15pt;height:23.4pt;width:87.35pt;z-index:251924480;mso-width-relative:page;mso-height-relative:page;" fillcolor="#FFFFFF" filled="t" stroked="t" coordsize="21600,21600" o:gfxdata="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trpBtgAAAAJAQAADwAAAAAAAAABACAAAAAiAAAAZHJzL2Rvd25yZXYueG1sUEsBAhQAFAAAAAgA&#10;h07iQJ3ZS7jsAQAA3wMAAA4AAAAAAAAAAQAgAAAAJwEAAGRycy9lMm9Eb2MueG1sUEsFBgAAAAAG&#10;AAYAWQEAAIUFAAAAAA==&#10;">
                <v:fill on="t" focussize="0,0"/>
                <v:stroke color="#000000" joinstyle="miter"/>
                <v:imagedata o:title=""/>
                <o:lock v:ext="edit" aspectratio="f"/>
                <v:textbox>
                  <w:txbxContent>
                    <w:p>
                      <w:pPr>
                        <w:pStyle w:val="25"/>
                        <w:widowControl w:val="0"/>
                        <w:spacing w:before="0" w:beforeAutospacing="0" w:after="0" w:afterAutospacing="0"/>
                        <w:rPr>
                          <w:rFonts w:ascii="Times New Roman" w:hAnsi="Times New Roman"/>
                          <w:kern w:val="2"/>
                          <w:sz w:val="21"/>
                        </w:rPr>
                      </w:pPr>
                      <w:r>
                        <w:rPr>
                          <w:rFonts w:ascii="Times New Roman" w:hAnsi="Times New Roman"/>
                          <w:kern w:val="2"/>
                          <w:sz w:val="21"/>
                        </w:rPr>
                        <w:t>粉磨、烘干</w:t>
                      </w:r>
                      <w:r>
                        <w:rPr>
                          <w:sz w:val="21"/>
                          <w:szCs w:val="21"/>
                        </w:rPr>
                        <w:t>※△</w:t>
                      </w:r>
                    </w:p>
                  </w:txbxContent>
                </v:textbox>
              </v:rect>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984896" behindDoc="0" locked="0" layoutInCell="1" allowOverlap="1">
                <wp:simplePos x="0" y="0"/>
                <wp:positionH relativeFrom="column">
                  <wp:posOffset>3657600</wp:posOffset>
                </wp:positionH>
                <wp:positionV relativeFrom="paragraph">
                  <wp:posOffset>220980</wp:posOffset>
                </wp:positionV>
                <wp:extent cx="1028700" cy="297180"/>
                <wp:effectExtent l="4445" t="4445" r="14605" b="22225"/>
                <wp:wrapNone/>
                <wp:docPr id="496" name="文本框 496"/>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 w:val="18"/>
                                <w:szCs w:val="18"/>
                              </w:rPr>
                            </w:pPr>
                            <w:r>
                              <w:rPr>
                                <w:rFonts w:hint="eastAsia" w:ascii="宋体" w:hAnsi="宋体"/>
                                <w:sz w:val="18"/>
                                <w:szCs w:val="18"/>
                              </w:rPr>
                              <w:t>汽轮发电机组△</w:t>
                            </w:r>
                          </w:p>
                        </w:txbxContent>
                      </wps:txbx>
                      <wps:bodyPr upright="1"/>
                    </wps:wsp>
                  </a:graphicData>
                </a:graphic>
              </wp:anchor>
            </w:drawing>
          </mc:Choice>
          <mc:Fallback>
            <w:pict>
              <v:shape id="_x0000_s1026" o:spid="_x0000_s1026" o:spt="202" type="#_x0000_t202" style="position:absolute;left:0pt;margin-left:288pt;margin-top:17.4pt;height:23.4pt;width:81pt;z-index:251984896;mso-width-relative:page;mso-height-relative:page;" fillcolor="#FFFFFF" filled="t" stroked="t" coordsize="21600,21600" o:gfxdata="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xeLddgAAAAJAQAADwAAAAAAAAABACAAAAAiAAAAZHJzL2Rvd25yZXYueG1sUEsB&#10;AhQAFAAAAAgAh07iQJotdNX1AQAA7AMAAA4AAAAAAAAAAQAgAAAAJwEAAGRycy9lMm9Eb2MueG1s&#10;UEsFBgAAAAAGAAYAWQEAAI4FAAAAAA==&#10;">
                <v:fill on="t" focussize="0,0"/>
                <v:stroke color="#000000" joinstyle="miter"/>
                <v:imagedata o:title=""/>
                <o:lock v:ext="edit" aspectratio="f"/>
                <v:textbox>
                  <w:txbxContent>
                    <w:p>
                      <w:pPr>
                        <w:rPr>
                          <w:rFonts w:hint="eastAsia" w:ascii="宋体" w:hAnsi="宋体"/>
                          <w:sz w:val="18"/>
                          <w:szCs w:val="18"/>
                        </w:rPr>
                      </w:pPr>
                      <w:r>
                        <w:rPr>
                          <w:rFonts w:hint="eastAsia" w:ascii="宋体" w:hAnsi="宋体"/>
                          <w:sz w:val="18"/>
                          <w:szCs w:val="18"/>
                        </w:rPr>
                        <w:t>汽轮发电机组△</w:t>
                      </w:r>
                    </w:p>
                  </w:txbxContent>
                </v:textbox>
              </v:shape>
            </w:pict>
          </mc:Fallback>
        </mc:AlternateContent>
      </w:r>
      <w:r>
        <w:rPr>
          <w:rFonts w:ascii="宋体" w:hAnsi="宋体"/>
          <w:sz w:val="20"/>
        </w:rPr>
        <mc:AlternateContent>
          <mc:Choice Requires="wps">
            <w:drawing>
              <wp:anchor distT="0" distB="0" distL="114300" distR="114300" simplePos="0" relativeHeight="251978752" behindDoc="0" locked="0" layoutInCell="1" allowOverlap="1">
                <wp:simplePos x="0" y="0"/>
                <wp:positionH relativeFrom="column">
                  <wp:posOffset>566420</wp:posOffset>
                </wp:positionH>
                <wp:positionV relativeFrom="paragraph">
                  <wp:posOffset>15875</wp:posOffset>
                </wp:positionV>
                <wp:extent cx="0" cy="297180"/>
                <wp:effectExtent l="38100" t="0" r="38100" b="7620"/>
                <wp:wrapNone/>
                <wp:docPr id="494" name="直接连接符 494"/>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44.6pt;margin-top:1.25pt;height:23.4pt;width:0pt;z-index:251978752;mso-width-relative:page;mso-height-relative:page;" filled="f" stroked="t" coordsize="21600,21600" o:gfxdata="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LlH&#10;XNUAAAAGAQAADwAAAAAAAAABACAAAAAiAAAAZHJzL2Rvd25yZXYueG1sUEsBAhQAFAAAAAgAh07i&#10;QF39YCfsAQAApwMAAA4AAAAAAAAAAQAgAAAAJAEAAGRycy9lMm9Eb2MueG1sUEsFBgAAAAAGAAYA&#10;WQEAAIIFAAAA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956224" behindDoc="0" locked="0" layoutInCell="1" allowOverlap="1">
                <wp:simplePos x="0" y="0"/>
                <wp:positionH relativeFrom="column">
                  <wp:posOffset>4914900</wp:posOffset>
                </wp:positionH>
                <wp:positionV relativeFrom="paragraph">
                  <wp:posOffset>121920</wp:posOffset>
                </wp:positionV>
                <wp:extent cx="0" cy="1386840"/>
                <wp:effectExtent l="4445" t="0" r="14605" b="3810"/>
                <wp:wrapNone/>
                <wp:docPr id="485" name="直接连接符 485"/>
                <wp:cNvGraphicFramePr/>
                <a:graphic xmlns:a="http://schemas.openxmlformats.org/drawingml/2006/main">
                  <a:graphicData uri="http://schemas.microsoft.com/office/word/2010/wordprocessingShape">
                    <wps:wsp>
                      <wps:cNvCnPr/>
                      <wps:spPr>
                        <a:xfrm>
                          <a:off x="0" y="0"/>
                          <a:ext cx="0" cy="13868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87pt;margin-top:9.6pt;height:109.2pt;width:0pt;z-index:251956224;mso-width-relative:page;mso-height-relative:page;" filled="f" stroked="t" coordsize="21600,21600" o:gfxdata="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raZzdcAAAAKAQAADwAA&#10;AAAAAAABACAAAAAiAAAAZHJzL2Rvd25yZXYueG1sUEsBAhQAFAAAAAgAh07iQBqIi+veAQAAmgMA&#10;AA4AAAAAAAAAAQAgAAAAJgEAAGRycy9lMm9Eb2MueG1sUEsFBgAAAAAGAAYAWQEAAHYFAAA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951104" behindDoc="0" locked="0" layoutInCell="1" allowOverlap="1">
                <wp:simplePos x="0" y="0"/>
                <wp:positionH relativeFrom="column">
                  <wp:posOffset>2423160</wp:posOffset>
                </wp:positionH>
                <wp:positionV relativeFrom="paragraph">
                  <wp:posOffset>72390</wp:posOffset>
                </wp:positionV>
                <wp:extent cx="0" cy="274320"/>
                <wp:effectExtent l="42545" t="0" r="52705" b="11430"/>
                <wp:wrapNone/>
                <wp:docPr id="478" name="直接连接符 478"/>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0.8pt;margin-top:5.7pt;height:21.6pt;width:0pt;z-index:251951104;mso-width-relative:page;mso-height-relative:page;" filled="f" stroked="t" coordsize="21600,21600" o:gfxdata="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KEmAtUAAAAJAQAA&#10;DwAAAAAAAAABACAAAAAiAAAAZHJzL2Rvd25yZXYueG1sUEsBAhQAFAAAAAgAh07iQLJRiPHjAQAA&#10;ngMAAA4AAAAAAAAAAQAgAAAAJAEAAGRycy9lMm9Eb2MueG1sUEsFBgAAAAAGAAYAWQEAAHkFAAAA&#10;AA==&#10;">
                <v:fill on="f" focussize="0,0"/>
                <v:stroke weight="2.25pt"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1977728" behindDoc="0" locked="0" layoutInCell="1" allowOverlap="1">
                <wp:simplePos x="0" y="0"/>
                <wp:positionH relativeFrom="column">
                  <wp:posOffset>-153035</wp:posOffset>
                </wp:positionH>
                <wp:positionV relativeFrom="paragraph">
                  <wp:posOffset>15240</wp:posOffset>
                </wp:positionV>
                <wp:extent cx="1191895" cy="297180"/>
                <wp:effectExtent l="5080" t="4445" r="22225" b="22225"/>
                <wp:wrapNone/>
                <wp:docPr id="489" name="矩形 489"/>
                <wp:cNvGraphicFramePr/>
                <a:graphic xmlns:a="http://schemas.openxmlformats.org/drawingml/2006/main">
                  <a:graphicData uri="http://schemas.microsoft.com/office/word/2010/wordprocessingShape">
                    <wps:wsp>
                      <wps:cNvSpPr/>
                      <wps:spPr>
                        <a:xfrm>
                          <a:off x="0" y="0"/>
                          <a:ext cx="119189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color w:val="0000FF"/>
                              </w:rPr>
                            </w:pPr>
                            <w:r>
                              <w:rPr>
                                <w:rFonts w:hint="eastAsia"/>
                                <w:color w:val="0000FF"/>
                              </w:rPr>
                              <w:t>袋收尘器</w:t>
                            </w:r>
                          </w:p>
                        </w:txbxContent>
                      </wps:txbx>
                      <wps:bodyPr upright="1"/>
                    </wps:wsp>
                  </a:graphicData>
                </a:graphic>
              </wp:anchor>
            </w:drawing>
          </mc:Choice>
          <mc:Fallback>
            <w:pict>
              <v:rect id="_x0000_s1026" o:spid="_x0000_s1026" o:spt="1" style="position:absolute;left:0pt;margin-left:-12.05pt;margin-top:1.2pt;height:23.4pt;width:93.85pt;z-index:251977728;mso-width-relative:page;mso-height-relative:page;" fillcolor="#FFFFFF" filled="t" stroked="t" coordsize="21600,21600" o:gfxdata="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KF&#10;K9YAAAAIAQAADwAAAAAAAAABACAAAAAiAAAAZHJzL2Rvd25yZXYueG1sUEsBAhQAFAAAAAgAh07i&#10;QC6l4oTrAQAA3wMAAA4AAAAAAAAAAQAgAAAAJQEAAGRycy9lMm9Eb2MueG1sUEsFBgAAAAAGAAYA&#10;WQEAAIIFAAAAAA==&#10;">
                <v:fill on="t" focussize="0,0"/>
                <v:stroke color="#000000" joinstyle="miter"/>
                <v:imagedata o:title=""/>
                <o:lock v:ext="edit" aspectratio="f"/>
                <v:textbox>
                  <w:txbxContent>
                    <w:p>
                      <w:pPr>
                        <w:jc w:val="center"/>
                        <w:rPr>
                          <w:color w:val="0000FF"/>
                        </w:rPr>
                      </w:pPr>
                      <w:r>
                        <w:rPr>
                          <w:rFonts w:hint="eastAsia"/>
                          <w:color w:val="0000FF"/>
                        </w:rPr>
                        <w:t>袋收尘器</w:t>
                      </w:r>
                    </w:p>
                  </w:txbxContent>
                </v:textbox>
              </v:rect>
            </w:pict>
          </mc:Fallback>
        </mc:AlternateContent>
      </w:r>
      <w:r>
        <w:rPr>
          <w:rFonts w:hint="eastAsia" w:ascii="宋体" w:hAnsi="宋体"/>
        </w:rPr>
        <mc:AlternateContent>
          <mc:Choice Requires="wps">
            <w:drawing>
              <wp:anchor distT="0" distB="0" distL="114300" distR="114300" simplePos="0" relativeHeight="252004352" behindDoc="0" locked="0" layoutInCell="1" allowOverlap="1">
                <wp:simplePos x="0" y="0"/>
                <wp:positionH relativeFrom="column">
                  <wp:posOffset>1028700</wp:posOffset>
                </wp:positionH>
                <wp:positionV relativeFrom="paragraph">
                  <wp:posOffset>213360</wp:posOffset>
                </wp:positionV>
                <wp:extent cx="342900" cy="0"/>
                <wp:effectExtent l="0" t="42545" r="0" b="52705"/>
                <wp:wrapNone/>
                <wp:docPr id="492" name="直接连接符 492"/>
                <wp:cNvGraphicFramePr/>
                <a:graphic xmlns:a="http://schemas.openxmlformats.org/drawingml/2006/main">
                  <a:graphicData uri="http://schemas.microsoft.com/office/word/2010/wordprocessingShape">
                    <wps:wsp>
                      <wps:cNvCnPr/>
                      <wps:spPr>
                        <a:xfrm flipH="1">
                          <a:off x="0" y="0"/>
                          <a:ext cx="342900" cy="0"/>
                        </a:xfrm>
                        <a:prstGeom prst="line">
                          <a:avLst/>
                        </a:prstGeom>
                        <a:ln w="2857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x;margin-left:81pt;margin-top:16.8pt;height:0pt;width:27pt;z-index:252004352;mso-width-relative:page;mso-height-relative:page;" filled="f" stroked="t" coordsize="21600,21600" o:gfxdata="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TicxNcAAAAJAQAADwAAAAAAAAABACAAAAAiAAAAZHJzL2Rvd25yZXYueG1sUEsBAhQAFAAAAAgA&#10;h07iQMuWK23tAQAApwMAAA4AAAAAAAAAAQAgAAAAJgEAAGRycy9lMm9Eb2MueG1sUEsFBgAAAAAG&#10;AAYAWQEAAIUFAAAAAA==&#10;">
                <v:fill on="f" focussize="0,0"/>
                <v:stroke weight="2.25pt" color="#000000" joinstyle="round" dashstyle="dash"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983872" behindDoc="0" locked="0" layoutInCell="1" allowOverlap="1">
                <wp:simplePos x="0" y="0"/>
                <wp:positionH relativeFrom="column">
                  <wp:posOffset>4114800</wp:posOffset>
                </wp:positionH>
                <wp:positionV relativeFrom="paragraph">
                  <wp:posOffset>213360</wp:posOffset>
                </wp:positionV>
                <wp:extent cx="0" cy="396240"/>
                <wp:effectExtent l="42545" t="0" r="52705" b="3810"/>
                <wp:wrapNone/>
                <wp:docPr id="495" name="直接连接符 495"/>
                <wp:cNvGraphicFramePr/>
                <a:graphic xmlns:a="http://schemas.openxmlformats.org/drawingml/2006/main">
                  <a:graphicData uri="http://schemas.microsoft.com/office/word/2010/wordprocessingShape">
                    <wps:wsp>
                      <wps:cNvCnPr/>
                      <wps:spPr>
                        <a:xfrm flipV="1">
                          <a:off x="0" y="0"/>
                          <a:ext cx="0" cy="396240"/>
                        </a:xfrm>
                        <a:prstGeom prst="line">
                          <a:avLst/>
                        </a:prstGeom>
                        <a:ln w="2857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324pt;margin-top:16.8pt;height:31.2pt;width:0pt;z-index:251983872;mso-width-relative:page;mso-height-relative:page;" filled="f" stroked="t" coordsize="21600,21600" o:gfxdata="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7PDPE2QAAAAkBAAAPAAAAAAAAAAEAIAAAACIAAABkcnMvZG93bnJldi54bWxQSwECFAAUAAAA&#10;CACHTuJAYvbfW+0BAACnAwAADgAAAAAAAAABACAAAAAoAQAAZHJzL2Uyb0RvYy54bWxQSwUGAAAA&#10;AAYABgBZAQAAhwUAAAAA&#10;">
                <v:fill on="f" focussize="0,0"/>
                <v:stroke weight="2.25pt" color="#000000" joinstyle="round" dashstyle="dash"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926528" behindDoc="0" locked="0" layoutInCell="1" allowOverlap="1">
                <wp:simplePos x="0" y="0"/>
                <wp:positionH relativeFrom="column">
                  <wp:posOffset>1867535</wp:posOffset>
                </wp:positionH>
                <wp:positionV relativeFrom="paragraph">
                  <wp:posOffset>13335</wp:posOffset>
                </wp:positionV>
                <wp:extent cx="1218565" cy="297180"/>
                <wp:effectExtent l="4445" t="5080" r="15240" b="21590"/>
                <wp:wrapNone/>
                <wp:docPr id="497" name="矩形 497"/>
                <wp:cNvGraphicFramePr/>
                <a:graphic xmlns:a="http://schemas.openxmlformats.org/drawingml/2006/main">
                  <a:graphicData uri="http://schemas.microsoft.com/office/word/2010/wordprocessingShape">
                    <wps:wsp>
                      <wps:cNvSpPr/>
                      <wps:spPr>
                        <a:xfrm>
                          <a:off x="0" y="0"/>
                          <a:ext cx="121856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生料均化库</w:t>
                            </w:r>
                            <w:r>
                              <w:rPr>
                                <w:rFonts w:hint="eastAsia" w:ascii="宋体" w:hAnsi="宋体"/>
                                <w:szCs w:val="21"/>
                              </w:rPr>
                              <w:t>※△</w:t>
                            </w:r>
                          </w:p>
                        </w:txbxContent>
                      </wps:txbx>
                      <wps:bodyPr upright="1"/>
                    </wps:wsp>
                  </a:graphicData>
                </a:graphic>
              </wp:anchor>
            </w:drawing>
          </mc:Choice>
          <mc:Fallback>
            <w:pict>
              <v:rect id="_x0000_s1026" o:spid="_x0000_s1026" o:spt="1" style="position:absolute;left:0pt;margin-left:147.05pt;margin-top:1.05pt;height:23.4pt;width:95.95pt;z-index:251926528;mso-width-relative:page;mso-height-relative:page;" fillcolor="#FFFFFF" filled="t" stroked="t" coordsize="21600,21600" o:gfxdata="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ye4Ne&#10;1AAAAAgBAAAPAAAAAAAAAAEAIAAAACIAAABkcnMvZG93bnJldi54bWxQSwECFAAUAAAACACHTuJA&#10;dmfDv+wBAADfAwAADgAAAAAAAAABACAAAAAjAQAAZHJzL2Uyb0RvYy54bWxQSwUGAAAAAAYABgBZ&#10;AQAAgQUAAAAA&#10;">
                <v:fill on="t" focussize="0,0"/>
                <v:stroke color="#000000" joinstyle="miter"/>
                <v:imagedata o:title=""/>
                <o:lock v:ext="edit" aspectratio="f"/>
                <v:textbox>
                  <w:txbxContent>
                    <w:p>
                      <w:pPr>
                        <w:jc w:val="center"/>
                      </w:pPr>
                      <w:r>
                        <w:rPr>
                          <w:rFonts w:hint="eastAsia"/>
                        </w:rPr>
                        <w:t>生料均化库</w:t>
                      </w:r>
                      <w:r>
                        <w:rPr>
                          <w:rFonts w:hint="eastAsia" w:ascii="宋体" w:hAnsi="宋体"/>
                          <w:szCs w:val="21"/>
                        </w:rPr>
                        <w:t>※△</w:t>
                      </w:r>
                    </w:p>
                  </w:txbxContent>
                </v:textbox>
              </v:rect>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2011520" behindDoc="0" locked="0" layoutInCell="1" allowOverlap="1">
                <wp:simplePos x="0" y="0"/>
                <wp:positionH relativeFrom="column">
                  <wp:posOffset>5143500</wp:posOffset>
                </wp:positionH>
                <wp:positionV relativeFrom="paragraph">
                  <wp:posOffset>7620</wp:posOffset>
                </wp:positionV>
                <wp:extent cx="800100" cy="297180"/>
                <wp:effectExtent l="0" t="0" r="0" b="0"/>
                <wp:wrapNone/>
                <wp:docPr id="493" name="矩形 493"/>
                <wp:cNvGraphicFramePr/>
                <a:graphic xmlns:a="http://schemas.openxmlformats.org/drawingml/2006/main">
                  <a:graphicData uri="http://schemas.microsoft.com/office/word/2010/wordprocessingShape">
                    <wps:wsp>
                      <wps:cNvSpPr/>
                      <wps:spPr>
                        <a:xfrm>
                          <a:off x="0" y="0"/>
                          <a:ext cx="800100" cy="297180"/>
                        </a:xfrm>
                        <a:prstGeom prst="rect">
                          <a:avLst/>
                        </a:prstGeom>
                        <a:solidFill>
                          <a:srgbClr val="FFFFFF">
                            <a:alpha val="0"/>
                          </a:srgbClr>
                        </a:solidFill>
                        <a:ln>
                          <a:noFill/>
                        </a:ln>
                      </wps:spPr>
                      <wps:txbx>
                        <w:txbxContent>
                          <w:p>
                            <w:pPr>
                              <w:jc w:val="center"/>
                            </w:pPr>
                            <w:r>
                              <w:rPr>
                                <w:rFonts w:hint="eastAsia" w:ascii="宋体" w:hAnsi="宋体"/>
                                <w:szCs w:val="21"/>
                              </w:rPr>
                              <w:t>※PM</w:t>
                            </w:r>
                            <w:r>
                              <w:rPr>
                                <w:rFonts w:hint="eastAsia" w:ascii="宋体" w:hAnsi="宋体"/>
                                <w:szCs w:val="21"/>
                                <w:vertAlign w:val="subscript"/>
                              </w:rPr>
                              <w:t>10</w:t>
                            </w:r>
                          </w:p>
                          <w:p/>
                        </w:txbxContent>
                      </wps:txbx>
                      <wps:bodyPr upright="1"/>
                    </wps:wsp>
                  </a:graphicData>
                </a:graphic>
              </wp:anchor>
            </w:drawing>
          </mc:Choice>
          <mc:Fallback>
            <w:pict>
              <v:rect id="_x0000_s1026" o:spid="_x0000_s1026" o:spt="1" style="position:absolute;left:0pt;margin-left:405pt;margin-top:0.6pt;height:23.4pt;width:63pt;z-index:252011520;mso-width-relative:page;mso-height-relative:page;" fillcolor="#FFFFFF" filled="t" stroked="f" coordsize="21600,21600" o:gfxdata="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Zj4cdYAAAAIAQAADwAA&#10;AAAAAAABACAAAAAiAAAAZHJzL2Rvd25yZXYueG1sUEsBAhQAFAAAAAgAh07iQHJnbDimAQAAPAMA&#10;AA4AAAAAAAAAAQAgAAAAJQEAAGRycy9lMm9Eb2MueG1sUEsFBgAAAAAGAAYAWQEAAD0FAAAAAA==&#10;">
                <v:fill on="t" opacity="0f" focussize="0,0"/>
                <v:stroke on="f"/>
                <v:imagedata o:title=""/>
                <o:lock v:ext="edit" aspectratio="f"/>
                <v:textbox>
                  <w:txbxContent>
                    <w:p>
                      <w:pPr>
                        <w:jc w:val="center"/>
                      </w:pPr>
                      <w:r>
                        <w:rPr>
                          <w:rFonts w:hint="eastAsia" w:ascii="宋体" w:hAnsi="宋体"/>
                          <w:szCs w:val="21"/>
                        </w:rPr>
                        <w:t>※PM</w:t>
                      </w:r>
                      <w:r>
                        <w:rPr>
                          <w:rFonts w:hint="eastAsia" w:ascii="宋体" w:hAnsi="宋体"/>
                          <w:szCs w:val="21"/>
                          <w:vertAlign w:val="subscript"/>
                        </w:rPr>
                        <w:t>10</w:t>
                      </w:r>
                    </w:p>
                    <w:p/>
                  </w:txbxContent>
                </v:textbox>
              </v:rect>
            </w:pict>
          </mc:Fallback>
        </mc:AlternateContent>
      </w:r>
      <w:r>
        <w:rPr>
          <w:rFonts w:ascii="宋体" w:hAnsi="宋体"/>
          <w:sz w:val="20"/>
        </w:rPr>
        <mc:AlternateContent>
          <mc:Choice Requires="wps">
            <w:drawing>
              <wp:anchor distT="0" distB="0" distL="114300" distR="114300" simplePos="0" relativeHeight="251938816" behindDoc="0" locked="0" layoutInCell="1" allowOverlap="1">
                <wp:simplePos x="0" y="0"/>
                <wp:positionH relativeFrom="column">
                  <wp:posOffset>1120775</wp:posOffset>
                </wp:positionH>
                <wp:positionV relativeFrom="paragraph">
                  <wp:posOffset>142875</wp:posOffset>
                </wp:positionV>
                <wp:extent cx="753745" cy="211455"/>
                <wp:effectExtent l="0" t="0" r="8255" b="17145"/>
                <wp:wrapNone/>
                <wp:docPr id="486" name="矩形 486"/>
                <wp:cNvGraphicFramePr/>
                <a:graphic xmlns:a="http://schemas.openxmlformats.org/drawingml/2006/main">
                  <a:graphicData uri="http://schemas.microsoft.com/office/word/2010/wordprocessingShape">
                    <wps:wsp>
                      <wps:cNvSpPr/>
                      <wps:spPr>
                        <a:xfrm flipV="1">
                          <a:off x="0" y="0"/>
                          <a:ext cx="753745" cy="211455"/>
                        </a:xfrm>
                        <a:prstGeom prst="rect">
                          <a:avLst/>
                        </a:prstGeom>
                        <a:solidFill>
                          <a:srgbClr val="FFFFFF"/>
                        </a:solidFill>
                        <a:ln>
                          <a:noFill/>
                        </a:ln>
                      </wps:spPr>
                      <wps:txbx>
                        <w:txbxContent>
                          <w:p>
                            <w:pPr>
                              <w:spacing w:line="240" w:lineRule="exact"/>
                              <w:jc w:val="center"/>
                              <w:rPr>
                                <w:rFonts w:hint="eastAsia"/>
                              </w:rPr>
                            </w:pPr>
                            <w:r>
                              <w:rPr>
                                <w:rFonts w:hint="eastAsia"/>
                              </w:rPr>
                              <w:t>窑尾废气</w:t>
                            </w:r>
                          </w:p>
                        </w:txbxContent>
                      </wps:txbx>
                      <wps:bodyPr lIns="0" tIns="0" rIns="0" bIns="0" upright="1"/>
                    </wps:wsp>
                  </a:graphicData>
                </a:graphic>
              </wp:anchor>
            </w:drawing>
          </mc:Choice>
          <mc:Fallback>
            <w:pict>
              <v:rect id="_x0000_s1026" o:spid="_x0000_s1026" o:spt="1" style="position:absolute;left:0pt;flip:y;margin-left:88.25pt;margin-top:11.25pt;height:16.65pt;width:59.35pt;z-index:251938816;mso-width-relative:page;mso-height-relative:page;" fillcolor="#FFFFFF" filled="t" stroked="f" coordsize="21600,21600" o:gfxdata="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6MMXG&#10;1gAAAAkBAAAPAAAAAAAAAAEAIAAAACIAAABkcnMvZG93bnJldi54bWxQSwECFAAUAAAACACHTuJA&#10;IieiwbEBAABNAwAADgAAAAAAAAABACAAAAAlAQAAZHJzL2Uyb0RvYy54bWxQSwUGAAAAAAYABgBZ&#10;AQAASAUAAAAA&#10;">
                <v:fill on="t" focussize="0,0"/>
                <v:stroke on="f"/>
                <v:imagedata o:title=""/>
                <o:lock v:ext="edit" aspectratio="f"/>
                <v:textbox inset="0mm,0mm,0mm,0mm">
                  <w:txbxContent>
                    <w:p>
                      <w:pPr>
                        <w:spacing w:line="240" w:lineRule="exact"/>
                        <w:jc w:val="center"/>
                        <w:rPr>
                          <w:rFonts w:hint="eastAsia"/>
                        </w:rPr>
                      </w:pPr>
                      <w:r>
                        <w:rPr>
                          <w:rFonts w:hint="eastAsia"/>
                        </w:rPr>
                        <w:t>窑尾废气</w:t>
                      </w:r>
                    </w:p>
                  </w:txbxContent>
                </v:textbox>
              </v:rect>
            </w:pict>
          </mc:Fallback>
        </mc:AlternateContent>
      </w:r>
      <w:r>
        <w:rPr>
          <w:rFonts w:hint="eastAsia" w:ascii="宋体" w:hAnsi="宋体"/>
        </w:rPr>
        <mc:AlternateContent>
          <mc:Choice Requires="wps">
            <w:drawing>
              <wp:anchor distT="0" distB="0" distL="114300" distR="114300" simplePos="0" relativeHeight="251990016" behindDoc="0" locked="0" layoutInCell="1" allowOverlap="1">
                <wp:simplePos x="0" y="0"/>
                <wp:positionH relativeFrom="column">
                  <wp:posOffset>4114800</wp:posOffset>
                </wp:positionH>
                <wp:positionV relativeFrom="paragraph">
                  <wp:posOffset>7620</wp:posOffset>
                </wp:positionV>
                <wp:extent cx="685800" cy="396240"/>
                <wp:effectExtent l="0" t="0" r="0" b="0"/>
                <wp:wrapNone/>
                <wp:docPr id="487" name="文本框 487"/>
                <wp:cNvGraphicFramePr/>
                <a:graphic xmlns:a="http://schemas.openxmlformats.org/drawingml/2006/main">
                  <a:graphicData uri="http://schemas.microsoft.com/office/word/2010/wordprocessingShape">
                    <wps:wsp>
                      <wps:cNvSpPr txBox="1"/>
                      <wps:spPr>
                        <a:xfrm>
                          <a:off x="0" y="0"/>
                          <a:ext cx="685800" cy="396240"/>
                        </a:xfrm>
                        <a:prstGeom prst="rect">
                          <a:avLst/>
                        </a:prstGeom>
                        <a:solidFill>
                          <a:srgbClr val="FFFFFF">
                            <a:alpha val="0"/>
                          </a:srgbClr>
                        </a:solidFill>
                        <a:ln>
                          <a:noFill/>
                        </a:ln>
                      </wps:spPr>
                      <wps:txbx>
                        <w:txbxContent>
                          <w:p>
                            <w:pPr>
                              <w:rPr>
                                <w:rFonts w:hint="eastAsia"/>
                              </w:rPr>
                            </w:pPr>
                            <w:r>
                              <w:rPr>
                                <w:rFonts w:hint="eastAsia"/>
                              </w:rPr>
                              <w:t>蒸汽</w:t>
                            </w:r>
                          </w:p>
                        </w:txbxContent>
                      </wps:txbx>
                      <wps:bodyPr upright="1"/>
                    </wps:wsp>
                  </a:graphicData>
                </a:graphic>
              </wp:anchor>
            </w:drawing>
          </mc:Choice>
          <mc:Fallback>
            <w:pict>
              <v:shape id="_x0000_s1026" o:spid="_x0000_s1026" o:spt="202" type="#_x0000_t202" style="position:absolute;left:0pt;margin-left:324pt;margin-top:0.6pt;height:31.2pt;width:54pt;z-index:251990016;mso-width-relative:page;mso-height-relative:page;" fillcolor="#FFFFFF" filled="t" stroked="f" coordsize="21600,21600" o:gfxdata="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98O3&#10;itUAAAAIAQAADwAAAAAAAAABACAAAAAiAAAAZHJzL2Rvd25yZXYueG1sUEsBAhQAFAAAAAgAh07i&#10;QJqTtFOzAQAASQMAAA4AAAAAAAAAAQAgAAAAJAEAAGRycy9lMm9Eb2MueG1sUEsFBgAAAAAGAAYA&#10;WQEAAEkFAAAAAA==&#10;">
                <v:fill on="t" opacity="0f" focussize="0,0"/>
                <v:stroke on="f"/>
                <v:imagedata o:title=""/>
                <o:lock v:ext="edit" aspectratio="f"/>
                <v:textbox>
                  <w:txbxContent>
                    <w:p>
                      <w:pPr>
                        <w:rPr>
                          <w:rFonts w:hint="eastAsia"/>
                        </w:rPr>
                      </w:pPr>
                      <w:r>
                        <w:rPr>
                          <w:rFonts w:hint="eastAsia"/>
                        </w:rPr>
                        <w:t>蒸汽</w:t>
                      </w:r>
                    </w:p>
                  </w:txbxContent>
                </v:textbox>
              </v:shape>
            </w:pict>
          </mc:Fallback>
        </mc:AlternateContent>
      </w:r>
      <w:r>
        <w:rPr>
          <w:rFonts w:ascii="宋体" w:hAnsi="宋体"/>
          <w:sz w:val="20"/>
        </w:rPr>
        <mc:AlternateContent>
          <mc:Choice Requires="wps">
            <w:drawing>
              <wp:anchor distT="0" distB="0" distL="114300" distR="114300" simplePos="0" relativeHeight="251992064" behindDoc="0" locked="0" layoutInCell="1" allowOverlap="1">
                <wp:simplePos x="0" y="0"/>
                <wp:positionH relativeFrom="column">
                  <wp:posOffset>3886200</wp:posOffset>
                </wp:positionH>
                <wp:positionV relativeFrom="paragraph">
                  <wp:posOffset>106680</wp:posOffset>
                </wp:positionV>
                <wp:extent cx="0" cy="198120"/>
                <wp:effectExtent l="13970" t="0" r="24130" b="0"/>
                <wp:wrapNone/>
                <wp:docPr id="488" name="直接连接符 488"/>
                <wp:cNvGraphicFramePr/>
                <a:graphic xmlns:a="http://schemas.openxmlformats.org/drawingml/2006/main">
                  <a:graphicData uri="http://schemas.microsoft.com/office/word/2010/wordprocessingShape">
                    <wps:wsp>
                      <wps:cNvCnPr/>
                      <wps:spPr>
                        <a:xfrm>
                          <a:off x="0" y="0"/>
                          <a:ext cx="0" cy="198120"/>
                        </a:xfrm>
                        <a:prstGeom prst="line">
                          <a:avLst/>
                        </a:prstGeom>
                        <a:ln w="2857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306pt;margin-top:8.4pt;height:15.6pt;width:0pt;z-index:251992064;mso-width-relative:page;mso-height-relative:page;" filled="f" stroked="t" coordsize="21600,21600" o:gfxdata="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Y8MnnWAAAACQEAAA8AAAAA&#10;AAAAAQAgAAAAIgAAAGRycy9kb3ducmV2LnhtbFBLAQIUABQAAAAIAIdO4kBWOskX3QEAAJkDAAAO&#10;AAAAAAAAAAEAIAAAACUBAABkcnMvZTJvRG9jLnhtbFBLBQYAAAAABgAGAFkBAAB0BQAAAAA=&#10;">
                <v:fill on="f" focussize="0,0"/>
                <v:stroke weight="2.25pt" color="#000000" joinstyle="round" dashstyle="dash"/>
                <v:imagedata o:title=""/>
                <o:lock v:ext="edit" aspectratio="f"/>
              </v:line>
            </w:pict>
          </mc:Fallback>
        </mc:AlternateContent>
      </w:r>
      <w:r>
        <w:rPr>
          <w:rFonts w:ascii="宋体" w:hAnsi="宋体"/>
          <w:sz w:val="20"/>
        </w:rPr>
        <mc:AlternateContent>
          <mc:Choice Requires="wps">
            <w:drawing>
              <wp:anchor distT="0" distB="0" distL="114300" distR="114300" simplePos="0" relativeHeight="251991040" behindDoc="0" locked="0" layoutInCell="1" allowOverlap="1">
                <wp:simplePos x="0" y="0"/>
                <wp:positionH relativeFrom="column">
                  <wp:posOffset>3314700</wp:posOffset>
                </wp:positionH>
                <wp:positionV relativeFrom="paragraph">
                  <wp:posOffset>106680</wp:posOffset>
                </wp:positionV>
                <wp:extent cx="571500" cy="0"/>
                <wp:effectExtent l="0" t="13970" r="0" b="24130"/>
                <wp:wrapNone/>
                <wp:docPr id="472" name="直接连接符 472"/>
                <wp:cNvGraphicFramePr/>
                <a:graphic xmlns:a="http://schemas.openxmlformats.org/drawingml/2006/main">
                  <a:graphicData uri="http://schemas.microsoft.com/office/word/2010/wordprocessingShape">
                    <wps:wsp>
                      <wps:cNvCnPr/>
                      <wps:spPr>
                        <a:xfrm>
                          <a:off x="0" y="0"/>
                          <a:ext cx="571500" cy="0"/>
                        </a:xfrm>
                        <a:prstGeom prst="line">
                          <a:avLst/>
                        </a:prstGeom>
                        <a:ln w="2857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261pt;margin-top:8.4pt;height:0pt;width:45pt;z-index:251991040;mso-width-relative:page;mso-height-relative:page;" filled="f" stroked="t" coordsize="21600,21600" o:gfxdata="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7XJnf1gAAAAkBAAAPAAAA&#10;AAAAAAEAIAAAACIAAABkcnMvZG93bnJldi54bWxQSwECFAAUAAAACACHTuJAWi5J0t4BAACZAwAA&#10;DgAAAAAAAAABACAAAAAlAQAAZHJzL2Uyb0RvYy54bWxQSwUGAAAAAAYABgBZAQAAdQUAAAAA&#10;">
                <v:fill on="f" focussize="0,0"/>
                <v:stroke weight="2.25pt" color="#000000" joinstyle="round" dashstyle="dash"/>
                <v:imagedata o:title=""/>
                <o:lock v:ext="edit" aspectratio="f"/>
              </v:line>
            </w:pict>
          </mc:Fallback>
        </mc:AlternateContent>
      </w:r>
      <w:r>
        <w:rPr>
          <w:rFonts w:ascii="宋体" w:hAnsi="宋体"/>
          <w:sz w:val="20"/>
        </w:rPr>
        <mc:AlternateContent>
          <mc:Choice Requires="wps">
            <w:drawing>
              <wp:anchor distT="0" distB="0" distL="114300" distR="114300" simplePos="0" relativeHeight="251988992" behindDoc="0" locked="0" layoutInCell="1" allowOverlap="1">
                <wp:simplePos x="0" y="0"/>
                <wp:positionH relativeFrom="column">
                  <wp:posOffset>3086100</wp:posOffset>
                </wp:positionH>
                <wp:positionV relativeFrom="paragraph">
                  <wp:posOffset>205740</wp:posOffset>
                </wp:positionV>
                <wp:extent cx="1143000" cy="297180"/>
                <wp:effectExtent l="0" t="0" r="0" b="0"/>
                <wp:wrapNone/>
                <wp:docPr id="482" name="文本框 482"/>
                <wp:cNvGraphicFramePr/>
                <a:graphic xmlns:a="http://schemas.openxmlformats.org/drawingml/2006/main">
                  <a:graphicData uri="http://schemas.microsoft.com/office/word/2010/wordprocessingShape">
                    <wps:wsp>
                      <wps:cNvSpPr txBox="1"/>
                      <wps:spPr>
                        <a:xfrm>
                          <a:off x="0" y="0"/>
                          <a:ext cx="1143000" cy="297180"/>
                        </a:xfrm>
                        <a:prstGeom prst="rect">
                          <a:avLst/>
                        </a:prstGeom>
                        <a:solidFill>
                          <a:srgbClr val="FFFFFF">
                            <a:alpha val="0"/>
                          </a:srgbClr>
                        </a:solidFill>
                        <a:ln>
                          <a:noFill/>
                        </a:ln>
                      </wps:spPr>
                      <wps:txbx>
                        <w:txbxContent>
                          <w:p>
                            <w:pPr>
                              <w:rPr>
                                <w:rFonts w:hint="eastAsia"/>
                              </w:rPr>
                            </w:pPr>
                            <w:r>
                              <w:rPr>
                                <w:rFonts w:hint="eastAsia"/>
                              </w:rPr>
                              <w:t>窑尾废气</w:t>
                            </w:r>
                          </w:p>
                        </w:txbxContent>
                      </wps:txbx>
                      <wps:bodyPr upright="1"/>
                    </wps:wsp>
                  </a:graphicData>
                </a:graphic>
              </wp:anchor>
            </w:drawing>
          </mc:Choice>
          <mc:Fallback>
            <w:pict>
              <v:shape id="_x0000_s1026" o:spid="_x0000_s1026" o:spt="202" type="#_x0000_t202" style="position:absolute;left:0pt;margin-left:243pt;margin-top:16.2pt;height:23.4pt;width:90pt;z-index:251988992;mso-width-relative:page;mso-height-relative:page;" fillcolor="#FFFFFF" filled="t" stroked="f" coordsize="21600,21600" o:gfxdata="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t7vc7ZAAAACQEAAA8AAAAAAAAAAQAgAAAAIgAAAGRycy9kb3ducmV2LnhtbFBLAQIUABQAAAAI&#10;AIdO4kBCqrXxswEAAEoDAAAOAAAAAAAAAAEAIAAAACgBAABkcnMvZTJvRG9jLnhtbFBLBQYAAAAA&#10;BgAGAFkBAABNBQAAAAA=&#10;">
                <v:fill on="t" opacity="0f" focussize="0,0"/>
                <v:stroke on="f"/>
                <v:imagedata o:title=""/>
                <o:lock v:ext="edit" aspectratio="f"/>
                <v:textbox>
                  <w:txbxContent>
                    <w:p>
                      <w:pPr>
                        <w:rPr>
                          <w:rFonts w:hint="eastAsia"/>
                        </w:rPr>
                      </w:pPr>
                      <w:r>
                        <w:rPr>
                          <w:rFonts w:hint="eastAsia"/>
                        </w:rPr>
                        <w:t>窑尾废气</w:t>
                      </w:r>
                    </w:p>
                  </w:txbxContent>
                </v:textbox>
              </v:shape>
            </w:pict>
          </mc:Fallback>
        </mc:AlternateContent>
      </w:r>
      <w:r>
        <w:rPr>
          <w:rFonts w:ascii="宋体" w:hAnsi="宋体"/>
          <w:sz w:val="20"/>
        </w:rPr>
        <mc:AlternateContent>
          <mc:Choice Requires="wps">
            <w:drawing>
              <wp:anchor distT="0" distB="0" distL="114300" distR="114300" simplePos="0" relativeHeight="251976704" behindDoc="0" locked="0" layoutInCell="1" allowOverlap="1">
                <wp:simplePos x="0" y="0"/>
                <wp:positionH relativeFrom="column">
                  <wp:posOffset>571500</wp:posOffset>
                </wp:positionH>
                <wp:positionV relativeFrom="paragraph">
                  <wp:posOffset>7620</wp:posOffset>
                </wp:positionV>
                <wp:extent cx="0" cy="297180"/>
                <wp:effectExtent l="38100" t="0" r="38100" b="7620"/>
                <wp:wrapNone/>
                <wp:docPr id="491" name="直接连接符 491"/>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45pt;margin-top:0.6pt;height:23.4pt;width:0pt;z-index:251976704;mso-width-relative:page;mso-height-relative:page;" filled="f" stroked="t" coordsize="21600,21600" o:gfxdata="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6U7+7U&#10;AAAABgEAAA8AAAAAAAAAAQAgAAAAIgAAAGRycy9kb3ducmV2LnhtbFBLAQIUABQAAAAIAIdO4kBB&#10;4WII6wEAAKcDAAAOAAAAAAAAAAEAIAAAACMBAABkcnMvZTJvRG9jLnhtbFBLBQYAAAAABgAGAFkB&#10;AACABQ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927552" behindDoc="0" locked="0" layoutInCell="1" allowOverlap="1">
                <wp:simplePos x="0" y="0"/>
                <wp:positionH relativeFrom="column">
                  <wp:posOffset>1877695</wp:posOffset>
                </wp:positionH>
                <wp:positionV relativeFrom="paragraph">
                  <wp:posOffset>283845</wp:posOffset>
                </wp:positionV>
                <wp:extent cx="1208405" cy="655320"/>
                <wp:effectExtent l="5080" t="4445" r="5715" b="6985"/>
                <wp:wrapNone/>
                <wp:docPr id="498" name="矩形 498"/>
                <wp:cNvGraphicFramePr/>
                <a:graphic xmlns:a="http://schemas.openxmlformats.org/drawingml/2006/main">
                  <a:graphicData uri="http://schemas.microsoft.com/office/word/2010/wordprocessingShape">
                    <wps:wsp>
                      <wps:cNvSpPr/>
                      <wps:spPr>
                        <a:xfrm>
                          <a:off x="0" y="0"/>
                          <a:ext cx="1208405" cy="655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预热器</w:t>
                            </w:r>
                          </w:p>
                          <w:p>
                            <w:pPr>
                              <w:jc w:val="center"/>
                              <w:rPr>
                                <w:rFonts w:hint="eastAsia"/>
                              </w:rPr>
                            </w:pPr>
                            <w:r>
                              <w:rPr>
                                <w:rFonts w:hint="eastAsia"/>
                              </w:rPr>
                              <w:t>分解炉</w:t>
                            </w:r>
                          </w:p>
                          <w:p>
                            <w:pPr>
                              <w:jc w:val="center"/>
                            </w:pPr>
                            <w:r>
                              <w:rPr>
                                <w:rFonts w:hint="eastAsia"/>
                              </w:rPr>
                              <w:t>回转窑</w:t>
                            </w:r>
                          </w:p>
                        </w:txbxContent>
                      </wps:txbx>
                      <wps:bodyPr upright="1"/>
                    </wps:wsp>
                  </a:graphicData>
                </a:graphic>
              </wp:anchor>
            </w:drawing>
          </mc:Choice>
          <mc:Fallback>
            <w:pict>
              <v:rect id="_x0000_s1026" o:spid="_x0000_s1026" o:spt="1" style="position:absolute;left:0pt;margin-left:147.85pt;margin-top:22.35pt;height:51.6pt;width:95.15pt;z-index:251927552;mso-width-relative:page;mso-height-relative:page;" fillcolor="#FFFFFF" filled="t" stroked="t" coordsize="21600,21600" o:gfxdata="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Df1M7ZAAAACgEAAA8AAAAAAAAAAQAgAAAAIgAAAGRycy9kb3ducmV2LnhtbFBLAQIUABQAAAAI&#10;AIdO4kAEepaW7AEAAN8DAAAOAAAAAAAAAAEAIAAAACgBAABkcnMvZTJvRG9jLnhtbFBLBQYAAAAA&#10;BgAGAFkBAACGBQAAAAA=&#10;">
                <v:fill on="t" focussize="0,0"/>
                <v:stroke color="#000000" joinstyle="miter"/>
                <v:imagedata o:title=""/>
                <o:lock v:ext="edit" aspectratio="f"/>
                <v:textbox>
                  <w:txbxContent>
                    <w:p>
                      <w:pPr>
                        <w:jc w:val="center"/>
                        <w:rPr>
                          <w:rFonts w:hint="eastAsia"/>
                        </w:rPr>
                      </w:pPr>
                      <w:r>
                        <w:rPr>
                          <w:rFonts w:hint="eastAsia"/>
                        </w:rPr>
                        <w:t>预热器</w:t>
                      </w:r>
                    </w:p>
                    <w:p>
                      <w:pPr>
                        <w:jc w:val="center"/>
                        <w:rPr>
                          <w:rFonts w:hint="eastAsia"/>
                        </w:rPr>
                      </w:pPr>
                      <w:r>
                        <w:rPr>
                          <w:rFonts w:hint="eastAsia"/>
                        </w:rPr>
                        <w:t>分解炉</w:t>
                      </w:r>
                    </w:p>
                    <w:p>
                      <w:pPr>
                        <w:jc w:val="center"/>
                      </w:pPr>
                      <w:r>
                        <w:rPr>
                          <w:rFonts w:hint="eastAsia"/>
                        </w:rPr>
                        <w:t>回转窑</w:t>
                      </w:r>
                    </w:p>
                  </w:txbxContent>
                </v:textbox>
              </v:rect>
            </w:pict>
          </mc:Fallback>
        </mc:AlternateContent>
      </w:r>
      <w:r>
        <w:rPr>
          <w:rFonts w:ascii="宋体" w:hAnsi="宋体"/>
          <w:sz w:val="20"/>
        </w:rPr>
        <mc:AlternateContent>
          <mc:Choice Requires="wps">
            <w:drawing>
              <wp:anchor distT="0" distB="0" distL="114300" distR="114300" simplePos="0" relativeHeight="251953152" behindDoc="0" locked="0" layoutInCell="1" allowOverlap="1">
                <wp:simplePos x="0" y="0"/>
                <wp:positionH relativeFrom="column">
                  <wp:posOffset>2423795</wp:posOffset>
                </wp:positionH>
                <wp:positionV relativeFrom="paragraph">
                  <wp:posOffset>15875</wp:posOffset>
                </wp:positionV>
                <wp:extent cx="0" cy="274320"/>
                <wp:effectExtent l="42545" t="0" r="52705" b="11430"/>
                <wp:wrapNone/>
                <wp:docPr id="483" name="直接连接符 483"/>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0.85pt;margin-top:1.25pt;height:21.6pt;width:0pt;z-index:251953152;mso-width-relative:page;mso-height-relative:page;" filled="f" stroked="t" coordsize="21600,21600" o:gfxdata="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N0EudQAAAAIAQAA&#10;DwAAAAAAAAABACAAAAAiAAAAZHJzL2Rvd25yZXYueG1sUEsBAhQAFAAAAAgAh07iQNRnU7vkAQAA&#10;ngMAAA4AAAAAAAAAAQAgAAAAIwEAAGRycy9lMm9Eb2MueG1sUEsFBgAAAAAGAAYAWQEAAHkFAAAA&#10;AA==&#10;">
                <v:fill on="f" focussize="0,0"/>
                <v:stroke weight="2.25pt" color="#000000" joinstyle="round" endarrow="block"/>
                <v:imagedata o:title=""/>
                <o:lock v:ext="edit" aspectratio="f"/>
              </v:line>
            </w:pict>
          </mc:Fallback>
        </mc:AlternateContent>
      </w:r>
      <w:r>
        <w:rPr>
          <w:rFonts w:ascii="宋体" w:hAnsi="宋体"/>
        </w:rPr>
        <w:t xml:space="preserve"> </w: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2009472" behindDoc="0" locked="0" layoutInCell="1" allowOverlap="1">
                <wp:simplePos x="0" y="0"/>
                <wp:positionH relativeFrom="column">
                  <wp:posOffset>5029200</wp:posOffset>
                </wp:positionH>
                <wp:positionV relativeFrom="paragraph">
                  <wp:posOffset>297180</wp:posOffset>
                </wp:positionV>
                <wp:extent cx="1238250" cy="297180"/>
                <wp:effectExtent l="4445" t="4445" r="14605" b="22225"/>
                <wp:wrapNone/>
                <wp:docPr id="499" name="矩形 499"/>
                <wp:cNvGraphicFramePr/>
                <a:graphic xmlns:a="http://schemas.openxmlformats.org/drawingml/2006/main">
                  <a:graphicData uri="http://schemas.microsoft.com/office/word/2010/wordprocessingShape">
                    <wps:wsp>
                      <wps:cNvSpPr/>
                      <wps:spPr>
                        <a:xfrm>
                          <a:off x="0" y="0"/>
                          <a:ext cx="12382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color w:val="0000FF"/>
                              </w:rPr>
                            </w:pPr>
                            <w:r>
                              <w:rPr>
                                <w:rFonts w:hint="eastAsia"/>
                                <w:color w:val="0000FF"/>
                              </w:rPr>
                              <w:t>袋收尘器</w:t>
                            </w:r>
                          </w:p>
                        </w:txbxContent>
                      </wps:txbx>
                      <wps:bodyPr upright="1"/>
                    </wps:wsp>
                  </a:graphicData>
                </a:graphic>
              </wp:anchor>
            </w:drawing>
          </mc:Choice>
          <mc:Fallback>
            <w:pict>
              <v:rect id="_x0000_s1026" o:spid="_x0000_s1026" o:spt="1" style="position:absolute;left:0pt;margin-left:396pt;margin-top:23.4pt;height:23.4pt;width:97.5pt;z-index:252009472;mso-width-relative:page;mso-height-relative:page;" fillcolor="#FFFFFF" filled="t" stroked="t" coordsize="21600,21600" o:gfxdata="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GdMqdgAAAAJAQAADwAAAAAAAAABACAAAAAiAAAAZHJzL2Rvd25yZXYueG1sUEsBAhQAFAAAAAgA&#10;h07iQI6UzBnsAQAA3wMAAA4AAAAAAAAAAQAgAAAAJwEAAGRycy9lMm9Eb2MueG1sUEsFBgAAAAAG&#10;AAYAWQEAAIUFAAAAAA==&#10;">
                <v:fill on="t" focussize="0,0"/>
                <v:stroke color="#000000" joinstyle="miter"/>
                <v:imagedata o:title=""/>
                <o:lock v:ext="edit" aspectratio="f"/>
                <v:textbox>
                  <w:txbxContent>
                    <w:p>
                      <w:pPr>
                        <w:jc w:val="center"/>
                        <w:rPr>
                          <w:color w:val="0000FF"/>
                        </w:rPr>
                      </w:pPr>
                      <w:r>
                        <w:rPr>
                          <w:rFonts w:hint="eastAsia"/>
                          <w:color w:val="0000FF"/>
                        </w:rPr>
                        <w:t>袋收尘器</w:t>
                      </w:r>
                    </w:p>
                  </w:txbxContent>
                </v:textbox>
              </v:rect>
            </w:pict>
          </mc:Fallback>
        </mc:AlternateContent>
      </w:r>
      <w:r>
        <w:rPr>
          <w:rFonts w:hint="eastAsia" w:ascii="宋体" w:hAnsi="宋体"/>
        </w:rPr>
        <mc:AlternateContent>
          <mc:Choice Requires="wps">
            <w:drawing>
              <wp:anchor distT="0" distB="0" distL="114300" distR="114300" simplePos="0" relativeHeight="252010496" behindDoc="0" locked="0" layoutInCell="1" allowOverlap="1">
                <wp:simplePos x="0" y="0"/>
                <wp:positionH relativeFrom="column">
                  <wp:posOffset>5486400</wp:posOffset>
                </wp:positionH>
                <wp:positionV relativeFrom="paragraph">
                  <wp:posOffset>0</wp:posOffset>
                </wp:positionV>
                <wp:extent cx="0" cy="297180"/>
                <wp:effectExtent l="38100" t="0" r="38100" b="7620"/>
                <wp:wrapNone/>
                <wp:docPr id="500" name="直接连接符 500"/>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432pt;margin-top:0pt;height:23.4pt;width:0pt;z-index:252010496;mso-width-relative:page;mso-height-relative:page;" filled="f" stroked="t" coordsize="21600,21600" o:gfxdata="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2D1i&#10;MtYAAAAHAQAADwAAAAAAAAABACAAAAAiAAAAZHJzL2Rvd25yZXYueG1sUEsBAhQAFAAAAAgAh07i&#10;QD/Mj3jrAQAApwMAAA4AAAAAAAAAAQAgAAAAJQEAAGRycy9lMm9Eb2MueG1sUEsFBgAAAAAGAAYA&#10;WQEAAIIFA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936768" behindDoc="0" locked="0" layoutInCell="1" allowOverlap="1">
                <wp:simplePos x="0" y="0"/>
                <wp:positionH relativeFrom="column">
                  <wp:posOffset>228600</wp:posOffset>
                </wp:positionH>
                <wp:positionV relativeFrom="paragraph">
                  <wp:posOffset>0</wp:posOffset>
                </wp:positionV>
                <wp:extent cx="699770" cy="297180"/>
                <wp:effectExtent l="4445" t="4445" r="19685" b="22225"/>
                <wp:wrapNone/>
                <wp:docPr id="501" name="矩形 501"/>
                <wp:cNvGraphicFramePr/>
                <a:graphic xmlns:a="http://schemas.openxmlformats.org/drawingml/2006/main">
                  <a:graphicData uri="http://schemas.microsoft.com/office/word/2010/wordprocessingShape">
                    <wps:wsp>
                      <wps:cNvSpPr/>
                      <wps:spPr>
                        <a:xfrm>
                          <a:off x="0" y="0"/>
                          <a:ext cx="6997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增湿塔</w:t>
                            </w:r>
                          </w:p>
                        </w:txbxContent>
                      </wps:txbx>
                      <wps:bodyPr upright="1"/>
                    </wps:wsp>
                  </a:graphicData>
                </a:graphic>
              </wp:anchor>
            </w:drawing>
          </mc:Choice>
          <mc:Fallback>
            <w:pict>
              <v:rect id="_x0000_s1026" o:spid="_x0000_s1026" o:spt="1" style="position:absolute;left:0pt;margin-left:18pt;margin-top:0pt;height:23.4pt;width:55.1pt;z-index:251936768;mso-width-relative:page;mso-height-relative:page;" fillcolor="#FFFFFF" filled="t" stroked="t" coordsize="21600,21600" o:gfxdata="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VfO&#10;m9YAAAAGAQAADwAAAAAAAAABACAAAAAiAAAAZHJzL2Rvd25yZXYueG1sUEsBAhQAFAAAAAgAh07i&#10;QF2mMCnrAQAA3gMAAA4AAAAAAAAAAQAgAAAAJQEAAGRycy9lMm9Eb2MueG1sUEsFBgAAAAAGAAYA&#10;WQEAAIIFAAAAAA==&#10;">
                <v:fill on="t" focussize="0,0"/>
                <v:stroke color="#000000" joinstyle="miter"/>
                <v:imagedata o:title=""/>
                <o:lock v:ext="edit" aspectratio="f"/>
                <v:textbox>
                  <w:txbxContent>
                    <w:p>
                      <w:pPr>
                        <w:jc w:val="center"/>
                      </w:pPr>
                      <w:r>
                        <w:rPr>
                          <w:rFonts w:hint="eastAsia"/>
                        </w:rPr>
                        <w:t>增湿塔</w:t>
                      </w:r>
                    </w:p>
                  </w:txbxContent>
                </v:textbox>
              </v:rect>
            </w:pict>
          </mc:Fallback>
        </mc:AlternateContent>
      </w:r>
      <w:r>
        <w:rPr>
          <w:rFonts w:ascii="宋体" w:hAnsi="宋体"/>
          <w:sz w:val="20"/>
        </w:rPr>
        <mc:AlternateContent>
          <mc:Choice Requires="wps">
            <w:drawing>
              <wp:anchor distT="0" distB="0" distL="114300" distR="114300" simplePos="0" relativeHeight="251982848" behindDoc="0" locked="0" layoutInCell="1" allowOverlap="1">
                <wp:simplePos x="0" y="0"/>
                <wp:positionH relativeFrom="column">
                  <wp:posOffset>3771900</wp:posOffset>
                </wp:positionH>
                <wp:positionV relativeFrom="paragraph">
                  <wp:posOffset>0</wp:posOffset>
                </wp:positionV>
                <wp:extent cx="1028700" cy="297180"/>
                <wp:effectExtent l="4445" t="4445" r="14605" b="22225"/>
                <wp:wrapNone/>
                <wp:docPr id="476" name="文本框 476"/>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 w:val="18"/>
                                <w:szCs w:val="18"/>
                              </w:rPr>
                            </w:pPr>
                            <w:r>
                              <w:rPr>
                                <w:rFonts w:hint="eastAsia" w:ascii="宋体" w:hAnsi="宋体"/>
                                <w:sz w:val="18"/>
                                <w:szCs w:val="18"/>
                              </w:rPr>
                              <w:t>SP余热锅炉※△</w:t>
                            </w:r>
                          </w:p>
                        </w:txbxContent>
                      </wps:txbx>
                      <wps:bodyPr upright="1"/>
                    </wps:wsp>
                  </a:graphicData>
                </a:graphic>
              </wp:anchor>
            </w:drawing>
          </mc:Choice>
          <mc:Fallback>
            <w:pict>
              <v:shape id="_x0000_s1026" o:spid="_x0000_s1026" o:spt="202" type="#_x0000_t202" style="position:absolute;left:0pt;margin-left:297pt;margin-top:0pt;height:23.4pt;width:81pt;z-index:251982848;mso-width-relative:page;mso-height-relative:page;" fillcolor="#FFFFFF" filled="t" stroked="t" coordsize="21600,21600" o:gfxdata="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jWvsT1wAAAAcBAAAPAAAAAAAAAAEAIAAAACIAAABkcnMvZG93bnJldi54bWxQSwEC&#10;FAAUAAAACACHTuJAbA50nvUBAADsAwAADgAAAAAAAAABACAAAAAmAQAAZHJzL2Uyb0RvYy54bWxQ&#10;SwUGAAAAAAYABgBZAQAAjQUAAAAA&#10;">
                <v:fill on="t" focussize="0,0"/>
                <v:stroke color="#000000" joinstyle="miter"/>
                <v:imagedata o:title=""/>
                <o:lock v:ext="edit" aspectratio="f"/>
                <v:textbox>
                  <w:txbxContent>
                    <w:p>
                      <w:pPr>
                        <w:rPr>
                          <w:rFonts w:hint="eastAsia" w:ascii="宋体" w:hAnsi="宋体"/>
                          <w:sz w:val="18"/>
                          <w:szCs w:val="18"/>
                        </w:rPr>
                      </w:pPr>
                      <w:r>
                        <w:rPr>
                          <w:rFonts w:hint="eastAsia" w:ascii="宋体" w:hAnsi="宋体"/>
                          <w:sz w:val="18"/>
                          <w:szCs w:val="18"/>
                        </w:rPr>
                        <w:t>SP余热锅炉※△</w:t>
                      </w:r>
                    </w:p>
                  </w:txbxContent>
                </v:textbox>
              </v:shape>
            </w:pict>
          </mc:Fallback>
        </mc:AlternateContent>
      </w:r>
      <w:r>
        <w:rPr>
          <w:rFonts w:ascii="宋体" w:hAnsi="宋体"/>
          <w:sz w:val="20"/>
        </w:rPr>
        <mc:AlternateContent>
          <mc:Choice Requires="wps">
            <w:drawing>
              <wp:anchor distT="0" distB="0" distL="114300" distR="114300" simplePos="0" relativeHeight="251999232" behindDoc="0" locked="0" layoutInCell="1" allowOverlap="1">
                <wp:simplePos x="0" y="0"/>
                <wp:positionH relativeFrom="column">
                  <wp:posOffset>4229100</wp:posOffset>
                </wp:positionH>
                <wp:positionV relativeFrom="paragraph">
                  <wp:posOffset>299085</wp:posOffset>
                </wp:positionV>
                <wp:extent cx="0" cy="198120"/>
                <wp:effectExtent l="42545" t="0" r="52705" b="11430"/>
                <wp:wrapNone/>
                <wp:docPr id="502" name="直接连接符 502"/>
                <wp:cNvGraphicFramePr/>
                <a:graphic xmlns:a="http://schemas.openxmlformats.org/drawingml/2006/main">
                  <a:graphicData uri="http://schemas.microsoft.com/office/word/2010/wordprocessingShape">
                    <wps:wsp>
                      <wps:cNvCnPr/>
                      <wps:spPr>
                        <a:xfrm flipV="1">
                          <a:off x="0" y="0"/>
                          <a:ext cx="0" cy="198120"/>
                        </a:xfrm>
                        <a:prstGeom prst="line">
                          <a:avLst/>
                        </a:prstGeom>
                        <a:ln w="2857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333pt;margin-top:23.55pt;height:15.6pt;width:0pt;z-index:251999232;mso-width-relative:page;mso-height-relative:page;" filled="f" stroked="t" coordsize="21600,21600" o:gfxdata="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q6FtvZAAAACQEAAA8AAAAAAAAAAQAgAAAAIgAAAGRycy9kb3ducmV2LnhtbFBLAQIUABQAAAAI&#10;AIdO4kD/yKGG7AEAAKcDAAAOAAAAAAAAAAEAIAAAACgBAABkcnMvZTJvRG9jLnhtbFBLBQYAAAAA&#10;BgAGAFkBAACGBQAAAAA=&#10;">
                <v:fill on="f" focussize="0,0"/>
                <v:stroke weight="2.25pt" color="#000000" joinstyle="round" dashstyle="dash"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981824" behindDoc="0" locked="0" layoutInCell="1" allowOverlap="1">
                <wp:simplePos x="0" y="0"/>
                <wp:positionH relativeFrom="column">
                  <wp:posOffset>3086100</wp:posOffset>
                </wp:positionH>
                <wp:positionV relativeFrom="paragraph">
                  <wp:posOffset>198120</wp:posOffset>
                </wp:positionV>
                <wp:extent cx="685800" cy="0"/>
                <wp:effectExtent l="0" t="42545" r="0" b="52705"/>
                <wp:wrapNone/>
                <wp:docPr id="503" name="直接连接符 503"/>
                <wp:cNvGraphicFramePr/>
                <a:graphic xmlns:a="http://schemas.openxmlformats.org/drawingml/2006/main">
                  <a:graphicData uri="http://schemas.microsoft.com/office/word/2010/wordprocessingShape">
                    <wps:wsp>
                      <wps:cNvCnPr/>
                      <wps:spPr>
                        <a:xfrm>
                          <a:off x="0" y="0"/>
                          <a:ext cx="685800" cy="0"/>
                        </a:xfrm>
                        <a:prstGeom prst="line">
                          <a:avLst/>
                        </a:prstGeom>
                        <a:ln w="2857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margin-left:243pt;margin-top:15.6pt;height:0pt;width:54pt;z-index:251981824;mso-width-relative:page;mso-height-relative:page;" filled="f" stroked="t" coordsize="21600,21600" o:gfxdata="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5oh5NcAAAAJ&#10;AQAADwAAAAAAAAABACAAAAAiAAAAZHJzL2Rvd25yZXYueG1sUEsBAhQAFAAAAAgAh07iQBt8AQrk&#10;AQAAnQMAAA4AAAAAAAAAAQAgAAAAJgEAAGRycy9lMm9Eb2MueG1sUEsFBgAAAAAGAAYAWQEAAHwF&#10;AAAAAA==&#10;">
                <v:fill on="f" focussize="0,0"/>
                <v:stroke weight="2.25pt" color="#000000" joinstyle="round" dashstyle="dash"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937792" behindDoc="0" locked="0" layoutInCell="1" allowOverlap="1">
                <wp:simplePos x="0" y="0"/>
                <wp:positionH relativeFrom="column">
                  <wp:posOffset>928370</wp:posOffset>
                </wp:positionH>
                <wp:positionV relativeFrom="paragraph">
                  <wp:posOffset>166370</wp:posOffset>
                </wp:positionV>
                <wp:extent cx="914400" cy="0"/>
                <wp:effectExtent l="0" t="38100" r="0" b="38100"/>
                <wp:wrapNone/>
                <wp:docPr id="477" name="直接连接符 477"/>
                <wp:cNvGraphicFramePr/>
                <a:graphic xmlns:a="http://schemas.openxmlformats.org/drawingml/2006/main">
                  <a:graphicData uri="http://schemas.microsoft.com/office/word/2010/wordprocessingShape">
                    <wps:wsp>
                      <wps:cNvCnPr/>
                      <wps:spPr>
                        <a:xfrm flipH="1">
                          <a:off x="0" y="0"/>
                          <a:ext cx="9144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3.1pt;margin-top:13.1pt;height:0pt;width:72pt;z-index:251937792;mso-width-relative:page;mso-height-relative:page;" filled="f" stroked="t" coordsize="21600,21600" o:gfxdata="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cZ&#10;M6fXAAAACQEAAA8AAAAAAAAAAQAgAAAAIgAAAGRycy9kb3ducmV2LnhtbFBLAQIUABQAAAAIAIdO&#10;4kD7Pa136wEAAKcDAAAOAAAAAAAAAAEAIAAAACYBAABkcnMvZTJvRG9jLnhtbFBLBQYAAAAABgAG&#10;AFkBAACDBQAAAAA=&#10;">
                <v:fill on="f" focussize="0,0"/>
                <v:stroke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2013568" behindDoc="0" locked="0" layoutInCell="1" allowOverlap="1">
                <wp:simplePos x="0" y="0"/>
                <wp:positionH relativeFrom="column">
                  <wp:posOffset>5486400</wp:posOffset>
                </wp:positionH>
                <wp:positionV relativeFrom="paragraph">
                  <wp:posOffset>289560</wp:posOffset>
                </wp:positionV>
                <wp:extent cx="0" cy="396240"/>
                <wp:effectExtent l="38100" t="0" r="38100" b="3810"/>
                <wp:wrapNone/>
                <wp:docPr id="473" name="直接连接符 473"/>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432pt;margin-top:22.8pt;height:31.2pt;width:0pt;z-index:252013568;mso-width-relative:page;mso-height-relative:page;" filled="f" stroked="t" coordsize="21600,21600" o:gfxdata="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zc+PtgAAAAKAQAADwAAAAAAAAABACAAAAAiAAAAZHJzL2Rvd25yZXYueG1sUEsBAhQAFAAAAAgA&#10;h07iQCKbqF7sAQAApwMAAA4AAAAAAAAAAQAgAAAAJwEAAGRycy9lMm9Eb2MueG1sUEsFBgAAAAAG&#10;AAYAWQEAAIUFA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2000256" behindDoc="0" locked="0" layoutInCell="1" allowOverlap="1">
                <wp:simplePos x="0" y="0"/>
                <wp:positionH relativeFrom="column">
                  <wp:posOffset>4114800</wp:posOffset>
                </wp:positionH>
                <wp:positionV relativeFrom="paragraph">
                  <wp:posOffset>289560</wp:posOffset>
                </wp:positionV>
                <wp:extent cx="685800" cy="739140"/>
                <wp:effectExtent l="0" t="0" r="0" b="0"/>
                <wp:wrapNone/>
                <wp:docPr id="479" name="文本框 479"/>
                <wp:cNvGraphicFramePr/>
                <a:graphic xmlns:a="http://schemas.openxmlformats.org/drawingml/2006/main">
                  <a:graphicData uri="http://schemas.microsoft.com/office/word/2010/wordprocessingShape">
                    <wps:wsp>
                      <wps:cNvSpPr txBox="1"/>
                      <wps:spPr>
                        <a:xfrm>
                          <a:off x="0" y="0"/>
                          <a:ext cx="685800" cy="739140"/>
                        </a:xfrm>
                        <a:prstGeom prst="rect">
                          <a:avLst/>
                        </a:prstGeom>
                        <a:solidFill>
                          <a:srgbClr val="FFFFFF">
                            <a:alpha val="0"/>
                          </a:srgbClr>
                        </a:solidFill>
                        <a:ln>
                          <a:noFill/>
                        </a:ln>
                      </wps:spPr>
                      <wps:txbx>
                        <w:txbxContent>
                          <w:p>
                            <w:pPr>
                              <w:rPr>
                                <w:rFonts w:hint="eastAsia"/>
                              </w:rPr>
                            </w:pPr>
                            <w:r>
                              <w:rPr>
                                <w:rFonts w:hint="eastAsia"/>
                              </w:rPr>
                              <w:t>蒸汽</w:t>
                            </w:r>
                          </w:p>
                        </w:txbxContent>
                      </wps:txbx>
                      <wps:bodyPr upright="1"/>
                    </wps:wsp>
                  </a:graphicData>
                </a:graphic>
              </wp:anchor>
            </w:drawing>
          </mc:Choice>
          <mc:Fallback>
            <w:pict>
              <v:shape id="_x0000_s1026" o:spid="_x0000_s1026" o:spt="202" type="#_x0000_t202" style="position:absolute;left:0pt;margin-left:324pt;margin-top:22.8pt;height:58.2pt;width:54pt;z-index:252000256;mso-width-relative:page;mso-height-relative:page;" fillcolor="#FFFFFF" filled="t" stroked="f" coordsize="21600,21600" o:gfxdata="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VXnc9gAAAAKAQAADwAAAAAAAAABACAAAAAiAAAAZHJzL2Rvd25yZXYueG1sUEsBAhQAFAAAAAgA&#10;h07iQIZTSzyzAQAASQMAAA4AAAAAAAAAAQAgAAAAJwEAAGRycy9lMm9Eb2MueG1sUEsFBgAAAAAG&#10;AAYAWQEAAEwFAAAAAA==&#10;">
                <v:fill on="t" opacity="0f" focussize="0,0"/>
                <v:stroke on="f"/>
                <v:imagedata o:title=""/>
                <o:lock v:ext="edit" aspectratio="f"/>
                <v:textbox>
                  <w:txbxContent>
                    <w:p>
                      <w:pPr>
                        <w:rPr>
                          <w:rFonts w:hint="eastAsia"/>
                        </w:rPr>
                      </w:pPr>
                      <w:r>
                        <w:rPr>
                          <w:rFonts w:hint="eastAsia"/>
                        </w:rPr>
                        <w:t>蒸汽</w:t>
                      </w:r>
                    </w:p>
                  </w:txbxContent>
                </v:textbox>
              </v:shape>
            </w:pict>
          </mc:Fallback>
        </mc:AlternateContent>
      </w:r>
      <w:r>
        <w:rPr>
          <w:rFonts w:ascii="宋体" w:hAnsi="宋体"/>
          <w:sz w:val="20"/>
        </w:rPr>
        <mc:AlternateContent>
          <mc:Choice Requires="wps">
            <w:drawing>
              <wp:anchor distT="0" distB="0" distL="114300" distR="114300" simplePos="0" relativeHeight="251998208" behindDoc="0" locked="0" layoutInCell="1" allowOverlap="1">
                <wp:simplePos x="0" y="0"/>
                <wp:positionH relativeFrom="column">
                  <wp:posOffset>4229100</wp:posOffset>
                </wp:positionH>
                <wp:positionV relativeFrom="paragraph">
                  <wp:posOffset>289560</wp:posOffset>
                </wp:positionV>
                <wp:extent cx="0" cy="99060"/>
                <wp:effectExtent l="4445" t="0" r="14605" b="15240"/>
                <wp:wrapNone/>
                <wp:docPr id="484" name="直接连接符 484"/>
                <wp:cNvGraphicFramePr/>
                <a:graphic xmlns:a="http://schemas.openxmlformats.org/drawingml/2006/main">
                  <a:graphicData uri="http://schemas.microsoft.com/office/word/2010/wordprocessingShape">
                    <wps:wsp>
                      <wps:cNvCnPr/>
                      <wps:spPr>
                        <a:xfrm flipV="1">
                          <a:off x="0" y="0"/>
                          <a:ext cx="0" cy="990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33pt;margin-top:22.8pt;height:7.8pt;width:0pt;z-index:251998208;mso-width-relative:page;mso-height-relative:page;" filled="f" stroked="t" coordsize="21600,21600" o:gfxdata="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ZafhjWAAAACQEA&#10;AA8AAAAAAAAAAQAgAAAAIgAAAGRycy9kb3ducmV2LnhtbFBLAQIUABQAAAAIAIdO4kBsjH2k4wEA&#10;AKIDAAAOAAAAAAAAAAEAIAAAACUBAABkcnMvZTJvRG9jLnhtbFBLBQYAAAAABgAGAFkBAAB6BQAA&#10;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955200" behindDoc="0" locked="0" layoutInCell="1" allowOverlap="1">
                <wp:simplePos x="0" y="0"/>
                <wp:positionH relativeFrom="column">
                  <wp:posOffset>3081020</wp:posOffset>
                </wp:positionH>
                <wp:positionV relativeFrom="paragraph">
                  <wp:posOffset>271145</wp:posOffset>
                </wp:positionV>
                <wp:extent cx="1828800" cy="0"/>
                <wp:effectExtent l="0" t="38100" r="0" b="38100"/>
                <wp:wrapNone/>
                <wp:docPr id="474" name="直接连接符 474"/>
                <wp:cNvGraphicFramePr/>
                <a:graphic xmlns:a="http://schemas.openxmlformats.org/drawingml/2006/main">
                  <a:graphicData uri="http://schemas.microsoft.com/office/word/2010/wordprocessingShape">
                    <wps:wsp>
                      <wps:cNvCnPr/>
                      <wps:spPr>
                        <a:xfrm flipH="1">
                          <a:off x="0" y="0"/>
                          <a:ext cx="1828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42.6pt;margin-top:21.35pt;height:0pt;width:144pt;z-index:251955200;mso-width-relative:page;mso-height-relative:page;" filled="f" stroked="t" coordsize="21600,21600" o:gfxdata="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XO5TN2QAAAAkBAAAPAAAAAAAAAAEAIAAAACIAAABkcnMvZG93bnJldi54bWxQSwECFAAUAAAA&#10;CACHTuJARIavpO0BAACoAwAADgAAAAAAAAABACAAAAAoAQAAZHJzL2Uyb0RvYy54bWxQSwUGAAAA&#10;AAYABgBZAQAAhwUAAAAA&#10;">
                <v:fill on="f" focussize="0,0"/>
                <v:stroke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2006400" behindDoc="0" locked="0" layoutInCell="1" allowOverlap="1">
                <wp:simplePos x="0" y="0"/>
                <wp:positionH relativeFrom="column">
                  <wp:posOffset>960120</wp:posOffset>
                </wp:positionH>
                <wp:positionV relativeFrom="paragraph">
                  <wp:posOffset>281940</wp:posOffset>
                </wp:positionV>
                <wp:extent cx="868680" cy="211455"/>
                <wp:effectExtent l="0" t="0" r="7620" b="17145"/>
                <wp:wrapNone/>
                <wp:docPr id="475" name="矩形 475"/>
                <wp:cNvGraphicFramePr/>
                <a:graphic xmlns:a="http://schemas.openxmlformats.org/drawingml/2006/main">
                  <a:graphicData uri="http://schemas.microsoft.com/office/word/2010/wordprocessingShape">
                    <wps:wsp>
                      <wps:cNvSpPr/>
                      <wps:spPr>
                        <a:xfrm flipV="1">
                          <a:off x="0" y="0"/>
                          <a:ext cx="868680" cy="211455"/>
                        </a:xfrm>
                        <a:prstGeom prst="rect">
                          <a:avLst/>
                        </a:prstGeom>
                        <a:solidFill>
                          <a:srgbClr val="FFFFFF"/>
                        </a:solidFill>
                        <a:ln>
                          <a:noFill/>
                        </a:ln>
                      </wps:spPr>
                      <wps:txbx>
                        <w:txbxContent>
                          <w:p>
                            <w:pPr>
                              <w:spacing w:line="240" w:lineRule="exact"/>
                              <w:jc w:val="center"/>
                              <w:rPr>
                                <w:rFonts w:hint="eastAsia"/>
                              </w:rPr>
                            </w:pPr>
                            <w:r>
                              <w:rPr>
                                <w:rFonts w:hint="eastAsia"/>
                              </w:rPr>
                              <w:t>窑头废气</w:t>
                            </w:r>
                          </w:p>
                        </w:txbxContent>
                      </wps:txbx>
                      <wps:bodyPr lIns="0" tIns="0" rIns="0" bIns="0" upright="1"/>
                    </wps:wsp>
                  </a:graphicData>
                </a:graphic>
              </wp:anchor>
            </w:drawing>
          </mc:Choice>
          <mc:Fallback>
            <w:pict>
              <v:rect id="_x0000_s1026" o:spid="_x0000_s1026" o:spt="1" style="position:absolute;left:0pt;flip:y;margin-left:75.6pt;margin-top:22.2pt;height:16.65pt;width:68.4pt;z-index:252006400;mso-width-relative:page;mso-height-relative:page;" fillcolor="#FFFFFF" filled="t" stroked="f" coordsize="21600,21600" o:gfxdata="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c+&#10;q1DXAAAACQEAAA8AAAAAAAAAAQAgAAAAIgAAAGRycy9kb3ducmV2LnhtbFBLAQIUABQAAAAIAIdO&#10;4kASZyNIsgEAAE0DAAAOAAAAAAAAAAEAIAAAACYBAABkcnMvZTJvRG9jLnhtbFBLBQYAAAAABgAG&#10;AFkBAABKBQAAAAA=&#10;">
                <v:fill on="t" focussize="0,0"/>
                <v:stroke on="f"/>
                <v:imagedata o:title=""/>
                <o:lock v:ext="edit" aspectratio="f"/>
                <v:textbox inset="0mm,0mm,0mm,0mm">
                  <w:txbxContent>
                    <w:p>
                      <w:pPr>
                        <w:spacing w:line="240" w:lineRule="exact"/>
                        <w:jc w:val="center"/>
                        <w:rPr>
                          <w:rFonts w:hint="eastAsia"/>
                        </w:rPr>
                      </w:pPr>
                      <w:r>
                        <w:rPr>
                          <w:rFonts w:hint="eastAsia"/>
                        </w:rPr>
                        <w:t>窑头废气</w:t>
                      </w:r>
                    </w:p>
                  </w:txbxContent>
                </v:textbox>
              </v:rect>
            </w:pict>
          </mc:Fallback>
        </mc:AlternateContent>
      </w:r>
      <w:r>
        <w:rPr>
          <w:rFonts w:hint="eastAsia" w:ascii="宋体" w:hAnsi="宋体"/>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281940</wp:posOffset>
                </wp:positionV>
                <wp:extent cx="699770" cy="297180"/>
                <wp:effectExtent l="4445" t="4445" r="19685" b="22225"/>
                <wp:wrapNone/>
                <wp:docPr id="480" name="矩形 480"/>
                <wp:cNvGraphicFramePr/>
                <a:graphic xmlns:a="http://schemas.openxmlformats.org/drawingml/2006/main">
                  <a:graphicData uri="http://schemas.microsoft.com/office/word/2010/wordprocessingShape">
                    <wps:wsp>
                      <wps:cNvSpPr/>
                      <wps:spPr>
                        <a:xfrm>
                          <a:off x="0" y="0"/>
                          <a:ext cx="6997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增湿塔</w:t>
                            </w:r>
                          </w:p>
                        </w:txbxContent>
                      </wps:txbx>
                      <wps:bodyPr upright="1"/>
                    </wps:wsp>
                  </a:graphicData>
                </a:graphic>
              </wp:anchor>
            </w:drawing>
          </mc:Choice>
          <mc:Fallback>
            <w:pict>
              <v:rect id="_x0000_s1026" o:spid="_x0000_s1026" o:spt="1" style="position:absolute;left:0pt;margin-left:-9pt;margin-top:22.2pt;height:23.4pt;width:55.1pt;z-index:252007424;mso-width-relative:page;mso-height-relative:page;" fillcolor="#FFFFFF" filled="t" stroked="t" coordsize="21600,21600" o:gfxdata="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Fvd&#10;yNcAAAAIAQAADwAAAAAAAAABACAAAAAiAAAAZHJzL2Rvd25yZXYueG1sUEsBAhQAFAAAAAgAh07i&#10;QAKiD9rqAQAA3gMAAA4AAAAAAAAAAQAgAAAAJgEAAGRycy9lMm9Eb2MueG1sUEsFBgAAAAAGAAYA&#10;WQEAAIIFAAAAAA==&#10;">
                <v:fill on="t" focussize="0,0"/>
                <v:stroke color="#000000" joinstyle="miter"/>
                <v:imagedata o:title=""/>
                <o:lock v:ext="edit" aspectratio="f"/>
                <v:textbox>
                  <w:txbxContent>
                    <w:p>
                      <w:pPr>
                        <w:jc w:val="center"/>
                      </w:pPr>
                      <w:r>
                        <w:rPr>
                          <w:rFonts w:hint="eastAsia"/>
                        </w:rPr>
                        <w:t>增湿塔</w:t>
                      </w:r>
                    </w:p>
                  </w:txbxContent>
                </v:textbox>
              </v:rect>
            </w:pict>
          </mc:Fallback>
        </mc:AlternateContent>
      </w:r>
      <w:r>
        <w:rPr>
          <w:rFonts w:ascii="宋体" w:hAnsi="宋体"/>
          <w:sz w:val="20"/>
        </w:rPr>
        <mc:AlternateContent>
          <mc:Choice Requires="wps">
            <w:drawing>
              <wp:anchor distT="0" distB="0" distL="114300" distR="114300" simplePos="0" relativeHeight="252001280" behindDoc="0" locked="0" layoutInCell="1" allowOverlap="1">
                <wp:simplePos x="0" y="0"/>
                <wp:positionH relativeFrom="column">
                  <wp:posOffset>4800600</wp:posOffset>
                </wp:positionH>
                <wp:positionV relativeFrom="paragraph">
                  <wp:posOffset>182880</wp:posOffset>
                </wp:positionV>
                <wp:extent cx="1143000" cy="297180"/>
                <wp:effectExtent l="0" t="0" r="0" b="0"/>
                <wp:wrapNone/>
                <wp:docPr id="481" name="文本框 481"/>
                <wp:cNvGraphicFramePr/>
                <a:graphic xmlns:a="http://schemas.openxmlformats.org/drawingml/2006/main">
                  <a:graphicData uri="http://schemas.microsoft.com/office/word/2010/wordprocessingShape">
                    <wps:wsp>
                      <wps:cNvSpPr txBox="1"/>
                      <wps:spPr>
                        <a:xfrm>
                          <a:off x="0" y="0"/>
                          <a:ext cx="1143000" cy="297180"/>
                        </a:xfrm>
                        <a:prstGeom prst="rect">
                          <a:avLst/>
                        </a:prstGeom>
                        <a:solidFill>
                          <a:srgbClr val="FFFFFF">
                            <a:alpha val="0"/>
                          </a:srgbClr>
                        </a:solidFill>
                        <a:ln>
                          <a:noFill/>
                        </a:ln>
                      </wps:spPr>
                      <wps:txbx>
                        <w:txbxContent>
                          <w:p>
                            <w:pPr>
                              <w:rPr>
                                <w:rFonts w:hint="eastAsia"/>
                              </w:rPr>
                            </w:pPr>
                            <w:r>
                              <w:rPr>
                                <w:rFonts w:hint="eastAsia"/>
                              </w:rPr>
                              <w:t>锅炉废气</w:t>
                            </w:r>
                          </w:p>
                        </w:txbxContent>
                      </wps:txbx>
                      <wps:bodyPr upright="1"/>
                    </wps:wsp>
                  </a:graphicData>
                </a:graphic>
              </wp:anchor>
            </w:drawing>
          </mc:Choice>
          <mc:Fallback>
            <w:pict>
              <v:shape id="_x0000_s1026" o:spid="_x0000_s1026" o:spt="202" type="#_x0000_t202" style="position:absolute;left:0pt;margin-left:378pt;margin-top:14.4pt;height:23.4pt;width:90pt;z-index:252001280;mso-width-relative:page;mso-height-relative:page;" fillcolor="#FFFFFF" filled="t" stroked="f" coordsize="21600,21600" o:gfxdata="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gq&#10;JtYAAAAJAQAADwAAAAAAAAABACAAAAAiAAAAZHJzL2Rvd25yZXYueG1sUEsBAhQAFAAAAAgAh07i&#10;QJsluWayAQAASgMAAA4AAAAAAAAAAQAgAAAAJQEAAGRycy9lMm9Eb2MueG1sUEsFBgAAAAAGAAYA&#10;WQEAAEkFAAAAAA==&#10;">
                <v:fill on="t" opacity="0f" focussize="0,0"/>
                <v:stroke on="f"/>
                <v:imagedata o:title=""/>
                <o:lock v:ext="edit" aspectratio="f"/>
                <v:textbox>
                  <w:txbxContent>
                    <w:p>
                      <w:pPr>
                        <w:rPr>
                          <w:rFonts w:hint="eastAsia"/>
                        </w:rPr>
                      </w:pPr>
                      <w:r>
                        <w:rPr>
                          <w:rFonts w:hint="eastAsia"/>
                        </w:rPr>
                        <w:t>锅炉废气</w:t>
                      </w:r>
                    </w:p>
                  </w:txbxContent>
                </v:textbox>
              </v:shape>
            </w:pict>
          </mc:Fallback>
        </mc:AlternateContent>
      </w:r>
      <w:r>
        <w:rPr>
          <w:rFonts w:ascii="宋体" w:hAnsi="宋体"/>
          <w:sz w:val="20"/>
        </w:rPr>
        <mc:AlternateContent>
          <mc:Choice Requires="wps">
            <w:drawing>
              <wp:anchor distT="0" distB="0" distL="114300" distR="114300" simplePos="0" relativeHeight="251995136" behindDoc="0" locked="0" layoutInCell="1" allowOverlap="1">
                <wp:simplePos x="0" y="0"/>
                <wp:positionH relativeFrom="column">
                  <wp:posOffset>3771900</wp:posOffset>
                </wp:positionH>
                <wp:positionV relativeFrom="paragraph">
                  <wp:posOffset>281940</wp:posOffset>
                </wp:positionV>
                <wp:extent cx="1143000" cy="297180"/>
                <wp:effectExtent l="4445" t="4445" r="14605" b="22225"/>
                <wp:wrapNone/>
                <wp:docPr id="527" name="文本框 527"/>
                <wp:cNvGraphicFramePr/>
                <a:graphic xmlns:a="http://schemas.openxmlformats.org/drawingml/2006/main">
                  <a:graphicData uri="http://schemas.microsoft.com/office/word/2010/wordprocessingShape">
                    <wps:wsp>
                      <wps:cNvSpPr txBox="1"/>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 w:val="18"/>
                                <w:szCs w:val="18"/>
                              </w:rPr>
                            </w:pPr>
                            <w:r>
                              <w:rPr>
                                <w:rFonts w:hint="eastAsia" w:ascii="宋体" w:hAnsi="宋体"/>
                                <w:sz w:val="18"/>
                                <w:szCs w:val="18"/>
                              </w:rPr>
                              <w:t>AQC余热锅炉※△</w:t>
                            </w:r>
                          </w:p>
                        </w:txbxContent>
                      </wps:txbx>
                      <wps:bodyPr upright="1"/>
                    </wps:wsp>
                  </a:graphicData>
                </a:graphic>
              </wp:anchor>
            </w:drawing>
          </mc:Choice>
          <mc:Fallback>
            <w:pict>
              <v:shape id="_x0000_s1026" o:spid="_x0000_s1026" o:spt="202" type="#_x0000_t202" style="position:absolute;left:0pt;margin-left:297pt;margin-top:22.2pt;height:23.4pt;width:90pt;z-index:251995136;mso-width-relative:page;mso-height-relative:page;" fillcolor="#FFFFFF" filled="t" stroked="t" coordsize="21600,21600" o:gfxdata="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rKrAO2QAAAAkBAAAPAAAAAAAAAAEAIAAAACIAAABkcnMvZG93bnJldi54bWxQ&#10;SwECFAAUAAAACACHTuJA3Ze/qPYBAADsAwAADgAAAAAAAAABACAAAAAoAQAAZHJzL2Uyb0RvYy54&#10;bWxQSwUGAAAAAAYABgBZAQAAkAUAAAAA&#10;">
                <v:fill on="t" focussize="0,0"/>
                <v:stroke color="#000000" joinstyle="miter"/>
                <v:imagedata o:title=""/>
                <o:lock v:ext="edit" aspectratio="f"/>
                <v:textbox>
                  <w:txbxContent>
                    <w:p>
                      <w:pPr>
                        <w:rPr>
                          <w:rFonts w:hint="eastAsia" w:ascii="宋体" w:hAnsi="宋体"/>
                          <w:sz w:val="18"/>
                          <w:szCs w:val="18"/>
                        </w:rPr>
                      </w:pPr>
                      <w:r>
                        <w:rPr>
                          <w:rFonts w:hint="eastAsia" w:ascii="宋体" w:hAnsi="宋体"/>
                          <w:sz w:val="18"/>
                          <w:szCs w:val="18"/>
                        </w:rPr>
                        <w:t>AQC余热锅炉※△</w:t>
                      </w:r>
                    </w:p>
                  </w:txbxContent>
                </v:textbox>
              </v:shape>
            </w:pict>
          </mc:Fallback>
        </mc:AlternateContent>
      </w:r>
      <w:r>
        <w:rPr>
          <w:rFonts w:ascii="宋体" w:hAnsi="宋体"/>
          <w:sz w:val="20"/>
        </w:rPr>
        <mc:AlternateContent>
          <mc:Choice Requires="wps">
            <w:drawing>
              <wp:anchor distT="0" distB="0" distL="114300" distR="114300" simplePos="0" relativeHeight="251997184" behindDoc="0" locked="0" layoutInCell="1" allowOverlap="1">
                <wp:simplePos x="0" y="0"/>
                <wp:positionH relativeFrom="column">
                  <wp:posOffset>4000500</wp:posOffset>
                </wp:positionH>
                <wp:positionV relativeFrom="paragraph">
                  <wp:posOffset>83820</wp:posOffset>
                </wp:positionV>
                <wp:extent cx="228600" cy="0"/>
                <wp:effectExtent l="0" t="13970" r="0" b="24130"/>
                <wp:wrapNone/>
                <wp:docPr id="521" name="直接连接符 521"/>
                <wp:cNvGraphicFramePr/>
                <a:graphic xmlns:a="http://schemas.openxmlformats.org/drawingml/2006/main">
                  <a:graphicData uri="http://schemas.microsoft.com/office/word/2010/wordprocessingShape">
                    <wps:wsp>
                      <wps:cNvCnPr/>
                      <wps:spPr>
                        <a:xfrm>
                          <a:off x="0" y="0"/>
                          <a:ext cx="228600" cy="0"/>
                        </a:xfrm>
                        <a:prstGeom prst="line">
                          <a:avLst/>
                        </a:prstGeom>
                        <a:ln w="285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pt;margin-top:6.6pt;height:0pt;width:18pt;z-index:251997184;mso-width-relative:page;mso-height-relative:page;" filled="f" stroked="t" coordsize="21600,21600" o:gfxdata="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0+pZzVAAAACQEAAA8AAAAAAAAA&#10;AQAgAAAAIgAAAGRycy9kb3ducmV2LnhtbFBLAQIUABQAAAAIAIdO4kBy/D1F2wEAAJoDAAAOAAAA&#10;AAAAAAEAIAAAACQBAABkcnMvZTJvRG9jLnhtbFBLBQYAAAAABgAGAFkBAABxBQAAAAA=&#10;">
                <v:fill on="f" focussize="0,0"/>
                <v:stroke weight="2.25pt"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996160" behindDoc="0" locked="0" layoutInCell="1" allowOverlap="1">
                <wp:simplePos x="0" y="0"/>
                <wp:positionH relativeFrom="column">
                  <wp:posOffset>4000500</wp:posOffset>
                </wp:positionH>
                <wp:positionV relativeFrom="paragraph">
                  <wp:posOffset>83820</wp:posOffset>
                </wp:positionV>
                <wp:extent cx="0" cy="198120"/>
                <wp:effectExtent l="13970" t="0" r="24130" b="15240"/>
                <wp:wrapNone/>
                <wp:docPr id="520" name="直接连接符 520"/>
                <wp:cNvGraphicFramePr/>
                <a:graphic xmlns:a="http://schemas.openxmlformats.org/drawingml/2006/main">
                  <a:graphicData uri="http://schemas.microsoft.com/office/word/2010/wordprocessingShape">
                    <wps:wsp>
                      <wps:cNvCnPr/>
                      <wps:spPr>
                        <a:xfrm flipV="1">
                          <a:off x="0" y="0"/>
                          <a:ext cx="0" cy="198120"/>
                        </a:xfrm>
                        <a:prstGeom prst="line">
                          <a:avLst/>
                        </a:prstGeom>
                        <a:ln w="2857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y;margin-left:315pt;margin-top:6.6pt;height:15.6pt;width:0pt;z-index:251996160;mso-width-relative:page;mso-height-relative:page;" filled="f" stroked="t" coordsize="21600,21600" o:gfxdata="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qx/ZrXAAAA&#10;CQEAAA8AAAAAAAAAAQAgAAAAIgAAAGRycy9kb3ducmV2LnhtbFBLAQIUABQAAAAIAIdO4kCs38PJ&#10;5QEAAKMDAAAOAAAAAAAAAAEAIAAAACYBAABkcnMvZTJvRG9jLnhtbFBLBQYAAAAABgAGAFkBAAB9&#10;BQAAAAA=&#10;">
                <v:fill on="f" focussize="0,0"/>
                <v:stroke weight="2.25pt" color="#000000" joinstyle="round" dashstyle="dash"/>
                <v:imagedata o:title=""/>
                <o:lock v:ext="edit" aspectratio="f"/>
              </v:line>
            </w:pict>
          </mc:Fallback>
        </mc:AlternateContent>
      </w:r>
      <w:r>
        <w:rPr>
          <w:rFonts w:ascii="宋体" w:hAnsi="宋体"/>
          <w:sz w:val="20"/>
        </w:rPr>
        <mc:AlternateContent>
          <mc:Choice Requires="wps">
            <w:drawing>
              <wp:anchor distT="0" distB="0" distL="114300" distR="114300" simplePos="0" relativeHeight="251994112" behindDoc="0" locked="0" layoutInCell="1" allowOverlap="1">
                <wp:simplePos x="0" y="0"/>
                <wp:positionH relativeFrom="column">
                  <wp:posOffset>3086100</wp:posOffset>
                </wp:positionH>
                <wp:positionV relativeFrom="paragraph">
                  <wp:posOffset>182880</wp:posOffset>
                </wp:positionV>
                <wp:extent cx="1143000" cy="297180"/>
                <wp:effectExtent l="0" t="0" r="0" b="0"/>
                <wp:wrapNone/>
                <wp:docPr id="509" name="文本框 509"/>
                <wp:cNvGraphicFramePr/>
                <a:graphic xmlns:a="http://schemas.openxmlformats.org/drawingml/2006/main">
                  <a:graphicData uri="http://schemas.microsoft.com/office/word/2010/wordprocessingShape">
                    <wps:wsp>
                      <wps:cNvSpPr txBox="1"/>
                      <wps:spPr>
                        <a:xfrm>
                          <a:off x="0" y="0"/>
                          <a:ext cx="1143000" cy="297180"/>
                        </a:xfrm>
                        <a:prstGeom prst="rect">
                          <a:avLst/>
                        </a:prstGeom>
                        <a:solidFill>
                          <a:srgbClr val="FFFFFF">
                            <a:alpha val="0"/>
                          </a:srgbClr>
                        </a:solidFill>
                        <a:ln>
                          <a:noFill/>
                        </a:ln>
                      </wps:spPr>
                      <wps:txbx>
                        <w:txbxContent>
                          <w:p>
                            <w:pPr>
                              <w:rPr>
                                <w:rFonts w:hint="eastAsia"/>
                              </w:rPr>
                            </w:pPr>
                            <w:r>
                              <w:rPr>
                                <w:rFonts w:hint="eastAsia"/>
                              </w:rPr>
                              <w:t>窑头废气</w:t>
                            </w:r>
                          </w:p>
                        </w:txbxContent>
                      </wps:txbx>
                      <wps:bodyPr upright="1"/>
                    </wps:wsp>
                  </a:graphicData>
                </a:graphic>
              </wp:anchor>
            </w:drawing>
          </mc:Choice>
          <mc:Fallback>
            <w:pict>
              <v:shape id="_x0000_s1026" o:spid="_x0000_s1026" o:spt="202" type="#_x0000_t202" style="position:absolute;left:0pt;margin-left:243pt;margin-top:14.4pt;height:23.4pt;width:90pt;z-index:251994112;mso-width-relative:page;mso-height-relative:page;" fillcolor="#FFFFFF" filled="t" stroked="f" coordsize="21600,21600" o:gfxdata="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ja&#10;rDfXAAAACQEAAA8AAAAAAAAAAQAgAAAAIgAAAGRycy9kb3ducmV2LnhtbFBLAQIUABQAAAAIAIdO&#10;4kCsyy4ssgEAAEoDAAAOAAAAAAAAAAEAIAAAACYBAABkcnMvZTJvRG9jLnhtbFBLBQYAAAAABgAG&#10;AFkBAABKBQAAAAA=&#10;">
                <v:fill on="t" opacity="0f" focussize="0,0"/>
                <v:stroke on="f"/>
                <v:imagedata o:title=""/>
                <o:lock v:ext="edit" aspectratio="f"/>
                <v:textbox>
                  <w:txbxContent>
                    <w:p>
                      <w:pPr>
                        <w:rPr>
                          <w:rFonts w:hint="eastAsia"/>
                        </w:rPr>
                      </w:pPr>
                      <w:r>
                        <w:rPr>
                          <w:rFonts w:hint="eastAsia"/>
                        </w:rPr>
                        <w:t>窑头废气</w:t>
                      </w:r>
                    </w:p>
                  </w:txbxContent>
                </v:textbox>
              </v:shape>
            </w:pict>
          </mc:Fallback>
        </mc:AlternateContent>
      </w:r>
      <w:r>
        <w:rPr>
          <w:rFonts w:ascii="宋体" w:hAnsi="宋体"/>
          <w:sz w:val="20"/>
        </w:rPr>
        <mc:AlternateContent>
          <mc:Choice Requires="wps">
            <w:drawing>
              <wp:anchor distT="0" distB="0" distL="114300" distR="114300" simplePos="0" relativeHeight="251928576" behindDoc="0" locked="0" layoutInCell="1" allowOverlap="1">
                <wp:simplePos x="0" y="0"/>
                <wp:positionH relativeFrom="column">
                  <wp:posOffset>1872615</wp:posOffset>
                </wp:positionH>
                <wp:positionV relativeFrom="paragraph">
                  <wp:posOffset>295275</wp:posOffset>
                </wp:positionV>
                <wp:extent cx="1207770" cy="297180"/>
                <wp:effectExtent l="4445" t="4445" r="6985" b="22225"/>
                <wp:wrapNone/>
                <wp:docPr id="517" name="矩形 517"/>
                <wp:cNvGraphicFramePr/>
                <a:graphic xmlns:a="http://schemas.openxmlformats.org/drawingml/2006/main">
                  <a:graphicData uri="http://schemas.microsoft.com/office/word/2010/wordprocessingShape">
                    <wps:wsp>
                      <wps:cNvSpPr/>
                      <wps:spPr>
                        <a:xfrm>
                          <a:off x="0" y="0"/>
                          <a:ext cx="1207770" cy="297180"/>
                        </a:xfrm>
                        <a:prstGeom prst="rect">
                          <a:avLst/>
                        </a:prstGeom>
                        <a:noFill/>
                        <a:ln w="9525" cap="flat" cmpd="sng">
                          <a:solidFill>
                            <a:srgbClr val="000000"/>
                          </a:solidFill>
                          <a:prstDash val="solid"/>
                          <a:miter/>
                          <a:headEnd type="none" w="med" len="med"/>
                          <a:tailEnd type="none" w="med" len="med"/>
                        </a:ln>
                      </wps:spPr>
                      <wps:txbx>
                        <w:txbxContent>
                          <w:p>
                            <w:pPr>
                              <w:jc w:val="center"/>
                              <w:rPr>
                                <w:vertAlign w:val="subscript"/>
                              </w:rPr>
                            </w:pPr>
                            <w:r>
                              <w:rPr>
                                <w:rFonts w:hint="eastAsia"/>
                              </w:rPr>
                              <w:t>篦冷机</w:t>
                            </w:r>
                            <w:r>
                              <w:rPr>
                                <w:rFonts w:hint="eastAsia" w:ascii="宋体" w:hAnsi="宋体"/>
                                <w:szCs w:val="21"/>
                              </w:rPr>
                              <w:t>※△</w:t>
                            </w:r>
                          </w:p>
                        </w:txbxContent>
                      </wps:txbx>
                      <wps:bodyPr upright="1"/>
                    </wps:wsp>
                  </a:graphicData>
                </a:graphic>
              </wp:anchor>
            </w:drawing>
          </mc:Choice>
          <mc:Fallback>
            <w:pict>
              <v:rect id="_x0000_s1026" o:spid="_x0000_s1026" o:spt="1" style="position:absolute;left:0pt;margin-left:147.45pt;margin-top:23.25pt;height:23.4pt;width:95.1pt;z-index:251928576;mso-width-relative:page;mso-height-relative:page;" filled="f" stroked="t" coordsize="21600,21600" o:gfxdata="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HUFZtkA&#10;AAAJAQAADwAAAAAAAAABACAAAAAiAAAAZHJzL2Rvd25yZXYueG1sUEsBAhQAFAAAAAgAh07iQDay&#10;werlAQAAtgMAAA4AAAAAAAAAAQAgAAAAKAEAAGRycy9lMm9Eb2MueG1sUEsFBgAAAAAGAAYAWQEA&#10;AH8FAAAAAA==&#10;">
                <v:fill on="f" focussize="0,0"/>
                <v:stroke color="#000000" joinstyle="miter"/>
                <v:imagedata o:title=""/>
                <o:lock v:ext="edit" aspectratio="f"/>
                <v:textbox>
                  <w:txbxContent>
                    <w:p>
                      <w:pPr>
                        <w:jc w:val="center"/>
                        <w:rPr>
                          <w:vertAlign w:val="subscript"/>
                        </w:rPr>
                      </w:pPr>
                      <w:r>
                        <w:rPr>
                          <w:rFonts w:hint="eastAsia"/>
                        </w:rPr>
                        <w:t>篦冷机</w:t>
                      </w:r>
                      <w:r>
                        <w:rPr>
                          <w:rFonts w:hint="eastAsia" w:ascii="宋体" w:hAnsi="宋体"/>
                          <w:szCs w:val="21"/>
                        </w:rPr>
                        <w:t>※△</w:t>
                      </w:r>
                    </w:p>
                  </w:txbxContent>
                </v:textbox>
              </v:rect>
            </w:pict>
          </mc:Fallback>
        </mc:AlternateContent>
      </w:r>
      <w:r>
        <w:rPr>
          <w:rFonts w:ascii="宋体" w:hAnsi="宋体"/>
          <w:sz w:val="20"/>
        </w:rPr>
        <mc:AlternateContent>
          <mc:Choice Requires="wps">
            <w:drawing>
              <wp:anchor distT="0" distB="0" distL="114300" distR="114300" simplePos="0" relativeHeight="251952128" behindDoc="0" locked="0" layoutInCell="1" allowOverlap="1">
                <wp:simplePos x="0" y="0"/>
                <wp:positionH relativeFrom="column">
                  <wp:posOffset>2447290</wp:posOffset>
                </wp:positionH>
                <wp:positionV relativeFrom="paragraph">
                  <wp:posOffset>31750</wp:posOffset>
                </wp:positionV>
                <wp:extent cx="0" cy="274320"/>
                <wp:effectExtent l="42545" t="0" r="52705" b="11430"/>
                <wp:wrapNone/>
                <wp:docPr id="535" name="直接连接符 535"/>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2.7pt;margin-top:2.5pt;height:21.6pt;width:0pt;z-index:251952128;mso-width-relative:page;mso-height-relative:page;" filled="f" stroked="t" coordsize="21600,21600" o:gfxdata="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SQGnzTAAAACAEAAA8A&#10;AAAAAAAAAQAgAAAAIgAAAGRycy9kb3ducmV2LnhtbFBLAQIUABQAAAAIAIdO4kAcK6f64wEAAJ4D&#10;AAAOAAAAAAAAAAEAIAAAACIBAABkcnMvZTJvRG9jLnhtbFBLBQYAAAAABgAGAFkBAAB3BQAAAAA=&#10;">
                <v:fill on="f" focussize="0,0"/>
                <v:stroke weight="2.25pt"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2014592" behindDoc="0" locked="0" layoutInCell="1" allowOverlap="1">
                <wp:simplePos x="0" y="0"/>
                <wp:positionH relativeFrom="column">
                  <wp:posOffset>-228600</wp:posOffset>
                </wp:positionH>
                <wp:positionV relativeFrom="paragraph">
                  <wp:posOffset>175260</wp:posOffset>
                </wp:positionV>
                <wp:extent cx="114300" cy="0"/>
                <wp:effectExtent l="0" t="0" r="0" b="0"/>
                <wp:wrapNone/>
                <wp:docPr id="526" name="直接连接符 526"/>
                <wp:cNvGraphicFramePr/>
                <a:graphic xmlns:a="http://schemas.openxmlformats.org/drawingml/2006/main">
                  <a:graphicData uri="http://schemas.microsoft.com/office/word/2010/wordprocessingShape">
                    <wps:wsp>
                      <wps:cNvCnPr/>
                      <wps:spPr>
                        <a:xfrm flipH="1">
                          <a:off x="0" y="0"/>
                          <a:ext cx="114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8pt;margin-top:13.8pt;height:0pt;width:9pt;z-index:252014592;mso-width-relative:page;mso-height-relative:page;" filled="f" stroked="t" coordsize="21600,21600" o:gfxdata="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5R7Z7NYAAAAJ&#10;AQAADwAAAAAAAAABACAAAAAiAAAAZHJzL2Rvd25yZXYueG1sUEsBAhQAFAAAAAgAh07iQDlpY9Xl&#10;AQAAowMAAA4AAAAAAAAAAQAgAAAAJQEAAGRycy9lMm9Eb2MueG1sUEsFBgAAAAAGAAYAWQEAAHwF&#10;AAA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2008448" behindDoc="0" locked="0" layoutInCell="1" allowOverlap="1">
                <wp:simplePos x="0" y="0"/>
                <wp:positionH relativeFrom="column">
                  <wp:posOffset>571500</wp:posOffset>
                </wp:positionH>
                <wp:positionV relativeFrom="paragraph">
                  <wp:posOffset>175260</wp:posOffset>
                </wp:positionV>
                <wp:extent cx="1257300" cy="0"/>
                <wp:effectExtent l="0" t="38100" r="0" b="38100"/>
                <wp:wrapNone/>
                <wp:docPr id="504" name="直接连接符 504"/>
                <wp:cNvGraphicFramePr/>
                <a:graphic xmlns:a="http://schemas.openxmlformats.org/drawingml/2006/main">
                  <a:graphicData uri="http://schemas.microsoft.com/office/word/2010/wordprocessingShape">
                    <wps:wsp>
                      <wps:cNvCnPr/>
                      <wps:spPr>
                        <a:xfrm flipH="1">
                          <a:off x="0" y="0"/>
                          <a:ext cx="12573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45pt;margin-top:13.8pt;height:0pt;width:99pt;z-index:252008448;mso-width-relative:page;mso-height-relative:page;" filled="f" stroked="t" coordsize="21600,21600" o:gfxdata="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S&#10;+j2V1gAAAAgBAAAPAAAAAAAAAAEAIAAAACIAAABkcnMvZG93bnJldi54bWxQSwECFAAUAAAACACH&#10;TuJArVql4u0BAACoAwAADgAAAAAAAAABACAAAAAlAQAAZHJzL2Uyb0RvYy54bWxQSwUGAAAAAAYA&#10;BgBZAQAAhAU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2012544" behindDoc="0" locked="0" layoutInCell="1" allowOverlap="1">
                <wp:simplePos x="0" y="0"/>
                <wp:positionH relativeFrom="column">
                  <wp:posOffset>4914900</wp:posOffset>
                </wp:positionH>
                <wp:positionV relativeFrom="paragraph">
                  <wp:posOffset>76200</wp:posOffset>
                </wp:positionV>
                <wp:extent cx="571500" cy="0"/>
                <wp:effectExtent l="0" t="0" r="0" b="0"/>
                <wp:wrapNone/>
                <wp:docPr id="516" name="直接连接符 516"/>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87pt;margin-top:6pt;height:0pt;width:45pt;z-index:252012544;mso-width-relative:page;mso-height-relative:page;" filled="f" stroked="t" coordsize="21600,21600" o:gfxdata="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HVOmXUAAAACQEAAA8AAAAAAAAA&#10;AQAgAAAAIgAAAGRycy9kb3ducmV2LnhtbFBLAQIUABQAAAAIAIdO4kAsDhlp3AEAAJkDAAAOAAAA&#10;AAAAAAEAIAAAACMBAABkcnMvZTJvRG9jLnhtbFBLBQYAAAAABgAGAFkBAABxBQAA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993088" behindDoc="0" locked="0" layoutInCell="1" allowOverlap="1">
                <wp:simplePos x="0" y="0"/>
                <wp:positionH relativeFrom="column">
                  <wp:posOffset>3086100</wp:posOffset>
                </wp:positionH>
                <wp:positionV relativeFrom="paragraph">
                  <wp:posOffset>175260</wp:posOffset>
                </wp:positionV>
                <wp:extent cx="685800" cy="0"/>
                <wp:effectExtent l="0" t="42545" r="0" b="52705"/>
                <wp:wrapNone/>
                <wp:docPr id="525" name="直接连接符 525"/>
                <wp:cNvGraphicFramePr/>
                <a:graphic xmlns:a="http://schemas.openxmlformats.org/drawingml/2006/main">
                  <a:graphicData uri="http://schemas.microsoft.com/office/word/2010/wordprocessingShape">
                    <wps:wsp>
                      <wps:cNvCnPr/>
                      <wps:spPr>
                        <a:xfrm>
                          <a:off x="0" y="0"/>
                          <a:ext cx="685800" cy="0"/>
                        </a:xfrm>
                        <a:prstGeom prst="line">
                          <a:avLst/>
                        </a:prstGeom>
                        <a:ln w="2857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margin-left:243pt;margin-top:13.8pt;height:0pt;width:54pt;z-index:251993088;mso-width-relative:page;mso-height-relative:page;" filled="f" stroked="t" coordsize="21600,21600" o:gfxdata="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LUqoX1wAAAAkB&#10;AAAPAAAAAAAAAAEAIAAAACIAAABkcnMvZG93bnJldi54bWxQSwECFAAUAAAACACHTuJAt2Z4K+MB&#10;AACdAwAADgAAAAAAAAABACAAAAAmAQAAZHJzL2Uyb0RvYy54bWxQSwUGAAAAAAYABgBZAQAAewUA&#10;AAAA&#10;">
                <v:fill on="f" focussize="0,0"/>
                <v:stroke weight="2.25pt" color="#000000" joinstyle="round" dashstyle="dash"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954176" behindDoc="0" locked="0" layoutInCell="1" allowOverlap="1">
                <wp:simplePos x="0" y="0"/>
                <wp:positionH relativeFrom="column">
                  <wp:posOffset>2432685</wp:posOffset>
                </wp:positionH>
                <wp:positionV relativeFrom="paragraph">
                  <wp:posOffset>297180</wp:posOffset>
                </wp:positionV>
                <wp:extent cx="0" cy="274320"/>
                <wp:effectExtent l="42545" t="0" r="52705" b="11430"/>
                <wp:wrapNone/>
                <wp:docPr id="510" name="直接连接符 510"/>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1.55pt;margin-top:23.4pt;height:21.6pt;width:0pt;z-index:251954176;mso-width-relative:page;mso-height-relative:page;" filled="f" stroked="t" coordsize="21600,21600" o:gfxdata="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P3dfUAAAACQEAAA8A&#10;AAAAAAAAAQAgAAAAIgAAAGRycy9kb3ducmV2LnhtbFBLAQIUABQAAAAIAIdO4kDGlxdm4gEAAJ4D&#10;AAAOAAAAAAAAAAEAIAAAACMBAABkcnMvZTJvRG9jLnhtbFBLBQYAAAAABgAGAFkBAAB3BQAAAAA=&#10;">
                <v:fill on="f" focussize="0,0"/>
                <v:stroke weight="2.25pt"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960320" behindDoc="0" locked="0" layoutInCell="1" allowOverlap="1">
                <wp:simplePos x="0" y="0"/>
                <wp:positionH relativeFrom="column">
                  <wp:posOffset>3771900</wp:posOffset>
                </wp:positionH>
                <wp:positionV relativeFrom="paragraph">
                  <wp:posOffset>266700</wp:posOffset>
                </wp:positionV>
                <wp:extent cx="800100" cy="297180"/>
                <wp:effectExtent l="4445" t="4445" r="14605" b="22225"/>
                <wp:wrapNone/>
                <wp:docPr id="522" name="文本框 522"/>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高炉渣</w:t>
                            </w:r>
                            <w:r>
                              <w:rPr>
                                <w:rFonts w:hint="eastAsia" w:ascii="宋体" w:hAnsi="宋体"/>
                                <w:szCs w:val="21"/>
                              </w:rPr>
                              <w:t>※</w:t>
                            </w:r>
                          </w:p>
                        </w:txbxContent>
                      </wps:txbx>
                      <wps:bodyPr upright="1"/>
                    </wps:wsp>
                  </a:graphicData>
                </a:graphic>
              </wp:anchor>
            </w:drawing>
          </mc:Choice>
          <mc:Fallback>
            <w:pict>
              <v:shape id="_x0000_s1026" o:spid="_x0000_s1026" o:spt="202" type="#_x0000_t202" style="position:absolute;left:0pt;margin-left:297pt;margin-top:21pt;height:23.4pt;width:63pt;z-index:251960320;mso-width-relative:page;mso-height-relative:page;" fillcolor="#FFFFFF" filled="t" stroked="t" coordsize="21600,21600" o:gfxdata="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M276rYAAAACQEAAA8AAAAAAAAAAQAgAAAAIgAAAGRycy9kb3ducmV2LnhtbFBLAQIU&#10;ABQAAAAIAIdO4kCVYcuE8wEAAOsDAAAOAAAAAAAAAAEAIAAAACcBAABkcnMvZTJvRG9jLnhtbFBL&#10;BQYAAAAABgAGAFkBAACMBQAAAAA=&#10;">
                <v:fill on="t" focussize="0,0"/>
                <v:stroke color="#000000" joinstyle="miter"/>
                <v:imagedata o:title=""/>
                <o:lock v:ext="edit" aspectratio="f"/>
                <v:textbox>
                  <w:txbxContent>
                    <w:p>
                      <w:pPr>
                        <w:jc w:val="center"/>
                        <w:rPr>
                          <w:rFonts w:hint="eastAsia"/>
                        </w:rPr>
                      </w:pPr>
                      <w:r>
                        <w:rPr>
                          <w:rFonts w:hint="eastAsia"/>
                        </w:rPr>
                        <w:t>高炉渣</w:t>
                      </w:r>
                      <w:r>
                        <w:rPr>
                          <w:rFonts w:hint="eastAsia" w:ascii="宋体" w:hAnsi="宋体"/>
                          <w:szCs w:val="21"/>
                        </w:rPr>
                        <w:t>※</w:t>
                      </w:r>
                    </w:p>
                  </w:txbxContent>
                </v:textbox>
              </v:shape>
            </w:pict>
          </mc:Fallback>
        </mc:AlternateContent>
      </w:r>
      <w:r>
        <w:rPr>
          <w:rFonts w:hint="eastAsia" w:ascii="宋体" w:hAnsi="宋体"/>
        </w:rPr>
        <mc:AlternateContent>
          <mc:Choice Requires="wps">
            <w:drawing>
              <wp:anchor distT="0" distB="0" distL="114300" distR="114300" simplePos="0" relativeHeight="251980800" behindDoc="0" locked="0" layoutInCell="1" allowOverlap="1">
                <wp:simplePos x="0" y="0"/>
                <wp:positionH relativeFrom="column">
                  <wp:posOffset>5143500</wp:posOffset>
                </wp:positionH>
                <wp:positionV relativeFrom="paragraph">
                  <wp:posOffset>167640</wp:posOffset>
                </wp:positionV>
                <wp:extent cx="914400" cy="461010"/>
                <wp:effectExtent l="4445" t="4445" r="14605" b="10795"/>
                <wp:wrapNone/>
                <wp:docPr id="511" name="文本框 511"/>
                <wp:cNvGraphicFramePr/>
                <a:graphic xmlns:a="http://schemas.openxmlformats.org/drawingml/2006/main">
                  <a:graphicData uri="http://schemas.microsoft.com/office/word/2010/wordprocessingShape">
                    <wps:wsp>
                      <wps:cNvSpPr txBox="1"/>
                      <wps:spPr>
                        <a:xfrm>
                          <a:off x="0" y="0"/>
                          <a:ext cx="914400" cy="4610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石膏粉碎</w:t>
                            </w:r>
                          </w:p>
                          <w:p>
                            <w:pPr>
                              <w:jc w:val="center"/>
                              <w:rPr>
                                <w:rFonts w:hint="eastAsia"/>
                              </w:rPr>
                            </w:pPr>
                            <w:r>
                              <w:rPr>
                                <w:rFonts w:hint="eastAsia" w:ascii="宋体" w:hAnsi="宋体"/>
                                <w:szCs w:val="21"/>
                              </w:rPr>
                              <w:t>※△</w:t>
                            </w:r>
                          </w:p>
                        </w:txbxContent>
                      </wps:txbx>
                      <wps:bodyPr upright="1"/>
                    </wps:wsp>
                  </a:graphicData>
                </a:graphic>
              </wp:anchor>
            </w:drawing>
          </mc:Choice>
          <mc:Fallback>
            <w:pict>
              <v:shape id="_x0000_s1026" o:spid="_x0000_s1026" o:spt="202" type="#_x0000_t202" style="position:absolute;left:0pt;margin-left:405pt;margin-top:13.2pt;height:36.3pt;width:72pt;z-index:251980800;mso-width-relative:page;mso-height-relative:page;" fillcolor="#FFFFFF" filled="t" stroked="t" coordsize="21600,21600" o:gfxdata="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0zgGkNgAAAAJAQAADwAAAAAAAAABACAAAAAiAAAAZHJzL2Rvd25yZXYueG1sUEsBAhQAFAAA&#10;AAgAh07iQACSK9jvAQAA6wMAAA4AAAAAAAAAAQAgAAAAJwEAAGRycy9lMm9Eb2MueG1sUEsFBgAA&#10;AAAGAAYAWQEAAIgFAAAAAA==&#10;">
                <v:fill on="t" focussize="0,0"/>
                <v:stroke color="#000000" joinstyle="miter"/>
                <v:imagedata o:title=""/>
                <o:lock v:ext="edit" aspectratio="f"/>
                <v:textbox>
                  <w:txbxContent>
                    <w:p>
                      <w:pPr>
                        <w:jc w:val="center"/>
                        <w:rPr>
                          <w:rFonts w:hint="eastAsia"/>
                        </w:rPr>
                      </w:pPr>
                      <w:r>
                        <w:rPr>
                          <w:rFonts w:hint="eastAsia"/>
                        </w:rPr>
                        <w:t>石膏粉碎</w:t>
                      </w:r>
                    </w:p>
                    <w:p>
                      <w:pPr>
                        <w:jc w:val="center"/>
                        <w:rPr>
                          <w:rFonts w:hint="eastAsia"/>
                        </w:rPr>
                      </w:pPr>
                      <w:r>
                        <w:rPr>
                          <w:rFonts w:hint="eastAsia" w:ascii="宋体" w:hAnsi="宋体"/>
                          <w:szCs w:val="21"/>
                        </w:rPr>
                        <w:t>※△</w:t>
                      </w:r>
                    </w:p>
                  </w:txbxContent>
                </v:textbox>
              </v:shape>
            </w:pict>
          </mc:Fallback>
        </mc:AlternateContent>
      </w:r>
      <w:r>
        <w:rPr>
          <w:rFonts w:hint="eastAsia" w:ascii="宋体" w:hAnsi="宋体"/>
        </w:rPr>
        <mc:AlternateContent>
          <mc:Choice Requires="wps">
            <w:drawing>
              <wp:anchor distT="0" distB="0" distL="114300" distR="114300" simplePos="0" relativeHeight="251929600" behindDoc="0" locked="0" layoutInCell="1" allowOverlap="1">
                <wp:simplePos x="0" y="0"/>
                <wp:positionH relativeFrom="column">
                  <wp:posOffset>1866265</wp:posOffset>
                </wp:positionH>
                <wp:positionV relativeFrom="paragraph">
                  <wp:posOffset>263525</wp:posOffset>
                </wp:positionV>
                <wp:extent cx="1223645" cy="297180"/>
                <wp:effectExtent l="4445" t="4445" r="10160" b="22225"/>
                <wp:wrapNone/>
                <wp:docPr id="523" name="矩形 523"/>
                <wp:cNvGraphicFramePr/>
                <a:graphic xmlns:a="http://schemas.openxmlformats.org/drawingml/2006/main">
                  <a:graphicData uri="http://schemas.microsoft.com/office/word/2010/wordprocessingShape">
                    <wps:wsp>
                      <wps:cNvSpPr/>
                      <wps:spPr>
                        <a:xfrm>
                          <a:off x="0" y="0"/>
                          <a:ext cx="12236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熟料库</w:t>
                            </w:r>
                            <w:r>
                              <w:rPr>
                                <w:rFonts w:hint="eastAsia" w:ascii="宋体" w:hAnsi="宋体"/>
                                <w:szCs w:val="21"/>
                              </w:rPr>
                              <w:t>※</w:t>
                            </w:r>
                          </w:p>
                        </w:txbxContent>
                      </wps:txbx>
                      <wps:bodyPr upright="1"/>
                    </wps:wsp>
                  </a:graphicData>
                </a:graphic>
              </wp:anchor>
            </w:drawing>
          </mc:Choice>
          <mc:Fallback>
            <w:pict>
              <v:rect id="_x0000_s1026" o:spid="_x0000_s1026" o:spt="1" style="position:absolute;left:0pt;margin-left:146.95pt;margin-top:20.75pt;height:23.4pt;width:96.35pt;z-index:251929600;mso-width-relative:page;mso-height-relative:page;" fillcolor="#FFFFFF" filled="t" stroked="t" coordsize="21600,21600" o:gfxdata="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4LHj9gAAAAJAQAADwAAAAAAAAABACAAAAAiAAAAZHJzL2Rvd25yZXYueG1sUEsBAhQAFAAAAAgA&#10;h07iQHohL6bsAQAA3wMAAA4AAAAAAAAAAQAgAAAAJwEAAGRycy9lMm9Eb2MueG1sUEsFBgAAAAAG&#10;AAYAWQEAAIUFAAAAAA==&#10;">
                <v:fill on="t" focussize="0,0"/>
                <v:stroke color="#000000" joinstyle="miter"/>
                <v:imagedata o:title=""/>
                <o:lock v:ext="edit" aspectratio="f"/>
                <v:textbox>
                  <w:txbxContent>
                    <w:p>
                      <w:pPr>
                        <w:jc w:val="center"/>
                      </w:pPr>
                      <w:r>
                        <w:rPr>
                          <w:rFonts w:hint="eastAsia"/>
                        </w:rPr>
                        <w:t>熟料库</w:t>
                      </w:r>
                      <w:r>
                        <w:rPr>
                          <w:rFonts w:hint="eastAsia" w:ascii="宋体" w:hAnsi="宋体"/>
                          <w:szCs w:val="21"/>
                        </w:rPr>
                        <w:t>※</w:t>
                      </w:r>
                    </w:p>
                  </w:txbxContent>
                </v:textbox>
              </v:rect>
            </w:pict>
          </mc:Fallback>
        </mc:AlternateContent>
      </w:r>
    </w:p>
    <w:p>
      <w:pPr>
        <w:autoSpaceDE w:val="0"/>
        <w:autoSpaceDN w:val="0"/>
        <w:spacing w:line="480" w:lineRule="exact"/>
        <w:ind w:firstLine="573"/>
        <w:textAlignment w:val="bottom"/>
        <w:rPr>
          <w:rFonts w:hint="eastAsia" w:ascii="宋体" w:hAnsi="宋体"/>
        </w:rPr>
      </w:pPr>
      <w:r>
        <w:rPr>
          <w:rFonts w:ascii="宋体" w:hAnsi="宋体"/>
        </w:rPr>
        <mc:AlternateContent>
          <mc:Choice Requires="wps">
            <w:drawing>
              <wp:anchor distT="0" distB="0" distL="114300" distR="114300" simplePos="0" relativeHeight="251967488" behindDoc="0" locked="0" layoutInCell="1" allowOverlap="1">
                <wp:simplePos x="0" y="0"/>
                <wp:positionH relativeFrom="column">
                  <wp:posOffset>4114800</wp:posOffset>
                </wp:positionH>
                <wp:positionV relativeFrom="paragraph">
                  <wp:posOffset>233680</wp:posOffset>
                </wp:positionV>
                <wp:extent cx="0" cy="297180"/>
                <wp:effectExtent l="38100" t="0" r="38100" b="7620"/>
                <wp:wrapNone/>
                <wp:docPr id="518" name="直接连接符 51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4pt;margin-top:18.4pt;height:23.4pt;width:0pt;z-index:251967488;mso-width-relative:page;mso-height-relative:page;" filled="f" stroked="t" coordsize="21600,21600" o:gfxdata="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Yy4nq2AAAAAkB&#10;AAAPAAAAAAAAAAEAIAAAACIAAABkcnMvZG93bnJldi54bWxQSwECFAAUAAAACACHTuJAIgAVEeIB&#10;AACdAwAADgAAAAAAAAABACAAAAAnAQAAZHJzL2Uyb0RvYy54bWxQSwUGAAAAAAYABgBZAQAAewUA&#10;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968512" behindDoc="0" locked="0" layoutInCell="1" allowOverlap="1">
                <wp:simplePos x="0" y="0"/>
                <wp:positionH relativeFrom="column">
                  <wp:posOffset>5600700</wp:posOffset>
                </wp:positionH>
                <wp:positionV relativeFrom="paragraph">
                  <wp:posOffset>259080</wp:posOffset>
                </wp:positionV>
                <wp:extent cx="0" cy="297180"/>
                <wp:effectExtent l="38100" t="0" r="38100" b="7620"/>
                <wp:wrapNone/>
                <wp:docPr id="505" name="直接连接符 50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41pt;margin-top:20.4pt;height:23.4pt;width:0pt;z-index:251968512;mso-width-relative:page;mso-height-relative:page;" filled="f" stroked="t" coordsize="21600,21600" o:gfxdata="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hl7P92AAAAAkB&#10;AAAPAAAAAAAAAAEAIAAAACIAAABkcnMvZG93bnJldi54bWxQSwECFAAUAAAACACHTuJAp5NK4OIB&#10;AACdAwAADgAAAAAAAAABACAAAAAnAQAAZHJzL2Uyb0RvYy54bWxQSwUGAAAAAAYABgBZAQAAewUA&#10;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966464" behindDoc="0" locked="0" layoutInCell="1" allowOverlap="1">
                <wp:simplePos x="0" y="0"/>
                <wp:positionH relativeFrom="column">
                  <wp:posOffset>2452370</wp:posOffset>
                </wp:positionH>
                <wp:positionV relativeFrom="paragraph">
                  <wp:posOffset>238760</wp:posOffset>
                </wp:positionV>
                <wp:extent cx="0" cy="297180"/>
                <wp:effectExtent l="38100" t="0" r="38100" b="7620"/>
                <wp:wrapNone/>
                <wp:docPr id="506" name="直接连接符 50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3.1pt;margin-top:18.8pt;height:23.4pt;width:0pt;z-index:251966464;mso-width-relative:page;mso-height-relative:page;" filled="f" stroked="t" coordsize="21600,21600" o:gfxdata="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maG69gAAAAJ&#10;AQAADwAAAAAAAAABACAAAAAiAAAAZHJzL2Rvd25yZXYueG1sUEsBAhQAFAAAAAgAh07iQM/6iXjj&#10;AQAAnQMAAA4AAAAAAAAAAQAgAAAAJwEAAGRycy9lMm9Eb2MueG1sUEsFBgAAAAAGAAYAWQEAAHwF&#10;AAAAAA==&#10;">
                <v:fill on="f" focussize="0,0"/>
                <v:stroke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2035072" behindDoc="0" locked="0" layoutInCell="1" allowOverlap="1">
                <wp:simplePos x="0" y="0"/>
                <wp:positionH relativeFrom="column">
                  <wp:posOffset>2461895</wp:posOffset>
                </wp:positionH>
                <wp:positionV relativeFrom="paragraph">
                  <wp:posOffset>232410</wp:posOffset>
                </wp:positionV>
                <wp:extent cx="3086100" cy="0"/>
                <wp:effectExtent l="0" t="0" r="0" b="0"/>
                <wp:wrapNone/>
                <wp:docPr id="524" name="直接连接符 524"/>
                <wp:cNvGraphicFramePr/>
                <a:graphic xmlns:a="http://schemas.openxmlformats.org/drawingml/2006/main">
                  <a:graphicData uri="http://schemas.microsoft.com/office/word/2010/wordprocessingShape">
                    <wps:wsp>
                      <wps:cNvCnPr/>
                      <wps:spPr>
                        <a:xfrm>
                          <a:off x="0" y="0"/>
                          <a:ext cx="30861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3.85pt;margin-top:18.3pt;height:0pt;width:243pt;z-index:252035072;mso-width-relative:page;mso-height-relative:page;" filled="f" stroked="t" coordsize="21600,21600" o:gfxdata="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t7ML71gAAAAkBAAAPAAAA&#10;AAAAAAEAIAAAACIAAABkcnMvZG93bnJldi54bWxQSwECFAAUAAAACACHTuJAHdJDgd4BAACaAwAA&#10;DgAAAAAAAAABACAAAAAlAQAAZHJzL2Uyb0RvYy54bWxQSwUGAAAAAAYABgBZAQAAdQUAA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969536" behindDoc="0" locked="0" layoutInCell="1" allowOverlap="1">
                <wp:simplePos x="0" y="0"/>
                <wp:positionH relativeFrom="column">
                  <wp:posOffset>3738245</wp:posOffset>
                </wp:positionH>
                <wp:positionV relativeFrom="paragraph">
                  <wp:posOffset>257810</wp:posOffset>
                </wp:positionV>
                <wp:extent cx="0" cy="274320"/>
                <wp:effectExtent l="42545" t="0" r="52705" b="11430"/>
                <wp:wrapNone/>
                <wp:docPr id="519" name="直接连接符 519"/>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94.35pt;margin-top:20.3pt;height:21.6pt;width:0pt;z-index:251969536;mso-width-relative:page;mso-height-relative:page;" filled="f" stroked="t" coordsize="21600,21600" o:gfxdata="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R99qtUAAAAJAQAA&#10;DwAAAAAAAAABACAAAAAiAAAAZHJzL2Rvd25yZXYueG1sUEsBAhQAFAAAAAgAh07iQI5HsXbjAQAA&#10;ngMAAA4AAAAAAAAAAQAgAAAAJAEAAGRycy9lMm9Eb2MueG1sUEsFBgAAAAAGAAYAWQEAAHkFAAAA&#10;AA==&#10;">
                <v:fill on="f" focussize="0,0"/>
                <v:stroke weight="2.25pt"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961344" behindDoc="0" locked="0" layoutInCell="1" allowOverlap="1">
                <wp:simplePos x="0" y="0"/>
                <wp:positionH relativeFrom="column">
                  <wp:posOffset>3292475</wp:posOffset>
                </wp:positionH>
                <wp:positionV relativeFrom="paragraph">
                  <wp:posOffset>215265</wp:posOffset>
                </wp:positionV>
                <wp:extent cx="924560" cy="297180"/>
                <wp:effectExtent l="5080" t="4445" r="22860" b="22225"/>
                <wp:wrapNone/>
                <wp:docPr id="528" name="文本框 528"/>
                <wp:cNvGraphicFramePr/>
                <a:graphic xmlns:a="http://schemas.openxmlformats.org/drawingml/2006/main">
                  <a:graphicData uri="http://schemas.microsoft.com/office/word/2010/wordprocessingShape">
                    <wps:wsp>
                      <wps:cNvSpPr txBox="1"/>
                      <wps:spPr>
                        <a:xfrm>
                          <a:off x="0" y="0"/>
                          <a:ext cx="9245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水泥磨</w:t>
                            </w:r>
                            <w:r>
                              <w:rPr>
                                <w:rFonts w:hint="eastAsia" w:ascii="宋体" w:hAnsi="宋体"/>
                                <w:szCs w:val="21"/>
                              </w:rPr>
                              <w:t>※△</w:t>
                            </w:r>
                          </w:p>
                        </w:txbxContent>
                      </wps:txbx>
                      <wps:bodyPr upright="1"/>
                    </wps:wsp>
                  </a:graphicData>
                </a:graphic>
              </wp:anchor>
            </w:drawing>
          </mc:Choice>
          <mc:Fallback>
            <w:pict>
              <v:shape id="_x0000_s1026" o:spid="_x0000_s1026" o:spt="202" type="#_x0000_t202" style="position:absolute;left:0pt;margin-left:259.25pt;margin-top:16.95pt;height:23.4pt;width:72.8pt;z-index:251961344;mso-width-relative:page;mso-height-relative:page;" fillcolor="#FFFFFF" filled="t" stroked="t" coordsize="21600,21600" o:gfxdata="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9kjTHYAAAACQEAAA8AAAAAAAAAAQAgAAAAIgAAAGRycy9kb3ducmV2LnhtbFBLAQIU&#10;ABQAAAAIAIdO4kAKknHL8wEAAOsDAAAOAAAAAAAAAAEAIAAAACcBAABkcnMvZTJvRG9jLnhtbFBL&#10;BQYAAAAABgAGAFkBAACMBQAAAAA=&#10;">
                <v:fill on="t" focussize="0,0"/>
                <v:stroke color="#000000" joinstyle="miter"/>
                <v:imagedata o:title=""/>
                <o:lock v:ext="edit" aspectratio="f"/>
                <v:textbox>
                  <w:txbxContent>
                    <w:p>
                      <w:pPr>
                        <w:jc w:val="center"/>
                        <w:rPr>
                          <w:rFonts w:hint="eastAsia"/>
                        </w:rPr>
                      </w:pPr>
                      <w:r>
                        <w:rPr>
                          <w:rFonts w:hint="eastAsia"/>
                        </w:rPr>
                        <w:t>水泥磨</w:t>
                      </w:r>
                      <w:r>
                        <w:rPr>
                          <w:rFonts w:hint="eastAsia" w:ascii="宋体" w:hAnsi="宋体"/>
                          <w:szCs w:val="21"/>
                        </w:rPr>
                        <w:t>※△</w:t>
                      </w:r>
                    </w:p>
                  </w:txbxContent>
                </v:textbox>
              </v:shap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1970560" behindDoc="0" locked="0" layoutInCell="1" allowOverlap="1">
                <wp:simplePos x="0" y="0"/>
                <wp:positionH relativeFrom="column">
                  <wp:posOffset>3723640</wp:posOffset>
                </wp:positionH>
                <wp:positionV relativeFrom="paragraph">
                  <wp:posOffset>199390</wp:posOffset>
                </wp:positionV>
                <wp:extent cx="0" cy="274320"/>
                <wp:effectExtent l="42545" t="0" r="52705" b="11430"/>
                <wp:wrapNone/>
                <wp:docPr id="529" name="直接连接符 529"/>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93.2pt;margin-top:15.7pt;height:21.6pt;width:0pt;z-index:251970560;mso-width-relative:page;mso-height-relative:page;" filled="f" stroked="t" coordsize="21600,21600" o:gfxdata="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ErmUtUAAAAJAQAA&#10;DwAAAAAAAAABACAAAAAiAAAAZHJzL2Rvd25yZXYueG1sUEsBAhQAFAAAAAgAh07iQB7n++/jAQAA&#10;ngMAAA4AAAAAAAAAAQAgAAAAJAEAAGRycy9lMm9Eb2MueG1sUEsFBgAAAAAGAAYAWQEAAHkFAAAA&#10;AA==&#10;">
                <v:fill on="f" focussize="0,0"/>
                <v:stroke weight="2.25pt"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1940864" behindDoc="0" locked="0" layoutInCell="1" allowOverlap="1">
                <wp:simplePos x="0" y="0"/>
                <wp:positionH relativeFrom="column">
                  <wp:posOffset>242570</wp:posOffset>
                </wp:positionH>
                <wp:positionV relativeFrom="paragraph">
                  <wp:posOffset>23495</wp:posOffset>
                </wp:positionV>
                <wp:extent cx="1345565" cy="794385"/>
                <wp:effectExtent l="13970" t="0" r="31115" b="29210"/>
                <wp:wrapNone/>
                <wp:docPr id="530" name="文本框 530"/>
                <wp:cNvGraphicFramePr/>
                <a:graphic xmlns:a="http://schemas.openxmlformats.org/drawingml/2006/main">
                  <a:graphicData uri="http://schemas.microsoft.com/office/word/2010/wordprocessingShape">
                    <wps:wsp>
                      <wps:cNvSpPr txBox="1"/>
                      <wps:spPr>
                        <a:xfrm>
                          <a:off x="0" y="0"/>
                          <a:ext cx="1345565" cy="794385"/>
                        </a:xfrm>
                        <a:prstGeom prst="rect">
                          <a:avLst/>
                        </a:prstGeom>
                        <a:solidFill>
                          <a:srgbClr val="FFFFFF"/>
                        </a:solidFill>
                        <a:ln w="2857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 xml:space="preserve"> 图例：</w:t>
                            </w:r>
                          </w:p>
                          <w:p>
                            <w:pPr>
                              <w:numPr>
                                <w:ilvl w:val="0"/>
                                <w:numId w:val="4"/>
                              </w:numPr>
                              <w:rPr>
                                <w:rFonts w:hint="eastAsia" w:ascii="宋体" w:hAnsi="宋体"/>
                                <w:szCs w:val="21"/>
                              </w:rPr>
                            </w:pPr>
                            <w:r>
                              <w:rPr>
                                <w:rFonts w:hint="eastAsia" w:ascii="宋体" w:hAnsi="宋体"/>
                                <w:szCs w:val="21"/>
                              </w:rPr>
                              <w:t>：主要产尘点</w:t>
                            </w:r>
                          </w:p>
                          <w:p>
                            <w:pPr>
                              <w:rPr>
                                <w:rFonts w:hint="eastAsia"/>
                                <w:szCs w:val="21"/>
                              </w:rPr>
                            </w:pPr>
                            <w:r>
                              <w:rPr>
                                <w:rFonts w:hint="eastAsia" w:ascii="宋体" w:hAnsi="宋体"/>
                                <w:szCs w:val="21"/>
                              </w:rPr>
                              <w:t>△： 噪声源</w:t>
                            </w:r>
                          </w:p>
                        </w:txbxContent>
                      </wps:txbx>
                      <wps:bodyPr upright="1"/>
                    </wps:wsp>
                  </a:graphicData>
                </a:graphic>
              </wp:anchor>
            </w:drawing>
          </mc:Choice>
          <mc:Fallback>
            <w:pict>
              <v:shape id="_x0000_s1026" o:spid="_x0000_s1026" o:spt="202" type="#_x0000_t202" style="position:absolute;left:0pt;margin-left:19.1pt;margin-top:1.85pt;height:62.55pt;width:105.95pt;z-index:251940864;mso-width-relative:page;mso-height-relative:page;" fillcolor="#FFFFFF" filled="t" stroked="t" coordsize="21600,21600" o:gfxdata="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S5K9PYAAAACAEAAA8AAAAAAAAAAQAgAAAAIgAAAGRycy9kb3ducmV2LnhtbFBLAQIU&#10;ABQAAAAIAIdO4kBg/wWV8wEAAO0DAAAOAAAAAAAAAAEAIAAAACcBAABkcnMvZTJvRG9jLnhtbFBL&#10;BQYAAAAABgAGAFkBAACMBQAAAAA=&#10;">
                <v:fill on="t" focussize="0,0"/>
                <v:stroke weight="2.25pt" color="#000000" joinstyle="miter"/>
                <v:imagedata o:title=""/>
                <o:lock v:ext="edit" aspectratio="f"/>
                <v:textbox>
                  <w:txbxContent>
                    <w:p>
                      <w:pPr>
                        <w:jc w:val="center"/>
                        <w:rPr>
                          <w:rFonts w:hint="eastAsia"/>
                          <w:szCs w:val="21"/>
                        </w:rPr>
                      </w:pPr>
                      <w:r>
                        <w:rPr>
                          <w:rFonts w:hint="eastAsia"/>
                          <w:szCs w:val="21"/>
                        </w:rPr>
                        <w:t xml:space="preserve"> 图例：</w:t>
                      </w:r>
                    </w:p>
                    <w:p>
                      <w:pPr>
                        <w:numPr>
                          <w:ilvl w:val="0"/>
                          <w:numId w:val="4"/>
                        </w:numPr>
                        <w:rPr>
                          <w:rFonts w:hint="eastAsia" w:ascii="宋体" w:hAnsi="宋体"/>
                          <w:szCs w:val="21"/>
                        </w:rPr>
                      </w:pPr>
                      <w:r>
                        <w:rPr>
                          <w:rFonts w:hint="eastAsia" w:ascii="宋体" w:hAnsi="宋体"/>
                          <w:szCs w:val="21"/>
                        </w:rPr>
                        <w:t>：主要产尘点</w:t>
                      </w:r>
                    </w:p>
                    <w:p>
                      <w:pPr>
                        <w:rPr>
                          <w:rFonts w:hint="eastAsia"/>
                          <w:szCs w:val="21"/>
                        </w:rPr>
                      </w:pPr>
                      <w:r>
                        <w:rPr>
                          <w:rFonts w:hint="eastAsia" w:ascii="宋体" w:hAnsi="宋体"/>
                          <w:szCs w:val="21"/>
                        </w:rPr>
                        <w:t>△： 噪声源</w:t>
                      </w:r>
                    </w:p>
                  </w:txbxContent>
                </v:textbox>
              </v:shape>
            </w:pict>
          </mc:Fallback>
        </mc:AlternateContent>
      </w:r>
      <w:r>
        <w:rPr>
          <w:rFonts w:hint="eastAsia" w:ascii="宋体" w:hAnsi="宋体"/>
        </w:rPr>
        <mc:AlternateContent>
          <mc:Choice Requires="wps">
            <w:drawing>
              <wp:anchor distT="0" distB="0" distL="114300" distR="114300" simplePos="0" relativeHeight="251962368" behindDoc="0" locked="0" layoutInCell="1" allowOverlap="1">
                <wp:simplePos x="0" y="0"/>
                <wp:positionH relativeFrom="column">
                  <wp:posOffset>3242310</wp:posOffset>
                </wp:positionH>
                <wp:positionV relativeFrom="paragraph">
                  <wp:posOffset>150495</wp:posOffset>
                </wp:positionV>
                <wp:extent cx="924560" cy="297180"/>
                <wp:effectExtent l="5080" t="4445" r="22860" b="22225"/>
                <wp:wrapNone/>
                <wp:docPr id="507" name="文本框 507"/>
                <wp:cNvGraphicFramePr/>
                <a:graphic xmlns:a="http://schemas.openxmlformats.org/drawingml/2006/main">
                  <a:graphicData uri="http://schemas.microsoft.com/office/word/2010/wordprocessingShape">
                    <wps:wsp>
                      <wps:cNvSpPr txBox="1"/>
                      <wps:spPr>
                        <a:xfrm>
                          <a:off x="0" y="0"/>
                          <a:ext cx="9245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水泥库</w:t>
                            </w:r>
                            <w:r>
                              <w:rPr>
                                <w:rFonts w:hint="eastAsia" w:ascii="宋体" w:hAnsi="宋体"/>
                                <w:szCs w:val="21"/>
                              </w:rPr>
                              <w:t>※</w:t>
                            </w:r>
                          </w:p>
                        </w:txbxContent>
                      </wps:txbx>
                      <wps:bodyPr upright="1"/>
                    </wps:wsp>
                  </a:graphicData>
                </a:graphic>
              </wp:anchor>
            </w:drawing>
          </mc:Choice>
          <mc:Fallback>
            <w:pict>
              <v:shape id="_x0000_s1026" o:spid="_x0000_s1026" o:spt="202" type="#_x0000_t202" style="position:absolute;left:0pt;margin-left:255.3pt;margin-top:11.85pt;height:23.4pt;width:72.8pt;z-index:251962368;mso-width-relative:page;mso-height-relative:page;" fillcolor="#FFFFFF" filled="t" stroked="t" coordsize="21600,21600" o:gfxdata="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POtStkAAAAJAQAADwAAAAAAAAABACAAAAAiAAAAZHJzL2Rvd25yZXYueG1sUEsB&#10;AhQAFAAAAAgAh07iQNt06S70AQAA6wMAAA4AAAAAAAAAAQAgAAAAKAEAAGRycy9lMm9Eb2MueG1s&#10;UEsFBgAAAAAGAAYAWQEAAI4FAAAAAA==&#10;">
                <v:fill on="t" focussize="0,0"/>
                <v:stroke color="#000000" joinstyle="miter"/>
                <v:imagedata o:title=""/>
                <o:lock v:ext="edit" aspectratio="f"/>
                <v:textbox>
                  <w:txbxContent>
                    <w:p>
                      <w:pPr>
                        <w:jc w:val="center"/>
                        <w:rPr>
                          <w:rFonts w:hint="eastAsia"/>
                        </w:rPr>
                      </w:pPr>
                      <w:r>
                        <w:rPr>
                          <w:rFonts w:hint="eastAsia"/>
                        </w:rPr>
                        <w:t>水泥库</w:t>
                      </w:r>
                      <w:r>
                        <w:rPr>
                          <w:rFonts w:hint="eastAsia" w:ascii="宋体" w:hAnsi="宋体"/>
                          <w:szCs w:val="21"/>
                        </w:rPr>
                        <w:t>※</w:t>
                      </w:r>
                    </w:p>
                  </w:txbxContent>
                </v:textbox>
              </v:shap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1971584" behindDoc="0" locked="0" layoutInCell="1" allowOverlap="1">
                <wp:simplePos x="0" y="0"/>
                <wp:positionH relativeFrom="column">
                  <wp:posOffset>3700145</wp:posOffset>
                </wp:positionH>
                <wp:positionV relativeFrom="paragraph">
                  <wp:posOffset>133985</wp:posOffset>
                </wp:positionV>
                <wp:extent cx="0" cy="274320"/>
                <wp:effectExtent l="42545" t="0" r="52705" b="11430"/>
                <wp:wrapNone/>
                <wp:docPr id="531" name="直接连接符 531"/>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91.35pt;margin-top:10.55pt;height:21.6pt;width:0pt;z-index:251971584;mso-width-relative:page;mso-height-relative:page;" filled="f" stroked="t" coordsize="21600,21600" o:gfxdata="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eD+771QAAAAkBAAAP&#10;AAAAAAAAAAEAIAAAACIAAABkcnMvZG93bnJldi54bWxQSwECFAAUAAAACACHTuJAJ7HLtuIBAACe&#10;AwAADgAAAAAAAAABACAAAAAkAQAAZHJzL2Uyb0RvYy54bWxQSwUGAAAAAAYABgBZAQAAeAUAAAAA&#10;">
                <v:fill on="f" focussize="0,0"/>
                <v:stroke weight="2.25pt"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1975680" behindDoc="0" locked="0" layoutInCell="1" allowOverlap="1">
                <wp:simplePos x="0" y="0"/>
                <wp:positionH relativeFrom="column">
                  <wp:posOffset>4556125</wp:posOffset>
                </wp:positionH>
                <wp:positionV relativeFrom="paragraph">
                  <wp:posOffset>98425</wp:posOffset>
                </wp:positionV>
                <wp:extent cx="0" cy="274320"/>
                <wp:effectExtent l="42545" t="0" r="52705" b="11430"/>
                <wp:wrapNone/>
                <wp:docPr id="514" name="直接连接符 514"/>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8.75pt;margin-top:7.75pt;height:21.6pt;width:0pt;z-index:251975680;mso-width-relative:page;mso-height-relative:page;" filled="f" stroked="t" coordsize="21600,21600" o:gfxdata="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vi9P9UAAAAJAQAA&#10;DwAAAAAAAAABACAAAAAiAAAAZHJzL2Rvd25yZXYueG1sUEsBAhQAFAAAAAgAh07iQP0NeyrjAQAA&#10;ngMAAA4AAAAAAAAAAQAgAAAAJAEAAGRycy9lMm9Eb2MueG1sUEsFBgAAAAAGAAYAWQEAAHkFAAAA&#10;AA==&#10;">
                <v:fill on="f" focussize="0,0"/>
                <v:stroke weight="2.25pt"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972608" behindDoc="0" locked="0" layoutInCell="1" allowOverlap="1">
                <wp:simplePos x="0" y="0"/>
                <wp:positionH relativeFrom="column">
                  <wp:posOffset>2971800</wp:posOffset>
                </wp:positionH>
                <wp:positionV relativeFrom="paragraph">
                  <wp:posOffset>114300</wp:posOffset>
                </wp:positionV>
                <wp:extent cx="1600200" cy="0"/>
                <wp:effectExtent l="0" t="0" r="0" b="0"/>
                <wp:wrapNone/>
                <wp:docPr id="532" name="直接连接符 532"/>
                <wp:cNvGraphicFramePr/>
                <a:graphic xmlns:a="http://schemas.openxmlformats.org/drawingml/2006/main">
                  <a:graphicData uri="http://schemas.microsoft.com/office/word/2010/wordprocessingShape">
                    <wps:wsp>
                      <wps:cNvCnPr/>
                      <wps:spPr>
                        <a:xfrm>
                          <a:off x="0" y="0"/>
                          <a:ext cx="1600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4pt;margin-top:9pt;height:0pt;width:126pt;z-index:251972608;mso-width-relative:page;mso-height-relative:page;" filled="f" stroked="t" coordsize="21600,21600" o:gfxdata="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qrZrT1AAAAAkBAAAPAAAAAAAA&#10;AAEAIAAAACIAAABkcnMvZG93bnJldi54bWxQSwECFAAUAAAACACHTuJAtxqYrt0BAACaAwAADgAA&#10;AAAAAAABACAAAAAjAQAAZHJzL2Uyb0RvYy54bWxQSwUGAAAAAAYABgBZAQAAcgUAA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973632" behindDoc="0" locked="0" layoutInCell="1" allowOverlap="1">
                <wp:simplePos x="0" y="0"/>
                <wp:positionH relativeFrom="column">
                  <wp:posOffset>2961640</wp:posOffset>
                </wp:positionH>
                <wp:positionV relativeFrom="paragraph">
                  <wp:posOffset>123190</wp:posOffset>
                </wp:positionV>
                <wp:extent cx="0" cy="274320"/>
                <wp:effectExtent l="42545" t="0" r="52705" b="11430"/>
                <wp:wrapNone/>
                <wp:docPr id="512" name="直接连接符 512"/>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3.2pt;margin-top:9.7pt;height:21.6pt;width:0pt;z-index:251973632;mso-width-relative:page;mso-height-relative:page;" filled="f" stroked="t" coordsize="21600,21600" o:gfxdata="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b3YXrNUAAAAJAQAA&#10;DwAAAAAAAAABACAAAAAiAAAAZHJzL2Rvd25yZXYueG1sUEsBAhQAFAAAAAgAh07iQPtZma3jAQAA&#10;ngMAAA4AAAAAAAAAAQAgAAAAJAEAAGRycy9lMm9Eb2MueG1sUEsFBgAAAAAGAAYAWQEAAHkFAAAA&#10;AA==&#10;">
                <v:fill on="f" focussize="0,0"/>
                <v:stroke weight="2.25pt"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965440" behindDoc="0" locked="0" layoutInCell="1" allowOverlap="1">
                <wp:simplePos x="0" y="0"/>
                <wp:positionH relativeFrom="column">
                  <wp:posOffset>4055745</wp:posOffset>
                </wp:positionH>
                <wp:positionV relativeFrom="paragraph">
                  <wp:posOffset>67310</wp:posOffset>
                </wp:positionV>
                <wp:extent cx="924560" cy="297180"/>
                <wp:effectExtent l="5080" t="4445" r="22860" b="22225"/>
                <wp:wrapNone/>
                <wp:docPr id="533" name="文本框 533"/>
                <wp:cNvGraphicFramePr/>
                <a:graphic xmlns:a="http://schemas.openxmlformats.org/drawingml/2006/main">
                  <a:graphicData uri="http://schemas.microsoft.com/office/word/2010/wordprocessingShape">
                    <wps:wsp>
                      <wps:cNvSpPr txBox="1"/>
                      <wps:spPr>
                        <a:xfrm>
                          <a:off x="0" y="0"/>
                          <a:ext cx="9245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宋体" w:hAnsi="宋体"/>
                                <w:szCs w:val="21"/>
                              </w:rPr>
                              <w:t>散装水泥※</w:t>
                            </w:r>
                          </w:p>
                        </w:txbxContent>
                      </wps:txbx>
                      <wps:bodyPr upright="1"/>
                    </wps:wsp>
                  </a:graphicData>
                </a:graphic>
              </wp:anchor>
            </w:drawing>
          </mc:Choice>
          <mc:Fallback>
            <w:pict>
              <v:shape id="_x0000_s1026" o:spid="_x0000_s1026" o:spt="202" type="#_x0000_t202" style="position:absolute;left:0pt;margin-left:319.35pt;margin-top:5.3pt;height:23.4pt;width:72.8pt;z-index:251965440;mso-width-relative:page;mso-height-relative:page;" fillcolor="#FFFFFF" filled="t" stroked="t" coordsize="21600,21600" o:gfxdata="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oANKj2AAAAAkBAAAPAAAAAAAAAAEAIAAAACIAAABkcnMvZG93bnJldi54bWxQSwEC&#10;FAAUAAAACACHTuJARfaRVvQBAADrAwAADgAAAAAAAAABACAAAAAnAQAAZHJzL2Uyb0RvYy54bWxQ&#10;SwUGAAAAAAYABgBZAQAAjQUAAAAA&#10;">
                <v:fill on="t" focussize="0,0"/>
                <v:stroke color="#000000" joinstyle="miter"/>
                <v:imagedata o:title=""/>
                <o:lock v:ext="edit" aspectratio="f"/>
                <v:textbox>
                  <w:txbxContent>
                    <w:p>
                      <w:pPr>
                        <w:jc w:val="center"/>
                        <w:rPr>
                          <w:rFonts w:hint="eastAsia"/>
                        </w:rPr>
                      </w:pPr>
                      <w:r>
                        <w:rPr>
                          <w:rFonts w:hint="eastAsia" w:ascii="宋体" w:hAnsi="宋体"/>
                          <w:szCs w:val="21"/>
                        </w:rPr>
                        <w:t>散装水泥※</w:t>
                      </w:r>
                    </w:p>
                  </w:txbxContent>
                </v:textbox>
              </v:shape>
            </w:pict>
          </mc:Fallback>
        </mc:AlternateContent>
      </w:r>
      <w:r>
        <w:rPr>
          <w:rFonts w:hint="eastAsia" w:ascii="宋体" w:hAnsi="宋体"/>
        </w:rPr>
        <mc:AlternateContent>
          <mc:Choice Requires="wps">
            <w:drawing>
              <wp:anchor distT="0" distB="0" distL="114300" distR="114300" simplePos="0" relativeHeight="251963392" behindDoc="0" locked="0" layoutInCell="1" allowOverlap="1">
                <wp:simplePos x="0" y="0"/>
                <wp:positionH relativeFrom="column">
                  <wp:posOffset>2503170</wp:posOffset>
                </wp:positionH>
                <wp:positionV relativeFrom="paragraph">
                  <wp:posOffset>71120</wp:posOffset>
                </wp:positionV>
                <wp:extent cx="924560" cy="297180"/>
                <wp:effectExtent l="5080" t="4445" r="22860" b="22225"/>
                <wp:wrapNone/>
                <wp:docPr id="534" name="文本框 534"/>
                <wp:cNvGraphicFramePr/>
                <a:graphic xmlns:a="http://schemas.openxmlformats.org/drawingml/2006/main">
                  <a:graphicData uri="http://schemas.microsoft.com/office/word/2010/wordprocessingShape">
                    <wps:wsp>
                      <wps:cNvSpPr txBox="1"/>
                      <wps:spPr>
                        <a:xfrm>
                          <a:off x="0" y="0"/>
                          <a:ext cx="9245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包装</w:t>
                            </w:r>
                            <w:r>
                              <w:rPr>
                                <w:rFonts w:hint="eastAsia" w:ascii="宋体" w:hAnsi="宋体"/>
                                <w:szCs w:val="21"/>
                              </w:rPr>
                              <w:t>※</w:t>
                            </w:r>
                          </w:p>
                        </w:txbxContent>
                      </wps:txbx>
                      <wps:bodyPr upright="1"/>
                    </wps:wsp>
                  </a:graphicData>
                </a:graphic>
              </wp:anchor>
            </w:drawing>
          </mc:Choice>
          <mc:Fallback>
            <w:pict>
              <v:shape id="_x0000_s1026" o:spid="_x0000_s1026" o:spt="202" type="#_x0000_t202" style="position:absolute;left:0pt;margin-left:197.1pt;margin-top:5.6pt;height:23.4pt;width:72.8pt;z-index:251963392;mso-width-relative:page;mso-height-relative:page;" fillcolor="#FFFFFF" filled="t" stroked="t" coordsize="21600,21600" o:gfxdata="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HpD9b2AAAAAkBAAAPAAAAAAAAAAEAIAAAACIAAABkcnMvZG93bnJldi54bWxQSwEC&#10;FAAUAAAACACHTuJABm7aQPQBAADrAwAADgAAAAAAAAABACAAAAAnAQAAZHJzL2Uyb0RvYy54bWxQ&#10;SwUGAAAAAAYABgBZAQAAjQUAAAAA&#10;">
                <v:fill on="t" focussize="0,0"/>
                <v:stroke color="#000000" joinstyle="miter"/>
                <v:imagedata o:title=""/>
                <o:lock v:ext="edit" aspectratio="f"/>
                <v:textbox>
                  <w:txbxContent>
                    <w:p>
                      <w:pPr>
                        <w:jc w:val="center"/>
                        <w:rPr>
                          <w:rFonts w:hint="eastAsia"/>
                        </w:rPr>
                      </w:pPr>
                      <w:r>
                        <w:rPr>
                          <w:rFonts w:hint="eastAsia"/>
                        </w:rPr>
                        <w:t>包装</w:t>
                      </w:r>
                      <w:r>
                        <w:rPr>
                          <w:rFonts w:hint="eastAsia" w:ascii="宋体" w:hAnsi="宋体"/>
                          <w:szCs w:val="21"/>
                        </w:rPr>
                        <w:t>※</w:t>
                      </w:r>
                    </w:p>
                  </w:txbxContent>
                </v:textbox>
              </v:shape>
            </w:pict>
          </mc:Fallback>
        </mc:AlternateContent>
      </w:r>
    </w:p>
    <w:p>
      <w:pPr>
        <w:spacing w:line="480" w:lineRule="exact"/>
        <w:ind w:firstLine="1392" w:firstLineChars="696"/>
        <w:rPr>
          <w:rFonts w:hint="eastAsia"/>
          <w:b/>
        </w:rPr>
      </w:pPr>
      <w:r>
        <w:rPr>
          <w:rFonts w:ascii="宋体" w:hAnsi="宋体"/>
          <w:sz w:val="20"/>
        </w:rPr>
        <mc:AlternateContent>
          <mc:Choice Requires="wps">
            <w:drawing>
              <wp:anchor distT="0" distB="0" distL="114300" distR="114300" simplePos="0" relativeHeight="251974656" behindDoc="0" locked="0" layoutInCell="1" allowOverlap="1">
                <wp:simplePos x="0" y="0"/>
                <wp:positionH relativeFrom="column">
                  <wp:posOffset>2932430</wp:posOffset>
                </wp:positionH>
                <wp:positionV relativeFrom="paragraph">
                  <wp:posOffset>88265</wp:posOffset>
                </wp:positionV>
                <wp:extent cx="0" cy="274320"/>
                <wp:effectExtent l="42545" t="0" r="52705" b="11430"/>
                <wp:wrapNone/>
                <wp:docPr id="508" name="直接连接符 508"/>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0.9pt;margin-top:6.95pt;height:21.6pt;width:0pt;z-index:251974656;mso-width-relative:page;mso-height-relative:page;" filled="f" stroked="t" coordsize="21600,21600" o:gfxdata="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1qhQNNUAAAAJAQAA&#10;DwAAAAAAAAABACAAAAAiAAAAZHJzL2Rvd25yZXYueG1sUEsBAhQAFAAAAAgAh07iQP/BJz/jAQAA&#10;ngMAAA4AAAAAAAAAAQAgAAAAJAEAAGRycy9lMm9Eb2MueG1sUEsFBgAAAAAGAAYAWQEAAHkFAAAA&#10;AA==&#10;">
                <v:fill on="f" focussize="0,0"/>
                <v:stroke weight="2.25pt" color="#000000" joinstyle="round" endarrow="block"/>
                <v:imagedata o:title=""/>
                <o:lock v:ext="edit" aspectratio="f"/>
              </v:line>
            </w:pict>
          </mc:Fallback>
        </mc:AlternateContent>
      </w:r>
    </w:p>
    <w:p>
      <w:pPr>
        <w:spacing w:line="480" w:lineRule="exact"/>
        <w:ind w:firstLine="1392" w:firstLineChars="696"/>
        <w:jc w:val="center"/>
        <w:rPr>
          <w:rFonts w:hint="eastAsia"/>
          <w:b/>
        </w:rPr>
      </w:pPr>
      <w:r>
        <w:rPr>
          <w:rFonts w:ascii="宋体" w:hAnsi="宋体"/>
          <w:sz w:val="20"/>
        </w:rPr>
        <mc:AlternateContent>
          <mc:Choice Requires="wps">
            <w:drawing>
              <wp:anchor distT="0" distB="0" distL="114300" distR="114300" simplePos="0" relativeHeight="251964416" behindDoc="0" locked="0" layoutInCell="1" allowOverlap="1">
                <wp:simplePos x="0" y="0"/>
                <wp:positionH relativeFrom="column">
                  <wp:posOffset>2453640</wp:posOffset>
                </wp:positionH>
                <wp:positionV relativeFrom="paragraph">
                  <wp:posOffset>23495</wp:posOffset>
                </wp:positionV>
                <wp:extent cx="924560" cy="297180"/>
                <wp:effectExtent l="5080" t="4445" r="22860" b="22225"/>
                <wp:wrapNone/>
                <wp:docPr id="513" name="文本框 513"/>
                <wp:cNvGraphicFramePr/>
                <a:graphic xmlns:a="http://schemas.openxmlformats.org/drawingml/2006/main">
                  <a:graphicData uri="http://schemas.microsoft.com/office/word/2010/wordprocessingShape">
                    <wps:wsp>
                      <wps:cNvSpPr txBox="1"/>
                      <wps:spPr>
                        <a:xfrm>
                          <a:off x="0" y="0"/>
                          <a:ext cx="9245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宋体" w:hAnsi="宋体"/>
                                <w:szCs w:val="21"/>
                              </w:rPr>
                              <w:t>成品库※</w:t>
                            </w:r>
                          </w:p>
                        </w:txbxContent>
                      </wps:txbx>
                      <wps:bodyPr upright="1"/>
                    </wps:wsp>
                  </a:graphicData>
                </a:graphic>
              </wp:anchor>
            </w:drawing>
          </mc:Choice>
          <mc:Fallback>
            <w:pict>
              <v:shape id="_x0000_s1026" o:spid="_x0000_s1026" o:spt="202" type="#_x0000_t202" style="position:absolute;left:0pt;margin-left:193.2pt;margin-top:1.85pt;height:23.4pt;width:72.8pt;z-index:251964416;mso-width-relative:page;mso-height-relative:page;" fillcolor="#FFFFFF" filled="t" stroked="t" coordsize="21600,21600" o:gfxdata="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NI7h3XAAAACAEAAA8AAAAAAAAAAQAgAAAAIgAAAGRycy9kb3ducmV2LnhtbFBLAQIU&#10;ABQAAAAIAIdO4kCSywBX9AEAAOsDAAAOAAAAAAAAAAEAIAAAACYBAABkcnMvZTJvRG9jLnhtbFBL&#10;BQYAAAAABgAGAFkBAACMBQAAAAA=&#10;">
                <v:fill on="t" focussize="0,0"/>
                <v:stroke color="#000000" joinstyle="miter"/>
                <v:imagedata o:title=""/>
                <o:lock v:ext="edit" aspectratio="f"/>
                <v:textbox>
                  <w:txbxContent>
                    <w:p>
                      <w:pPr>
                        <w:jc w:val="center"/>
                        <w:rPr>
                          <w:rFonts w:hint="eastAsia"/>
                        </w:rPr>
                      </w:pPr>
                      <w:r>
                        <w:rPr>
                          <w:rFonts w:hint="eastAsia" w:ascii="宋体" w:hAnsi="宋体"/>
                          <w:szCs w:val="21"/>
                        </w:rPr>
                        <w:t>成品库※</w:t>
                      </w:r>
                    </w:p>
                  </w:txbxContent>
                </v:textbox>
              </v:shape>
            </w:pict>
          </mc:Fallback>
        </mc:AlternateContent>
      </w:r>
    </w:p>
    <w:p>
      <w:pPr>
        <w:spacing w:line="480" w:lineRule="exact"/>
        <w:ind w:firstLine="1286" w:firstLineChars="536"/>
        <w:jc w:val="center"/>
        <w:rPr>
          <w:rFonts w:ascii="Times New Roman" w:hAnsi="Times New Roman"/>
          <w:b/>
          <w:sz w:val="24"/>
          <w:szCs w:val="24"/>
        </w:rPr>
      </w:pPr>
      <w:r>
        <w:rPr>
          <w:rFonts w:ascii="Times New Roman" w:hAnsi="宋体"/>
          <w:b/>
          <w:sz w:val="24"/>
          <w:szCs w:val="24"/>
        </w:rPr>
        <w:t>图</w:t>
      </w:r>
      <w:r>
        <w:rPr>
          <w:rFonts w:ascii="Times New Roman" w:hAnsi="Times New Roman"/>
          <w:b/>
          <w:sz w:val="24"/>
          <w:szCs w:val="24"/>
        </w:rPr>
        <w:t>2.1—1</w:t>
      </w:r>
      <w:r>
        <w:rPr>
          <w:rFonts w:ascii="Times New Roman" w:hAnsi="宋体"/>
          <w:b/>
          <w:sz w:val="24"/>
          <w:szCs w:val="24"/>
        </w:rPr>
        <w:t>工艺流程及排污环节</w:t>
      </w:r>
    </w:p>
    <w:p>
      <w:pPr>
        <w:pStyle w:val="4"/>
        <w:rPr>
          <w:rFonts w:ascii="宋体" w:hAnsi="宋体"/>
          <w:szCs w:val="24"/>
        </w:rPr>
      </w:pPr>
      <w:r>
        <w:rPr>
          <w:rFonts w:ascii="宋体" w:hAnsi="宋体"/>
          <w:szCs w:val="24"/>
        </w:rPr>
        <w:t>2.</w:t>
      </w:r>
      <w:r>
        <w:rPr>
          <w:rFonts w:hint="eastAsia" w:ascii="宋体" w:hAnsi="宋体"/>
          <w:szCs w:val="24"/>
        </w:rPr>
        <w:t>1.3</w:t>
      </w:r>
      <w:r>
        <w:rPr>
          <w:rFonts w:ascii="宋体" w:hAnsi="宋体"/>
          <w:szCs w:val="24"/>
        </w:rPr>
        <w:t>主要生产设备</w:t>
      </w:r>
      <w:bookmarkEnd w:id="621"/>
      <w:bookmarkEnd w:id="622"/>
    </w:p>
    <w:p>
      <w:pPr>
        <w:jc w:val="center"/>
        <w:rPr>
          <w:rFonts w:ascii="Times New Roman" w:hAnsi="Times New Roman"/>
          <w:b/>
          <w:sz w:val="24"/>
          <w:szCs w:val="24"/>
        </w:rPr>
      </w:pPr>
      <w:bookmarkStart w:id="623" w:name="_Toc376335126"/>
      <w:bookmarkStart w:id="624" w:name="_Toc366543991"/>
      <w:r>
        <w:rPr>
          <w:rFonts w:ascii="Times New Roman" w:hAnsi="宋体"/>
          <w:b/>
          <w:sz w:val="24"/>
          <w:szCs w:val="24"/>
        </w:rPr>
        <w:t>表</w:t>
      </w:r>
      <w:r>
        <w:rPr>
          <w:rFonts w:ascii="Times New Roman" w:hAnsi="Times New Roman"/>
          <w:b/>
          <w:sz w:val="24"/>
          <w:szCs w:val="24"/>
        </w:rPr>
        <w:t xml:space="preserve">2.1—3    </w:t>
      </w:r>
      <w:r>
        <w:rPr>
          <w:rFonts w:ascii="Times New Roman" w:hAnsi="宋体"/>
          <w:b/>
          <w:sz w:val="24"/>
          <w:szCs w:val="24"/>
        </w:rPr>
        <w:t>生产设备一览表</w:t>
      </w:r>
    </w:p>
    <w:tbl>
      <w:tblPr>
        <w:tblStyle w:val="21"/>
        <w:tblW w:w="850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19"/>
        <w:gridCol w:w="1341"/>
        <w:gridCol w:w="3149"/>
        <w:gridCol w:w="1104"/>
        <w:gridCol w:w="513"/>
        <w:gridCol w:w="1174"/>
        <w:gridCol w:w="7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519" w:type="dxa"/>
            <w:vAlign w:val="center"/>
          </w:tcPr>
          <w:p>
            <w:pPr>
              <w:suppressAutoHyphens/>
              <w:jc w:val="center"/>
              <w:rPr>
                <w:rFonts w:ascii="宋体" w:hAnsi="宋体"/>
                <w:snapToGrid w:val="0"/>
                <w:kern w:val="0"/>
                <w:szCs w:val="21"/>
              </w:rPr>
            </w:pPr>
            <w:r>
              <w:rPr>
                <w:rFonts w:hint="eastAsia" w:ascii="宋体" w:hAnsi="宋体" w:cs="宋体"/>
                <w:snapToGrid w:val="0"/>
                <w:kern w:val="0"/>
                <w:szCs w:val="21"/>
              </w:rPr>
              <w:t>序号</w:t>
            </w:r>
          </w:p>
        </w:tc>
        <w:tc>
          <w:tcPr>
            <w:tcW w:w="1341" w:type="dxa"/>
            <w:vAlign w:val="center"/>
          </w:tcPr>
          <w:p>
            <w:pPr>
              <w:suppressAutoHyphens/>
              <w:jc w:val="center"/>
              <w:rPr>
                <w:rFonts w:ascii="宋体" w:hAnsi="宋体"/>
                <w:snapToGrid w:val="0"/>
                <w:kern w:val="0"/>
                <w:szCs w:val="21"/>
              </w:rPr>
            </w:pPr>
            <w:r>
              <w:rPr>
                <w:rFonts w:ascii="宋体" w:hAnsi="宋体"/>
                <w:snapToGrid w:val="0"/>
                <w:kern w:val="0"/>
                <w:szCs w:val="21"/>
              </w:rPr>
              <w:t>项目名称</w:t>
            </w:r>
          </w:p>
        </w:tc>
        <w:tc>
          <w:tcPr>
            <w:tcW w:w="3149" w:type="dxa"/>
            <w:vAlign w:val="center"/>
          </w:tcPr>
          <w:p>
            <w:pPr>
              <w:pStyle w:val="30"/>
              <w:keepNext w:val="0"/>
              <w:suppressAutoHyphens/>
              <w:adjustRightInd/>
              <w:spacing w:before="0" w:after="0" w:line="240" w:lineRule="auto"/>
              <w:rPr>
                <w:rFonts w:ascii="宋体" w:hAnsi="宋体"/>
                <w:snapToGrid w:val="0"/>
                <w:sz w:val="21"/>
                <w:szCs w:val="21"/>
              </w:rPr>
            </w:pPr>
            <w:r>
              <w:rPr>
                <w:rFonts w:ascii="宋体" w:hAnsi="宋体"/>
                <w:snapToGrid w:val="0"/>
                <w:sz w:val="21"/>
                <w:szCs w:val="21"/>
              </w:rPr>
              <w:t>设备名称、规格及技术性能</w:t>
            </w:r>
          </w:p>
        </w:tc>
        <w:tc>
          <w:tcPr>
            <w:tcW w:w="1104" w:type="dxa"/>
            <w:vAlign w:val="center"/>
          </w:tcPr>
          <w:p>
            <w:pPr>
              <w:suppressAutoHyphens/>
              <w:jc w:val="center"/>
              <w:rPr>
                <w:rFonts w:ascii="宋体" w:hAnsi="宋体"/>
                <w:snapToGrid w:val="0"/>
                <w:kern w:val="0"/>
                <w:szCs w:val="21"/>
              </w:rPr>
            </w:pPr>
            <w:r>
              <w:rPr>
                <w:rFonts w:ascii="宋体" w:hAnsi="宋体"/>
                <w:snapToGrid w:val="0"/>
                <w:kern w:val="0"/>
                <w:szCs w:val="21"/>
              </w:rPr>
              <w:t>生产能力（t/h）</w:t>
            </w:r>
          </w:p>
        </w:tc>
        <w:tc>
          <w:tcPr>
            <w:tcW w:w="513" w:type="dxa"/>
            <w:vAlign w:val="center"/>
          </w:tcPr>
          <w:p>
            <w:pPr>
              <w:suppressAutoHyphens/>
              <w:jc w:val="center"/>
              <w:rPr>
                <w:rFonts w:ascii="宋体" w:hAnsi="宋体"/>
                <w:snapToGrid w:val="0"/>
                <w:kern w:val="0"/>
                <w:szCs w:val="21"/>
              </w:rPr>
            </w:pPr>
            <w:r>
              <w:rPr>
                <w:rFonts w:ascii="宋体" w:hAnsi="宋体"/>
                <w:snapToGrid w:val="0"/>
                <w:kern w:val="0"/>
                <w:szCs w:val="21"/>
              </w:rPr>
              <w:t>台数</w:t>
            </w:r>
          </w:p>
        </w:tc>
        <w:tc>
          <w:tcPr>
            <w:tcW w:w="1174" w:type="dxa"/>
            <w:vAlign w:val="center"/>
          </w:tcPr>
          <w:p>
            <w:pPr>
              <w:suppressAutoHyphens/>
              <w:jc w:val="center"/>
              <w:rPr>
                <w:rFonts w:ascii="宋体" w:hAnsi="宋体"/>
                <w:snapToGrid w:val="0"/>
                <w:kern w:val="0"/>
                <w:szCs w:val="21"/>
              </w:rPr>
            </w:pPr>
            <w:r>
              <w:rPr>
                <w:rFonts w:ascii="宋体" w:hAnsi="宋体"/>
                <w:snapToGrid w:val="0"/>
                <w:kern w:val="0"/>
                <w:szCs w:val="21"/>
              </w:rPr>
              <w:t>年利用率(%)</w:t>
            </w:r>
          </w:p>
        </w:tc>
        <w:tc>
          <w:tcPr>
            <w:tcW w:w="705" w:type="dxa"/>
            <w:vAlign w:val="center"/>
          </w:tcPr>
          <w:p>
            <w:pPr>
              <w:pStyle w:val="30"/>
              <w:keepNext w:val="0"/>
              <w:suppressAutoHyphens/>
              <w:adjustRightInd/>
              <w:spacing w:before="0" w:after="0" w:line="240" w:lineRule="auto"/>
              <w:rPr>
                <w:rFonts w:ascii="宋体" w:hAnsi="宋体"/>
                <w:snapToGrid w:val="0"/>
                <w:sz w:val="21"/>
                <w:szCs w:val="21"/>
              </w:rPr>
            </w:pPr>
            <w:r>
              <w:rPr>
                <w:rFonts w:ascii="宋体" w:hAnsi="宋体"/>
                <w:snapToGrid w:val="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0" w:hRule="atLeast"/>
          <w:jc w:val="center"/>
        </w:trPr>
        <w:tc>
          <w:tcPr>
            <w:tcW w:w="519" w:type="dxa"/>
            <w:vMerge w:val="restart"/>
            <w:vAlign w:val="center"/>
          </w:tcPr>
          <w:p>
            <w:pPr>
              <w:suppressAutoHyphens/>
              <w:rPr>
                <w:rFonts w:ascii="宋体" w:hAnsi="宋体"/>
                <w:snapToGrid w:val="0"/>
                <w:kern w:val="0"/>
                <w:szCs w:val="21"/>
              </w:rPr>
            </w:pPr>
            <w:r>
              <w:rPr>
                <w:rFonts w:ascii="宋体" w:hAnsi="宋体"/>
                <w:snapToGrid w:val="0"/>
                <w:kern w:val="0"/>
                <w:szCs w:val="21"/>
              </w:rPr>
              <w:t>1</w:t>
            </w:r>
          </w:p>
        </w:tc>
        <w:tc>
          <w:tcPr>
            <w:tcW w:w="1341" w:type="dxa"/>
            <w:vMerge w:val="restart"/>
            <w:vAlign w:val="center"/>
          </w:tcPr>
          <w:p>
            <w:pPr>
              <w:suppressAutoHyphens/>
              <w:rPr>
                <w:rFonts w:ascii="宋体" w:hAnsi="宋体"/>
                <w:snapToGrid w:val="0"/>
                <w:kern w:val="0"/>
                <w:szCs w:val="21"/>
              </w:rPr>
            </w:pPr>
            <w:r>
              <w:rPr>
                <w:rFonts w:ascii="宋体" w:hAnsi="宋体"/>
                <w:snapToGrid w:val="0"/>
                <w:kern w:val="0"/>
                <w:szCs w:val="21"/>
              </w:rPr>
              <w:t>石灰石破碎</w:t>
            </w:r>
          </w:p>
        </w:tc>
        <w:tc>
          <w:tcPr>
            <w:tcW w:w="3149" w:type="dxa"/>
            <w:vAlign w:val="center"/>
          </w:tcPr>
          <w:p>
            <w:pPr>
              <w:suppressAutoHyphens/>
              <w:rPr>
                <w:rFonts w:ascii="宋体" w:hAnsi="宋体"/>
                <w:snapToGrid w:val="0"/>
                <w:kern w:val="0"/>
                <w:szCs w:val="21"/>
              </w:rPr>
            </w:pPr>
            <w:r>
              <w:rPr>
                <w:rFonts w:ascii="宋体" w:hAnsi="宋体"/>
                <w:snapToGrid w:val="0"/>
                <w:kern w:val="0"/>
                <w:szCs w:val="21"/>
              </w:rPr>
              <w:t>重型板式喂料机</w:t>
            </w:r>
          </w:p>
          <w:p>
            <w:pPr>
              <w:suppressAutoHyphens/>
              <w:rPr>
                <w:rFonts w:ascii="宋体" w:hAnsi="宋体"/>
                <w:snapToGrid w:val="0"/>
                <w:kern w:val="0"/>
                <w:szCs w:val="21"/>
              </w:rPr>
            </w:pPr>
            <w:r>
              <w:rPr>
                <w:rFonts w:ascii="宋体" w:hAnsi="宋体"/>
                <w:snapToGrid w:val="0"/>
                <w:kern w:val="0"/>
                <w:szCs w:val="21"/>
              </w:rPr>
              <w:t>规格:B2200×10000</w:t>
            </w:r>
          </w:p>
          <w:p>
            <w:pPr>
              <w:suppressAutoHyphens/>
              <w:rPr>
                <w:rFonts w:ascii="宋体" w:hAnsi="宋体"/>
                <w:snapToGrid w:val="0"/>
                <w:kern w:val="0"/>
                <w:szCs w:val="21"/>
              </w:rPr>
            </w:pPr>
            <w:r>
              <w:rPr>
                <w:rFonts w:ascii="宋体" w:hAnsi="宋体"/>
                <w:snapToGrid w:val="0"/>
                <w:kern w:val="0"/>
                <w:szCs w:val="21"/>
              </w:rPr>
              <w:t>给料粒度:1100×1100×1000mm</w:t>
            </w:r>
          </w:p>
          <w:p>
            <w:pPr>
              <w:suppressAutoHyphens/>
              <w:rPr>
                <w:rFonts w:ascii="宋体" w:hAnsi="宋体"/>
                <w:snapToGrid w:val="0"/>
                <w:kern w:val="0"/>
                <w:szCs w:val="21"/>
              </w:rPr>
            </w:pPr>
            <w:r>
              <w:rPr>
                <w:rFonts w:ascii="宋体" w:hAnsi="宋体"/>
                <w:snapToGrid w:val="0"/>
                <w:kern w:val="0"/>
                <w:szCs w:val="21"/>
              </w:rPr>
              <w:t>功率: 60 kW</w:t>
            </w:r>
          </w:p>
          <w:p>
            <w:pPr>
              <w:suppressAutoHyphens/>
              <w:rPr>
                <w:rFonts w:ascii="宋体" w:hAnsi="宋体"/>
                <w:snapToGrid w:val="0"/>
                <w:kern w:val="0"/>
                <w:szCs w:val="21"/>
              </w:rPr>
            </w:pPr>
            <w:r>
              <w:rPr>
                <w:rFonts w:ascii="宋体" w:hAnsi="宋体"/>
                <w:snapToGrid w:val="0"/>
                <w:kern w:val="0"/>
                <w:szCs w:val="21"/>
              </w:rPr>
              <w:t>设备重量:116t</w:t>
            </w:r>
          </w:p>
        </w:tc>
        <w:tc>
          <w:tcPr>
            <w:tcW w:w="1104" w:type="dxa"/>
            <w:vAlign w:val="center"/>
          </w:tcPr>
          <w:p>
            <w:pPr>
              <w:suppressAutoHyphens/>
              <w:rPr>
                <w:rFonts w:ascii="宋体" w:hAnsi="宋体"/>
                <w:snapToGrid w:val="0"/>
                <w:kern w:val="0"/>
                <w:szCs w:val="21"/>
              </w:rPr>
            </w:pPr>
            <w:r>
              <w:rPr>
                <w:rFonts w:ascii="宋体" w:hAnsi="宋体"/>
                <w:snapToGrid w:val="0"/>
                <w:kern w:val="0"/>
                <w:szCs w:val="21"/>
              </w:rPr>
              <w:t>350-400</w:t>
            </w:r>
          </w:p>
        </w:tc>
        <w:tc>
          <w:tcPr>
            <w:tcW w:w="513" w:type="dxa"/>
            <w:vAlign w:val="center"/>
          </w:tcPr>
          <w:p>
            <w:pPr>
              <w:suppressAutoHyphens/>
              <w:jc w:val="center"/>
              <w:rPr>
                <w:rFonts w:ascii="宋体" w:hAnsi="宋体"/>
                <w:snapToGrid w:val="0"/>
                <w:kern w:val="0"/>
                <w:szCs w:val="21"/>
              </w:rPr>
            </w:pPr>
            <w:r>
              <w:rPr>
                <w:rFonts w:ascii="宋体" w:hAnsi="宋体"/>
                <w:snapToGrid w:val="0"/>
                <w:kern w:val="0"/>
                <w:szCs w:val="21"/>
              </w:rPr>
              <w:t>1</w:t>
            </w:r>
          </w:p>
        </w:tc>
        <w:tc>
          <w:tcPr>
            <w:tcW w:w="1174" w:type="dxa"/>
            <w:vAlign w:val="center"/>
          </w:tcPr>
          <w:p>
            <w:pPr>
              <w:suppressAutoHyphens/>
              <w:jc w:val="center"/>
              <w:rPr>
                <w:rFonts w:ascii="宋体" w:hAnsi="宋体"/>
                <w:snapToGrid w:val="0"/>
                <w:kern w:val="0"/>
                <w:szCs w:val="21"/>
              </w:rPr>
            </w:pPr>
            <w:r>
              <w:rPr>
                <w:rFonts w:ascii="宋体" w:hAnsi="宋体"/>
                <w:snapToGrid w:val="0"/>
                <w:kern w:val="0"/>
                <w:szCs w:val="21"/>
              </w:rPr>
              <w:t>24.98</w:t>
            </w:r>
          </w:p>
        </w:tc>
        <w:tc>
          <w:tcPr>
            <w:tcW w:w="705" w:type="dxa"/>
            <w:vAlign w:val="center"/>
          </w:tcPr>
          <w:p>
            <w:pPr>
              <w:pStyle w:val="30"/>
              <w:keepNext w:val="0"/>
              <w:suppressAutoHyphens/>
              <w:adjustRightInd/>
              <w:spacing w:before="0" w:after="0" w:line="240" w:lineRule="auto"/>
              <w:ind w:firstLine="420"/>
              <w:jc w:val="both"/>
              <w:rPr>
                <w:rFonts w:ascii="宋体" w:hAnsi="宋体"/>
                <w:snapToGrid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0" w:hRule="atLeast"/>
          <w:jc w:val="center"/>
        </w:trPr>
        <w:tc>
          <w:tcPr>
            <w:tcW w:w="519" w:type="dxa"/>
            <w:vMerge w:val="continue"/>
            <w:vAlign w:val="center"/>
          </w:tcPr>
          <w:p>
            <w:pPr>
              <w:suppressAutoHyphens/>
              <w:rPr>
                <w:rFonts w:ascii="宋体" w:hAnsi="宋体"/>
                <w:snapToGrid w:val="0"/>
                <w:kern w:val="0"/>
                <w:szCs w:val="21"/>
              </w:rPr>
            </w:pPr>
          </w:p>
        </w:tc>
        <w:tc>
          <w:tcPr>
            <w:tcW w:w="1341" w:type="dxa"/>
            <w:vMerge w:val="continue"/>
            <w:vAlign w:val="center"/>
          </w:tcPr>
          <w:p>
            <w:pPr>
              <w:suppressAutoHyphens/>
              <w:rPr>
                <w:rFonts w:ascii="宋体" w:hAnsi="宋体"/>
                <w:snapToGrid w:val="0"/>
                <w:kern w:val="0"/>
                <w:szCs w:val="21"/>
              </w:rPr>
            </w:pPr>
          </w:p>
        </w:tc>
        <w:tc>
          <w:tcPr>
            <w:tcW w:w="3149" w:type="dxa"/>
            <w:vAlign w:val="center"/>
          </w:tcPr>
          <w:p>
            <w:pPr>
              <w:suppressAutoHyphens/>
              <w:rPr>
                <w:rFonts w:ascii="宋体" w:hAnsi="宋体"/>
                <w:snapToGrid w:val="0"/>
                <w:kern w:val="0"/>
                <w:szCs w:val="21"/>
              </w:rPr>
            </w:pPr>
            <w:r>
              <w:rPr>
                <w:rFonts w:ascii="宋体" w:hAnsi="宋体"/>
                <w:snapToGrid w:val="0"/>
                <w:kern w:val="0"/>
                <w:szCs w:val="21"/>
              </w:rPr>
              <w:t>单段锤式破碎机</w:t>
            </w:r>
          </w:p>
          <w:p>
            <w:pPr>
              <w:suppressAutoHyphens/>
              <w:rPr>
                <w:rFonts w:ascii="宋体" w:hAnsi="宋体"/>
                <w:snapToGrid w:val="0"/>
                <w:kern w:val="0"/>
                <w:szCs w:val="21"/>
              </w:rPr>
            </w:pPr>
            <w:r>
              <w:rPr>
                <w:rFonts w:ascii="宋体" w:hAnsi="宋体"/>
                <w:snapToGrid w:val="0"/>
                <w:kern w:val="0"/>
                <w:szCs w:val="21"/>
              </w:rPr>
              <w:t>给料粒度: 1100×1100×1200mm</w:t>
            </w:r>
          </w:p>
          <w:p>
            <w:pPr>
              <w:suppressAutoHyphens/>
              <w:rPr>
                <w:rFonts w:ascii="宋体" w:hAnsi="宋体"/>
                <w:snapToGrid w:val="0"/>
                <w:kern w:val="0"/>
                <w:szCs w:val="21"/>
              </w:rPr>
            </w:pPr>
            <w:r>
              <w:rPr>
                <w:rFonts w:ascii="宋体" w:hAnsi="宋体"/>
                <w:snapToGrid w:val="0"/>
                <w:kern w:val="0"/>
                <w:szCs w:val="21"/>
              </w:rPr>
              <w:t>功率: 630 Kw～800 Kw</w:t>
            </w:r>
          </w:p>
          <w:p>
            <w:pPr>
              <w:suppressAutoHyphens/>
              <w:rPr>
                <w:rFonts w:ascii="宋体" w:hAnsi="宋体"/>
                <w:snapToGrid w:val="0"/>
                <w:kern w:val="0"/>
                <w:szCs w:val="21"/>
              </w:rPr>
            </w:pPr>
            <w:r>
              <w:rPr>
                <w:rFonts w:ascii="宋体" w:hAnsi="宋体"/>
                <w:snapToGrid w:val="0"/>
                <w:kern w:val="0"/>
                <w:szCs w:val="21"/>
              </w:rPr>
              <w:t>设备重量:89t</w:t>
            </w:r>
          </w:p>
        </w:tc>
        <w:tc>
          <w:tcPr>
            <w:tcW w:w="1104" w:type="dxa"/>
            <w:vAlign w:val="center"/>
          </w:tcPr>
          <w:p>
            <w:pPr>
              <w:suppressAutoHyphens/>
              <w:rPr>
                <w:rFonts w:ascii="宋体" w:hAnsi="宋体"/>
                <w:snapToGrid w:val="0"/>
                <w:kern w:val="0"/>
                <w:szCs w:val="21"/>
              </w:rPr>
            </w:pPr>
            <w:r>
              <w:rPr>
                <w:rFonts w:ascii="宋体" w:hAnsi="宋体"/>
                <w:snapToGrid w:val="0"/>
                <w:kern w:val="0"/>
                <w:szCs w:val="21"/>
              </w:rPr>
              <w:t>350～450</w:t>
            </w:r>
          </w:p>
        </w:tc>
        <w:tc>
          <w:tcPr>
            <w:tcW w:w="513" w:type="dxa"/>
            <w:vAlign w:val="center"/>
          </w:tcPr>
          <w:p>
            <w:pPr>
              <w:suppressAutoHyphens/>
              <w:jc w:val="center"/>
              <w:rPr>
                <w:rFonts w:ascii="宋体" w:hAnsi="宋体"/>
                <w:snapToGrid w:val="0"/>
                <w:kern w:val="0"/>
                <w:szCs w:val="21"/>
              </w:rPr>
            </w:pPr>
            <w:r>
              <w:rPr>
                <w:rFonts w:ascii="宋体" w:hAnsi="宋体"/>
                <w:snapToGrid w:val="0"/>
                <w:kern w:val="0"/>
                <w:szCs w:val="21"/>
              </w:rPr>
              <w:t>1</w:t>
            </w:r>
          </w:p>
        </w:tc>
        <w:tc>
          <w:tcPr>
            <w:tcW w:w="1174" w:type="dxa"/>
            <w:vAlign w:val="center"/>
          </w:tcPr>
          <w:p>
            <w:pPr>
              <w:suppressAutoHyphens/>
              <w:jc w:val="center"/>
              <w:rPr>
                <w:rFonts w:ascii="宋体" w:hAnsi="宋体"/>
                <w:snapToGrid w:val="0"/>
                <w:kern w:val="0"/>
                <w:szCs w:val="21"/>
              </w:rPr>
            </w:pPr>
            <w:r>
              <w:rPr>
                <w:rFonts w:ascii="宋体" w:hAnsi="宋体"/>
                <w:snapToGrid w:val="0"/>
                <w:kern w:val="0"/>
                <w:szCs w:val="21"/>
              </w:rPr>
              <w:t>24.98</w:t>
            </w:r>
          </w:p>
        </w:tc>
        <w:tc>
          <w:tcPr>
            <w:tcW w:w="705" w:type="dxa"/>
            <w:vAlign w:val="center"/>
          </w:tcPr>
          <w:p>
            <w:pPr>
              <w:pStyle w:val="30"/>
              <w:keepNext w:val="0"/>
              <w:suppressAutoHyphens/>
              <w:adjustRightInd/>
              <w:spacing w:before="0" w:after="0" w:line="240" w:lineRule="auto"/>
              <w:ind w:firstLine="420"/>
              <w:jc w:val="both"/>
              <w:rPr>
                <w:rFonts w:ascii="宋体" w:hAnsi="宋体"/>
                <w:snapToGrid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83" w:hRule="atLeast"/>
          <w:jc w:val="center"/>
        </w:trPr>
        <w:tc>
          <w:tcPr>
            <w:tcW w:w="519" w:type="dxa"/>
            <w:vAlign w:val="center"/>
          </w:tcPr>
          <w:p>
            <w:pPr>
              <w:suppressAutoHyphens/>
              <w:rPr>
                <w:rFonts w:ascii="宋体" w:hAnsi="宋体"/>
                <w:snapToGrid w:val="0"/>
                <w:kern w:val="0"/>
                <w:szCs w:val="21"/>
              </w:rPr>
            </w:pPr>
            <w:r>
              <w:rPr>
                <w:rFonts w:ascii="宋体" w:hAnsi="宋体"/>
                <w:snapToGrid w:val="0"/>
                <w:kern w:val="0"/>
                <w:szCs w:val="21"/>
              </w:rPr>
              <w:t>2</w:t>
            </w:r>
          </w:p>
        </w:tc>
        <w:tc>
          <w:tcPr>
            <w:tcW w:w="1341" w:type="dxa"/>
            <w:vAlign w:val="center"/>
          </w:tcPr>
          <w:p>
            <w:pPr>
              <w:suppressAutoHyphens/>
              <w:rPr>
                <w:rFonts w:ascii="宋体" w:hAnsi="宋体"/>
                <w:snapToGrid w:val="0"/>
                <w:kern w:val="0"/>
                <w:szCs w:val="21"/>
              </w:rPr>
            </w:pPr>
            <w:r>
              <w:rPr>
                <w:rFonts w:ascii="宋体" w:hAnsi="宋体"/>
                <w:snapToGrid w:val="0"/>
                <w:kern w:val="0"/>
                <w:szCs w:val="21"/>
              </w:rPr>
              <w:t>石灰石预均化堆场</w:t>
            </w:r>
          </w:p>
        </w:tc>
        <w:tc>
          <w:tcPr>
            <w:tcW w:w="3149" w:type="dxa"/>
            <w:vAlign w:val="center"/>
          </w:tcPr>
          <w:p>
            <w:pPr>
              <w:suppressAutoHyphens/>
              <w:rPr>
                <w:rFonts w:ascii="宋体" w:hAnsi="宋体"/>
                <w:snapToGrid w:val="0"/>
                <w:kern w:val="0"/>
                <w:szCs w:val="21"/>
              </w:rPr>
            </w:pPr>
            <w:r>
              <w:rPr>
                <w:rFonts w:ascii="宋体" w:hAnsi="宋体"/>
                <w:snapToGrid w:val="0"/>
                <w:kern w:val="0"/>
                <w:szCs w:val="21"/>
              </w:rPr>
              <w:t>堆场</w:t>
            </w:r>
            <w:r>
              <w:rPr>
                <w:rFonts w:hint="eastAsia" w:ascii="宋体" w:hAnsi="宋体"/>
                <w:snapToGrid w:val="0"/>
                <w:kern w:val="0"/>
                <w:szCs w:val="21"/>
              </w:rPr>
              <w:t>Φ60</w:t>
            </w:r>
            <w:r>
              <w:rPr>
                <w:rFonts w:ascii="宋体" w:hAnsi="宋体"/>
                <w:snapToGrid w:val="0"/>
                <w:kern w:val="0"/>
                <w:szCs w:val="21"/>
              </w:rPr>
              <w:t xml:space="preserve">mm: </w:t>
            </w:r>
          </w:p>
          <w:p>
            <w:pPr>
              <w:suppressAutoHyphens/>
              <w:rPr>
                <w:rFonts w:ascii="宋体" w:hAnsi="宋体"/>
                <w:snapToGrid w:val="0"/>
                <w:kern w:val="0"/>
                <w:szCs w:val="21"/>
              </w:rPr>
            </w:pPr>
            <w:r>
              <w:rPr>
                <w:rFonts w:ascii="宋体" w:hAnsi="宋体"/>
                <w:snapToGrid w:val="0"/>
                <w:kern w:val="0"/>
                <w:szCs w:val="21"/>
              </w:rPr>
              <w:t>堆料机</w:t>
            </w:r>
            <w:r>
              <w:rPr>
                <w:rFonts w:ascii="宋体" w:hAnsi="宋体"/>
                <w:snapToGrid w:val="0"/>
                <w:kern w:val="0"/>
                <w:szCs w:val="21"/>
              </w:rPr>
              <w:tab/>
            </w:r>
          </w:p>
          <w:p>
            <w:pPr>
              <w:suppressAutoHyphens/>
              <w:rPr>
                <w:rFonts w:ascii="宋体" w:hAnsi="宋体"/>
                <w:snapToGrid w:val="0"/>
                <w:kern w:val="0"/>
                <w:szCs w:val="21"/>
              </w:rPr>
            </w:pPr>
            <w:r>
              <w:rPr>
                <w:rFonts w:ascii="宋体" w:hAnsi="宋体"/>
                <w:snapToGrid w:val="0"/>
                <w:kern w:val="0"/>
                <w:szCs w:val="21"/>
              </w:rPr>
              <w:t>取料机</w:t>
            </w:r>
          </w:p>
        </w:tc>
        <w:tc>
          <w:tcPr>
            <w:tcW w:w="1104" w:type="dxa"/>
            <w:vAlign w:val="center"/>
          </w:tcPr>
          <w:p>
            <w:pPr>
              <w:suppressAutoHyphens/>
              <w:rPr>
                <w:rFonts w:ascii="宋体" w:hAnsi="宋体"/>
                <w:snapToGrid w:val="0"/>
                <w:kern w:val="0"/>
                <w:szCs w:val="21"/>
              </w:rPr>
            </w:pPr>
            <w:r>
              <w:rPr>
                <w:rFonts w:ascii="宋体" w:hAnsi="宋体"/>
                <w:snapToGrid w:val="0"/>
                <w:kern w:val="0"/>
                <w:szCs w:val="21"/>
              </w:rPr>
              <w:t>600～300</w:t>
            </w:r>
          </w:p>
        </w:tc>
        <w:tc>
          <w:tcPr>
            <w:tcW w:w="513" w:type="dxa"/>
            <w:vAlign w:val="center"/>
          </w:tcPr>
          <w:p>
            <w:pPr>
              <w:suppressAutoHyphens/>
              <w:jc w:val="center"/>
              <w:rPr>
                <w:rFonts w:ascii="宋体" w:hAnsi="宋体"/>
                <w:snapToGrid w:val="0"/>
                <w:kern w:val="0"/>
                <w:szCs w:val="21"/>
              </w:rPr>
            </w:pPr>
            <w:r>
              <w:rPr>
                <w:rFonts w:ascii="宋体" w:hAnsi="宋体"/>
                <w:snapToGrid w:val="0"/>
                <w:kern w:val="0"/>
                <w:szCs w:val="21"/>
              </w:rPr>
              <w:t>1</w:t>
            </w:r>
          </w:p>
          <w:p>
            <w:pPr>
              <w:suppressAutoHyphens/>
              <w:jc w:val="center"/>
              <w:rPr>
                <w:rFonts w:ascii="宋体" w:hAnsi="宋体"/>
                <w:snapToGrid w:val="0"/>
                <w:kern w:val="0"/>
                <w:szCs w:val="21"/>
              </w:rPr>
            </w:pPr>
            <w:r>
              <w:rPr>
                <w:rFonts w:ascii="宋体" w:hAnsi="宋体"/>
                <w:snapToGrid w:val="0"/>
                <w:kern w:val="0"/>
                <w:szCs w:val="21"/>
              </w:rPr>
              <w:t>1</w:t>
            </w:r>
          </w:p>
        </w:tc>
        <w:tc>
          <w:tcPr>
            <w:tcW w:w="1174" w:type="dxa"/>
            <w:vAlign w:val="center"/>
          </w:tcPr>
          <w:p>
            <w:pPr>
              <w:suppressAutoHyphens/>
              <w:jc w:val="center"/>
              <w:rPr>
                <w:rFonts w:ascii="宋体" w:hAnsi="宋体"/>
                <w:snapToGrid w:val="0"/>
                <w:kern w:val="0"/>
                <w:szCs w:val="21"/>
              </w:rPr>
            </w:pPr>
            <w:r>
              <w:rPr>
                <w:rFonts w:ascii="宋体" w:hAnsi="宋体"/>
                <w:snapToGrid w:val="0"/>
                <w:kern w:val="0"/>
                <w:szCs w:val="21"/>
              </w:rPr>
              <w:t>24.98</w:t>
            </w:r>
          </w:p>
          <w:p>
            <w:pPr>
              <w:suppressAutoHyphens/>
              <w:jc w:val="center"/>
              <w:rPr>
                <w:rFonts w:ascii="宋体" w:hAnsi="宋体"/>
                <w:snapToGrid w:val="0"/>
                <w:kern w:val="0"/>
                <w:szCs w:val="21"/>
              </w:rPr>
            </w:pPr>
            <w:r>
              <w:rPr>
                <w:rFonts w:ascii="宋体" w:hAnsi="宋体"/>
                <w:snapToGrid w:val="0"/>
                <w:kern w:val="0"/>
                <w:szCs w:val="21"/>
              </w:rPr>
              <w:t>34.78</w:t>
            </w:r>
          </w:p>
        </w:tc>
        <w:tc>
          <w:tcPr>
            <w:tcW w:w="705" w:type="dxa"/>
            <w:vAlign w:val="center"/>
          </w:tcPr>
          <w:p>
            <w:pPr>
              <w:pStyle w:val="30"/>
              <w:keepNext w:val="0"/>
              <w:suppressAutoHyphens/>
              <w:adjustRightInd/>
              <w:spacing w:before="0" w:after="0" w:line="240" w:lineRule="auto"/>
              <w:ind w:firstLine="420"/>
              <w:jc w:val="both"/>
              <w:rPr>
                <w:rFonts w:ascii="宋体" w:hAnsi="宋体"/>
                <w:snapToGrid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11" w:hRule="atLeast"/>
          <w:jc w:val="center"/>
        </w:trPr>
        <w:tc>
          <w:tcPr>
            <w:tcW w:w="519" w:type="dxa"/>
            <w:vAlign w:val="center"/>
          </w:tcPr>
          <w:p>
            <w:pPr>
              <w:suppressAutoHyphens/>
              <w:rPr>
                <w:rFonts w:ascii="宋体" w:hAnsi="宋体"/>
                <w:snapToGrid w:val="0"/>
                <w:kern w:val="0"/>
                <w:szCs w:val="21"/>
              </w:rPr>
            </w:pPr>
            <w:r>
              <w:rPr>
                <w:rFonts w:ascii="宋体" w:hAnsi="宋体"/>
                <w:snapToGrid w:val="0"/>
                <w:kern w:val="0"/>
                <w:szCs w:val="21"/>
              </w:rPr>
              <w:t>3</w:t>
            </w:r>
          </w:p>
        </w:tc>
        <w:tc>
          <w:tcPr>
            <w:tcW w:w="1341" w:type="dxa"/>
            <w:vAlign w:val="center"/>
          </w:tcPr>
          <w:p>
            <w:pPr>
              <w:suppressAutoHyphens/>
              <w:rPr>
                <w:rFonts w:ascii="宋体" w:hAnsi="宋体"/>
                <w:snapToGrid w:val="0"/>
                <w:kern w:val="0"/>
                <w:szCs w:val="21"/>
              </w:rPr>
            </w:pPr>
            <w:r>
              <w:rPr>
                <w:rFonts w:ascii="宋体" w:hAnsi="宋体"/>
                <w:snapToGrid w:val="0"/>
                <w:kern w:val="0"/>
                <w:szCs w:val="21"/>
              </w:rPr>
              <w:t>砂岩破碎及</w:t>
            </w:r>
          </w:p>
          <w:p>
            <w:pPr>
              <w:suppressAutoHyphens/>
              <w:rPr>
                <w:rFonts w:ascii="宋体" w:hAnsi="宋体"/>
                <w:snapToGrid w:val="0"/>
                <w:kern w:val="0"/>
                <w:szCs w:val="21"/>
              </w:rPr>
            </w:pPr>
            <w:r>
              <w:rPr>
                <w:rFonts w:ascii="宋体" w:hAnsi="宋体"/>
                <w:snapToGrid w:val="0"/>
                <w:kern w:val="0"/>
                <w:szCs w:val="21"/>
              </w:rPr>
              <w:t>输送</w:t>
            </w:r>
          </w:p>
        </w:tc>
        <w:tc>
          <w:tcPr>
            <w:tcW w:w="3149" w:type="dxa"/>
            <w:vAlign w:val="center"/>
          </w:tcPr>
          <w:p>
            <w:pPr>
              <w:autoSpaceDE w:val="0"/>
              <w:autoSpaceDN w:val="0"/>
              <w:rPr>
                <w:rFonts w:ascii="宋体" w:hAnsi="宋体"/>
                <w:snapToGrid w:val="0"/>
                <w:kern w:val="0"/>
                <w:szCs w:val="21"/>
              </w:rPr>
            </w:pPr>
            <w:r>
              <w:rPr>
                <w:rFonts w:ascii="宋体" w:hAnsi="宋体"/>
                <w:snapToGrid w:val="0"/>
                <w:kern w:val="0"/>
                <w:szCs w:val="21"/>
              </w:rPr>
              <w:t>反击锤式破碎机</w:t>
            </w:r>
          </w:p>
          <w:p>
            <w:pPr>
              <w:autoSpaceDE w:val="0"/>
              <w:autoSpaceDN w:val="0"/>
              <w:rPr>
                <w:rFonts w:ascii="宋体" w:hAnsi="宋体"/>
                <w:snapToGrid w:val="0"/>
                <w:kern w:val="0"/>
                <w:szCs w:val="21"/>
              </w:rPr>
            </w:pPr>
            <w:r>
              <w:rPr>
                <w:rFonts w:ascii="宋体" w:hAnsi="宋体"/>
                <w:snapToGrid w:val="0"/>
                <w:kern w:val="0"/>
                <w:szCs w:val="21"/>
              </w:rPr>
              <w:t>型号:PFC-1609</w:t>
            </w:r>
          </w:p>
          <w:p>
            <w:pPr>
              <w:autoSpaceDE w:val="0"/>
              <w:autoSpaceDN w:val="0"/>
              <w:rPr>
                <w:rFonts w:ascii="宋体" w:hAnsi="宋体"/>
                <w:snapToGrid w:val="0"/>
                <w:kern w:val="0"/>
                <w:szCs w:val="21"/>
              </w:rPr>
            </w:pPr>
            <w:r>
              <w:rPr>
                <w:rFonts w:ascii="宋体" w:hAnsi="宋体"/>
                <w:snapToGrid w:val="0"/>
                <w:kern w:val="0"/>
                <w:szCs w:val="21"/>
              </w:rPr>
              <w:t>转子工作圆尺寸:φ1680×918 mm</w:t>
            </w:r>
          </w:p>
          <w:p>
            <w:pPr>
              <w:autoSpaceDE w:val="0"/>
              <w:autoSpaceDN w:val="0"/>
              <w:rPr>
                <w:rFonts w:ascii="宋体" w:hAnsi="宋体"/>
                <w:snapToGrid w:val="0"/>
                <w:kern w:val="0"/>
                <w:szCs w:val="21"/>
              </w:rPr>
            </w:pPr>
            <w:r>
              <w:rPr>
                <w:rFonts w:ascii="宋体" w:hAnsi="宋体"/>
                <w:snapToGrid w:val="0"/>
                <w:kern w:val="0"/>
                <w:szCs w:val="21"/>
              </w:rPr>
              <w:t>最大进料粒度:＜600mm</w:t>
            </w:r>
          </w:p>
          <w:p>
            <w:pPr>
              <w:suppressAutoHyphens/>
              <w:rPr>
                <w:rFonts w:ascii="宋体" w:hAnsi="宋体"/>
                <w:snapToGrid w:val="0"/>
                <w:kern w:val="0"/>
                <w:szCs w:val="21"/>
              </w:rPr>
            </w:pPr>
            <w:r>
              <w:rPr>
                <w:rFonts w:ascii="宋体" w:hAnsi="宋体"/>
                <w:snapToGrid w:val="0"/>
                <w:kern w:val="0"/>
                <w:szCs w:val="21"/>
              </w:rPr>
              <w:t>出料粒度(筛余10％):≤25mm</w:t>
            </w:r>
          </w:p>
        </w:tc>
        <w:tc>
          <w:tcPr>
            <w:tcW w:w="1104" w:type="dxa"/>
            <w:vAlign w:val="center"/>
          </w:tcPr>
          <w:p>
            <w:pPr>
              <w:pStyle w:val="30"/>
              <w:keepNext w:val="0"/>
              <w:suppressAutoHyphens/>
              <w:adjustRightInd/>
              <w:spacing w:before="0" w:after="0" w:line="240" w:lineRule="auto"/>
              <w:jc w:val="both"/>
              <w:rPr>
                <w:rFonts w:ascii="宋体" w:hAnsi="宋体"/>
                <w:snapToGrid w:val="0"/>
                <w:sz w:val="21"/>
                <w:szCs w:val="21"/>
              </w:rPr>
            </w:pPr>
            <w:r>
              <w:rPr>
                <w:rFonts w:ascii="宋体" w:hAnsi="宋体"/>
                <w:snapToGrid w:val="0"/>
                <w:sz w:val="21"/>
                <w:szCs w:val="21"/>
              </w:rPr>
              <w:t>50～70</w:t>
            </w:r>
          </w:p>
        </w:tc>
        <w:tc>
          <w:tcPr>
            <w:tcW w:w="513" w:type="dxa"/>
            <w:vAlign w:val="center"/>
          </w:tcPr>
          <w:p>
            <w:pPr>
              <w:suppressAutoHyphens/>
              <w:jc w:val="center"/>
              <w:rPr>
                <w:rFonts w:ascii="宋体" w:hAnsi="宋体"/>
                <w:snapToGrid w:val="0"/>
                <w:kern w:val="0"/>
                <w:szCs w:val="21"/>
              </w:rPr>
            </w:pPr>
            <w:r>
              <w:rPr>
                <w:rFonts w:ascii="宋体" w:hAnsi="宋体"/>
                <w:snapToGrid w:val="0"/>
                <w:kern w:val="0"/>
                <w:szCs w:val="21"/>
              </w:rPr>
              <w:t>1</w:t>
            </w:r>
          </w:p>
        </w:tc>
        <w:tc>
          <w:tcPr>
            <w:tcW w:w="1174" w:type="dxa"/>
            <w:vAlign w:val="center"/>
          </w:tcPr>
          <w:p>
            <w:pPr>
              <w:suppressAutoHyphens/>
              <w:jc w:val="center"/>
              <w:rPr>
                <w:rFonts w:ascii="宋体" w:hAnsi="宋体"/>
                <w:snapToGrid w:val="0"/>
                <w:kern w:val="0"/>
                <w:szCs w:val="21"/>
              </w:rPr>
            </w:pPr>
            <w:r>
              <w:rPr>
                <w:rFonts w:ascii="宋体" w:hAnsi="宋体"/>
                <w:snapToGrid w:val="0"/>
                <w:kern w:val="0"/>
                <w:szCs w:val="21"/>
              </w:rPr>
              <w:t>13.28</w:t>
            </w:r>
          </w:p>
        </w:tc>
        <w:tc>
          <w:tcPr>
            <w:tcW w:w="705" w:type="dxa"/>
            <w:vAlign w:val="center"/>
          </w:tcPr>
          <w:p>
            <w:pPr>
              <w:suppressAutoHyphens/>
              <w:rPr>
                <w:rFonts w:ascii="宋体" w:hAnsi="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11" w:hRule="atLeast"/>
          <w:jc w:val="center"/>
        </w:trPr>
        <w:tc>
          <w:tcPr>
            <w:tcW w:w="519" w:type="dxa"/>
            <w:vAlign w:val="center"/>
          </w:tcPr>
          <w:p>
            <w:pPr>
              <w:suppressAutoHyphens/>
              <w:rPr>
                <w:rFonts w:ascii="宋体" w:hAnsi="宋体"/>
                <w:snapToGrid w:val="0"/>
                <w:kern w:val="0"/>
                <w:szCs w:val="21"/>
              </w:rPr>
            </w:pPr>
            <w:r>
              <w:rPr>
                <w:rFonts w:ascii="宋体" w:hAnsi="宋体"/>
                <w:snapToGrid w:val="0"/>
                <w:kern w:val="0"/>
                <w:szCs w:val="21"/>
              </w:rPr>
              <w:t>4</w:t>
            </w:r>
          </w:p>
          <w:p>
            <w:pPr>
              <w:suppressAutoHyphens/>
              <w:rPr>
                <w:rFonts w:ascii="宋体" w:hAnsi="宋体"/>
                <w:snapToGrid w:val="0"/>
                <w:kern w:val="0"/>
                <w:szCs w:val="21"/>
              </w:rPr>
            </w:pPr>
          </w:p>
        </w:tc>
        <w:tc>
          <w:tcPr>
            <w:tcW w:w="1341" w:type="dxa"/>
            <w:vAlign w:val="center"/>
          </w:tcPr>
          <w:p>
            <w:pPr>
              <w:suppressAutoHyphens/>
              <w:rPr>
                <w:rFonts w:ascii="宋体" w:hAnsi="宋体"/>
                <w:snapToGrid w:val="0"/>
                <w:kern w:val="0"/>
                <w:szCs w:val="21"/>
              </w:rPr>
            </w:pPr>
            <w:r>
              <w:rPr>
                <w:rFonts w:ascii="宋体" w:hAnsi="宋体"/>
                <w:snapToGrid w:val="0"/>
                <w:kern w:val="0"/>
                <w:szCs w:val="21"/>
              </w:rPr>
              <w:t>辅助原料</w:t>
            </w:r>
          </w:p>
          <w:p>
            <w:pPr>
              <w:suppressAutoHyphens/>
              <w:rPr>
                <w:rFonts w:ascii="宋体" w:hAnsi="宋体"/>
                <w:snapToGrid w:val="0"/>
                <w:kern w:val="0"/>
                <w:szCs w:val="21"/>
              </w:rPr>
            </w:pPr>
            <w:r>
              <w:rPr>
                <w:rFonts w:ascii="宋体" w:hAnsi="宋体"/>
                <w:snapToGrid w:val="0"/>
                <w:kern w:val="0"/>
                <w:szCs w:val="21"/>
              </w:rPr>
              <w:t>预均化</w:t>
            </w:r>
          </w:p>
        </w:tc>
        <w:tc>
          <w:tcPr>
            <w:tcW w:w="3149" w:type="dxa"/>
            <w:vAlign w:val="center"/>
          </w:tcPr>
          <w:p>
            <w:pPr>
              <w:autoSpaceDE w:val="0"/>
              <w:autoSpaceDN w:val="0"/>
              <w:rPr>
                <w:rFonts w:ascii="宋体" w:hAnsi="宋体"/>
                <w:snapToGrid w:val="0"/>
                <w:kern w:val="0"/>
                <w:szCs w:val="21"/>
              </w:rPr>
            </w:pPr>
            <w:r>
              <w:rPr>
                <w:rFonts w:ascii="宋体" w:hAnsi="宋体"/>
                <w:snapToGrid w:val="0"/>
                <w:kern w:val="0"/>
                <w:szCs w:val="21"/>
              </w:rPr>
              <w:t>悬臂侧取式刮板取料机</w:t>
            </w:r>
          </w:p>
          <w:p>
            <w:pPr>
              <w:autoSpaceDE w:val="0"/>
              <w:autoSpaceDN w:val="0"/>
              <w:rPr>
                <w:rFonts w:ascii="宋体" w:hAnsi="宋体"/>
                <w:snapToGrid w:val="0"/>
                <w:kern w:val="0"/>
                <w:szCs w:val="21"/>
              </w:rPr>
            </w:pPr>
            <w:r>
              <w:rPr>
                <w:rFonts w:ascii="宋体" w:hAnsi="宋体"/>
                <w:snapToGrid w:val="0"/>
                <w:kern w:val="0"/>
                <w:szCs w:val="21"/>
              </w:rPr>
              <w:t>型号：CQ130/23</w:t>
            </w:r>
          </w:p>
          <w:p>
            <w:pPr>
              <w:autoSpaceDE w:val="0"/>
              <w:autoSpaceDN w:val="0"/>
              <w:rPr>
                <w:rFonts w:ascii="宋体" w:hAnsi="宋体"/>
                <w:snapToGrid w:val="0"/>
                <w:kern w:val="0"/>
                <w:szCs w:val="21"/>
              </w:rPr>
            </w:pPr>
            <w:r>
              <w:rPr>
                <w:rFonts w:ascii="宋体" w:hAnsi="宋体"/>
                <w:snapToGrid w:val="0"/>
                <w:kern w:val="0"/>
                <w:szCs w:val="21"/>
              </w:rPr>
              <w:t xml:space="preserve">刮板臂长度:  23m                  </w:t>
            </w:r>
          </w:p>
          <w:p>
            <w:pPr>
              <w:suppressAutoHyphens/>
              <w:rPr>
                <w:rFonts w:ascii="宋体" w:hAnsi="宋体"/>
                <w:snapToGrid w:val="0"/>
                <w:kern w:val="0"/>
                <w:szCs w:val="21"/>
              </w:rPr>
            </w:pPr>
            <w:r>
              <w:rPr>
                <w:rFonts w:ascii="宋体" w:hAnsi="宋体"/>
                <w:snapToGrid w:val="0"/>
                <w:kern w:val="0"/>
                <w:szCs w:val="21"/>
              </w:rPr>
              <w:t xml:space="preserve">取料机构:   轨距:4m    </w:t>
            </w:r>
          </w:p>
          <w:p>
            <w:pPr>
              <w:suppressAutoHyphens/>
              <w:rPr>
                <w:rFonts w:ascii="宋体" w:hAnsi="宋体"/>
                <w:snapToGrid w:val="0"/>
                <w:kern w:val="0"/>
                <w:szCs w:val="21"/>
              </w:rPr>
            </w:pPr>
            <w:r>
              <w:rPr>
                <w:rFonts w:ascii="宋体" w:hAnsi="宋体"/>
                <w:snapToGrid w:val="0"/>
                <w:kern w:val="0"/>
                <w:szCs w:val="21"/>
              </w:rPr>
              <w:t>行走速度:0.2~2m/min</w:t>
            </w:r>
          </w:p>
        </w:tc>
        <w:tc>
          <w:tcPr>
            <w:tcW w:w="1104" w:type="dxa"/>
            <w:vAlign w:val="center"/>
          </w:tcPr>
          <w:p>
            <w:pPr>
              <w:pStyle w:val="30"/>
              <w:keepNext w:val="0"/>
              <w:suppressAutoHyphens/>
              <w:adjustRightInd/>
              <w:spacing w:before="0" w:after="0" w:line="240" w:lineRule="auto"/>
              <w:rPr>
                <w:rFonts w:ascii="宋体" w:hAnsi="宋体"/>
                <w:snapToGrid w:val="0"/>
                <w:sz w:val="21"/>
                <w:szCs w:val="21"/>
              </w:rPr>
            </w:pPr>
            <w:r>
              <w:rPr>
                <w:rFonts w:ascii="宋体" w:hAnsi="宋体"/>
                <w:snapToGrid w:val="0"/>
                <w:sz w:val="21"/>
                <w:szCs w:val="21"/>
              </w:rPr>
              <w:t>130</w:t>
            </w:r>
          </w:p>
        </w:tc>
        <w:tc>
          <w:tcPr>
            <w:tcW w:w="513" w:type="dxa"/>
            <w:vAlign w:val="center"/>
          </w:tcPr>
          <w:p>
            <w:pPr>
              <w:suppressAutoHyphens/>
              <w:jc w:val="center"/>
              <w:rPr>
                <w:rFonts w:ascii="宋体" w:hAnsi="宋体"/>
                <w:snapToGrid w:val="0"/>
                <w:kern w:val="0"/>
                <w:szCs w:val="21"/>
              </w:rPr>
            </w:pPr>
            <w:r>
              <w:rPr>
                <w:rFonts w:ascii="宋体" w:hAnsi="宋体"/>
                <w:snapToGrid w:val="0"/>
                <w:kern w:val="0"/>
                <w:szCs w:val="21"/>
              </w:rPr>
              <w:t>1</w:t>
            </w:r>
          </w:p>
        </w:tc>
        <w:tc>
          <w:tcPr>
            <w:tcW w:w="1174" w:type="dxa"/>
            <w:vAlign w:val="center"/>
          </w:tcPr>
          <w:p>
            <w:pPr>
              <w:suppressAutoHyphens/>
              <w:jc w:val="center"/>
              <w:rPr>
                <w:rFonts w:ascii="宋体" w:hAnsi="宋体"/>
                <w:snapToGrid w:val="0"/>
                <w:kern w:val="0"/>
                <w:szCs w:val="21"/>
              </w:rPr>
            </w:pPr>
            <w:r>
              <w:rPr>
                <w:rFonts w:ascii="宋体" w:hAnsi="宋体"/>
                <w:snapToGrid w:val="0"/>
                <w:kern w:val="0"/>
                <w:szCs w:val="21"/>
              </w:rPr>
              <w:t>18.82</w:t>
            </w:r>
          </w:p>
        </w:tc>
        <w:tc>
          <w:tcPr>
            <w:tcW w:w="705" w:type="dxa"/>
            <w:vAlign w:val="center"/>
          </w:tcPr>
          <w:p>
            <w:pPr>
              <w:suppressAutoHyphens/>
              <w:rPr>
                <w:rFonts w:ascii="宋体" w:hAnsi="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11" w:hRule="atLeast"/>
          <w:jc w:val="center"/>
        </w:trPr>
        <w:tc>
          <w:tcPr>
            <w:tcW w:w="519" w:type="dxa"/>
            <w:vAlign w:val="center"/>
          </w:tcPr>
          <w:p>
            <w:pPr>
              <w:suppressAutoHyphens/>
              <w:rPr>
                <w:rFonts w:ascii="宋体" w:hAnsi="宋体"/>
                <w:snapToGrid w:val="0"/>
                <w:kern w:val="0"/>
                <w:szCs w:val="21"/>
              </w:rPr>
            </w:pPr>
            <w:r>
              <w:rPr>
                <w:rFonts w:ascii="宋体" w:hAnsi="宋体"/>
                <w:snapToGrid w:val="0"/>
                <w:kern w:val="0"/>
                <w:szCs w:val="21"/>
              </w:rPr>
              <w:t>5</w:t>
            </w:r>
          </w:p>
        </w:tc>
        <w:tc>
          <w:tcPr>
            <w:tcW w:w="1341" w:type="dxa"/>
            <w:vAlign w:val="center"/>
          </w:tcPr>
          <w:p>
            <w:pPr>
              <w:suppressAutoHyphens/>
              <w:rPr>
                <w:rFonts w:ascii="宋体" w:hAnsi="宋体"/>
                <w:snapToGrid w:val="0"/>
                <w:kern w:val="0"/>
                <w:szCs w:val="21"/>
              </w:rPr>
            </w:pPr>
            <w:r>
              <w:rPr>
                <w:rFonts w:ascii="宋体" w:hAnsi="宋体"/>
                <w:snapToGrid w:val="0"/>
                <w:kern w:val="0"/>
                <w:szCs w:val="21"/>
              </w:rPr>
              <w:t>原煤破碎</w:t>
            </w:r>
          </w:p>
        </w:tc>
        <w:tc>
          <w:tcPr>
            <w:tcW w:w="3149" w:type="dxa"/>
            <w:vAlign w:val="center"/>
          </w:tcPr>
          <w:p>
            <w:pPr>
              <w:suppressAutoHyphens/>
              <w:rPr>
                <w:rFonts w:ascii="宋体" w:hAnsi="宋体"/>
                <w:snapToGrid w:val="0"/>
                <w:kern w:val="0"/>
                <w:szCs w:val="21"/>
              </w:rPr>
            </w:pPr>
            <w:r>
              <w:rPr>
                <w:rFonts w:ascii="宋体" w:hAnsi="宋体"/>
                <w:snapToGrid w:val="0"/>
                <w:kern w:val="0"/>
                <w:szCs w:val="21"/>
              </w:rPr>
              <w:t>环锤式破碎机：PCH-1010</w:t>
            </w:r>
          </w:p>
          <w:p>
            <w:pPr>
              <w:suppressAutoHyphens/>
              <w:rPr>
                <w:rFonts w:ascii="宋体" w:hAnsi="宋体"/>
                <w:snapToGrid w:val="0"/>
                <w:kern w:val="0"/>
                <w:szCs w:val="21"/>
              </w:rPr>
            </w:pPr>
            <w:r>
              <w:rPr>
                <w:rFonts w:ascii="宋体" w:hAnsi="宋体"/>
                <w:snapToGrid w:val="0"/>
                <w:kern w:val="0"/>
                <w:szCs w:val="21"/>
              </w:rPr>
              <w:t>进料粒度:</w:t>
            </w:r>
            <w:r>
              <w:rPr>
                <w:rFonts w:ascii="宋体" w:hAnsi="宋体"/>
                <w:snapToGrid w:val="0"/>
                <w:kern w:val="0"/>
                <w:szCs w:val="21"/>
              </w:rPr>
              <w:tab/>
            </w:r>
            <w:r>
              <w:rPr>
                <w:rFonts w:ascii="宋体" w:hAnsi="宋体"/>
                <w:snapToGrid w:val="0"/>
                <w:kern w:val="0"/>
                <w:szCs w:val="21"/>
              </w:rPr>
              <w:t>≤300mm</w:t>
            </w:r>
          </w:p>
          <w:p>
            <w:pPr>
              <w:suppressAutoHyphens/>
              <w:rPr>
                <w:rFonts w:ascii="宋体" w:hAnsi="宋体"/>
                <w:snapToGrid w:val="0"/>
                <w:kern w:val="0"/>
                <w:szCs w:val="21"/>
              </w:rPr>
            </w:pPr>
            <w:r>
              <w:rPr>
                <w:rFonts w:ascii="宋体" w:hAnsi="宋体"/>
                <w:snapToGrid w:val="0"/>
                <w:kern w:val="0"/>
                <w:szCs w:val="21"/>
              </w:rPr>
              <w:t>出料粒度:</w:t>
            </w:r>
            <w:r>
              <w:rPr>
                <w:rFonts w:ascii="宋体" w:hAnsi="宋体"/>
                <w:snapToGrid w:val="0"/>
                <w:kern w:val="0"/>
                <w:szCs w:val="21"/>
              </w:rPr>
              <w:tab/>
            </w:r>
            <w:r>
              <w:rPr>
                <w:rFonts w:ascii="宋体" w:hAnsi="宋体"/>
                <w:snapToGrid w:val="0"/>
                <w:kern w:val="0"/>
                <w:szCs w:val="21"/>
              </w:rPr>
              <w:t>≤30mm</w:t>
            </w:r>
          </w:p>
          <w:p>
            <w:pPr>
              <w:suppressAutoHyphens/>
              <w:rPr>
                <w:rFonts w:ascii="宋体" w:hAnsi="宋体"/>
                <w:snapToGrid w:val="0"/>
                <w:kern w:val="0"/>
                <w:szCs w:val="21"/>
              </w:rPr>
            </w:pPr>
            <w:r>
              <w:rPr>
                <w:rFonts w:ascii="宋体" w:hAnsi="宋体"/>
                <w:snapToGrid w:val="0"/>
                <w:kern w:val="0"/>
                <w:szCs w:val="21"/>
              </w:rPr>
              <w:t>电机功率:   110kW</w:t>
            </w:r>
          </w:p>
        </w:tc>
        <w:tc>
          <w:tcPr>
            <w:tcW w:w="1104" w:type="dxa"/>
            <w:vAlign w:val="center"/>
          </w:tcPr>
          <w:p>
            <w:pPr>
              <w:pStyle w:val="30"/>
              <w:keepNext w:val="0"/>
              <w:suppressAutoHyphens/>
              <w:adjustRightInd/>
              <w:spacing w:before="0" w:after="0" w:line="240" w:lineRule="auto"/>
              <w:rPr>
                <w:rFonts w:ascii="宋体" w:hAnsi="宋体"/>
                <w:snapToGrid w:val="0"/>
                <w:sz w:val="21"/>
                <w:szCs w:val="21"/>
              </w:rPr>
            </w:pPr>
            <w:r>
              <w:rPr>
                <w:rFonts w:ascii="宋体" w:hAnsi="宋体"/>
                <w:snapToGrid w:val="0"/>
                <w:sz w:val="21"/>
                <w:szCs w:val="21"/>
              </w:rPr>
              <w:t>160</w:t>
            </w:r>
          </w:p>
        </w:tc>
        <w:tc>
          <w:tcPr>
            <w:tcW w:w="513" w:type="dxa"/>
            <w:vAlign w:val="center"/>
          </w:tcPr>
          <w:p>
            <w:pPr>
              <w:suppressAutoHyphens/>
              <w:jc w:val="center"/>
              <w:rPr>
                <w:rFonts w:ascii="宋体" w:hAnsi="宋体"/>
                <w:snapToGrid w:val="0"/>
                <w:kern w:val="0"/>
                <w:szCs w:val="21"/>
              </w:rPr>
            </w:pPr>
            <w:r>
              <w:rPr>
                <w:rFonts w:ascii="宋体" w:hAnsi="宋体"/>
                <w:snapToGrid w:val="0"/>
                <w:kern w:val="0"/>
                <w:szCs w:val="21"/>
              </w:rPr>
              <w:t>1</w:t>
            </w:r>
          </w:p>
        </w:tc>
        <w:tc>
          <w:tcPr>
            <w:tcW w:w="1174" w:type="dxa"/>
            <w:vAlign w:val="center"/>
          </w:tcPr>
          <w:p>
            <w:pPr>
              <w:suppressAutoHyphens/>
              <w:jc w:val="center"/>
              <w:rPr>
                <w:rFonts w:ascii="宋体" w:hAnsi="宋体"/>
                <w:snapToGrid w:val="0"/>
                <w:kern w:val="0"/>
                <w:szCs w:val="21"/>
              </w:rPr>
            </w:pPr>
            <w:r>
              <w:rPr>
                <w:rFonts w:ascii="宋体" w:hAnsi="宋体"/>
                <w:snapToGrid w:val="0"/>
                <w:kern w:val="0"/>
                <w:szCs w:val="21"/>
              </w:rPr>
              <w:t>6.95</w:t>
            </w:r>
          </w:p>
        </w:tc>
        <w:tc>
          <w:tcPr>
            <w:tcW w:w="705" w:type="dxa"/>
            <w:vAlign w:val="center"/>
          </w:tcPr>
          <w:p>
            <w:pPr>
              <w:suppressAutoHyphens/>
              <w:rPr>
                <w:rFonts w:ascii="宋体" w:hAnsi="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9" w:type="dxa"/>
            <w:vAlign w:val="center"/>
          </w:tcPr>
          <w:p>
            <w:pPr>
              <w:suppressAutoHyphens/>
              <w:rPr>
                <w:rFonts w:ascii="宋体" w:hAnsi="宋体"/>
                <w:snapToGrid w:val="0"/>
                <w:kern w:val="0"/>
                <w:szCs w:val="21"/>
              </w:rPr>
            </w:pPr>
            <w:r>
              <w:rPr>
                <w:rFonts w:ascii="宋体" w:hAnsi="宋体"/>
                <w:snapToGrid w:val="0"/>
                <w:kern w:val="0"/>
                <w:szCs w:val="21"/>
              </w:rPr>
              <w:t>6</w:t>
            </w:r>
          </w:p>
        </w:tc>
        <w:tc>
          <w:tcPr>
            <w:tcW w:w="1341" w:type="dxa"/>
            <w:vAlign w:val="center"/>
          </w:tcPr>
          <w:p>
            <w:pPr>
              <w:suppressAutoHyphens/>
              <w:rPr>
                <w:rFonts w:ascii="宋体" w:hAnsi="宋体"/>
                <w:snapToGrid w:val="0"/>
                <w:kern w:val="0"/>
                <w:szCs w:val="21"/>
              </w:rPr>
            </w:pPr>
            <w:r>
              <w:rPr>
                <w:rFonts w:ascii="宋体" w:hAnsi="宋体"/>
                <w:snapToGrid w:val="0"/>
                <w:kern w:val="0"/>
                <w:szCs w:val="21"/>
              </w:rPr>
              <w:t>煤预均化</w:t>
            </w:r>
          </w:p>
          <w:p>
            <w:pPr>
              <w:suppressAutoHyphens/>
              <w:rPr>
                <w:rFonts w:ascii="宋体" w:hAnsi="宋体"/>
                <w:snapToGrid w:val="0"/>
                <w:kern w:val="0"/>
                <w:szCs w:val="21"/>
              </w:rPr>
            </w:pPr>
            <w:r>
              <w:rPr>
                <w:rFonts w:ascii="宋体" w:hAnsi="宋体"/>
                <w:snapToGrid w:val="0"/>
                <w:kern w:val="0"/>
                <w:szCs w:val="21"/>
              </w:rPr>
              <w:t>堆场</w:t>
            </w:r>
          </w:p>
        </w:tc>
        <w:tc>
          <w:tcPr>
            <w:tcW w:w="3149" w:type="dxa"/>
            <w:vAlign w:val="center"/>
          </w:tcPr>
          <w:p>
            <w:pPr>
              <w:suppressAutoHyphens/>
              <w:rPr>
                <w:rFonts w:ascii="宋体" w:hAnsi="宋体"/>
                <w:snapToGrid w:val="0"/>
                <w:kern w:val="0"/>
                <w:szCs w:val="21"/>
              </w:rPr>
            </w:pPr>
            <w:r>
              <w:rPr>
                <w:rFonts w:ascii="宋体" w:hAnsi="宋体"/>
                <w:snapToGrid w:val="0"/>
                <w:kern w:val="0"/>
                <w:szCs w:val="21"/>
              </w:rPr>
              <w:t>煤堆料机:S型卸料小车</w:t>
            </w:r>
          </w:p>
          <w:p>
            <w:pPr>
              <w:suppressAutoHyphens/>
              <w:rPr>
                <w:rFonts w:ascii="宋体" w:hAnsi="宋体"/>
                <w:snapToGrid w:val="0"/>
                <w:kern w:val="0"/>
                <w:szCs w:val="21"/>
              </w:rPr>
            </w:pPr>
            <w:r>
              <w:rPr>
                <w:rFonts w:ascii="宋体" w:hAnsi="宋体"/>
                <w:snapToGrid w:val="0"/>
                <w:kern w:val="0"/>
                <w:szCs w:val="21"/>
              </w:rPr>
              <w:t>煤取料机:桥式刮板取料机</w:t>
            </w:r>
          </w:p>
        </w:tc>
        <w:tc>
          <w:tcPr>
            <w:tcW w:w="1104" w:type="dxa"/>
            <w:vAlign w:val="center"/>
          </w:tcPr>
          <w:p>
            <w:pPr>
              <w:suppressAutoHyphens/>
              <w:rPr>
                <w:rFonts w:ascii="宋体" w:hAnsi="宋体"/>
                <w:snapToGrid w:val="0"/>
                <w:kern w:val="0"/>
                <w:szCs w:val="21"/>
              </w:rPr>
            </w:pPr>
            <w:r>
              <w:rPr>
                <w:rFonts w:ascii="宋体" w:hAnsi="宋体"/>
                <w:snapToGrid w:val="0"/>
                <w:kern w:val="0"/>
                <w:szCs w:val="21"/>
              </w:rPr>
              <w:t>220～60</w:t>
            </w:r>
          </w:p>
        </w:tc>
        <w:tc>
          <w:tcPr>
            <w:tcW w:w="513" w:type="dxa"/>
            <w:vAlign w:val="center"/>
          </w:tcPr>
          <w:p>
            <w:pPr>
              <w:suppressAutoHyphens/>
              <w:jc w:val="center"/>
              <w:rPr>
                <w:rFonts w:ascii="宋体" w:hAnsi="宋体"/>
                <w:snapToGrid w:val="0"/>
                <w:kern w:val="0"/>
                <w:szCs w:val="21"/>
              </w:rPr>
            </w:pPr>
            <w:r>
              <w:rPr>
                <w:rFonts w:ascii="宋体" w:hAnsi="宋体"/>
                <w:snapToGrid w:val="0"/>
                <w:kern w:val="0"/>
                <w:szCs w:val="21"/>
              </w:rPr>
              <w:t>1</w:t>
            </w:r>
          </w:p>
          <w:p>
            <w:pPr>
              <w:suppressAutoHyphens/>
              <w:jc w:val="center"/>
              <w:rPr>
                <w:rFonts w:ascii="宋体" w:hAnsi="宋体"/>
                <w:snapToGrid w:val="0"/>
                <w:kern w:val="0"/>
                <w:szCs w:val="21"/>
              </w:rPr>
            </w:pPr>
            <w:r>
              <w:rPr>
                <w:rFonts w:ascii="宋体" w:hAnsi="宋体"/>
                <w:snapToGrid w:val="0"/>
                <w:kern w:val="0"/>
                <w:szCs w:val="21"/>
              </w:rPr>
              <w:t>1</w:t>
            </w:r>
          </w:p>
        </w:tc>
        <w:tc>
          <w:tcPr>
            <w:tcW w:w="1174" w:type="dxa"/>
            <w:vAlign w:val="center"/>
          </w:tcPr>
          <w:p>
            <w:pPr>
              <w:suppressAutoHyphens/>
              <w:jc w:val="center"/>
              <w:rPr>
                <w:rFonts w:hint="eastAsia" w:ascii="宋体" w:hAnsi="宋体"/>
                <w:snapToGrid w:val="0"/>
                <w:kern w:val="0"/>
                <w:szCs w:val="21"/>
              </w:rPr>
            </w:pPr>
            <w:r>
              <w:rPr>
                <w:rFonts w:ascii="宋体" w:hAnsi="宋体"/>
                <w:snapToGrid w:val="0"/>
                <w:kern w:val="0"/>
                <w:szCs w:val="21"/>
              </w:rPr>
              <w:t>5.05</w:t>
            </w:r>
          </w:p>
          <w:p>
            <w:pPr>
              <w:suppressAutoHyphens/>
              <w:jc w:val="center"/>
              <w:rPr>
                <w:rFonts w:ascii="宋体" w:hAnsi="宋体"/>
                <w:snapToGrid w:val="0"/>
                <w:kern w:val="0"/>
                <w:szCs w:val="21"/>
              </w:rPr>
            </w:pPr>
            <w:r>
              <w:rPr>
                <w:rFonts w:ascii="宋体" w:hAnsi="宋体"/>
                <w:snapToGrid w:val="0"/>
                <w:szCs w:val="21"/>
              </w:rPr>
              <w:t>18.53</w:t>
            </w:r>
          </w:p>
        </w:tc>
        <w:tc>
          <w:tcPr>
            <w:tcW w:w="705" w:type="dxa"/>
            <w:vAlign w:val="center"/>
          </w:tcPr>
          <w:p>
            <w:pPr>
              <w:suppressAutoHyphens/>
              <w:rPr>
                <w:rFonts w:ascii="宋体" w:hAnsi="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95" w:hRule="atLeast"/>
          <w:jc w:val="center"/>
        </w:trPr>
        <w:tc>
          <w:tcPr>
            <w:tcW w:w="519" w:type="dxa"/>
            <w:vMerge w:val="restart"/>
            <w:vAlign w:val="center"/>
          </w:tcPr>
          <w:p>
            <w:pPr>
              <w:suppressAutoHyphens/>
              <w:rPr>
                <w:rFonts w:ascii="宋体" w:hAnsi="宋体"/>
                <w:snapToGrid w:val="0"/>
                <w:kern w:val="0"/>
                <w:szCs w:val="21"/>
              </w:rPr>
            </w:pPr>
            <w:r>
              <w:rPr>
                <w:rFonts w:ascii="宋体" w:hAnsi="宋体"/>
                <w:snapToGrid w:val="0"/>
                <w:kern w:val="0"/>
                <w:szCs w:val="21"/>
              </w:rPr>
              <w:t>7</w:t>
            </w:r>
          </w:p>
        </w:tc>
        <w:tc>
          <w:tcPr>
            <w:tcW w:w="1341" w:type="dxa"/>
            <w:vMerge w:val="restart"/>
            <w:vAlign w:val="center"/>
          </w:tcPr>
          <w:p>
            <w:pPr>
              <w:suppressAutoHyphens/>
              <w:rPr>
                <w:rFonts w:ascii="宋体" w:hAnsi="宋体"/>
                <w:szCs w:val="21"/>
              </w:rPr>
            </w:pPr>
            <w:r>
              <w:rPr>
                <w:rFonts w:ascii="宋体" w:hAnsi="宋体"/>
                <w:szCs w:val="21"/>
              </w:rPr>
              <w:t>生料粉磨</w:t>
            </w:r>
          </w:p>
        </w:tc>
        <w:tc>
          <w:tcPr>
            <w:tcW w:w="3149" w:type="dxa"/>
            <w:vAlign w:val="center"/>
          </w:tcPr>
          <w:p>
            <w:pPr>
              <w:suppressAutoHyphens/>
              <w:rPr>
                <w:rFonts w:ascii="宋体" w:hAnsi="宋体"/>
                <w:szCs w:val="21"/>
              </w:rPr>
            </w:pPr>
            <w:r>
              <w:rPr>
                <w:rFonts w:ascii="宋体" w:hAnsi="宋体"/>
                <w:szCs w:val="21"/>
              </w:rPr>
              <w:t>立磨:</w:t>
            </w:r>
            <w:r>
              <w:rPr>
                <w:rFonts w:ascii="宋体" w:hAnsi="宋体"/>
                <w:szCs w:val="21"/>
              </w:rPr>
              <w:tab/>
            </w:r>
            <w:r>
              <w:rPr>
                <w:rFonts w:ascii="宋体" w:hAnsi="宋体"/>
                <w:szCs w:val="21"/>
              </w:rPr>
              <w:tab/>
            </w:r>
            <w:r>
              <w:rPr>
                <w:rFonts w:ascii="宋体" w:hAnsi="宋体"/>
                <w:szCs w:val="21"/>
              </w:rPr>
              <w:t>MLS3626</w:t>
            </w:r>
          </w:p>
          <w:p>
            <w:pPr>
              <w:suppressAutoHyphens/>
              <w:rPr>
                <w:rFonts w:ascii="宋体" w:hAnsi="宋体"/>
                <w:szCs w:val="21"/>
              </w:rPr>
            </w:pPr>
            <w:r>
              <w:rPr>
                <w:rFonts w:ascii="宋体" w:hAnsi="宋体"/>
                <w:szCs w:val="21"/>
              </w:rPr>
              <w:t>入磨水分:</w:t>
            </w:r>
            <w:r>
              <w:rPr>
                <w:rFonts w:ascii="宋体" w:hAnsi="宋体"/>
                <w:szCs w:val="21"/>
              </w:rPr>
              <w:tab/>
            </w:r>
            <w:r>
              <w:rPr>
                <w:rFonts w:ascii="宋体" w:hAnsi="宋体"/>
                <w:szCs w:val="21"/>
              </w:rPr>
              <w:t>≤10%</w:t>
            </w:r>
          </w:p>
          <w:p>
            <w:pPr>
              <w:suppressAutoHyphens/>
              <w:rPr>
                <w:rFonts w:ascii="宋体" w:hAnsi="宋体"/>
                <w:szCs w:val="21"/>
              </w:rPr>
            </w:pPr>
            <w:r>
              <w:rPr>
                <w:rFonts w:ascii="宋体" w:hAnsi="宋体"/>
                <w:szCs w:val="21"/>
              </w:rPr>
              <w:t>入磨粒度:</w:t>
            </w:r>
            <w:r>
              <w:rPr>
                <w:rFonts w:ascii="宋体" w:hAnsi="宋体"/>
                <w:szCs w:val="21"/>
              </w:rPr>
              <w:tab/>
            </w:r>
            <w:r>
              <w:rPr>
                <w:rFonts w:ascii="宋体" w:hAnsi="宋体"/>
                <w:szCs w:val="21"/>
              </w:rPr>
              <w:t>≤80mm</w:t>
            </w:r>
          </w:p>
          <w:p>
            <w:pPr>
              <w:suppressAutoHyphens/>
              <w:rPr>
                <w:rFonts w:ascii="宋体" w:hAnsi="宋体"/>
                <w:szCs w:val="21"/>
              </w:rPr>
            </w:pPr>
            <w:r>
              <w:rPr>
                <w:rFonts w:ascii="宋体" w:hAnsi="宋体"/>
                <w:szCs w:val="21"/>
              </w:rPr>
              <w:t>出磨水分:</w:t>
            </w:r>
            <w:r>
              <w:rPr>
                <w:rFonts w:ascii="宋体" w:hAnsi="宋体"/>
                <w:szCs w:val="21"/>
              </w:rPr>
              <w:tab/>
            </w:r>
            <w:r>
              <w:rPr>
                <w:rFonts w:ascii="宋体" w:hAnsi="宋体"/>
                <w:szCs w:val="21"/>
              </w:rPr>
              <w:t>≤0.5%</w:t>
            </w:r>
          </w:p>
          <w:p>
            <w:pPr>
              <w:suppressAutoHyphens/>
              <w:rPr>
                <w:rFonts w:ascii="宋体" w:hAnsi="宋体"/>
                <w:szCs w:val="21"/>
              </w:rPr>
            </w:pPr>
            <w:r>
              <w:rPr>
                <w:rFonts w:ascii="宋体" w:hAnsi="宋体"/>
                <w:szCs w:val="21"/>
              </w:rPr>
              <w:t>出磨粒度:0.08mm筛余≤10%</w:t>
            </w:r>
          </w:p>
          <w:p>
            <w:pPr>
              <w:suppressAutoHyphens/>
              <w:rPr>
                <w:rFonts w:hint="eastAsia" w:ascii="宋体" w:hAnsi="宋体"/>
                <w:szCs w:val="21"/>
              </w:rPr>
            </w:pPr>
            <w:r>
              <w:rPr>
                <w:rFonts w:ascii="宋体" w:hAnsi="宋体"/>
                <w:szCs w:val="21"/>
              </w:rPr>
              <w:t>电机功率:</w:t>
            </w:r>
            <w:r>
              <w:rPr>
                <w:rFonts w:ascii="宋体" w:hAnsi="宋体"/>
                <w:szCs w:val="21"/>
              </w:rPr>
              <w:tab/>
            </w:r>
            <w:r>
              <w:rPr>
                <w:rFonts w:ascii="宋体" w:hAnsi="宋体"/>
                <w:szCs w:val="21"/>
              </w:rPr>
              <w:t>～1850kW</w:t>
            </w:r>
          </w:p>
        </w:tc>
        <w:tc>
          <w:tcPr>
            <w:tcW w:w="1104" w:type="dxa"/>
            <w:vAlign w:val="center"/>
          </w:tcPr>
          <w:p>
            <w:pPr>
              <w:suppressAutoHyphens/>
              <w:ind w:firstLine="105" w:firstLineChars="50"/>
              <w:rPr>
                <w:rFonts w:ascii="宋体" w:hAnsi="宋体"/>
                <w:szCs w:val="21"/>
              </w:rPr>
            </w:pPr>
            <w:r>
              <w:rPr>
                <w:rFonts w:ascii="宋体" w:hAnsi="宋体"/>
                <w:szCs w:val="21"/>
              </w:rPr>
              <w:t>＞190</w:t>
            </w:r>
          </w:p>
        </w:tc>
        <w:tc>
          <w:tcPr>
            <w:tcW w:w="513" w:type="dxa"/>
            <w:vAlign w:val="center"/>
          </w:tcPr>
          <w:p>
            <w:pPr>
              <w:suppressAutoHyphens/>
              <w:jc w:val="center"/>
              <w:rPr>
                <w:rFonts w:ascii="宋体" w:hAnsi="宋体"/>
                <w:szCs w:val="21"/>
              </w:rPr>
            </w:pPr>
            <w:r>
              <w:rPr>
                <w:rFonts w:ascii="宋体" w:hAnsi="宋体"/>
                <w:szCs w:val="21"/>
              </w:rPr>
              <w:t>1</w:t>
            </w:r>
          </w:p>
        </w:tc>
        <w:tc>
          <w:tcPr>
            <w:tcW w:w="1174" w:type="dxa"/>
            <w:vAlign w:val="center"/>
          </w:tcPr>
          <w:p>
            <w:pPr>
              <w:pStyle w:val="30"/>
              <w:keepNext w:val="0"/>
              <w:suppressAutoHyphens/>
              <w:adjustRightInd/>
              <w:spacing w:before="0" w:after="0" w:line="240" w:lineRule="auto"/>
              <w:rPr>
                <w:rFonts w:ascii="宋体" w:hAnsi="宋体"/>
                <w:kern w:val="2"/>
                <w:sz w:val="21"/>
                <w:szCs w:val="21"/>
              </w:rPr>
            </w:pPr>
            <w:r>
              <w:rPr>
                <w:rFonts w:ascii="宋体" w:hAnsi="宋体"/>
                <w:kern w:val="2"/>
                <w:sz w:val="21"/>
                <w:szCs w:val="21"/>
              </w:rPr>
              <w:t>70.07</w:t>
            </w:r>
          </w:p>
        </w:tc>
        <w:tc>
          <w:tcPr>
            <w:tcW w:w="705" w:type="dxa"/>
            <w:vAlign w:val="center"/>
          </w:tcPr>
          <w:p>
            <w:pPr>
              <w:suppressAutoHyphens/>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1" w:hRule="atLeast"/>
          <w:jc w:val="center"/>
        </w:trPr>
        <w:tc>
          <w:tcPr>
            <w:tcW w:w="519" w:type="dxa"/>
            <w:vMerge w:val="continue"/>
            <w:vAlign w:val="center"/>
          </w:tcPr>
          <w:p>
            <w:pPr>
              <w:suppressAutoHyphens/>
              <w:rPr>
                <w:rFonts w:ascii="宋体" w:hAnsi="宋体"/>
                <w:snapToGrid w:val="0"/>
                <w:kern w:val="0"/>
                <w:szCs w:val="21"/>
              </w:rPr>
            </w:pPr>
          </w:p>
        </w:tc>
        <w:tc>
          <w:tcPr>
            <w:tcW w:w="1341" w:type="dxa"/>
            <w:vMerge w:val="continue"/>
            <w:vAlign w:val="center"/>
          </w:tcPr>
          <w:p>
            <w:pPr>
              <w:suppressAutoHyphens/>
              <w:rPr>
                <w:rFonts w:ascii="宋体" w:hAnsi="宋体"/>
                <w:snapToGrid w:val="0"/>
                <w:kern w:val="0"/>
                <w:szCs w:val="21"/>
              </w:rPr>
            </w:pPr>
          </w:p>
        </w:tc>
        <w:tc>
          <w:tcPr>
            <w:tcW w:w="3149" w:type="dxa"/>
            <w:vAlign w:val="center"/>
          </w:tcPr>
          <w:p>
            <w:pPr>
              <w:suppressAutoHyphens/>
              <w:rPr>
                <w:rFonts w:ascii="宋体" w:hAnsi="宋体"/>
                <w:szCs w:val="21"/>
              </w:rPr>
            </w:pPr>
            <w:r>
              <w:rPr>
                <w:rFonts w:ascii="宋体" w:hAnsi="宋体"/>
                <w:szCs w:val="21"/>
              </w:rPr>
              <w:t>选粉机:</w:t>
            </w:r>
            <w:r>
              <w:rPr>
                <w:rFonts w:ascii="宋体" w:hAnsi="宋体"/>
                <w:szCs w:val="21"/>
              </w:rPr>
              <w:tab/>
            </w:r>
            <w:r>
              <w:rPr>
                <w:rFonts w:ascii="宋体" w:hAnsi="宋体"/>
                <w:szCs w:val="21"/>
              </w:rPr>
              <w:t>SLS3750</w:t>
            </w:r>
          </w:p>
          <w:p>
            <w:pPr>
              <w:suppressAutoHyphens/>
              <w:rPr>
                <w:rFonts w:ascii="宋体" w:hAnsi="宋体"/>
                <w:snapToGrid w:val="0"/>
                <w:kern w:val="0"/>
                <w:szCs w:val="21"/>
              </w:rPr>
            </w:pPr>
            <w:r>
              <w:rPr>
                <w:rFonts w:ascii="宋体" w:hAnsi="宋体"/>
                <w:szCs w:val="21"/>
              </w:rPr>
              <w:t>电机功率:</w:t>
            </w:r>
            <w:r>
              <w:rPr>
                <w:rFonts w:ascii="宋体" w:hAnsi="宋体"/>
                <w:szCs w:val="21"/>
              </w:rPr>
              <w:tab/>
            </w:r>
            <w:r>
              <w:rPr>
                <w:rFonts w:ascii="宋体" w:hAnsi="宋体"/>
                <w:szCs w:val="21"/>
              </w:rPr>
              <w:t>75kW</w:t>
            </w:r>
          </w:p>
        </w:tc>
        <w:tc>
          <w:tcPr>
            <w:tcW w:w="1104" w:type="dxa"/>
            <w:vAlign w:val="center"/>
          </w:tcPr>
          <w:p>
            <w:pPr>
              <w:suppressAutoHyphens/>
              <w:rPr>
                <w:rFonts w:ascii="宋体" w:hAnsi="宋体"/>
                <w:snapToGrid w:val="0"/>
                <w:kern w:val="0"/>
                <w:szCs w:val="21"/>
              </w:rPr>
            </w:pPr>
          </w:p>
        </w:tc>
        <w:tc>
          <w:tcPr>
            <w:tcW w:w="513" w:type="dxa"/>
            <w:vAlign w:val="center"/>
          </w:tcPr>
          <w:p>
            <w:pPr>
              <w:suppressAutoHyphens/>
              <w:jc w:val="center"/>
              <w:rPr>
                <w:rFonts w:ascii="宋体" w:hAnsi="宋体"/>
                <w:snapToGrid w:val="0"/>
                <w:kern w:val="0"/>
                <w:szCs w:val="21"/>
              </w:rPr>
            </w:pPr>
            <w:r>
              <w:rPr>
                <w:rFonts w:ascii="宋体" w:hAnsi="宋体"/>
                <w:szCs w:val="21"/>
              </w:rPr>
              <w:t>1</w:t>
            </w:r>
          </w:p>
        </w:tc>
        <w:tc>
          <w:tcPr>
            <w:tcW w:w="1174" w:type="dxa"/>
            <w:vAlign w:val="center"/>
          </w:tcPr>
          <w:p>
            <w:pPr>
              <w:suppressAutoHyphens/>
              <w:jc w:val="center"/>
              <w:rPr>
                <w:rFonts w:ascii="宋体" w:hAnsi="宋体"/>
                <w:snapToGrid w:val="0"/>
                <w:kern w:val="0"/>
                <w:szCs w:val="21"/>
              </w:rPr>
            </w:pPr>
            <w:r>
              <w:rPr>
                <w:rFonts w:ascii="宋体" w:hAnsi="宋体"/>
                <w:szCs w:val="21"/>
              </w:rPr>
              <w:t>70.07</w:t>
            </w:r>
          </w:p>
        </w:tc>
        <w:tc>
          <w:tcPr>
            <w:tcW w:w="705" w:type="dxa"/>
            <w:vAlign w:val="center"/>
          </w:tcPr>
          <w:p>
            <w:pPr>
              <w:suppressAutoHyphens/>
              <w:rPr>
                <w:rFonts w:ascii="宋体" w:hAnsi="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06" w:hRule="atLeast"/>
          <w:jc w:val="center"/>
        </w:trPr>
        <w:tc>
          <w:tcPr>
            <w:tcW w:w="519" w:type="dxa"/>
            <w:vMerge w:val="continue"/>
            <w:vAlign w:val="center"/>
          </w:tcPr>
          <w:p>
            <w:pPr>
              <w:suppressAutoHyphens/>
              <w:rPr>
                <w:rFonts w:ascii="宋体" w:hAnsi="宋体"/>
                <w:snapToGrid w:val="0"/>
                <w:kern w:val="0"/>
                <w:szCs w:val="21"/>
              </w:rPr>
            </w:pPr>
          </w:p>
        </w:tc>
        <w:tc>
          <w:tcPr>
            <w:tcW w:w="1341" w:type="dxa"/>
            <w:vMerge w:val="continue"/>
            <w:vAlign w:val="center"/>
          </w:tcPr>
          <w:p>
            <w:pPr>
              <w:suppressAutoHyphens/>
              <w:rPr>
                <w:rFonts w:ascii="宋体" w:hAnsi="宋体"/>
                <w:snapToGrid w:val="0"/>
                <w:kern w:val="0"/>
                <w:szCs w:val="21"/>
              </w:rPr>
            </w:pPr>
          </w:p>
        </w:tc>
        <w:tc>
          <w:tcPr>
            <w:tcW w:w="3149" w:type="dxa"/>
            <w:vAlign w:val="center"/>
          </w:tcPr>
          <w:p>
            <w:pPr>
              <w:suppressAutoHyphens/>
              <w:rPr>
                <w:rFonts w:ascii="宋体" w:hAnsi="宋体"/>
                <w:snapToGrid w:val="0"/>
                <w:kern w:val="0"/>
                <w:szCs w:val="21"/>
              </w:rPr>
            </w:pPr>
            <w:r>
              <w:rPr>
                <w:rFonts w:ascii="宋体" w:hAnsi="宋体"/>
                <w:snapToGrid w:val="0"/>
                <w:kern w:val="0"/>
                <w:szCs w:val="21"/>
              </w:rPr>
              <w:t>循环风机</w:t>
            </w:r>
          </w:p>
          <w:p>
            <w:pPr>
              <w:suppressAutoHyphens/>
              <w:rPr>
                <w:rFonts w:ascii="宋体" w:hAnsi="宋体"/>
                <w:snapToGrid w:val="0"/>
                <w:kern w:val="0"/>
                <w:szCs w:val="21"/>
              </w:rPr>
            </w:pPr>
            <w:r>
              <w:rPr>
                <w:rFonts w:ascii="宋体" w:hAnsi="宋体"/>
                <w:snapToGrid w:val="0"/>
                <w:kern w:val="0"/>
                <w:szCs w:val="21"/>
              </w:rPr>
              <w:t>处理风量: 420000m3/h</w:t>
            </w:r>
          </w:p>
          <w:p>
            <w:pPr>
              <w:suppressAutoHyphens/>
              <w:rPr>
                <w:rFonts w:ascii="宋体" w:hAnsi="宋体"/>
                <w:snapToGrid w:val="0"/>
                <w:kern w:val="0"/>
                <w:szCs w:val="21"/>
              </w:rPr>
            </w:pPr>
            <w:r>
              <w:rPr>
                <w:rFonts w:ascii="宋体" w:hAnsi="宋体"/>
                <w:snapToGrid w:val="0"/>
                <w:kern w:val="0"/>
                <w:szCs w:val="21"/>
              </w:rPr>
              <w:t>全压:</w:t>
            </w:r>
            <w:r>
              <w:rPr>
                <w:rFonts w:ascii="宋体" w:hAnsi="宋体"/>
                <w:snapToGrid w:val="0"/>
                <w:kern w:val="0"/>
                <w:szCs w:val="21"/>
              </w:rPr>
              <w:tab/>
            </w:r>
            <w:r>
              <w:rPr>
                <w:rFonts w:ascii="宋体" w:hAnsi="宋体"/>
                <w:snapToGrid w:val="0"/>
                <w:kern w:val="0"/>
                <w:szCs w:val="21"/>
              </w:rPr>
              <w:tab/>
            </w:r>
            <w:r>
              <w:rPr>
                <w:rFonts w:ascii="宋体" w:hAnsi="宋体"/>
                <w:snapToGrid w:val="0"/>
                <w:kern w:val="0"/>
                <w:szCs w:val="21"/>
              </w:rPr>
              <w:t>11000Pa</w:t>
            </w:r>
          </w:p>
          <w:p>
            <w:pPr>
              <w:suppressAutoHyphens/>
              <w:rPr>
                <w:rFonts w:ascii="宋体" w:hAnsi="宋体"/>
                <w:snapToGrid w:val="0"/>
                <w:kern w:val="0"/>
                <w:szCs w:val="21"/>
              </w:rPr>
            </w:pPr>
            <w:r>
              <w:rPr>
                <w:rFonts w:ascii="宋体" w:hAnsi="宋体"/>
                <w:snapToGrid w:val="0"/>
                <w:kern w:val="0"/>
                <w:szCs w:val="21"/>
              </w:rPr>
              <w:t>电机功率: 1600kW</w:t>
            </w:r>
          </w:p>
        </w:tc>
        <w:tc>
          <w:tcPr>
            <w:tcW w:w="1104" w:type="dxa"/>
            <w:vMerge w:val="restart"/>
            <w:vAlign w:val="center"/>
          </w:tcPr>
          <w:p>
            <w:pPr>
              <w:suppressAutoHyphens/>
              <w:rPr>
                <w:rFonts w:ascii="宋体" w:hAnsi="宋体"/>
                <w:snapToGrid w:val="0"/>
                <w:kern w:val="0"/>
                <w:szCs w:val="21"/>
              </w:rPr>
            </w:pPr>
          </w:p>
          <w:p>
            <w:pPr>
              <w:suppressAutoHyphens/>
              <w:rPr>
                <w:rFonts w:ascii="宋体" w:hAnsi="宋体"/>
                <w:snapToGrid w:val="0"/>
                <w:kern w:val="0"/>
                <w:szCs w:val="21"/>
              </w:rPr>
            </w:pPr>
          </w:p>
        </w:tc>
        <w:tc>
          <w:tcPr>
            <w:tcW w:w="513" w:type="dxa"/>
            <w:vAlign w:val="center"/>
          </w:tcPr>
          <w:p>
            <w:pPr>
              <w:suppressAutoHyphens/>
              <w:jc w:val="center"/>
              <w:rPr>
                <w:rFonts w:ascii="宋体" w:hAnsi="宋体"/>
                <w:snapToGrid w:val="0"/>
                <w:kern w:val="0"/>
                <w:szCs w:val="21"/>
              </w:rPr>
            </w:pPr>
            <w:r>
              <w:rPr>
                <w:rFonts w:ascii="宋体" w:hAnsi="宋体"/>
                <w:snapToGrid w:val="0"/>
                <w:kern w:val="0"/>
                <w:szCs w:val="21"/>
              </w:rPr>
              <w:t>1</w:t>
            </w:r>
          </w:p>
        </w:tc>
        <w:tc>
          <w:tcPr>
            <w:tcW w:w="1174" w:type="dxa"/>
            <w:vMerge w:val="restart"/>
            <w:vAlign w:val="center"/>
          </w:tcPr>
          <w:p>
            <w:pPr>
              <w:suppressAutoHyphens/>
              <w:jc w:val="center"/>
              <w:rPr>
                <w:rFonts w:ascii="宋体" w:hAnsi="宋体"/>
                <w:snapToGrid w:val="0"/>
                <w:kern w:val="0"/>
                <w:szCs w:val="21"/>
              </w:rPr>
            </w:pPr>
            <w:r>
              <w:rPr>
                <w:rFonts w:ascii="宋体" w:hAnsi="宋体"/>
                <w:snapToGrid w:val="0"/>
                <w:kern w:val="0"/>
                <w:szCs w:val="21"/>
              </w:rPr>
              <w:t>84.93</w:t>
            </w:r>
          </w:p>
        </w:tc>
        <w:tc>
          <w:tcPr>
            <w:tcW w:w="705" w:type="dxa"/>
            <w:vAlign w:val="center"/>
          </w:tcPr>
          <w:p>
            <w:pPr>
              <w:suppressAutoHyphens/>
              <w:rPr>
                <w:rFonts w:ascii="宋体" w:hAnsi="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9" w:type="dxa"/>
            <w:vMerge w:val="restart"/>
            <w:vAlign w:val="center"/>
          </w:tcPr>
          <w:p>
            <w:pPr>
              <w:suppressAutoHyphens/>
              <w:rPr>
                <w:rFonts w:ascii="宋体" w:hAnsi="宋体"/>
                <w:snapToGrid w:val="0"/>
                <w:kern w:val="0"/>
                <w:szCs w:val="21"/>
              </w:rPr>
            </w:pPr>
            <w:r>
              <w:rPr>
                <w:rFonts w:ascii="宋体" w:hAnsi="宋体"/>
                <w:snapToGrid w:val="0"/>
                <w:kern w:val="0"/>
                <w:szCs w:val="21"/>
              </w:rPr>
              <w:t>8</w:t>
            </w:r>
          </w:p>
        </w:tc>
        <w:tc>
          <w:tcPr>
            <w:tcW w:w="1341" w:type="dxa"/>
            <w:vMerge w:val="restart"/>
            <w:vAlign w:val="center"/>
          </w:tcPr>
          <w:p>
            <w:pPr>
              <w:suppressAutoHyphens/>
              <w:rPr>
                <w:rFonts w:ascii="宋体" w:hAnsi="宋体"/>
                <w:snapToGrid w:val="0"/>
                <w:kern w:val="0"/>
                <w:szCs w:val="21"/>
              </w:rPr>
            </w:pPr>
            <w:r>
              <w:rPr>
                <w:rFonts w:ascii="宋体" w:hAnsi="宋体"/>
                <w:snapToGrid w:val="0"/>
                <w:kern w:val="0"/>
                <w:szCs w:val="21"/>
              </w:rPr>
              <w:t>烧成窑尾</w:t>
            </w:r>
          </w:p>
        </w:tc>
        <w:tc>
          <w:tcPr>
            <w:tcW w:w="3149" w:type="dxa"/>
            <w:vAlign w:val="center"/>
          </w:tcPr>
          <w:p>
            <w:pPr>
              <w:suppressAutoHyphens/>
              <w:rPr>
                <w:rFonts w:ascii="宋体" w:hAnsi="宋体"/>
                <w:snapToGrid w:val="0"/>
                <w:kern w:val="0"/>
                <w:szCs w:val="21"/>
              </w:rPr>
            </w:pPr>
            <w:r>
              <w:rPr>
                <w:rFonts w:ascii="宋体" w:hAnsi="宋体"/>
                <w:snapToGrid w:val="0"/>
                <w:kern w:val="0"/>
                <w:szCs w:val="21"/>
              </w:rPr>
              <w:t>高温风机:</w:t>
            </w:r>
            <w:r>
              <w:rPr>
                <w:rFonts w:ascii="宋体" w:hAnsi="宋体"/>
                <w:snapToGrid w:val="0"/>
                <w:kern w:val="0"/>
                <w:szCs w:val="21"/>
              </w:rPr>
              <w:tab/>
            </w:r>
          </w:p>
          <w:p>
            <w:pPr>
              <w:suppressAutoHyphens/>
              <w:rPr>
                <w:rFonts w:ascii="宋体" w:hAnsi="宋体"/>
                <w:snapToGrid w:val="0"/>
                <w:kern w:val="0"/>
                <w:szCs w:val="21"/>
              </w:rPr>
            </w:pPr>
            <w:r>
              <w:rPr>
                <w:rFonts w:ascii="宋体" w:hAnsi="宋体"/>
                <w:snapToGrid w:val="0"/>
                <w:kern w:val="0"/>
                <w:szCs w:val="21"/>
              </w:rPr>
              <w:t>处理风量: 480000m3/h</w:t>
            </w:r>
          </w:p>
          <w:p>
            <w:pPr>
              <w:suppressAutoHyphens/>
              <w:rPr>
                <w:rFonts w:ascii="宋体" w:hAnsi="宋体"/>
                <w:snapToGrid w:val="0"/>
                <w:kern w:val="0"/>
                <w:szCs w:val="21"/>
              </w:rPr>
            </w:pPr>
            <w:r>
              <w:rPr>
                <w:rFonts w:ascii="宋体" w:hAnsi="宋体"/>
                <w:snapToGrid w:val="0"/>
                <w:kern w:val="0"/>
                <w:szCs w:val="21"/>
              </w:rPr>
              <w:t>全压:</w:t>
            </w:r>
            <w:r>
              <w:rPr>
                <w:rFonts w:ascii="宋体" w:hAnsi="宋体"/>
                <w:snapToGrid w:val="0"/>
                <w:kern w:val="0"/>
                <w:szCs w:val="21"/>
              </w:rPr>
              <w:tab/>
            </w:r>
            <w:r>
              <w:rPr>
                <w:rFonts w:ascii="宋体" w:hAnsi="宋体"/>
                <w:snapToGrid w:val="0"/>
                <w:kern w:val="0"/>
                <w:szCs w:val="21"/>
              </w:rPr>
              <w:tab/>
            </w:r>
            <w:r>
              <w:rPr>
                <w:rFonts w:ascii="宋体" w:hAnsi="宋体"/>
                <w:snapToGrid w:val="0"/>
                <w:kern w:val="0"/>
                <w:szCs w:val="21"/>
              </w:rPr>
              <w:t>7200Pa</w:t>
            </w:r>
          </w:p>
          <w:p>
            <w:pPr>
              <w:suppressAutoHyphens/>
              <w:rPr>
                <w:rFonts w:ascii="宋体" w:hAnsi="宋体"/>
                <w:snapToGrid w:val="0"/>
                <w:kern w:val="0"/>
                <w:szCs w:val="21"/>
              </w:rPr>
            </w:pPr>
            <w:r>
              <w:rPr>
                <w:rFonts w:ascii="宋体" w:hAnsi="宋体"/>
                <w:snapToGrid w:val="0"/>
                <w:kern w:val="0"/>
                <w:szCs w:val="21"/>
              </w:rPr>
              <w:t>电机功率:</w:t>
            </w:r>
            <w:r>
              <w:rPr>
                <w:rFonts w:ascii="宋体" w:hAnsi="宋体"/>
                <w:snapToGrid w:val="0"/>
                <w:kern w:val="0"/>
                <w:szCs w:val="21"/>
              </w:rPr>
              <w:tab/>
            </w:r>
            <w:r>
              <w:rPr>
                <w:rFonts w:ascii="宋体" w:hAnsi="宋体"/>
                <w:snapToGrid w:val="0"/>
                <w:kern w:val="0"/>
                <w:szCs w:val="21"/>
              </w:rPr>
              <w:t>1600kW</w:t>
            </w:r>
          </w:p>
        </w:tc>
        <w:tc>
          <w:tcPr>
            <w:tcW w:w="1104" w:type="dxa"/>
            <w:vMerge w:val="continue"/>
            <w:vAlign w:val="center"/>
          </w:tcPr>
          <w:p>
            <w:pPr>
              <w:suppressAutoHyphens/>
              <w:rPr>
                <w:rFonts w:ascii="宋体" w:hAnsi="宋体"/>
                <w:snapToGrid w:val="0"/>
                <w:kern w:val="0"/>
                <w:szCs w:val="21"/>
              </w:rPr>
            </w:pPr>
          </w:p>
        </w:tc>
        <w:tc>
          <w:tcPr>
            <w:tcW w:w="513" w:type="dxa"/>
            <w:vAlign w:val="center"/>
          </w:tcPr>
          <w:p>
            <w:pPr>
              <w:suppressAutoHyphens/>
              <w:jc w:val="center"/>
              <w:rPr>
                <w:rFonts w:ascii="宋体" w:hAnsi="宋体"/>
                <w:snapToGrid w:val="0"/>
                <w:kern w:val="0"/>
                <w:szCs w:val="21"/>
              </w:rPr>
            </w:pPr>
            <w:r>
              <w:rPr>
                <w:rFonts w:ascii="宋体" w:hAnsi="宋体"/>
                <w:snapToGrid w:val="0"/>
                <w:kern w:val="0"/>
                <w:szCs w:val="21"/>
              </w:rPr>
              <w:t>1</w:t>
            </w:r>
          </w:p>
        </w:tc>
        <w:tc>
          <w:tcPr>
            <w:tcW w:w="1174" w:type="dxa"/>
            <w:vMerge w:val="continue"/>
            <w:vAlign w:val="center"/>
          </w:tcPr>
          <w:p>
            <w:pPr>
              <w:suppressAutoHyphens/>
              <w:rPr>
                <w:rFonts w:ascii="宋体" w:hAnsi="宋体"/>
                <w:snapToGrid w:val="0"/>
                <w:kern w:val="0"/>
                <w:szCs w:val="21"/>
              </w:rPr>
            </w:pPr>
          </w:p>
        </w:tc>
        <w:tc>
          <w:tcPr>
            <w:tcW w:w="705" w:type="dxa"/>
            <w:vAlign w:val="center"/>
          </w:tcPr>
          <w:p>
            <w:pPr>
              <w:suppressAutoHyphens/>
              <w:rPr>
                <w:rFonts w:ascii="宋体" w:hAnsi="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45" w:hRule="atLeast"/>
          <w:jc w:val="center"/>
        </w:trPr>
        <w:tc>
          <w:tcPr>
            <w:tcW w:w="519" w:type="dxa"/>
            <w:vMerge w:val="continue"/>
            <w:vAlign w:val="center"/>
          </w:tcPr>
          <w:p>
            <w:pPr>
              <w:suppressAutoHyphens/>
              <w:rPr>
                <w:rFonts w:ascii="宋体" w:hAnsi="宋体"/>
                <w:snapToGrid w:val="0"/>
                <w:kern w:val="0"/>
                <w:szCs w:val="21"/>
              </w:rPr>
            </w:pPr>
          </w:p>
        </w:tc>
        <w:tc>
          <w:tcPr>
            <w:tcW w:w="1341" w:type="dxa"/>
            <w:vMerge w:val="continue"/>
            <w:vAlign w:val="center"/>
          </w:tcPr>
          <w:p>
            <w:pPr>
              <w:suppressAutoHyphens/>
              <w:rPr>
                <w:rFonts w:ascii="宋体" w:hAnsi="宋体"/>
                <w:snapToGrid w:val="0"/>
                <w:kern w:val="0"/>
                <w:szCs w:val="21"/>
              </w:rPr>
            </w:pPr>
          </w:p>
        </w:tc>
        <w:tc>
          <w:tcPr>
            <w:tcW w:w="3149" w:type="dxa"/>
            <w:vAlign w:val="center"/>
          </w:tcPr>
          <w:p>
            <w:pPr>
              <w:suppressAutoHyphens/>
              <w:rPr>
                <w:rFonts w:ascii="宋体" w:hAnsi="宋体"/>
                <w:snapToGrid w:val="0"/>
                <w:kern w:val="0"/>
                <w:szCs w:val="21"/>
              </w:rPr>
            </w:pPr>
            <w:r>
              <w:rPr>
                <w:rFonts w:ascii="宋体" w:hAnsi="宋体"/>
                <w:snapToGrid w:val="0"/>
                <w:kern w:val="0"/>
                <w:szCs w:val="21"/>
              </w:rPr>
              <w:t>增湿塔:</w:t>
            </w:r>
            <w:r>
              <w:rPr>
                <w:rFonts w:ascii="宋体" w:hAnsi="宋体"/>
                <w:snapToGrid w:val="0"/>
                <w:kern w:val="0"/>
                <w:szCs w:val="21"/>
              </w:rPr>
              <w:tab/>
            </w:r>
            <w:r>
              <w:rPr>
                <w:rFonts w:ascii="宋体" w:hAnsi="宋体"/>
                <w:snapToGrid w:val="0"/>
                <w:kern w:val="0"/>
                <w:szCs w:val="21"/>
              </w:rPr>
              <w:t>Φ8.5×34m</w:t>
            </w:r>
          </w:p>
          <w:p>
            <w:pPr>
              <w:suppressAutoHyphens/>
              <w:rPr>
                <w:rFonts w:ascii="宋体" w:hAnsi="宋体"/>
                <w:snapToGrid w:val="0"/>
                <w:kern w:val="0"/>
                <w:szCs w:val="21"/>
              </w:rPr>
            </w:pPr>
            <w:r>
              <w:rPr>
                <w:rFonts w:ascii="宋体" w:hAnsi="宋体"/>
                <w:snapToGrid w:val="0"/>
                <w:kern w:val="0"/>
                <w:szCs w:val="21"/>
              </w:rPr>
              <w:t>处理风量:480000 m3/h</w:t>
            </w:r>
          </w:p>
          <w:p>
            <w:pPr>
              <w:suppressAutoHyphens/>
              <w:rPr>
                <w:rFonts w:ascii="宋体" w:hAnsi="宋体"/>
                <w:snapToGrid w:val="0"/>
                <w:kern w:val="0"/>
                <w:szCs w:val="21"/>
              </w:rPr>
            </w:pPr>
            <w:r>
              <w:rPr>
                <w:rFonts w:ascii="宋体" w:hAnsi="宋体"/>
                <w:snapToGrid w:val="0"/>
                <w:kern w:val="0"/>
                <w:szCs w:val="21"/>
              </w:rPr>
              <w:t>喷水量:</w:t>
            </w:r>
            <w:r>
              <w:rPr>
                <w:rFonts w:ascii="宋体" w:hAnsi="宋体"/>
                <w:snapToGrid w:val="0"/>
                <w:kern w:val="0"/>
                <w:szCs w:val="21"/>
              </w:rPr>
              <w:tab/>
            </w:r>
            <w:r>
              <w:rPr>
                <w:rFonts w:ascii="宋体" w:hAnsi="宋体"/>
                <w:snapToGrid w:val="0"/>
                <w:kern w:val="0"/>
                <w:szCs w:val="21"/>
              </w:rPr>
              <w:tab/>
            </w:r>
            <w:r>
              <w:rPr>
                <w:rFonts w:ascii="宋体" w:hAnsi="宋体"/>
                <w:snapToGrid w:val="0"/>
                <w:kern w:val="0"/>
                <w:szCs w:val="21"/>
              </w:rPr>
              <w:t>3.2-20t/h</w:t>
            </w:r>
          </w:p>
        </w:tc>
        <w:tc>
          <w:tcPr>
            <w:tcW w:w="1104" w:type="dxa"/>
            <w:vAlign w:val="center"/>
          </w:tcPr>
          <w:p>
            <w:pPr>
              <w:suppressAutoHyphens/>
              <w:rPr>
                <w:rFonts w:ascii="宋体" w:hAnsi="宋体"/>
                <w:snapToGrid w:val="0"/>
                <w:kern w:val="0"/>
                <w:szCs w:val="21"/>
              </w:rPr>
            </w:pPr>
          </w:p>
        </w:tc>
        <w:tc>
          <w:tcPr>
            <w:tcW w:w="513" w:type="dxa"/>
            <w:vAlign w:val="center"/>
          </w:tcPr>
          <w:p>
            <w:pPr>
              <w:suppressAutoHyphens/>
              <w:jc w:val="center"/>
              <w:rPr>
                <w:rFonts w:ascii="宋体" w:hAnsi="宋体"/>
                <w:snapToGrid w:val="0"/>
                <w:kern w:val="0"/>
                <w:szCs w:val="21"/>
              </w:rPr>
            </w:pPr>
            <w:r>
              <w:rPr>
                <w:rFonts w:ascii="宋体" w:hAnsi="宋体"/>
                <w:snapToGrid w:val="0"/>
                <w:kern w:val="0"/>
                <w:szCs w:val="21"/>
              </w:rPr>
              <w:t>1</w:t>
            </w:r>
          </w:p>
        </w:tc>
        <w:tc>
          <w:tcPr>
            <w:tcW w:w="1174" w:type="dxa"/>
            <w:vMerge w:val="continue"/>
            <w:vAlign w:val="center"/>
          </w:tcPr>
          <w:p>
            <w:pPr>
              <w:suppressAutoHyphens/>
              <w:rPr>
                <w:rFonts w:ascii="宋体" w:hAnsi="宋体"/>
                <w:snapToGrid w:val="0"/>
                <w:kern w:val="0"/>
                <w:szCs w:val="21"/>
              </w:rPr>
            </w:pPr>
          </w:p>
        </w:tc>
        <w:tc>
          <w:tcPr>
            <w:tcW w:w="705" w:type="dxa"/>
            <w:vAlign w:val="center"/>
          </w:tcPr>
          <w:p>
            <w:pPr>
              <w:suppressAutoHyphens/>
              <w:rPr>
                <w:rFonts w:ascii="宋体" w:hAnsi="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9" w:type="dxa"/>
            <w:vMerge w:val="continue"/>
            <w:vAlign w:val="center"/>
          </w:tcPr>
          <w:p>
            <w:pPr>
              <w:suppressAutoHyphens/>
              <w:rPr>
                <w:rFonts w:ascii="宋体" w:hAnsi="宋体"/>
                <w:snapToGrid w:val="0"/>
                <w:kern w:val="0"/>
                <w:szCs w:val="21"/>
              </w:rPr>
            </w:pPr>
          </w:p>
        </w:tc>
        <w:tc>
          <w:tcPr>
            <w:tcW w:w="1341" w:type="dxa"/>
            <w:vMerge w:val="continue"/>
            <w:vAlign w:val="center"/>
          </w:tcPr>
          <w:p>
            <w:pPr>
              <w:suppressAutoHyphens/>
              <w:rPr>
                <w:rFonts w:ascii="宋体" w:hAnsi="宋体"/>
                <w:snapToGrid w:val="0"/>
                <w:kern w:val="0"/>
                <w:szCs w:val="21"/>
              </w:rPr>
            </w:pPr>
          </w:p>
        </w:tc>
        <w:tc>
          <w:tcPr>
            <w:tcW w:w="3149" w:type="dxa"/>
            <w:vAlign w:val="center"/>
          </w:tcPr>
          <w:p>
            <w:pPr>
              <w:suppressAutoHyphens/>
              <w:rPr>
                <w:rFonts w:ascii="宋体" w:hAnsi="宋体"/>
                <w:snapToGrid w:val="0"/>
                <w:kern w:val="0"/>
                <w:szCs w:val="21"/>
              </w:rPr>
            </w:pPr>
            <w:r>
              <w:rPr>
                <w:rFonts w:hint="eastAsia" w:ascii="宋体" w:hAnsi="宋体"/>
                <w:snapToGrid w:val="0"/>
                <w:kern w:val="0"/>
                <w:szCs w:val="21"/>
              </w:rPr>
              <w:t>袋</w:t>
            </w:r>
            <w:r>
              <w:rPr>
                <w:rFonts w:ascii="宋体" w:hAnsi="宋体"/>
                <w:snapToGrid w:val="0"/>
                <w:kern w:val="0"/>
                <w:szCs w:val="21"/>
              </w:rPr>
              <w:t>收尘器</w:t>
            </w:r>
          </w:p>
          <w:p>
            <w:pPr>
              <w:suppressAutoHyphens/>
              <w:rPr>
                <w:rFonts w:ascii="宋体" w:hAnsi="宋体"/>
                <w:snapToGrid w:val="0"/>
                <w:kern w:val="0"/>
                <w:szCs w:val="21"/>
              </w:rPr>
            </w:pPr>
            <w:r>
              <w:rPr>
                <w:rFonts w:ascii="宋体" w:hAnsi="宋体"/>
                <w:snapToGrid w:val="0"/>
                <w:kern w:val="0"/>
                <w:szCs w:val="21"/>
              </w:rPr>
              <w:t>处理风量:480000m3/h</w:t>
            </w:r>
          </w:p>
          <w:p>
            <w:pPr>
              <w:suppressAutoHyphens/>
              <w:rPr>
                <w:rFonts w:ascii="宋体" w:hAnsi="宋体"/>
                <w:snapToGrid w:val="0"/>
                <w:kern w:val="0"/>
                <w:szCs w:val="21"/>
              </w:rPr>
            </w:pPr>
            <w:r>
              <w:rPr>
                <w:rFonts w:ascii="宋体" w:hAnsi="宋体"/>
                <w:snapToGrid w:val="0"/>
                <w:kern w:val="0"/>
                <w:szCs w:val="21"/>
              </w:rPr>
              <w:t>出口浓度:≤100mg/Nm3</w:t>
            </w:r>
          </w:p>
        </w:tc>
        <w:tc>
          <w:tcPr>
            <w:tcW w:w="1104" w:type="dxa"/>
            <w:vAlign w:val="center"/>
          </w:tcPr>
          <w:p>
            <w:pPr>
              <w:suppressAutoHyphens/>
              <w:rPr>
                <w:rFonts w:ascii="宋体" w:hAnsi="宋体"/>
                <w:snapToGrid w:val="0"/>
                <w:kern w:val="0"/>
                <w:szCs w:val="21"/>
              </w:rPr>
            </w:pPr>
          </w:p>
        </w:tc>
        <w:tc>
          <w:tcPr>
            <w:tcW w:w="513" w:type="dxa"/>
            <w:vAlign w:val="center"/>
          </w:tcPr>
          <w:p>
            <w:pPr>
              <w:suppressAutoHyphens/>
              <w:jc w:val="center"/>
              <w:rPr>
                <w:rFonts w:ascii="宋体" w:hAnsi="宋体"/>
                <w:snapToGrid w:val="0"/>
                <w:kern w:val="0"/>
                <w:szCs w:val="21"/>
              </w:rPr>
            </w:pPr>
            <w:r>
              <w:rPr>
                <w:rFonts w:ascii="宋体" w:hAnsi="宋体"/>
                <w:snapToGrid w:val="0"/>
                <w:kern w:val="0"/>
                <w:szCs w:val="21"/>
              </w:rPr>
              <w:t>1</w:t>
            </w:r>
          </w:p>
        </w:tc>
        <w:tc>
          <w:tcPr>
            <w:tcW w:w="1174" w:type="dxa"/>
            <w:vMerge w:val="restart"/>
            <w:vAlign w:val="center"/>
          </w:tcPr>
          <w:p>
            <w:pPr>
              <w:suppressAutoHyphens/>
              <w:jc w:val="center"/>
              <w:rPr>
                <w:rFonts w:ascii="宋体" w:hAnsi="宋体"/>
                <w:snapToGrid w:val="0"/>
                <w:kern w:val="0"/>
                <w:szCs w:val="21"/>
              </w:rPr>
            </w:pPr>
          </w:p>
          <w:p>
            <w:pPr>
              <w:suppressAutoHyphens/>
              <w:jc w:val="center"/>
              <w:rPr>
                <w:rFonts w:ascii="宋体" w:hAnsi="宋体"/>
                <w:snapToGrid w:val="0"/>
                <w:kern w:val="0"/>
                <w:szCs w:val="21"/>
              </w:rPr>
            </w:pPr>
            <w:r>
              <w:rPr>
                <w:rFonts w:ascii="宋体" w:hAnsi="宋体"/>
                <w:snapToGrid w:val="0"/>
                <w:kern w:val="0"/>
                <w:szCs w:val="21"/>
              </w:rPr>
              <w:t>84.93</w:t>
            </w:r>
          </w:p>
        </w:tc>
        <w:tc>
          <w:tcPr>
            <w:tcW w:w="705" w:type="dxa"/>
            <w:vAlign w:val="center"/>
          </w:tcPr>
          <w:p>
            <w:pPr>
              <w:suppressAutoHyphens/>
              <w:rPr>
                <w:rFonts w:ascii="宋体" w:hAnsi="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9" w:type="dxa"/>
            <w:vMerge w:val="continue"/>
            <w:vAlign w:val="center"/>
          </w:tcPr>
          <w:p>
            <w:pPr>
              <w:suppressAutoHyphens/>
              <w:rPr>
                <w:rFonts w:ascii="宋体" w:hAnsi="宋体"/>
                <w:snapToGrid w:val="0"/>
                <w:kern w:val="0"/>
                <w:szCs w:val="21"/>
              </w:rPr>
            </w:pPr>
          </w:p>
        </w:tc>
        <w:tc>
          <w:tcPr>
            <w:tcW w:w="1341" w:type="dxa"/>
            <w:vMerge w:val="continue"/>
            <w:vAlign w:val="center"/>
          </w:tcPr>
          <w:p>
            <w:pPr>
              <w:suppressAutoHyphens/>
              <w:rPr>
                <w:rFonts w:ascii="宋体" w:hAnsi="宋体"/>
                <w:snapToGrid w:val="0"/>
                <w:kern w:val="0"/>
                <w:szCs w:val="21"/>
              </w:rPr>
            </w:pPr>
          </w:p>
        </w:tc>
        <w:tc>
          <w:tcPr>
            <w:tcW w:w="3149" w:type="dxa"/>
            <w:vAlign w:val="center"/>
          </w:tcPr>
          <w:p>
            <w:pPr>
              <w:suppressAutoHyphens/>
              <w:rPr>
                <w:rFonts w:ascii="宋体" w:hAnsi="宋体"/>
                <w:snapToGrid w:val="0"/>
                <w:kern w:val="0"/>
                <w:szCs w:val="21"/>
              </w:rPr>
            </w:pPr>
            <w:r>
              <w:rPr>
                <w:rFonts w:ascii="宋体" w:hAnsi="宋体"/>
                <w:snapToGrid w:val="0"/>
                <w:kern w:val="0"/>
                <w:szCs w:val="21"/>
              </w:rPr>
              <w:t>废气风机</w:t>
            </w:r>
          </w:p>
          <w:p>
            <w:pPr>
              <w:suppressAutoHyphens/>
              <w:rPr>
                <w:rFonts w:ascii="宋体" w:hAnsi="宋体"/>
                <w:snapToGrid w:val="0"/>
                <w:kern w:val="0"/>
                <w:szCs w:val="21"/>
              </w:rPr>
            </w:pPr>
            <w:r>
              <w:rPr>
                <w:rFonts w:ascii="宋体" w:hAnsi="宋体"/>
                <w:snapToGrid w:val="0"/>
                <w:kern w:val="0"/>
                <w:szCs w:val="21"/>
              </w:rPr>
              <w:t>处理风量:480000m3/h</w:t>
            </w:r>
          </w:p>
          <w:p>
            <w:pPr>
              <w:suppressAutoHyphens/>
              <w:rPr>
                <w:rFonts w:ascii="宋体" w:hAnsi="宋体"/>
                <w:snapToGrid w:val="0"/>
                <w:kern w:val="0"/>
                <w:szCs w:val="21"/>
              </w:rPr>
            </w:pPr>
            <w:r>
              <w:rPr>
                <w:rFonts w:ascii="宋体" w:hAnsi="宋体"/>
                <w:snapToGrid w:val="0"/>
                <w:kern w:val="0"/>
                <w:szCs w:val="21"/>
              </w:rPr>
              <w:t>全压:</w:t>
            </w:r>
            <w:r>
              <w:rPr>
                <w:rFonts w:ascii="宋体" w:hAnsi="宋体"/>
                <w:snapToGrid w:val="0"/>
                <w:kern w:val="0"/>
                <w:szCs w:val="21"/>
              </w:rPr>
              <w:tab/>
            </w:r>
            <w:r>
              <w:rPr>
                <w:rFonts w:ascii="宋体" w:hAnsi="宋体"/>
                <w:snapToGrid w:val="0"/>
                <w:kern w:val="0"/>
                <w:szCs w:val="21"/>
              </w:rPr>
              <w:tab/>
            </w:r>
            <w:r>
              <w:rPr>
                <w:rFonts w:ascii="宋体" w:hAnsi="宋体"/>
                <w:snapToGrid w:val="0"/>
                <w:kern w:val="0"/>
                <w:szCs w:val="21"/>
              </w:rPr>
              <w:t>1800Pa</w:t>
            </w:r>
          </w:p>
          <w:p>
            <w:pPr>
              <w:suppressAutoHyphens/>
              <w:rPr>
                <w:rFonts w:ascii="宋体" w:hAnsi="宋体"/>
                <w:snapToGrid w:val="0"/>
                <w:kern w:val="0"/>
                <w:szCs w:val="21"/>
              </w:rPr>
            </w:pPr>
            <w:r>
              <w:rPr>
                <w:rFonts w:ascii="宋体" w:hAnsi="宋体"/>
                <w:snapToGrid w:val="0"/>
                <w:kern w:val="0"/>
                <w:szCs w:val="21"/>
              </w:rPr>
              <w:t>电机功率:</w:t>
            </w:r>
            <w:r>
              <w:rPr>
                <w:rFonts w:ascii="宋体" w:hAnsi="宋体"/>
                <w:snapToGrid w:val="0"/>
                <w:kern w:val="0"/>
                <w:szCs w:val="21"/>
              </w:rPr>
              <w:tab/>
            </w:r>
            <w:r>
              <w:rPr>
                <w:rFonts w:ascii="宋体" w:hAnsi="宋体"/>
                <w:snapToGrid w:val="0"/>
                <w:kern w:val="0"/>
                <w:szCs w:val="21"/>
              </w:rPr>
              <w:t>400kW</w:t>
            </w:r>
          </w:p>
        </w:tc>
        <w:tc>
          <w:tcPr>
            <w:tcW w:w="1104" w:type="dxa"/>
            <w:vAlign w:val="center"/>
          </w:tcPr>
          <w:p>
            <w:pPr>
              <w:suppressAutoHyphens/>
              <w:rPr>
                <w:rFonts w:ascii="宋体" w:hAnsi="宋体"/>
                <w:snapToGrid w:val="0"/>
                <w:kern w:val="0"/>
                <w:szCs w:val="21"/>
              </w:rPr>
            </w:pPr>
          </w:p>
        </w:tc>
        <w:tc>
          <w:tcPr>
            <w:tcW w:w="513" w:type="dxa"/>
            <w:vAlign w:val="center"/>
          </w:tcPr>
          <w:p>
            <w:pPr>
              <w:suppressAutoHyphens/>
              <w:jc w:val="center"/>
              <w:rPr>
                <w:rFonts w:ascii="宋体" w:hAnsi="宋体"/>
                <w:snapToGrid w:val="0"/>
                <w:kern w:val="0"/>
                <w:szCs w:val="21"/>
              </w:rPr>
            </w:pPr>
            <w:r>
              <w:rPr>
                <w:rFonts w:ascii="宋体" w:hAnsi="宋体"/>
                <w:snapToGrid w:val="0"/>
                <w:kern w:val="0"/>
                <w:szCs w:val="21"/>
              </w:rPr>
              <w:t>1</w:t>
            </w:r>
          </w:p>
        </w:tc>
        <w:tc>
          <w:tcPr>
            <w:tcW w:w="1174" w:type="dxa"/>
            <w:vMerge w:val="continue"/>
            <w:vAlign w:val="center"/>
          </w:tcPr>
          <w:p>
            <w:pPr>
              <w:suppressAutoHyphens/>
              <w:jc w:val="center"/>
              <w:rPr>
                <w:rFonts w:ascii="宋体" w:hAnsi="宋体"/>
                <w:snapToGrid w:val="0"/>
                <w:kern w:val="0"/>
                <w:szCs w:val="21"/>
              </w:rPr>
            </w:pPr>
          </w:p>
        </w:tc>
        <w:tc>
          <w:tcPr>
            <w:tcW w:w="705" w:type="dxa"/>
            <w:vAlign w:val="center"/>
          </w:tcPr>
          <w:p>
            <w:pPr>
              <w:suppressAutoHyphens/>
              <w:rPr>
                <w:rFonts w:ascii="宋体" w:hAnsi="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9" w:type="dxa"/>
            <w:vMerge w:val="continue"/>
            <w:vAlign w:val="center"/>
          </w:tcPr>
          <w:p>
            <w:pPr>
              <w:suppressAutoHyphens/>
              <w:rPr>
                <w:rFonts w:ascii="宋体" w:hAnsi="宋体"/>
                <w:snapToGrid w:val="0"/>
                <w:kern w:val="0"/>
                <w:szCs w:val="21"/>
              </w:rPr>
            </w:pPr>
          </w:p>
        </w:tc>
        <w:tc>
          <w:tcPr>
            <w:tcW w:w="1341" w:type="dxa"/>
            <w:vMerge w:val="continue"/>
            <w:vAlign w:val="center"/>
          </w:tcPr>
          <w:p>
            <w:pPr>
              <w:suppressAutoHyphens/>
              <w:rPr>
                <w:rFonts w:ascii="宋体" w:hAnsi="宋体"/>
                <w:snapToGrid w:val="0"/>
                <w:kern w:val="0"/>
                <w:szCs w:val="21"/>
              </w:rPr>
            </w:pPr>
          </w:p>
        </w:tc>
        <w:tc>
          <w:tcPr>
            <w:tcW w:w="3149" w:type="dxa"/>
            <w:vAlign w:val="center"/>
          </w:tcPr>
          <w:p>
            <w:pPr>
              <w:suppressAutoHyphens/>
              <w:rPr>
                <w:rFonts w:ascii="宋体" w:hAnsi="宋体"/>
                <w:snapToGrid w:val="0"/>
                <w:kern w:val="0"/>
                <w:szCs w:val="21"/>
              </w:rPr>
            </w:pPr>
            <w:r>
              <w:rPr>
                <w:rFonts w:ascii="宋体" w:hAnsi="宋体"/>
                <w:snapToGrid w:val="0"/>
                <w:kern w:val="0"/>
                <w:szCs w:val="21"/>
              </w:rPr>
              <w:t>五级旋风预热器及分解炉系统:</w:t>
            </w:r>
          </w:p>
          <w:p>
            <w:pPr>
              <w:suppressAutoHyphens/>
              <w:rPr>
                <w:rFonts w:ascii="宋体" w:hAnsi="宋体"/>
                <w:snapToGrid w:val="0"/>
                <w:kern w:val="0"/>
                <w:szCs w:val="21"/>
              </w:rPr>
            </w:pPr>
            <w:r>
              <w:rPr>
                <w:rFonts w:ascii="宋体" w:hAnsi="宋体"/>
                <w:snapToGrid w:val="0"/>
                <w:kern w:val="0"/>
                <w:szCs w:val="21"/>
              </w:rPr>
              <w:t>CDCS2535</w:t>
            </w:r>
          </w:p>
          <w:p>
            <w:pPr>
              <w:suppressAutoHyphens/>
              <w:rPr>
                <w:rFonts w:ascii="宋体" w:hAnsi="宋体"/>
                <w:snapToGrid w:val="0"/>
                <w:kern w:val="0"/>
                <w:szCs w:val="21"/>
              </w:rPr>
            </w:pPr>
            <w:r>
              <w:rPr>
                <w:rFonts w:ascii="宋体" w:hAnsi="宋体"/>
                <w:snapToGrid w:val="0"/>
                <w:kern w:val="0"/>
                <w:szCs w:val="21"/>
              </w:rPr>
              <w:t>C1:</w:t>
            </w:r>
            <w:r>
              <w:rPr>
                <w:rFonts w:ascii="宋体" w:hAnsi="宋体"/>
                <w:snapToGrid w:val="0"/>
                <w:kern w:val="0"/>
                <w:szCs w:val="21"/>
              </w:rPr>
              <w:tab/>
            </w:r>
            <w:r>
              <w:rPr>
                <w:rFonts w:ascii="宋体" w:hAnsi="宋体"/>
                <w:snapToGrid w:val="0"/>
                <w:kern w:val="0"/>
                <w:szCs w:val="21"/>
              </w:rPr>
              <w:tab/>
            </w:r>
            <w:r>
              <w:rPr>
                <w:rFonts w:ascii="宋体" w:hAnsi="宋体"/>
                <w:snapToGrid w:val="0"/>
                <w:kern w:val="0"/>
                <w:szCs w:val="21"/>
              </w:rPr>
              <w:t>2-Φ4300mm</w:t>
            </w:r>
          </w:p>
          <w:p>
            <w:pPr>
              <w:suppressAutoHyphens/>
              <w:rPr>
                <w:rFonts w:ascii="宋体" w:hAnsi="宋体"/>
                <w:snapToGrid w:val="0"/>
                <w:kern w:val="0"/>
                <w:szCs w:val="21"/>
              </w:rPr>
            </w:pPr>
            <w:r>
              <w:rPr>
                <w:rFonts w:ascii="宋体" w:hAnsi="宋体"/>
                <w:snapToGrid w:val="0"/>
                <w:kern w:val="0"/>
                <w:szCs w:val="21"/>
              </w:rPr>
              <w:t>C2:</w:t>
            </w:r>
            <w:r>
              <w:rPr>
                <w:rFonts w:ascii="宋体" w:hAnsi="宋体"/>
                <w:snapToGrid w:val="0"/>
                <w:kern w:val="0"/>
                <w:szCs w:val="21"/>
              </w:rPr>
              <w:tab/>
            </w:r>
            <w:r>
              <w:rPr>
                <w:rFonts w:ascii="宋体" w:hAnsi="宋体"/>
                <w:snapToGrid w:val="0"/>
                <w:kern w:val="0"/>
                <w:szCs w:val="21"/>
              </w:rPr>
              <w:tab/>
            </w:r>
            <w:r>
              <w:rPr>
                <w:rFonts w:ascii="宋体" w:hAnsi="宋体"/>
                <w:snapToGrid w:val="0"/>
                <w:kern w:val="0"/>
                <w:szCs w:val="21"/>
              </w:rPr>
              <w:t>1-Φ6500mm</w:t>
            </w:r>
          </w:p>
          <w:p>
            <w:pPr>
              <w:suppressAutoHyphens/>
              <w:rPr>
                <w:rFonts w:ascii="宋体" w:hAnsi="宋体"/>
                <w:snapToGrid w:val="0"/>
                <w:kern w:val="0"/>
                <w:szCs w:val="21"/>
              </w:rPr>
            </w:pPr>
            <w:r>
              <w:rPr>
                <w:rFonts w:ascii="宋体" w:hAnsi="宋体"/>
                <w:snapToGrid w:val="0"/>
                <w:kern w:val="0"/>
                <w:szCs w:val="21"/>
              </w:rPr>
              <w:t>C3:</w:t>
            </w:r>
            <w:r>
              <w:rPr>
                <w:rFonts w:ascii="宋体" w:hAnsi="宋体"/>
                <w:snapToGrid w:val="0"/>
                <w:kern w:val="0"/>
                <w:szCs w:val="21"/>
              </w:rPr>
              <w:tab/>
            </w:r>
            <w:r>
              <w:rPr>
                <w:rFonts w:ascii="宋体" w:hAnsi="宋体"/>
                <w:snapToGrid w:val="0"/>
                <w:kern w:val="0"/>
                <w:szCs w:val="21"/>
              </w:rPr>
              <w:tab/>
            </w:r>
            <w:r>
              <w:rPr>
                <w:rFonts w:ascii="宋体" w:hAnsi="宋体"/>
                <w:snapToGrid w:val="0"/>
                <w:kern w:val="0"/>
                <w:szCs w:val="21"/>
              </w:rPr>
              <w:t>1-Φ6500mm</w:t>
            </w:r>
          </w:p>
          <w:p>
            <w:pPr>
              <w:suppressAutoHyphens/>
              <w:rPr>
                <w:rFonts w:ascii="宋体" w:hAnsi="宋体"/>
                <w:snapToGrid w:val="0"/>
                <w:kern w:val="0"/>
                <w:szCs w:val="21"/>
              </w:rPr>
            </w:pPr>
            <w:r>
              <w:rPr>
                <w:rFonts w:ascii="宋体" w:hAnsi="宋体"/>
                <w:snapToGrid w:val="0"/>
                <w:kern w:val="0"/>
                <w:szCs w:val="21"/>
              </w:rPr>
              <w:t>C4:</w:t>
            </w:r>
            <w:r>
              <w:rPr>
                <w:rFonts w:ascii="宋体" w:hAnsi="宋体"/>
                <w:snapToGrid w:val="0"/>
                <w:kern w:val="0"/>
                <w:szCs w:val="21"/>
              </w:rPr>
              <w:tab/>
            </w:r>
            <w:r>
              <w:rPr>
                <w:rFonts w:ascii="宋体" w:hAnsi="宋体"/>
                <w:snapToGrid w:val="0"/>
                <w:kern w:val="0"/>
                <w:szCs w:val="21"/>
              </w:rPr>
              <w:tab/>
            </w:r>
            <w:r>
              <w:rPr>
                <w:rFonts w:ascii="宋体" w:hAnsi="宋体"/>
                <w:snapToGrid w:val="0"/>
                <w:kern w:val="0"/>
                <w:szCs w:val="21"/>
              </w:rPr>
              <w:t>1-Φ7100mm</w:t>
            </w:r>
          </w:p>
          <w:p>
            <w:pPr>
              <w:suppressAutoHyphens/>
              <w:rPr>
                <w:rFonts w:ascii="宋体" w:hAnsi="宋体"/>
                <w:snapToGrid w:val="0"/>
                <w:kern w:val="0"/>
                <w:szCs w:val="21"/>
              </w:rPr>
            </w:pPr>
            <w:r>
              <w:rPr>
                <w:rFonts w:ascii="宋体" w:hAnsi="宋体"/>
                <w:snapToGrid w:val="0"/>
                <w:kern w:val="0"/>
                <w:szCs w:val="21"/>
              </w:rPr>
              <w:t>C5:</w:t>
            </w:r>
            <w:r>
              <w:rPr>
                <w:rFonts w:ascii="宋体" w:hAnsi="宋体"/>
                <w:snapToGrid w:val="0"/>
                <w:kern w:val="0"/>
                <w:szCs w:val="21"/>
              </w:rPr>
              <w:tab/>
            </w:r>
            <w:r>
              <w:rPr>
                <w:rFonts w:ascii="宋体" w:hAnsi="宋体"/>
                <w:snapToGrid w:val="0"/>
                <w:kern w:val="0"/>
                <w:szCs w:val="21"/>
              </w:rPr>
              <w:tab/>
            </w:r>
            <w:r>
              <w:rPr>
                <w:rFonts w:ascii="宋体" w:hAnsi="宋体"/>
                <w:snapToGrid w:val="0"/>
                <w:kern w:val="0"/>
                <w:szCs w:val="21"/>
              </w:rPr>
              <w:t>1-Φ7100mm</w:t>
            </w:r>
          </w:p>
          <w:p>
            <w:pPr>
              <w:suppressAutoHyphens/>
              <w:rPr>
                <w:rFonts w:ascii="宋体" w:hAnsi="宋体"/>
                <w:snapToGrid w:val="0"/>
                <w:kern w:val="0"/>
                <w:szCs w:val="21"/>
              </w:rPr>
            </w:pPr>
            <w:r>
              <w:rPr>
                <w:rFonts w:ascii="宋体" w:hAnsi="宋体"/>
                <w:snapToGrid w:val="0"/>
                <w:kern w:val="0"/>
                <w:szCs w:val="21"/>
              </w:rPr>
              <w:t>分解炉:</w:t>
            </w:r>
            <w:r>
              <w:rPr>
                <w:rFonts w:ascii="宋体" w:hAnsi="宋体"/>
                <w:snapToGrid w:val="0"/>
                <w:kern w:val="0"/>
                <w:szCs w:val="21"/>
              </w:rPr>
              <w:tab/>
            </w:r>
            <w:r>
              <w:rPr>
                <w:rFonts w:ascii="宋体" w:hAnsi="宋体"/>
                <w:snapToGrid w:val="0"/>
                <w:kern w:val="0"/>
                <w:szCs w:val="21"/>
              </w:rPr>
              <w:t>Φ6300 mm</w:t>
            </w:r>
          </w:p>
        </w:tc>
        <w:tc>
          <w:tcPr>
            <w:tcW w:w="1104" w:type="dxa"/>
            <w:vAlign w:val="center"/>
          </w:tcPr>
          <w:p>
            <w:pPr>
              <w:suppressAutoHyphens/>
              <w:rPr>
                <w:rFonts w:ascii="宋体" w:hAnsi="宋体"/>
                <w:snapToGrid w:val="0"/>
                <w:kern w:val="0"/>
                <w:szCs w:val="21"/>
              </w:rPr>
            </w:pPr>
            <w:r>
              <w:rPr>
                <w:rFonts w:ascii="宋体" w:hAnsi="宋体"/>
                <w:snapToGrid w:val="0"/>
                <w:kern w:val="0"/>
                <w:szCs w:val="21"/>
              </w:rPr>
              <w:t>104.17</w:t>
            </w:r>
          </w:p>
        </w:tc>
        <w:tc>
          <w:tcPr>
            <w:tcW w:w="513" w:type="dxa"/>
            <w:vAlign w:val="center"/>
          </w:tcPr>
          <w:p>
            <w:pPr>
              <w:suppressAutoHyphens/>
              <w:jc w:val="center"/>
              <w:rPr>
                <w:rFonts w:ascii="宋体" w:hAnsi="宋体"/>
                <w:snapToGrid w:val="0"/>
                <w:kern w:val="0"/>
                <w:szCs w:val="21"/>
              </w:rPr>
            </w:pPr>
            <w:r>
              <w:rPr>
                <w:rFonts w:ascii="宋体" w:hAnsi="宋体"/>
                <w:snapToGrid w:val="0"/>
                <w:kern w:val="0"/>
                <w:szCs w:val="21"/>
              </w:rPr>
              <w:t>1</w:t>
            </w:r>
          </w:p>
        </w:tc>
        <w:tc>
          <w:tcPr>
            <w:tcW w:w="1174" w:type="dxa"/>
            <w:vMerge w:val="continue"/>
            <w:vAlign w:val="center"/>
          </w:tcPr>
          <w:p>
            <w:pPr>
              <w:suppressAutoHyphens/>
              <w:jc w:val="center"/>
              <w:rPr>
                <w:rFonts w:ascii="宋体" w:hAnsi="宋体"/>
                <w:snapToGrid w:val="0"/>
                <w:kern w:val="0"/>
                <w:szCs w:val="21"/>
              </w:rPr>
            </w:pPr>
          </w:p>
        </w:tc>
        <w:tc>
          <w:tcPr>
            <w:tcW w:w="705" w:type="dxa"/>
            <w:vAlign w:val="center"/>
          </w:tcPr>
          <w:p>
            <w:pPr>
              <w:suppressAutoHyphens/>
              <w:rPr>
                <w:rFonts w:ascii="宋体" w:hAnsi="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9" w:type="dxa"/>
            <w:vAlign w:val="center"/>
          </w:tcPr>
          <w:p>
            <w:pPr>
              <w:suppressAutoHyphens/>
              <w:rPr>
                <w:rFonts w:ascii="宋体" w:hAnsi="宋体"/>
                <w:snapToGrid w:val="0"/>
                <w:kern w:val="0"/>
                <w:szCs w:val="21"/>
              </w:rPr>
            </w:pPr>
            <w:r>
              <w:rPr>
                <w:rFonts w:ascii="宋体" w:hAnsi="宋体"/>
                <w:snapToGrid w:val="0"/>
                <w:kern w:val="0"/>
                <w:szCs w:val="21"/>
              </w:rPr>
              <w:t>9</w:t>
            </w:r>
          </w:p>
        </w:tc>
        <w:tc>
          <w:tcPr>
            <w:tcW w:w="1341" w:type="dxa"/>
            <w:vAlign w:val="center"/>
          </w:tcPr>
          <w:p>
            <w:pPr>
              <w:suppressAutoHyphens/>
              <w:rPr>
                <w:rFonts w:ascii="宋体" w:hAnsi="宋体"/>
                <w:snapToGrid w:val="0"/>
                <w:kern w:val="0"/>
                <w:szCs w:val="21"/>
              </w:rPr>
            </w:pPr>
            <w:r>
              <w:rPr>
                <w:rFonts w:ascii="宋体" w:hAnsi="宋体"/>
                <w:snapToGrid w:val="0"/>
                <w:kern w:val="0"/>
                <w:szCs w:val="21"/>
              </w:rPr>
              <w:t>窑  中</w:t>
            </w:r>
          </w:p>
        </w:tc>
        <w:tc>
          <w:tcPr>
            <w:tcW w:w="3149" w:type="dxa"/>
            <w:vAlign w:val="center"/>
          </w:tcPr>
          <w:p>
            <w:pPr>
              <w:suppressAutoHyphens/>
              <w:rPr>
                <w:rFonts w:ascii="宋体" w:hAnsi="宋体"/>
                <w:snapToGrid w:val="0"/>
                <w:kern w:val="0"/>
                <w:szCs w:val="21"/>
              </w:rPr>
            </w:pPr>
            <w:r>
              <w:rPr>
                <w:rFonts w:ascii="宋体" w:hAnsi="宋体"/>
                <w:snapToGrid w:val="0"/>
                <w:kern w:val="0"/>
                <w:szCs w:val="21"/>
              </w:rPr>
              <w:t>回转窑:</w:t>
            </w:r>
            <w:r>
              <w:rPr>
                <w:rFonts w:ascii="宋体" w:hAnsi="宋体"/>
                <w:snapToGrid w:val="0"/>
                <w:kern w:val="0"/>
                <w:szCs w:val="21"/>
              </w:rPr>
              <w:tab/>
            </w:r>
            <w:r>
              <w:rPr>
                <w:rFonts w:ascii="宋体" w:hAnsi="宋体"/>
                <w:snapToGrid w:val="0"/>
                <w:kern w:val="0"/>
                <w:szCs w:val="21"/>
              </w:rPr>
              <w:t xml:space="preserve">Φ4×60m </w:t>
            </w:r>
          </w:p>
          <w:p>
            <w:pPr>
              <w:suppressAutoHyphens/>
              <w:rPr>
                <w:rFonts w:ascii="宋体" w:hAnsi="宋体"/>
                <w:snapToGrid w:val="0"/>
                <w:kern w:val="0"/>
                <w:szCs w:val="21"/>
              </w:rPr>
            </w:pPr>
            <w:r>
              <w:rPr>
                <w:rFonts w:ascii="宋体" w:hAnsi="宋体"/>
                <w:snapToGrid w:val="0"/>
                <w:kern w:val="0"/>
                <w:szCs w:val="21"/>
              </w:rPr>
              <w:t>斜度:</w:t>
            </w:r>
            <w:r>
              <w:rPr>
                <w:rFonts w:ascii="宋体" w:hAnsi="宋体"/>
                <w:snapToGrid w:val="0"/>
                <w:kern w:val="0"/>
                <w:szCs w:val="21"/>
              </w:rPr>
              <w:tab/>
            </w:r>
            <w:r>
              <w:rPr>
                <w:rFonts w:ascii="宋体" w:hAnsi="宋体"/>
                <w:snapToGrid w:val="0"/>
                <w:kern w:val="0"/>
                <w:szCs w:val="21"/>
              </w:rPr>
              <w:tab/>
            </w:r>
            <w:r>
              <w:rPr>
                <w:rFonts w:ascii="宋体" w:hAnsi="宋体"/>
                <w:snapToGrid w:val="0"/>
                <w:kern w:val="0"/>
                <w:szCs w:val="21"/>
              </w:rPr>
              <w:t>3.5%</w:t>
            </w:r>
          </w:p>
          <w:p>
            <w:pPr>
              <w:suppressAutoHyphens/>
              <w:rPr>
                <w:rFonts w:ascii="宋体" w:hAnsi="宋体"/>
                <w:snapToGrid w:val="0"/>
                <w:kern w:val="0"/>
                <w:szCs w:val="21"/>
              </w:rPr>
            </w:pPr>
            <w:r>
              <w:rPr>
                <w:rFonts w:ascii="宋体" w:hAnsi="宋体"/>
                <w:snapToGrid w:val="0"/>
                <w:kern w:val="0"/>
                <w:szCs w:val="21"/>
              </w:rPr>
              <w:t>转速:</w:t>
            </w:r>
            <w:r>
              <w:rPr>
                <w:rFonts w:ascii="宋体" w:hAnsi="宋体"/>
                <w:snapToGrid w:val="0"/>
                <w:kern w:val="0"/>
                <w:szCs w:val="21"/>
              </w:rPr>
              <w:tab/>
            </w:r>
            <w:r>
              <w:rPr>
                <w:rFonts w:ascii="宋体" w:hAnsi="宋体"/>
                <w:snapToGrid w:val="0"/>
                <w:kern w:val="0"/>
                <w:szCs w:val="21"/>
              </w:rPr>
              <w:tab/>
            </w:r>
            <w:r>
              <w:rPr>
                <w:rFonts w:ascii="宋体" w:hAnsi="宋体"/>
                <w:snapToGrid w:val="0"/>
                <w:kern w:val="0"/>
                <w:szCs w:val="21"/>
              </w:rPr>
              <w:t>0.40-4.05r/min</w:t>
            </w:r>
          </w:p>
          <w:p>
            <w:pPr>
              <w:suppressAutoHyphens/>
              <w:rPr>
                <w:rFonts w:ascii="宋体" w:hAnsi="宋体"/>
                <w:snapToGrid w:val="0"/>
                <w:kern w:val="0"/>
                <w:szCs w:val="21"/>
              </w:rPr>
            </w:pPr>
            <w:r>
              <w:rPr>
                <w:rFonts w:ascii="宋体" w:hAnsi="宋体"/>
                <w:snapToGrid w:val="0"/>
                <w:kern w:val="0"/>
                <w:szCs w:val="21"/>
              </w:rPr>
              <w:t>电机功率:</w:t>
            </w:r>
            <w:r>
              <w:rPr>
                <w:rFonts w:ascii="宋体" w:hAnsi="宋体"/>
                <w:snapToGrid w:val="0"/>
                <w:kern w:val="0"/>
                <w:szCs w:val="21"/>
              </w:rPr>
              <w:tab/>
            </w:r>
            <w:r>
              <w:rPr>
                <w:rFonts w:ascii="宋体" w:hAnsi="宋体"/>
                <w:snapToGrid w:val="0"/>
                <w:kern w:val="0"/>
                <w:szCs w:val="21"/>
              </w:rPr>
              <w:t>315kW(DC)</w:t>
            </w:r>
          </w:p>
        </w:tc>
        <w:tc>
          <w:tcPr>
            <w:tcW w:w="1104" w:type="dxa"/>
            <w:vAlign w:val="center"/>
          </w:tcPr>
          <w:p>
            <w:pPr>
              <w:suppressAutoHyphens/>
              <w:rPr>
                <w:rFonts w:ascii="宋体" w:hAnsi="宋体"/>
                <w:snapToGrid w:val="0"/>
                <w:kern w:val="0"/>
                <w:szCs w:val="21"/>
              </w:rPr>
            </w:pPr>
            <w:r>
              <w:rPr>
                <w:rFonts w:ascii="宋体" w:hAnsi="宋体"/>
                <w:snapToGrid w:val="0"/>
                <w:kern w:val="0"/>
                <w:szCs w:val="21"/>
              </w:rPr>
              <w:t>104.17</w:t>
            </w:r>
          </w:p>
        </w:tc>
        <w:tc>
          <w:tcPr>
            <w:tcW w:w="513" w:type="dxa"/>
            <w:vAlign w:val="center"/>
          </w:tcPr>
          <w:p>
            <w:pPr>
              <w:suppressAutoHyphens/>
              <w:rPr>
                <w:rFonts w:ascii="宋体" w:hAnsi="宋体"/>
                <w:snapToGrid w:val="0"/>
                <w:kern w:val="0"/>
                <w:szCs w:val="21"/>
              </w:rPr>
            </w:pPr>
            <w:r>
              <w:rPr>
                <w:rFonts w:ascii="宋体" w:hAnsi="宋体"/>
                <w:snapToGrid w:val="0"/>
                <w:kern w:val="0"/>
                <w:szCs w:val="21"/>
              </w:rPr>
              <w:t>1</w:t>
            </w:r>
          </w:p>
        </w:tc>
        <w:tc>
          <w:tcPr>
            <w:tcW w:w="1174" w:type="dxa"/>
            <w:vMerge w:val="continue"/>
            <w:vAlign w:val="center"/>
          </w:tcPr>
          <w:p>
            <w:pPr>
              <w:suppressAutoHyphens/>
              <w:jc w:val="center"/>
              <w:rPr>
                <w:rFonts w:ascii="宋体" w:hAnsi="宋体"/>
                <w:snapToGrid w:val="0"/>
                <w:kern w:val="0"/>
                <w:szCs w:val="21"/>
              </w:rPr>
            </w:pPr>
          </w:p>
        </w:tc>
        <w:tc>
          <w:tcPr>
            <w:tcW w:w="705" w:type="dxa"/>
            <w:vAlign w:val="center"/>
          </w:tcPr>
          <w:p>
            <w:pPr>
              <w:suppressAutoHyphens/>
              <w:rPr>
                <w:rFonts w:ascii="宋体" w:hAnsi="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9" w:type="dxa"/>
            <w:vAlign w:val="center"/>
          </w:tcPr>
          <w:p>
            <w:pPr>
              <w:suppressAutoHyphens/>
              <w:rPr>
                <w:rFonts w:ascii="宋体" w:hAnsi="宋体"/>
                <w:snapToGrid w:val="0"/>
                <w:kern w:val="0"/>
                <w:szCs w:val="21"/>
              </w:rPr>
            </w:pPr>
            <w:r>
              <w:rPr>
                <w:rFonts w:ascii="宋体" w:hAnsi="宋体"/>
                <w:snapToGrid w:val="0"/>
                <w:kern w:val="0"/>
                <w:szCs w:val="21"/>
              </w:rPr>
              <w:t>10</w:t>
            </w:r>
          </w:p>
        </w:tc>
        <w:tc>
          <w:tcPr>
            <w:tcW w:w="1341" w:type="dxa"/>
            <w:vAlign w:val="center"/>
          </w:tcPr>
          <w:p>
            <w:pPr>
              <w:suppressAutoHyphens/>
              <w:rPr>
                <w:rFonts w:ascii="宋体" w:hAnsi="宋体"/>
                <w:snapToGrid w:val="0"/>
                <w:kern w:val="0"/>
                <w:szCs w:val="21"/>
              </w:rPr>
            </w:pPr>
            <w:r>
              <w:rPr>
                <w:rFonts w:ascii="宋体" w:hAnsi="宋体"/>
                <w:snapToGrid w:val="0"/>
                <w:kern w:val="0"/>
                <w:szCs w:val="21"/>
              </w:rPr>
              <w:t>窑头熟料</w:t>
            </w:r>
          </w:p>
          <w:p>
            <w:pPr>
              <w:suppressAutoHyphens/>
              <w:rPr>
                <w:rFonts w:ascii="宋体" w:hAnsi="宋体"/>
                <w:snapToGrid w:val="0"/>
                <w:kern w:val="0"/>
                <w:szCs w:val="21"/>
              </w:rPr>
            </w:pPr>
            <w:r>
              <w:rPr>
                <w:rFonts w:ascii="宋体" w:hAnsi="宋体"/>
                <w:snapToGrid w:val="0"/>
                <w:kern w:val="0"/>
                <w:szCs w:val="21"/>
              </w:rPr>
              <w:t>冷却</w:t>
            </w:r>
          </w:p>
        </w:tc>
        <w:tc>
          <w:tcPr>
            <w:tcW w:w="3149" w:type="dxa"/>
            <w:vAlign w:val="center"/>
          </w:tcPr>
          <w:p>
            <w:pPr>
              <w:suppressAutoHyphens/>
              <w:rPr>
                <w:rFonts w:ascii="宋体" w:hAnsi="宋体"/>
                <w:snapToGrid w:val="0"/>
                <w:kern w:val="0"/>
                <w:szCs w:val="21"/>
              </w:rPr>
            </w:pPr>
            <w:r>
              <w:rPr>
                <w:rFonts w:ascii="宋体" w:hAnsi="宋体"/>
                <w:snapToGrid w:val="0"/>
                <w:kern w:val="0"/>
                <w:szCs w:val="21"/>
              </w:rPr>
              <w:t>篦冷机：第三代空气梁</w:t>
            </w:r>
          </w:p>
          <w:p>
            <w:pPr>
              <w:suppressAutoHyphens/>
              <w:rPr>
                <w:rFonts w:ascii="宋体" w:hAnsi="宋体"/>
                <w:snapToGrid w:val="0"/>
                <w:kern w:val="0"/>
                <w:szCs w:val="21"/>
              </w:rPr>
            </w:pPr>
            <w:r>
              <w:rPr>
                <w:rFonts w:ascii="宋体" w:hAnsi="宋体"/>
                <w:snapToGrid w:val="0"/>
                <w:kern w:val="0"/>
                <w:szCs w:val="21"/>
              </w:rPr>
              <w:t>篦床有效面积:</w:t>
            </w:r>
            <w:r>
              <w:rPr>
                <w:rFonts w:ascii="宋体" w:hAnsi="宋体"/>
                <w:snapToGrid w:val="0"/>
                <w:kern w:val="0"/>
                <w:szCs w:val="21"/>
              </w:rPr>
              <w:tab/>
            </w:r>
            <w:r>
              <w:rPr>
                <w:rFonts w:ascii="宋体" w:hAnsi="宋体"/>
                <w:snapToGrid w:val="0"/>
                <w:kern w:val="0"/>
                <w:szCs w:val="21"/>
              </w:rPr>
              <w:t>61.8m2</w:t>
            </w:r>
          </w:p>
          <w:p>
            <w:pPr>
              <w:suppressAutoHyphens/>
              <w:rPr>
                <w:rFonts w:ascii="宋体" w:hAnsi="宋体"/>
                <w:snapToGrid w:val="0"/>
                <w:kern w:val="0"/>
                <w:szCs w:val="21"/>
              </w:rPr>
            </w:pPr>
            <w:r>
              <w:rPr>
                <w:rFonts w:ascii="宋体" w:hAnsi="宋体"/>
                <w:snapToGrid w:val="0"/>
                <w:kern w:val="0"/>
                <w:szCs w:val="21"/>
              </w:rPr>
              <w:t>出料温度:环境温度+65℃</w:t>
            </w:r>
          </w:p>
        </w:tc>
        <w:tc>
          <w:tcPr>
            <w:tcW w:w="1104" w:type="dxa"/>
            <w:vAlign w:val="center"/>
          </w:tcPr>
          <w:p>
            <w:pPr>
              <w:suppressAutoHyphens/>
              <w:rPr>
                <w:rFonts w:ascii="宋体" w:hAnsi="宋体"/>
                <w:snapToGrid w:val="0"/>
                <w:kern w:val="0"/>
                <w:szCs w:val="21"/>
              </w:rPr>
            </w:pPr>
            <w:r>
              <w:rPr>
                <w:rFonts w:ascii="宋体" w:hAnsi="宋体"/>
                <w:snapToGrid w:val="0"/>
                <w:kern w:val="0"/>
                <w:szCs w:val="21"/>
              </w:rPr>
              <w:t>104.17</w:t>
            </w:r>
          </w:p>
        </w:tc>
        <w:tc>
          <w:tcPr>
            <w:tcW w:w="513" w:type="dxa"/>
            <w:vAlign w:val="center"/>
          </w:tcPr>
          <w:p>
            <w:pPr>
              <w:suppressAutoHyphens/>
              <w:jc w:val="center"/>
              <w:rPr>
                <w:rFonts w:ascii="宋体" w:hAnsi="宋体"/>
                <w:snapToGrid w:val="0"/>
                <w:kern w:val="0"/>
                <w:szCs w:val="21"/>
              </w:rPr>
            </w:pPr>
            <w:r>
              <w:rPr>
                <w:rFonts w:ascii="宋体" w:hAnsi="宋体"/>
                <w:snapToGrid w:val="0"/>
                <w:kern w:val="0"/>
                <w:szCs w:val="21"/>
              </w:rPr>
              <w:t>1</w:t>
            </w:r>
          </w:p>
        </w:tc>
        <w:tc>
          <w:tcPr>
            <w:tcW w:w="1174" w:type="dxa"/>
            <w:vAlign w:val="center"/>
          </w:tcPr>
          <w:p>
            <w:pPr>
              <w:suppressAutoHyphens/>
              <w:jc w:val="center"/>
              <w:rPr>
                <w:rFonts w:ascii="宋体" w:hAnsi="宋体"/>
                <w:snapToGrid w:val="0"/>
                <w:kern w:val="0"/>
                <w:szCs w:val="21"/>
              </w:rPr>
            </w:pPr>
            <w:r>
              <w:rPr>
                <w:rFonts w:ascii="宋体" w:hAnsi="宋体"/>
                <w:snapToGrid w:val="0"/>
                <w:kern w:val="0"/>
                <w:szCs w:val="21"/>
              </w:rPr>
              <w:t>84.93</w:t>
            </w:r>
          </w:p>
        </w:tc>
        <w:tc>
          <w:tcPr>
            <w:tcW w:w="705" w:type="dxa"/>
            <w:vAlign w:val="center"/>
          </w:tcPr>
          <w:p>
            <w:pPr>
              <w:suppressAutoHyphens/>
              <w:rPr>
                <w:rFonts w:ascii="宋体" w:hAnsi="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9" w:type="dxa"/>
            <w:vAlign w:val="center"/>
          </w:tcPr>
          <w:p>
            <w:pPr>
              <w:suppressAutoHyphens/>
              <w:rPr>
                <w:rFonts w:ascii="宋体" w:hAnsi="宋体"/>
                <w:snapToGrid w:val="0"/>
                <w:kern w:val="0"/>
                <w:szCs w:val="21"/>
              </w:rPr>
            </w:pPr>
            <w:r>
              <w:rPr>
                <w:rFonts w:ascii="宋体" w:hAnsi="宋体"/>
                <w:snapToGrid w:val="0"/>
                <w:kern w:val="0"/>
                <w:szCs w:val="21"/>
              </w:rPr>
              <w:t>11</w:t>
            </w:r>
          </w:p>
        </w:tc>
        <w:tc>
          <w:tcPr>
            <w:tcW w:w="1341" w:type="dxa"/>
            <w:vAlign w:val="center"/>
          </w:tcPr>
          <w:p>
            <w:pPr>
              <w:suppressAutoHyphens/>
              <w:rPr>
                <w:rFonts w:ascii="宋体" w:hAnsi="宋体"/>
                <w:snapToGrid w:val="0"/>
                <w:kern w:val="0"/>
                <w:szCs w:val="21"/>
              </w:rPr>
            </w:pPr>
            <w:r>
              <w:rPr>
                <w:rFonts w:ascii="宋体" w:hAnsi="宋体"/>
                <w:snapToGrid w:val="0"/>
                <w:kern w:val="0"/>
                <w:szCs w:val="21"/>
              </w:rPr>
              <w:t>窑头废气</w:t>
            </w:r>
          </w:p>
          <w:p>
            <w:pPr>
              <w:suppressAutoHyphens/>
              <w:rPr>
                <w:rFonts w:ascii="宋体" w:hAnsi="宋体"/>
                <w:snapToGrid w:val="0"/>
                <w:kern w:val="0"/>
                <w:szCs w:val="21"/>
              </w:rPr>
            </w:pPr>
            <w:r>
              <w:rPr>
                <w:rFonts w:ascii="宋体" w:hAnsi="宋体"/>
                <w:snapToGrid w:val="0"/>
                <w:kern w:val="0"/>
                <w:szCs w:val="21"/>
              </w:rPr>
              <w:t>处理</w:t>
            </w:r>
          </w:p>
        </w:tc>
        <w:tc>
          <w:tcPr>
            <w:tcW w:w="3149" w:type="dxa"/>
            <w:vAlign w:val="center"/>
          </w:tcPr>
          <w:p>
            <w:pPr>
              <w:suppressAutoHyphens/>
              <w:rPr>
                <w:rFonts w:ascii="宋体" w:hAnsi="宋体"/>
                <w:snapToGrid w:val="0"/>
                <w:kern w:val="0"/>
                <w:szCs w:val="21"/>
              </w:rPr>
            </w:pPr>
            <w:r>
              <w:rPr>
                <w:rFonts w:ascii="宋体" w:hAnsi="宋体"/>
                <w:snapToGrid w:val="0"/>
                <w:kern w:val="0"/>
                <w:szCs w:val="21"/>
              </w:rPr>
              <w:t>电收尘器:</w:t>
            </w:r>
            <w:r>
              <w:rPr>
                <w:rFonts w:ascii="宋体" w:hAnsi="宋体"/>
                <w:snapToGrid w:val="0"/>
                <w:kern w:val="0"/>
                <w:szCs w:val="21"/>
              </w:rPr>
              <w:tab/>
            </w:r>
          </w:p>
          <w:p>
            <w:pPr>
              <w:suppressAutoHyphens/>
              <w:rPr>
                <w:rFonts w:ascii="宋体" w:hAnsi="宋体"/>
                <w:snapToGrid w:val="0"/>
                <w:kern w:val="0"/>
                <w:szCs w:val="21"/>
              </w:rPr>
            </w:pPr>
            <w:r>
              <w:rPr>
                <w:rFonts w:ascii="宋体" w:hAnsi="宋体"/>
                <w:snapToGrid w:val="0"/>
                <w:kern w:val="0"/>
                <w:szCs w:val="21"/>
              </w:rPr>
              <w:t>处理风量:</w:t>
            </w:r>
            <w:r>
              <w:rPr>
                <w:rFonts w:ascii="宋体" w:hAnsi="宋体"/>
                <w:snapToGrid w:val="0"/>
                <w:kern w:val="0"/>
                <w:szCs w:val="21"/>
              </w:rPr>
              <w:tab/>
            </w:r>
            <w:r>
              <w:rPr>
                <w:rFonts w:ascii="宋体" w:hAnsi="宋体"/>
                <w:snapToGrid w:val="0"/>
                <w:kern w:val="0"/>
                <w:szCs w:val="21"/>
              </w:rPr>
              <w:t>315000m3/h</w:t>
            </w:r>
          </w:p>
          <w:p>
            <w:pPr>
              <w:suppressAutoHyphens/>
              <w:rPr>
                <w:rFonts w:ascii="宋体" w:hAnsi="宋体"/>
                <w:snapToGrid w:val="0"/>
                <w:kern w:val="0"/>
                <w:szCs w:val="21"/>
              </w:rPr>
            </w:pPr>
            <w:r>
              <w:rPr>
                <w:rFonts w:ascii="宋体" w:hAnsi="宋体"/>
                <w:snapToGrid w:val="0"/>
                <w:kern w:val="0"/>
                <w:szCs w:val="21"/>
              </w:rPr>
              <w:t>出口浓度:</w:t>
            </w:r>
            <w:r>
              <w:rPr>
                <w:rFonts w:ascii="宋体" w:hAnsi="宋体"/>
                <w:snapToGrid w:val="0"/>
                <w:kern w:val="0"/>
                <w:szCs w:val="21"/>
              </w:rPr>
              <w:tab/>
            </w:r>
            <w:r>
              <w:rPr>
                <w:rFonts w:ascii="宋体" w:hAnsi="宋体"/>
                <w:snapToGrid w:val="0"/>
                <w:kern w:val="0"/>
                <w:szCs w:val="21"/>
              </w:rPr>
              <w:t>≤80mg/Nm3</w:t>
            </w:r>
          </w:p>
        </w:tc>
        <w:tc>
          <w:tcPr>
            <w:tcW w:w="1104" w:type="dxa"/>
            <w:vAlign w:val="center"/>
          </w:tcPr>
          <w:p>
            <w:pPr>
              <w:suppressAutoHyphens/>
              <w:rPr>
                <w:rFonts w:ascii="宋体" w:hAnsi="宋体"/>
                <w:snapToGrid w:val="0"/>
                <w:kern w:val="0"/>
                <w:szCs w:val="21"/>
              </w:rPr>
            </w:pPr>
          </w:p>
        </w:tc>
        <w:tc>
          <w:tcPr>
            <w:tcW w:w="513" w:type="dxa"/>
            <w:vAlign w:val="center"/>
          </w:tcPr>
          <w:p>
            <w:pPr>
              <w:suppressAutoHyphens/>
              <w:jc w:val="center"/>
              <w:rPr>
                <w:rFonts w:ascii="宋体" w:hAnsi="宋体"/>
                <w:snapToGrid w:val="0"/>
                <w:kern w:val="0"/>
                <w:szCs w:val="21"/>
              </w:rPr>
            </w:pPr>
            <w:r>
              <w:rPr>
                <w:rFonts w:ascii="宋体" w:hAnsi="宋体"/>
                <w:snapToGrid w:val="0"/>
                <w:kern w:val="0"/>
                <w:szCs w:val="21"/>
              </w:rPr>
              <w:t>1</w:t>
            </w:r>
          </w:p>
        </w:tc>
        <w:tc>
          <w:tcPr>
            <w:tcW w:w="1174" w:type="dxa"/>
            <w:vAlign w:val="center"/>
          </w:tcPr>
          <w:p>
            <w:pPr>
              <w:suppressAutoHyphens/>
              <w:jc w:val="center"/>
              <w:rPr>
                <w:rFonts w:ascii="宋体" w:hAnsi="宋体"/>
                <w:snapToGrid w:val="0"/>
                <w:kern w:val="0"/>
                <w:szCs w:val="21"/>
              </w:rPr>
            </w:pPr>
            <w:r>
              <w:rPr>
                <w:rFonts w:ascii="宋体" w:hAnsi="宋体"/>
                <w:snapToGrid w:val="0"/>
                <w:kern w:val="0"/>
                <w:szCs w:val="21"/>
              </w:rPr>
              <w:t>84.93</w:t>
            </w:r>
          </w:p>
        </w:tc>
        <w:tc>
          <w:tcPr>
            <w:tcW w:w="705" w:type="dxa"/>
            <w:vAlign w:val="center"/>
          </w:tcPr>
          <w:p>
            <w:pPr>
              <w:suppressAutoHyphens/>
              <w:rPr>
                <w:rFonts w:ascii="宋体" w:hAnsi="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9" w:type="dxa"/>
            <w:vAlign w:val="center"/>
          </w:tcPr>
          <w:p>
            <w:pPr>
              <w:suppressAutoHyphens/>
              <w:rPr>
                <w:rFonts w:ascii="宋体" w:hAnsi="宋体"/>
                <w:snapToGrid w:val="0"/>
                <w:kern w:val="0"/>
                <w:szCs w:val="21"/>
              </w:rPr>
            </w:pPr>
            <w:r>
              <w:rPr>
                <w:rFonts w:ascii="宋体" w:hAnsi="宋体"/>
                <w:snapToGrid w:val="0"/>
                <w:kern w:val="0"/>
                <w:szCs w:val="21"/>
              </w:rPr>
              <w:t>12</w:t>
            </w:r>
          </w:p>
        </w:tc>
        <w:tc>
          <w:tcPr>
            <w:tcW w:w="1341" w:type="dxa"/>
            <w:vAlign w:val="center"/>
          </w:tcPr>
          <w:p>
            <w:pPr>
              <w:suppressAutoHyphens/>
              <w:rPr>
                <w:rFonts w:ascii="宋体" w:hAnsi="宋体"/>
                <w:snapToGrid w:val="0"/>
                <w:kern w:val="0"/>
                <w:szCs w:val="21"/>
              </w:rPr>
            </w:pPr>
            <w:r>
              <w:rPr>
                <w:rFonts w:ascii="宋体" w:hAnsi="宋体"/>
                <w:snapToGrid w:val="0"/>
                <w:kern w:val="0"/>
                <w:szCs w:val="21"/>
              </w:rPr>
              <w:t>煤粉制备</w:t>
            </w:r>
          </w:p>
        </w:tc>
        <w:tc>
          <w:tcPr>
            <w:tcW w:w="3149" w:type="dxa"/>
            <w:vAlign w:val="center"/>
          </w:tcPr>
          <w:p>
            <w:pPr>
              <w:suppressAutoHyphens/>
              <w:rPr>
                <w:rFonts w:ascii="宋体" w:hAnsi="宋体"/>
                <w:snapToGrid w:val="0"/>
                <w:kern w:val="0"/>
                <w:szCs w:val="21"/>
              </w:rPr>
            </w:pPr>
            <w:r>
              <w:rPr>
                <w:rFonts w:ascii="宋体" w:hAnsi="宋体"/>
                <w:snapToGrid w:val="0"/>
                <w:kern w:val="0"/>
                <w:szCs w:val="21"/>
              </w:rPr>
              <w:t>立磨:</w:t>
            </w:r>
            <w:r>
              <w:rPr>
                <w:rFonts w:ascii="宋体" w:hAnsi="宋体"/>
                <w:snapToGrid w:val="0"/>
                <w:kern w:val="0"/>
                <w:szCs w:val="21"/>
              </w:rPr>
              <w:tab/>
            </w:r>
            <w:r>
              <w:rPr>
                <w:rFonts w:ascii="宋体" w:hAnsi="宋体"/>
                <w:snapToGrid w:val="0"/>
                <w:kern w:val="0"/>
                <w:szCs w:val="21"/>
              </w:rPr>
              <w:t>ZGM80G</w:t>
            </w:r>
          </w:p>
          <w:p>
            <w:pPr>
              <w:suppressAutoHyphens/>
              <w:rPr>
                <w:rFonts w:ascii="宋体" w:hAnsi="宋体"/>
                <w:snapToGrid w:val="0"/>
                <w:kern w:val="0"/>
                <w:szCs w:val="21"/>
              </w:rPr>
            </w:pPr>
            <w:r>
              <w:rPr>
                <w:rFonts w:ascii="宋体" w:hAnsi="宋体"/>
                <w:snapToGrid w:val="0"/>
                <w:kern w:val="0"/>
                <w:szCs w:val="21"/>
              </w:rPr>
              <w:t>入料水分:</w:t>
            </w:r>
            <w:r>
              <w:rPr>
                <w:rFonts w:ascii="宋体" w:hAnsi="宋体"/>
                <w:snapToGrid w:val="0"/>
                <w:kern w:val="0"/>
                <w:szCs w:val="21"/>
              </w:rPr>
              <w:tab/>
            </w:r>
            <w:r>
              <w:rPr>
                <w:rFonts w:ascii="宋体" w:hAnsi="宋体"/>
                <w:snapToGrid w:val="0"/>
                <w:kern w:val="0"/>
                <w:szCs w:val="21"/>
              </w:rPr>
              <w:t>≤18%</w:t>
            </w:r>
          </w:p>
          <w:p>
            <w:pPr>
              <w:suppressAutoHyphens/>
              <w:rPr>
                <w:rFonts w:ascii="宋体" w:hAnsi="宋体"/>
                <w:snapToGrid w:val="0"/>
                <w:kern w:val="0"/>
                <w:szCs w:val="21"/>
              </w:rPr>
            </w:pPr>
            <w:r>
              <w:rPr>
                <w:rFonts w:ascii="宋体" w:hAnsi="宋体"/>
                <w:snapToGrid w:val="0"/>
                <w:kern w:val="0"/>
                <w:szCs w:val="21"/>
              </w:rPr>
              <w:t>入料粒度:</w:t>
            </w:r>
            <w:r>
              <w:rPr>
                <w:rFonts w:ascii="宋体" w:hAnsi="宋体"/>
                <w:snapToGrid w:val="0"/>
                <w:kern w:val="0"/>
                <w:szCs w:val="21"/>
              </w:rPr>
              <w:tab/>
            </w:r>
            <w:r>
              <w:rPr>
                <w:rFonts w:ascii="宋体" w:hAnsi="宋体"/>
                <w:snapToGrid w:val="0"/>
                <w:kern w:val="0"/>
                <w:szCs w:val="21"/>
              </w:rPr>
              <w:t>≤40mm</w:t>
            </w:r>
          </w:p>
          <w:p>
            <w:pPr>
              <w:suppressAutoHyphens/>
              <w:rPr>
                <w:rFonts w:ascii="宋体" w:hAnsi="宋体"/>
                <w:snapToGrid w:val="0"/>
                <w:kern w:val="0"/>
                <w:szCs w:val="21"/>
              </w:rPr>
            </w:pPr>
            <w:r>
              <w:rPr>
                <w:rFonts w:ascii="宋体" w:hAnsi="宋体"/>
                <w:snapToGrid w:val="0"/>
                <w:kern w:val="0"/>
                <w:szCs w:val="21"/>
              </w:rPr>
              <w:t>出磨水分:</w:t>
            </w:r>
            <w:r>
              <w:rPr>
                <w:rFonts w:ascii="宋体" w:hAnsi="宋体"/>
                <w:snapToGrid w:val="0"/>
                <w:kern w:val="0"/>
                <w:szCs w:val="21"/>
              </w:rPr>
              <w:tab/>
            </w:r>
            <w:r>
              <w:rPr>
                <w:rFonts w:ascii="宋体" w:hAnsi="宋体"/>
                <w:snapToGrid w:val="0"/>
                <w:kern w:val="0"/>
                <w:szCs w:val="21"/>
              </w:rPr>
              <w:t>≤0.5%</w:t>
            </w:r>
          </w:p>
          <w:p>
            <w:pPr>
              <w:suppressAutoHyphens/>
              <w:rPr>
                <w:rFonts w:ascii="宋体" w:hAnsi="宋体"/>
                <w:snapToGrid w:val="0"/>
                <w:kern w:val="0"/>
                <w:szCs w:val="21"/>
              </w:rPr>
            </w:pPr>
            <w:r>
              <w:rPr>
                <w:rFonts w:ascii="宋体" w:hAnsi="宋体"/>
                <w:snapToGrid w:val="0"/>
                <w:kern w:val="0"/>
                <w:szCs w:val="21"/>
              </w:rPr>
              <w:t>出磨粒度:</w:t>
            </w:r>
            <w:r>
              <w:rPr>
                <w:rFonts w:ascii="宋体" w:hAnsi="宋体"/>
                <w:snapToGrid w:val="0"/>
                <w:kern w:val="0"/>
                <w:szCs w:val="21"/>
              </w:rPr>
              <w:tab/>
            </w:r>
            <w:r>
              <w:rPr>
                <w:rFonts w:ascii="宋体" w:hAnsi="宋体"/>
                <w:snapToGrid w:val="0"/>
                <w:kern w:val="0"/>
                <w:szCs w:val="21"/>
              </w:rPr>
              <w:t>0.08mm筛余8-10%</w:t>
            </w:r>
          </w:p>
          <w:p>
            <w:pPr>
              <w:suppressAutoHyphens/>
              <w:rPr>
                <w:rFonts w:ascii="宋体" w:hAnsi="宋体"/>
                <w:snapToGrid w:val="0"/>
                <w:kern w:val="0"/>
                <w:szCs w:val="21"/>
              </w:rPr>
            </w:pPr>
            <w:r>
              <w:rPr>
                <w:rFonts w:ascii="宋体" w:hAnsi="宋体"/>
                <w:snapToGrid w:val="0"/>
                <w:kern w:val="0"/>
                <w:szCs w:val="21"/>
              </w:rPr>
              <w:t>主电机功率:</w:t>
            </w:r>
            <w:r>
              <w:rPr>
                <w:rFonts w:ascii="宋体" w:hAnsi="宋体"/>
                <w:snapToGrid w:val="0"/>
                <w:kern w:val="0"/>
                <w:szCs w:val="21"/>
              </w:rPr>
              <w:tab/>
            </w:r>
            <w:r>
              <w:rPr>
                <w:rFonts w:ascii="宋体" w:hAnsi="宋体"/>
                <w:snapToGrid w:val="0"/>
                <w:kern w:val="0"/>
                <w:szCs w:val="21"/>
              </w:rPr>
              <w:tab/>
            </w:r>
            <w:r>
              <w:rPr>
                <w:rFonts w:ascii="宋体" w:hAnsi="宋体"/>
                <w:snapToGrid w:val="0"/>
                <w:kern w:val="0"/>
                <w:szCs w:val="21"/>
              </w:rPr>
              <w:t>280kW</w:t>
            </w:r>
          </w:p>
        </w:tc>
        <w:tc>
          <w:tcPr>
            <w:tcW w:w="1104" w:type="dxa"/>
            <w:vAlign w:val="center"/>
          </w:tcPr>
          <w:p>
            <w:pPr>
              <w:suppressAutoHyphens/>
              <w:rPr>
                <w:rFonts w:ascii="宋体" w:hAnsi="宋体"/>
                <w:snapToGrid w:val="0"/>
                <w:kern w:val="0"/>
                <w:szCs w:val="21"/>
              </w:rPr>
            </w:pPr>
            <w:r>
              <w:rPr>
                <w:rFonts w:ascii="宋体" w:hAnsi="宋体"/>
                <w:snapToGrid w:val="0"/>
                <w:kern w:val="0"/>
                <w:szCs w:val="21"/>
              </w:rPr>
              <w:t>＞18</w:t>
            </w:r>
          </w:p>
        </w:tc>
        <w:tc>
          <w:tcPr>
            <w:tcW w:w="513" w:type="dxa"/>
            <w:vAlign w:val="center"/>
          </w:tcPr>
          <w:p>
            <w:pPr>
              <w:suppressAutoHyphens/>
              <w:jc w:val="center"/>
              <w:rPr>
                <w:rFonts w:ascii="宋体" w:hAnsi="宋体"/>
                <w:snapToGrid w:val="0"/>
                <w:kern w:val="0"/>
                <w:szCs w:val="21"/>
              </w:rPr>
            </w:pPr>
            <w:r>
              <w:rPr>
                <w:rFonts w:ascii="宋体" w:hAnsi="宋体"/>
                <w:snapToGrid w:val="0"/>
                <w:kern w:val="0"/>
                <w:szCs w:val="21"/>
              </w:rPr>
              <w:t>1</w:t>
            </w:r>
          </w:p>
        </w:tc>
        <w:tc>
          <w:tcPr>
            <w:tcW w:w="1174" w:type="dxa"/>
            <w:vAlign w:val="center"/>
          </w:tcPr>
          <w:p>
            <w:pPr>
              <w:suppressAutoHyphens/>
              <w:jc w:val="center"/>
              <w:rPr>
                <w:rFonts w:ascii="宋体" w:hAnsi="宋体"/>
                <w:snapToGrid w:val="0"/>
                <w:kern w:val="0"/>
                <w:szCs w:val="21"/>
              </w:rPr>
            </w:pPr>
            <w:r>
              <w:rPr>
                <w:rFonts w:ascii="宋体" w:hAnsi="宋体"/>
                <w:snapToGrid w:val="0"/>
                <w:kern w:val="0"/>
                <w:szCs w:val="21"/>
              </w:rPr>
              <w:t>62.15</w:t>
            </w:r>
          </w:p>
        </w:tc>
        <w:tc>
          <w:tcPr>
            <w:tcW w:w="705" w:type="dxa"/>
            <w:vAlign w:val="center"/>
          </w:tcPr>
          <w:p>
            <w:pPr>
              <w:suppressAutoHyphens/>
              <w:rPr>
                <w:rFonts w:ascii="宋体" w:hAnsi="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9" w:type="dxa"/>
            <w:vMerge w:val="restart"/>
            <w:vAlign w:val="center"/>
          </w:tcPr>
          <w:p>
            <w:pPr>
              <w:suppressAutoHyphens/>
              <w:rPr>
                <w:rFonts w:ascii="宋体" w:hAnsi="宋体"/>
                <w:snapToGrid w:val="0"/>
                <w:kern w:val="0"/>
                <w:szCs w:val="21"/>
              </w:rPr>
            </w:pPr>
            <w:r>
              <w:rPr>
                <w:rFonts w:ascii="宋体" w:hAnsi="宋体"/>
                <w:snapToGrid w:val="0"/>
                <w:kern w:val="0"/>
                <w:szCs w:val="21"/>
              </w:rPr>
              <w:t>13</w:t>
            </w:r>
          </w:p>
        </w:tc>
        <w:tc>
          <w:tcPr>
            <w:tcW w:w="1341" w:type="dxa"/>
            <w:vMerge w:val="restart"/>
            <w:vAlign w:val="center"/>
          </w:tcPr>
          <w:p>
            <w:pPr>
              <w:suppressAutoHyphens/>
              <w:rPr>
                <w:rFonts w:ascii="宋体" w:hAnsi="宋体"/>
                <w:snapToGrid w:val="0"/>
                <w:kern w:val="0"/>
                <w:szCs w:val="21"/>
              </w:rPr>
            </w:pPr>
            <w:r>
              <w:rPr>
                <w:rFonts w:ascii="宋体" w:hAnsi="宋体"/>
                <w:snapToGrid w:val="0"/>
                <w:kern w:val="0"/>
                <w:szCs w:val="21"/>
              </w:rPr>
              <w:t>水泥粉磨</w:t>
            </w:r>
          </w:p>
        </w:tc>
        <w:tc>
          <w:tcPr>
            <w:tcW w:w="3149" w:type="dxa"/>
            <w:vAlign w:val="center"/>
          </w:tcPr>
          <w:p>
            <w:pPr>
              <w:suppressAutoHyphens/>
              <w:rPr>
                <w:rFonts w:ascii="宋体" w:hAnsi="宋体"/>
                <w:snapToGrid w:val="0"/>
                <w:kern w:val="0"/>
                <w:szCs w:val="21"/>
              </w:rPr>
            </w:pPr>
            <w:r>
              <w:rPr>
                <w:rFonts w:ascii="宋体" w:hAnsi="宋体"/>
                <w:snapToGrid w:val="0"/>
                <w:kern w:val="0"/>
                <w:szCs w:val="21"/>
              </w:rPr>
              <w:t>辊压机</w:t>
            </w:r>
          </w:p>
          <w:p>
            <w:pPr>
              <w:suppressAutoHyphens/>
              <w:rPr>
                <w:rFonts w:ascii="宋体" w:hAnsi="宋体"/>
                <w:snapToGrid w:val="0"/>
                <w:kern w:val="0"/>
                <w:szCs w:val="21"/>
              </w:rPr>
            </w:pPr>
            <w:r>
              <w:rPr>
                <w:rFonts w:ascii="宋体" w:hAnsi="宋体"/>
                <w:snapToGrid w:val="0"/>
                <w:kern w:val="0"/>
                <w:szCs w:val="21"/>
              </w:rPr>
              <w:t>型号: Φ1400×6</w:t>
            </w:r>
            <w:r>
              <w:rPr>
                <w:rFonts w:hint="eastAsia" w:ascii="宋体" w:hAnsi="宋体"/>
                <w:snapToGrid w:val="0"/>
                <w:kern w:val="0"/>
                <w:szCs w:val="21"/>
              </w:rPr>
              <w:t>3</w:t>
            </w:r>
            <w:r>
              <w:rPr>
                <w:rFonts w:ascii="宋体" w:hAnsi="宋体"/>
                <w:snapToGrid w:val="0"/>
                <w:kern w:val="0"/>
                <w:szCs w:val="21"/>
              </w:rPr>
              <w:t>0</w:t>
            </w:r>
          </w:p>
          <w:p>
            <w:pPr>
              <w:suppressAutoHyphens/>
              <w:rPr>
                <w:rFonts w:ascii="宋体" w:hAnsi="宋体"/>
                <w:snapToGrid w:val="0"/>
                <w:kern w:val="0"/>
                <w:szCs w:val="21"/>
              </w:rPr>
            </w:pPr>
            <w:r>
              <w:rPr>
                <w:rFonts w:ascii="宋体" w:hAnsi="宋体"/>
                <w:snapToGrid w:val="0"/>
                <w:kern w:val="0"/>
                <w:szCs w:val="21"/>
              </w:rPr>
              <w:t>设备重量:92吨</w:t>
            </w:r>
          </w:p>
          <w:p>
            <w:pPr>
              <w:suppressAutoHyphens/>
              <w:rPr>
                <w:rFonts w:ascii="宋体" w:hAnsi="宋体"/>
                <w:snapToGrid w:val="0"/>
                <w:kern w:val="0"/>
                <w:szCs w:val="21"/>
              </w:rPr>
            </w:pPr>
            <w:r>
              <w:rPr>
                <w:rFonts w:ascii="宋体" w:hAnsi="宋体"/>
                <w:snapToGrid w:val="0"/>
                <w:kern w:val="0"/>
                <w:szCs w:val="21"/>
              </w:rPr>
              <w:t>电机功率: 2×500 kW</w:t>
            </w:r>
          </w:p>
        </w:tc>
        <w:tc>
          <w:tcPr>
            <w:tcW w:w="1104" w:type="dxa"/>
            <w:vAlign w:val="center"/>
          </w:tcPr>
          <w:p>
            <w:pPr>
              <w:suppressAutoHyphens/>
              <w:rPr>
                <w:rFonts w:ascii="宋体" w:hAnsi="宋体"/>
                <w:snapToGrid w:val="0"/>
                <w:kern w:val="0"/>
                <w:szCs w:val="21"/>
              </w:rPr>
            </w:pPr>
            <w:r>
              <w:rPr>
                <w:rFonts w:ascii="宋体" w:hAnsi="宋体"/>
                <w:snapToGrid w:val="0"/>
                <w:kern w:val="0"/>
                <w:szCs w:val="21"/>
              </w:rPr>
              <w:t>330</w:t>
            </w:r>
          </w:p>
        </w:tc>
        <w:tc>
          <w:tcPr>
            <w:tcW w:w="513" w:type="dxa"/>
            <w:vAlign w:val="center"/>
          </w:tcPr>
          <w:p>
            <w:pPr>
              <w:suppressAutoHyphens/>
              <w:jc w:val="center"/>
              <w:rPr>
                <w:rFonts w:ascii="宋体" w:hAnsi="宋体"/>
                <w:snapToGrid w:val="0"/>
                <w:kern w:val="0"/>
                <w:szCs w:val="21"/>
              </w:rPr>
            </w:pPr>
            <w:r>
              <w:rPr>
                <w:rFonts w:ascii="宋体" w:hAnsi="宋体"/>
                <w:snapToGrid w:val="0"/>
                <w:kern w:val="0"/>
                <w:szCs w:val="21"/>
              </w:rPr>
              <w:t>1</w:t>
            </w:r>
          </w:p>
        </w:tc>
        <w:tc>
          <w:tcPr>
            <w:tcW w:w="1174" w:type="dxa"/>
            <w:vAlign w:val="center"/>
          </w:tcPr>
          <w:p>
            <w:pPr>
              <w:suppressAutoHyphens/>
              <w:jc w:val="center"/>
              <w:rPr>
                <w:rFonts w:ascii="宋体" w:hAnsi="宋体"/>
                <w:snapToGrid w:val="0"/>
                <w:kern w:val="0"/>
                <w:szCs w:val="21"/>
              </w:rPr>
            </w:pPr>
            <w:r>
              <w:rPr>
                <w:rFonts w:ascii="宋体" w:hAnsi="宋体"/>
                <w:snapToGrid w:val="0"/>
                <w:kern w:val="0"/>
                <w:szCs w:val="21"/>
              </w:rPr>
              <w:t>77.33</w:t>
            </w:r>
          </w:p>
        </w:tc>
        <w:tc>
          <w:tcPr>
            <w:tcW w:w="705" w:type="dxa"/>
            <w:vAlign w:val="center"/>
          </w:tcPr>
          <w:p>
            <w:pPr>
              <w:suppressAutoHyphens/>
              <w:rPr>
                <w:rFonts w:ascii="宋体" w:hAnsi="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9" w:type="dxa"/>
            <w:vMerge w:val="continue"/>
            <w:vAlign w:val="center"/>
          </w:tcPr>
          <w:p>
            <w:pPr>
              <w:suppressAutoHyphens/>
              <w:rPr>
                <w:rFonts w:ascii="宋体" w:hAnsi="宋体"/>
                <w:snapToGrid w:val="0"/>
                <w:kern w:val="0"/>
                <w:szCs w:val="21"/>
              </w:rPr>
            </w:pPr>
          </w:p>
        </w:tc>
        <w:tc>
          <w:tcPr>
            <w:tcW w:w="1341" w:type="dxa"/>
            <w:vMerge w:val="continue"/>
            <w:vAlign w:val="center"/>
          </w:tcPr>
          <w:p>
            <w:pPr>
              <w:suppressAutoHyphens/>
              <w:rPr>
                <w:rFonts w:ascii="宋体" w:hAnsi="宋体"/>
                <w:snapToGrid w:val="0"/>
                <w:kern w:val="0"/>
                <w:szCs w:val="21"/>
              </w:rPr>
            </w:pPr>
          </w:p>
        </w:tc>
        <w:tc>
          <w:tcPr>
            <w:tcW w:w="3149" w:type="dxa"/>
            <w:vAlign w:val="center"/>
          </w:tcPr>
          <w:p>
            <w:pPr>
              <w:suppressAutoHyphens/>
              <w:rPr>
                <w:rFonts w:ascii="宋体" w:hAnsi="宋体"/>
                <w:snapToGrid w:val="0"/>
                <w:kern w:val="0"/>
                <w:szCs w:val="21"/>
              </w:rPr>
            </w:pPr>
            <w:r>
              <w:rPr>
                <w:rFonts w:ascii="宋体" w:hAnsi="宋体"/>
                <w:snapToGrid w:val="0"/>
                <w:kern w:val="0"/>
                <w:szCs w:val="21"/>
              </w:rPr>
              <w:t>水泥磨:</w:t>
            </w:r>
            <w:r>
              <w:rPr>
                <w:rFonts w:ascii="宋体" w:hAnsi="宋体"/>
                <w:snapToGrid w:val="0"/>
                <w:kern w:val="0"/>
                <w:szCs w:val="21"/>
              </w:rPr>
              <w:tab/>
            </w:r>
            <w:r>
              <w:rPr>
                <w:rFonts w:ascii="宋体" w:hAnsi="宋体"/>
                <w:snapToGrid w:val="0"/>
                <w:kern w:val="0"/>
                <w:szCs w:val="21"/>
              </w:rPr>
              <w:tab/>
            </w:r>
            <w:r>
              <w:rPr>
                <w:rFonts w:ascii="宋体" w:hAnsi="宋体"/>
                <w:snapToGrid w:val="0"/>
                <w:kern w:val="0"/>
                <w:szCs w:val="21"/>
              </w:rPr>
              <w:t>Ф4.2×13.0m</w:t>
            </w:r>
          </w:p>
          <w:p>
            <w:pPr>
              <w:suppressAutoHyphens/>
              <w:rPr>
                <w:rFonts w:ascii="宋体" w:hAnsi="宋体"/>
                <w:snapToGrid w:val="0"/>
                <w:kern w:val="0"/>
                <w:szCs w:val="21"/>
              </w:rPr>
            </w:pPr>
            <w:r>
              <w:rPr>
                <w:rFonts w:ascii="宋体" w:hAnsi="宋体"/>
                <w:snapToGrid w:val="0"/>
                <w:kern w:val="0"/>
                <w:szCs w:val="21"/>
              </w:rPr>
              <w:t>入料粒度:</w:t>
            </w:r>
            <w:r>
              <w:rPr>
                <w:rFonts w:ascii="宋体" w:hAnsi="宋体"/>
                <w:snapToGrid w:val="0"/>
                <w:kern w:val="0"/>
                <w:szCs w:val="21"/>
              </w:rPr>
              <w:tab/>
            </w:r>
            <w:r>
              <w:rPr>
                <w:rFonts w:ascii="宋体" w:hAnsi="宋体"/>
                <w:snapToGrid w:val="0"/>
                <w:kern w:val="0"/>
                <w:szCs w:val="21"/>
              </w:rPr>
              <w:t>≤25mm</w:t>
            </w:r>
          </w:p>
          <w:p>
            <w:pPr>
              <w:suppressAutoHyphens/>
              <w:rPr>
                <w:rFonts w:ascii="宋体" w:hAnsi="宋体"/>
                <w:snapToGrid w:val="0"/>
                <w:kern w:val="0"/>
                <w:szCs w:val="21"/>
              </w:rPr>
            </w:pPr>
            <w:r>
              <w:rPr>
                <w:rFonts w:ascii="宋体" w:hAnsi="宋体"/>
                <w:snapToGrid w:val="0"/>
                <w:kern w:val="0"/>
                <w:szCs w:val="21"/>
              </w:rPr>
              <w:t>产品细度:</w:t>
            </w:r>
            <w:r>
              <w:rPr>
                <w:rFonts w:ascii="宋体" w:hAnsi="宋体"/>
                <w:snapToGrid w:val="0"/>
                <w:kern w:val="0"/>
                <w:szCs w:val="21"/>
              </w:rPr>
              <w:tab/>
            </w:r>
            <w:r>
              <w:rPr>
                <w:rFonts w:ascii="宋体" w:hAnsi="宋体"/>
                <w:snapToGrid w:val="0"/>
                <w:kern w:val="0"/>
                <w:szCs w:val="21"/>
              </w:rPr>
              <w:t>比表面积3500cm2/g</w:t>
            </w:r>
          </w:p>
          <w:p>
            <w:pPr>
              <w:suppressAutoHyphens/>
              <w:rPr>
                <w:rFonts w:ascii="宋体" w:hAnsi="宋体"/>
                <w:snapToGrid w:val="0"/>
                <w:kern w:val="0"/>
                <w:szCs w:val="21"/>
              </w:rPr>
            </w:pPr>
            <w:r>
              <w:rPr>
                <w:rFonts w:ascii="宋体" w:hAnsi="宋体"/>
                <w:snapToGrid w:val="0"/>
                <w:kern w:val="0"/>
                <w:szCs w:val="21"/>
              </w:rPr>
              <w:t>主电机功率:</w:t>
            </w:r>
            <w:r>
              <w:rPr>
                <w:rFonts w:ascii="宋体" w:hAnsi="宋体"/>
                <w:snapToGrid w:val="0"/>
                <w:kern w:val="0"/>
                <w:szCs w:val="21"/>
              </w:rPr>
              <w:tab/>
            </w:r>
            <w:r>
              <w:rPr>
                <w:rFonts w:ascii="宋体" w:hAnsi="宋体"/>
                <w:snapToGrid w:val="0"/>
                <w:kern w:val="0"/>
                <w:szCs w:val="21"/>
              </w:rPr>
              <w:t>3250kW</w:t>
            </w:r>
          </w:p>
        </w:tc>
        <w:tc>
          <w:tcPr>
            <w:tcW w:w="1104" w:type="dxa"/>
            <w:vAlign w:val="center"/>
          </w:tcPr>
          <w:p>
            <w:pPr>
              <w:suppressAutoHyphens/>
              <w:rPr>
                <w:rFonts w:ascii="宋体" w:hAnsi="宋体"/>
                <w:snapToGrid w:val="0"/>
                <w:kern w:val="0"/>
                <w:szCs w:val="21"/>
              </w:rPr>
            </w:pPr>
            <w:r>
              <w:rPr>
                <w:rFonts w:ascii="宋体" w:hAnsi="宋体"/>
                <w:snapToGrid w:val="0"/>
                <w:kern w:val="0"/>
                <w:szCs w:val="21"/>
              </w:rPr>
              <w:t>155</w:t>
            </w:r>
          </w:p>
        </w:tc>
        <w:tc>
          <w:tcPr>
            <w:tcW w:w="513" w:type="dxa"/>
            <w:vAlign w:val="center"/>
          </w:tcPr>
          <w:p>
            <w:pPr>
              <w:suppressAutoHyphens/>
              <w:jc w:val="center"/>
              <w:rPr>
                <w:rFonts w:ascii="宋体" w:hAnsi="宋体"/>
                <w:snapToGrid w:val="0"/>
                <w:kern w:val="0"/>
                <w:szCs w:val="21"/>
              </w:rPr>
            </w:pPr>
            <w:r>
              <w:rPr>
                <w:rFonts w:ascii="宋体" w:hAnsi="宋体"/>
                <w:snapToGrid w:val="0"/>
                <w:kern w:val="0"/>
                <w:szCs w:val="21"/>
              </w:rPr>
              <w:t>1</w:t>
            </w:r>
          </w:p>
        </w:tc>
        <w:tc>
          <w:tcPr>
            <w:tcW w:w="1174" w:type="dxa"/>
            <w:vAlign w:val="center"/>
          </w:tcPr>
          <w:p>
            <w:pPr>
              <w:suppressAutoHyphens/>
              <w:jc w:val="center"/>
              <w:rPr>
                <w:rFonts w:ascii="宋体" w:hAnsi="宋体"/>
                <w:snapToGrid w:val="0"/>
                <w:kern w:val="0"/>
                <w:szCs w:val="21"/>
              </w:rPr>
            </w:pPr>
            <w:r>
              <w:rPr>
                <w:rFonts w:ascii="宋体" w:hAnsi="宋体"/>
                <w:snapToGrid w:val="0"/>
                <w:kern w:val="0"/>
                <w:szCs w:val="21"/>
              </w:rPr>
              <w:t>77.33</w:t>
            </w:r>
          </w:p>
        </w:tc>
        <w:tc>
          <w:tcPr>
            <w:tcW w:w="705" w:type="dxa"/>
            <w:vAlign w:val="center"/>
          </w:tcPr>
          <w:p>
            <w:pPr>
              <w:suppressAutoHyphens/>
              <w:rPr>
                <w:rFonts w:ascii="宋体" w:hAnsi="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3" w:hRule="atLeast"/>
          <w:jc w:val="center"/>
        </w:trPr>
        <w:tc>
          <w:tcPr>
            <w:tcW w:w="519" w:type="dxa"/>
            <w:vMerge w:val="continue"/>
            <w:vAlign w:val="center"/>
          </w:tcPr>
          <w:p>
            <w:pPr>
              <w:suppressAutoHyphens/>
              <w:rPr>
                <w:rFonts w:ascii="宋体" w:hAnsi="宋体"/>
                <w:snapToGrid w:val="0"/>
                <w:kern w:val="0"/>
                <w:szCs w:val="21"/>
              </w:rPr>
            </w:pPr>
          </w:p>
        </w:tc>
        <w:tc>
          <w:tcPr>
            <w:tcW w:w="1341" w:type="dxa"/>
            <w:vMerge w:val="continue"/>
            <w:vAlign w:val="center"/>
          </w:tcPr>
          <w:p>
            <w:pPr>
              <w:suppressAutoHyphens/>
              <w:rPr>
                <w:rFonts w:ascii="宋体" w:hAnsi="宋体"/>
                <w:snapToGrid w:val="0"/>
                <w:kern w:val="0"/>
                <w:szCs w:val="21"/>
              </w:rPr>
            </w:pPr>
          </w:p>
        </w:tc>
        <w:tc>
          <w:tcPr>
            <w:tcW w:w="3149" w:type="dxa"/>
            <w:vAlign w:val="center"/>
          </w:tcPr>
          <w:p>
            <w:pPr>
              <w:suppressAutoHyphens/>
              <w:rPr>
                <w:rFonts w:ascii="宋体" w:hAnsi="宋体"/>
                <w:snapToGrid w:val="0"/>
                <w:kern w:val="0"/>
                <w:szCs w:val="21"/>
              </w:rPr>
            </w:pPr>
            <w:r>
              <w:rPr>
                <w:rFonts w:ascii="宋体" w:hAnsi="宋体"/>
                <w:snapToGrid w:val="0"/>
                <w:kern w:val="0"/>
                <w:szCs w:val="21"/>
              </w:rPr>
              <w:t>选粉机:</w:t>
            </w:r>
            <w:r>
              <w:rPr>
                <w:rFonts w:ascii="宋体" w:hAnsi="宋体"/>
                <w:snapToGrid w:val="0"/>
                <w:kern w:val="0"/>
                <w:szCs w:val="21"/>
              </w:rPr>
              <w:tab/>
            </w:r>
            <w:r>
              <w:rPr>
                <w:rFonts w:ascii="宋体" w:hAnsi="宋体"/>
                <w:snapToGrid w:val="0"/>
                <w:kern w:val="0"/>
                <w:szCs w:val="21"/>
              </w:rPr>
              <w:t>O-Sepa N3000</w:t>
            </w:r>
          </w:p>
          <w:p>
            <w:pPr>
              <w:suppressAutoHyphens/>
              <w:rPr>
                <w:rFonts w:ascii="宋体" w:hAnsi="宋体"/>
                <w:snapToGrid w:val="0"/>
                <w:kern w:val="0"/>
                <w:szCs w:val="21"/>
              </w:rPr>
            </w:pPr>
            <w:r>
              <w:rPr>
                <w:rFonts w:ascii="宋体" w:hAnsi="宋体"/>
                <w:snapToGrid w:val="0"/>
                <w:kern w:val="0"/>
                <w:szCs w:val="21"/>
              </w:rPr>
              <w:t>电机功率:</w:t>
            </w:r>
            <w:r>
              <w:rPr>
                <w:rFonts w:ascii="宋体" w:hAnsi="宋体"/>
                <w:snapToGrid w:val="0"/>
                <w:kern w:val="0"/>
                <w:szCs w:val="21"/>
              </w:rPr>
              <w:tab/>
            </w:r>
            <w:r>
              <w:rPr>
                <w:rFonts w:ascii="宋体" w:hAnsi="宋体"/>
                <w:snapToGrid w:val="0"/>
                <w:kern w:val="0"/>
                <w:szCs w:val="21"/>
              </w:rPr>
              <w:t>160kW</w:t>
            </w:r>
          </w:p>
        </w:tc>
        <w:tc>
          <w:tcPr>
            <w:tcW w:w="1104" w:type="dxa"/>
            <w:vAlign w:val="center"/>
          </w:tcPr>
          <w:p>
            <w:pPr>
              <w:suppressAutoHyphens/>
              <w:rPr>
                <w:rFonts w:ascii="宋体" w:hAnsi="宋体"/>
                <w:snapToGrid w:val="0"/>
                <w:kern w:val="0"/>
                <w:szCs w:val="21"/>
              </w:rPr>
            </w:pPr>
            <w:r>
              <w:rPr>
                <w:rFonts w:ascii="宋体" w:hAnsi="宋体"/>
                <w:snapToGrid w:val="0"/>
                <w:kern w:val="0"/>
                <w:szCs w:val="21"/>
              </w:rPr>
              <w:t>80-150</w:t>
            </w:r>
          </w:p>
        </w:tc>
        <w:tc>
          <w:tcPr>
            <w:tcW w:w="513" w:type="dxa"/>
            <w:vAlign w:val="center"/>
          </w:tcPr>
          <w:p>
            <w:pPr>
              <w:suppressAutoHyphens/>
              <w:jc w:val="center"/>
              <w:rPr>
                <w:rFonts w:ascii="宋体" w:hAnsi="宋体"/>
                <w:snapToGrid w:val="0"/>
                <w:kern w:val="0"/>
                <w:szCs w:val="21"/>
              </w:rPr>
            </w:pPr>
            <w:r>
              <w:rPr>
                <w:rFonts w:ascii="宋体" w:hAnsi="宋体"/>
                <w:snapToGrid w:val="0"/>
                <w:kern w:val="0"/>
                <w:szCs w:val="21"/>
              </w:rPr>
              <w:t>1</w:t>
            </w:r>
          </w:p>
        </w:tc>
        <w:tc>
          <w:tcPr>
            <w:tcW w:w="1174" w:type="dxa"/>
            <w:vAlign w:val="center"/>
          </w:tcPr>
          <w:p>
            <w:pPr>
              <w:suppressAutoHyphens/>
              <w:jc w:val="center"/>
              <w:rPr>
                <w:rFonts w:ascii="宋体" w:hAnsi="宋体"/>
                <w:snapToGrid w:val="0"/>
                <w:kern w:val="0"/>
                <w:szCs w:val="21"/>
              </w:rPr>
            </w:pPr>
            <w:r>
              <w:rPr>
                <w:rFonts w:ascii="宋体" w:hAnsi="宋体"/>
                <w:snapToGrid w:val="0"/>
                <w:kern w:val="0"/>
                <w:szCs w:val="21"/>
              </w:rPr>
              <w:t>77.33</w:t>
            </w:r>
          </w:p>
        </w:tc>
        <w:tc>
          <w:tcPr>
            <w:tcW w:w="705" w:type="dxa"/>
            <w:vAlign w:val="center"/>
          </w:tcPr>
          <w:p>
            <w:pPr>
              <w:suppressAutoHyphens/>
              <w:rPr>
                <w:rFonts w:ascii="宋体" w:hAnsi="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23" w:hRule="atLeast"/>
          <w:jc w:val="center"/>
        </w:trPr>
        <w:tc>
          <w:tcPr>
            <w:tcW w:w="519" w:type="dxa"/>
            <w:vAlign w:val="center"/>
          </w:tcPr>
          <w:p>
            <w:pPr>
              <w:suppressAutoHyphens/>
              <w:rPr>
                <w:rFonts w:ascii="宋体" w:hAnsi="宋体"/>
                <w:snapToGrid w:val="0"/>
                <w:kern w:val="0"/>
                <w:szCs w:val="21"/>
              </w:rPr>
            </w:pPr>
            <w:r>
              <w:rPr>
                <w:rFonts w:ascii="宋体" w:hAnsi="宋体"/>
                <w:snapToGrid w:val="0"/>
                <w:kern w:val="0"/>
                <w:szCs w:val="21"/>
              </w:rPr>
              <w:t>14</w:t>
            </w:r>
          </w:p>
        </w:tc>
        <w:tc>
          <w:tcPr>
            <w:tcW w:w="1341" w:type="dxa"/>
            <w:vAlign w:val="center"/>
          </w:tcPr>
          <w:p>
            <w:pPr>
              <w:suppressAutoHyphens/>
              <w:rPr>
                <w:rFonts w:ascii="宋体" w:hAnsi="宋体"/>
                <w:snapToGrid w:val="0"/>
                <w:kern w:val="0"/>
                <w:szCs w:val="21"/>
              </w:rPr>
            </w:pPr>
            <w:r>
              <w:rPr>
                <w:rFonts w:ascii="宋体" w:hAnsi="宋体"/>
                <w:snapToGrid w:val="0"/>
                <w:kern w:val="0"/>
                <w:szCs w:val="21"/>
              </w:rPr>
              <w:t>石膏</w:t>
            </w:r>
          </w:p>
          <w:p>
            <w:pPr>
              <w:suppressAutoHyphens/>
              <w:rPr>
                <w:rFonts w:ascii="宋体" w:hAnsi="宋体"/>
                <w:snapToGrid w:val="0"/>
                <w:kern w:val="0"/>
                <w:szCs w:val="21"/>
              </w:rPr>
            </w:pPr>
            <w:r>
              <w:rPr>
                <w:rFonts w:ascii="宋体" w:hAnsi="宋体"/>
                <w:snapToGrid w:val="0"/>
                <w:kern w:val="0"/>
                <w:szCs w:val="21"/>
              </w:rPr>
              <w:t>破碎</w:t>
            </w:r>
          </w:p>
        </w:tc>
        <w:tc>
          <w:tcPr>
            <w:tcW w:w="3149" w:type="dxa"/>
            <w:vAlign w:val="center"/>
          </w:tcPr>
          <w:p>
            <w:pPr>
              <w:autoSpaceDE w:val="0"/>
              <w:autoSpaceDN w:val="0"/>
              <w:rPr>
                <w:rFonts w:ascii="宋体" w:hAnsi="宋体"/>
                <w:snapToGrid w:val="0"/>
                <w:kern w:val="0"/>
                <w:szCs w:val="21"/>
              </w:rPr>
            </w:pPr>
            <w:r>
              <w:rPr>
                <w:rFonts w:ascii="宋体" w:hAnsi="宋体"/>
                <w:snapToGrid w:val="0"/>
                <w:kern w:val="0"/>
                <w:szCs w:val="21"/>
              </w:rPr>
              <w:t>锤式破碎机</w:t>
            </w:r>
          </w:p>
          <w:p>
            <w:pPr>
              <w:autoSpaceDE w:val="0"/>
              <w:autoSpaceDN w:val="0"/>
              <w:rPr>
                <w:rFonts w:ascii="宋体" w:hAnsi="宋体"/>
                <w:snapToGrid w:val="0"/>
                <w:kern w:val="0"/>
                <w:szCs w:val="21"/>
              </w:rPr>
            </w:pPr>
            <w:r>
              <w:rPr>
                <w:rFonts w:ascii="宋体" w:hAnsi="宋体"/>
                <w:snapToGrid w:val="0"/>
                <w:kern w:val="0"/>
                <w:szCs w:val="21"/>
              </w:rPr>
              <w:t>型号:   PFC-1609</w:t>
            </w:r>
          </w:p>
          <w:p>
            <w:pPr>
              <w:autoSpaceDE w:val="0"/>
              <w:autoSpaceDN w:val="0"/>
              <w:rPr>
                <w:rFonts w:ascii="宋体" w:hAnsi="宋体"/>
                <w:snapToGrid w:val="0"/>
                <w:kern w:val="0"/>
                <w:szCs w:val="21"/>
              </w:rPr>
            </w:pPr>
            <w:r>
              <w:rPr>
                <w:rFonts w:ascii="宋体" w:hAnsi="宋体"/>
                <w:snapToGrid w:val="0"/>
                <w:kern w:val="0"/>
                <w:szCs w:val="21"/>
              </w:rPr>
              <w:t>转子工作圆尺寸:φ1680×918</w:t>
            </w:r>
          </w:p>
          <w:p>
            <w:pPr>
              <w:autoSpaceDE w:val="0"/>
              <w:autoSpaceDN w:val="0"/>
              <w:rPr>
                <w:rFonts w:ascii="宋体" w:hAnsi="宋体"/>
                <w:snapToGrid w:val="0"/>
                <w:kern w:val="0"/>
                <w:szCs w:val="21"/>
              </w:rPr>
            </w:pPr>
            <w:r>
              <w:rPr>
                <w:rFonts w:ascii="宋体" w:hAnsi="宋体"/>
                <w:snapToGrid w:val="0"/>
                <w:kern w:val="0"/>
                <w:szCs w:val="21"/>
              </w:rPr>
              <w:t>最大进料粒度＜600 mm</w:t>
            </w:r>
          </w:p>
          <w:p>
            <w:pPr>
              <w:autoSpaceDE w:val="0"/>
              <w:autoSpaceDN w:val="0"/>
              <w:rPr>
                <w:rFonts w:ascii="宋体" w:hAnsi="宋体"/>
                <w:snapToGrid w:val="0"/>
                <w:kern w:val="0"/>
                <w:szCs w:val="21"/>
              </w:rPr>
            </w:pPr>
            <w:r>
              <w:rPr>
                <w:rFonts w:ascii="宋体" w:hAnsi="宋体"/>
                <w:snapToGrid w:val="0"/>
                <w:kern w:val="0"/>
                <w:szCs w:val="21"/>
              </w:rPr>
              <w:t>出料粒度 :≤25 mm</w:t>
            </w:r>
          </w:p>
          <w:p>
            <w:pPr>
              <w:suppressAutoHyphens/>
              <w:rPr>
                <w:rFonts w:ascii="宋体" w:hAnsi="宋体"/>
                <w:snapToGrid w:val="0"/>
                <w:kern w:val="0"/>
                <w:szCs w:val="21"/>
              </w:rPr>
            </w:pPr>
            <w:r>
              <w:rPr>
                <w:rFonts w:ascii="宋体" w:hAnsi="宋体"/>
                <w:snapToGrid w:val="0"/>
                <w:kern w:val="0"/>
                <w:szCs w:val="21"/>
              </w:rPr>
              <w:t>转子转速:745  r/min</w:t>
            </w:r>
          </w:p>
          <w:p>
            <w:pPr>
              <w:suppressAutoHyphens/>
              <w:rPr>
                <w:rFonts w:ascii="宋体" w:hAnsi="宋体"/>
                <w:snapToGrid w:val="0"/>
                <w:kern w:val="0"/>
                <w:szCs w:val="21"/>
              </w:rPr>
            </w:pPr>
            <w:r>
              <w:rPr>
                <w:rFonts w:ascii="宋体" w:hAnsi="宋体"/>
                <w:snapToGrid w:val="0"/>
                <w:kern w:val="0"/>
                <w:szCs w:val="21"/>
              </w:rPr>
              <w:t>电机功率: 2×500 kW</w:t>
            </w:r>
          </w:p>
        </w:tc>
        <w:tc>
          <w:tcPr>
            <w:tcW w:w="1104" w:type="dxa"/>
            <w:vAlign w:val="center"/>
          </w:tcPr>
          <w:p>
            <w:pPr>
              <w:suppressAutoHyphens/>
              <w:rPr>
                <w:rFonts w:ascii="宋体" w:hAnsi="宋体"/>
                <w:snapToGrid w:val="0"/>
                <w:kern w:val="0"/>
                <w:szCs w:val="21"/>
              </w:rPr>
            </w:pPr>
            <w:r>
              <w:rPr>
                <w:rFonts w:ascii="宋体" w:hAnsi="宋体"/>
                <w:snapToGrid w:val="0"/>
                <w:kern w:val="0"/>
                <w:szCs w:val="21"/>
              </w:rPr>
              <w:t>50～70</w:t>
            </w:r>
          </w:p>
        </w:tc>
        <w:tc>
          <w:tcPr>
            <w:tcW w:w="513" w:type="dxa"/>
            <w:vAlign w:val="center"/>
          </w:tcPr>
          <w:p>
            <w:pPr>
              <w:suppressAutoHyphens/>
              <w:jc w:val="center"/>
              <w:rPr>
                <w:rFonts w:ascii="宋体" w:hAnsi="宋体"/>
                <w:snapToGrid w:val="0"/>
                <w:kern w:val="0"/>
                <w:szCs w:val="21"/>
              </w:rPr>
            </w:pPr>
            <w:r>
              <w:rPr>
                <w:rFonts w:ascii="宋体" w:hAnsi="宋体"/>
                <w:snapToGrid w:val="0"/>
                <w:kern w:val="0"/>
                <w:szCs w:val="21"/>
              </w:rPr>
              <w:t>1</w:t>
            </w:r>
          </w:p>
        </w:tc>
        <w:tc>
          <w:tcPr>
            <w:tcW w:w="1174" w:type="dxa"/>
            <w:vAlign w:val="center"/>
          </w:tcPr>
          <w:p>
            <w:pPr>
              <w:suppressAutoHyphens/>
              <w:jc w:val="center"/>
              <w:rPr>
                <w:rFonts w:ascii="宋体" w:hAnsi="宋体"/>
                <w:snapToGrid w:val="0"/>
                <w:kern w:val="0"/>
                <w:szCs w:val="21"/>
              </w:rPr>
            </w:pPr>
            <w:r>
              <w:rPr>
                <w:rFonts w:ascii="宋体" w:hAnsi="宋体"/>
                <w:snapToGrid w:val="0"/>
                <w:kern w:val="0"/>
                <w:szCs w:val="21"/>
              </w:rPr>
              <w:t>5.77</w:t>
            </w:r>
          </w:p>
        </w:tc>
        <w:tc>
          <w:tcPr>
            <w:tcW w:w="705" w:type="dxa"/>
            <w:vAlign w:val="center"/>
          </w:tcPr>
          <w:p>
            <w:pPr>
              <w:suppressAutoHyphens/>
              <w:rPr>
                <w:rFonts w:ascii="宋体" w:hAnsi="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84" w:hRule="atLeast"/>
          <w:jc w:val="center"/>
        </w:trPr>
        <w:tc>
          <w:tcPr>
            <w:tcW w:w="519" w:type="dxa"/>
            <w:vAlign w:val="center"/>
          </w:tcPr>
          <w:p>
            <w:pPr>
              <w:suppressAutoHyphens/>
              <w:rPr>
                <w:rFonts w:ascii="宋体" w:hAnsi="宋体"/>
                <w:snapToGrid w:val="0"/>
                <w:kern w:val="0"/>
                <w:szCs w:val="21"/>
              </w:rPr>
            </w:pPr>
            <w:r>
              <w:rPr>
                <w:rFonts w:ascii="宋体" w:hAnsi="宋体"/>
                <w:snapToGrid w:val="0"/>
                <w:kern w:val="0"/>
                <w:szCs w:val="21"/>
              </w:rPr>
              <w:t>15</w:t>
            </w:r>
          </w:p>
        </w:tc>
        <w:tc>
          <w:tcPr>
            <w:tcW w:w="1341" w:type="dxa"/>
            <w:vAlign w:val="center"/>
          </w:tcPr>
          <w:p>
            <w:pPr>
              <w:suppressAutoHyphens/>
              <w:rPr>
                <w:rFonts w:ascii="宋体" w:hAnsi="宋体"/>
                <w:snapToGrid w:val="0"/>
                <w:kern w:val="0"/>
                <w:szCs w:val="21"/>
              </w:rPr>
            </w:pPr>
            <w:r>
              <w:rPr>
                <w:rFonts w:ascii="宋体" w:hAnsi="宋体"/>
                <w:snapToGrid w:val="0"/>
                <w:kern w:val="0"/>
                <w:szCs w:val="21"/>
              </w:rPr>
              <w:t>水泥包装</w:t>
            </w:r>
          </w:p>
        </w:tc>
        <w:tc>
          <w:tcPr>
            <w:tcW w:w="3149" w:type="dxa"/>
            <w:vAlign w:val="center"/>
          </w:tcPr>
          <w:p>
            <w:pPr>
              <w:suppressAutoHyphens/>
              <w:rPr>
                <w:rFonts w:ascii="宋体" w:hAnsi="宋体"/>
                <w:snapToGrid w:val="0"/>
                <w:kern w:val="0"/>
                <w:szCs w:val="21"/>
              </w:rPr>
            </w:pPr>
            <w:r>
              <w:rPr>
                <w:rFonts w:ascii="宋体" w:hAnsi="宋体"/>
                <w:snapToGrid w:val="0"/>
                <w:kern w:val="0"/>
                <w:szCs w:val="21"/>
              </w:rPr>
              <w:t>八嘴回转式包装机</w:t>
            </w:r>
          </w:p>
          <w:p>
            <w:pPr>
              <w:suppressAutoHyphens/>
              <w:rPr>
                <w:rFonts w:ascii="宋体" w:hAnsi="宋体"/>
                <w:snapToGrid w:val="0"/>
                <w:kern w:val="0"/>
                <w:szCs w:val="21"/>
              </w:rPr>
            </w:pPr>
            <w:r>
              <w:rPr>
                <w:rFonts w:ascii="宋体" w:hAnsi="宋体"/>
                <w:snapToGrid w:val="0"/>
                <w:kern w:val="0"/>
                <w:szCs w:val="21"/>
              </w:rPr>
              <w:t>计量精度: +0.5kg</w:t>
            </w:r>
          </w:p>
          <w:p>
            <w:pPr>
              <w:suppressAutoHyphens/>
              <w:rPr>
                <w:rFonts w:ascii="宋体" w:hAnsi="宋体"/>
                <w:snapToGrid w:val="0"/>
                <w:kern w:val="0"/>
                <w:szCs w:val="21"/>
              </w:rPr>
            </w:pPr>
            <w:r>
              <w:rPr>
                <w:rFonts w:ascii="宋体" w:hAnsi="宋体"/>
                <w:snapToGrid w:val="0"/>
                <w:kern w:val="0"/>
                <w:szCs w:val="21"/>
              </w:rPr>
              <w:t xml:space="preserve">          -0.2kg</w:t>
            </w:r>
          </w:p>
        </w:tc>
        <w:tc>
          <w:tcPr>
            <w:tcW w:w="1104" w:type="dxa"/>
            <w:vAlign w:val="center"/>
          </w:tcPr>
          <w:p>
            <w:pPr>
              <w:suppressAutoHyphens/>
              <w:rPr>
                <w:rFonts w:ascii="宋体" w:hAnsi="宋体"/>
                <w:snapToGrid w:val="0"/>
                <w:kern w:val="0"/>
                <w:szCs w:val="21"/>
              </w:rPr>
            </w:pPr>
            <w:r>
              <w:rPr>
                <w:rFonts w:ascii="宋体" w:hAnsi="宋体"/>
                <w:snapToGrid w:val="0"/>
                <w:kern w:val="0"/>
                <w:szCs w:val="21"/>
              </w:rPr>
              <w:t>100</w:t>
            </w:r>
          </w:p>
        </w:tc>
        <w:tc>
          <w:tcPr>
            <w:tcW w:w="513" w:type="dxa"/>
            <w:vAlign w:val="center"/>
          </w:tcPr>
          <w:p>
            <w:pPr>
              <w:suppressAutoHyphens/>
              <w:jc w:val="center"/>
              <w:rPr>
                <w:rFonts w:ascii="宋体" w:hAnsi="宋体"/>
                <w:snapToGrid w:val="0"/>
                <w:kern w:val="0"/>
                <w:szCs w:val="21"/>
              </w:rPr>
            </w:pPr>
            <w:r>
              <w:rPr>
                <w:rFonts w:ascii="宋体" w:hAnsi="宋体"/>
                <w:snapToGrid w:val="0"/>
                <w:kern w:val="0"/>
                <w:szCs w:val="21"/>
              </w:rPr>
              <w:t>2</w:t>
            </w:r>
          </w:p>
        </w:tc>
        <w:tc>
          <w:tcPr>
            <w:tcW w:w="1174" w:type="dxa"/>
            <w:vAlign w:val="center"/>
          </w:tcPr>
          <w:p>
            <w:pPr>
              <w:suppressAutoHyphens/>
              <w:jc w:val="center"/>
              <w:rPr>
                <w:rFonts w:ascii="宋体" w:hAnsi="宋体"/>
                <w:snapToGrid w:val="0"/>
                <w:kern w:val="0"/>
                <w:szCs w:val="21"/>
              </w:rPr>
            </w:pPr>
            <w:r>
              <w:rPr>
                <w:rFonts w:ascii="宋体" w:hAnsi="宋体"/>
                <w:snapToGrid w:val="0"/>
                <w:kern w:val="0"/>
                <w:szCs w:val="21"/>
              </w:rPr>
              <w:t>48.66</w:t>
            </w:r>
          </w:p>
        </w:tc>
        <w:tc>
          <w:tcPr>
            <w:tcW w:w="705" w:type="dxa"/>
            <w:vAlign w:val="center"/>
          </w:tcPr>
          <w:p>
            <w:pPr>
              <w:suppressAutoHyphens/>
              <w:rPr>
                <w:rFonts w:ascii="宋体" w:hAnsi="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8" w:hRule="atLeast"/>
          <w:jc w:val="center"/>
        </w:trPr>
        <w:tc>
          <w:tcPr>
            <w:tcW w:w="519" w:type="dxa"/>
            <w:vAlign w:val="center"/>
          </w:tcPr>
          <w:p>
            <w:pPr>
              <w:suppressAutoHyphens/>
              <w:rPr>
                <w:rFonts w:ascii="宋体" w:hAnsi="宋体"/>
                <w:snapToGrid w:val="0"/>
                <w:kern w:val="0"/>
                <w:szCs w:val="21"/>
              </w:rPr>
            </w:pPr>
            <w:r>
              <w:rPr>
                <w:rFonts w:ascii="宋体" w:hAnsi="宋体"/>
                <w:snapToGrid w:val="0"/>
                <w:kern w:val="0"/>
                <w:szCs w:val="21"/>
              </w:rPr>
              <w:t>16</w:t>
            </w:r>
          </w:p>
        </w:tc>
        <w:tc>
          <w:tcPr>
            <w:tcW w:w="1341" w:type="dxa"/>
            <w:vAlign w:val="center"/>
          </w:tcPr>
          <w:p>
            <w:pPr>
              <w:suppressAutoHyphens/>
              <w:rPr>
                <w:rFonts w:ascii="宋体" w:hAnsi="宋体"/>
                <w:snapToGrid w:val="0"/>
                <w:kern w:val="0"/>
                <w:szCs w:val="21"/>
              </w:rPr>
            </w:pPr>
          </w:p>
          <w:p>
            <w:pPr>
              <w:suppressAutoHyphens/>
              <w:rPr>
                <w:rFonts w:ascii="宋体" w:hAnsi="宋体"/>
                <w:snapToGrid w:val="0"/>
                <w:kern w:val="0"/>
                <w:szCs w:val="21"/>
              </w:rPr>
            </w:pPr>
            <w:r>
              <w:rPr>
                <w:rFonts w:ascii="宋体" w:hAnsi="宋体"/>
                <w:snapToGrid w:val="0"/>
                <w:kern w:val="0"/>
                <w:szCs w:val="21"/>
              </w:rPr>
              <w:t>空压机站</w:t>
            </w:r>
          </w:p>
        </w:tc>
        <w:tc>
          <w:tcPr>
            <w:tcW w:w="3149" w:type="dxa"/>
            <w:vAlign w:val="center"/>
          </w:tcPr>
          <w:p>
            <w:pPr>
              <w:suppressAutoHyphens/>
              <w:rPr>
                <w:rFonts w:ascii="宋体" w:hAnsi="宋体"/>
                <w:snapToGrid w:val="0"/>
                <w:kern w:val="0"/>
                <w:szCs w:val="21"/>
              </w:rPr>
            </w:pPr>
            <w:r>
              <w:rPr>
                <w:rFonts w:ascii="宋体" w:hAnsi="宋体"/>
                <w:snapToGrid w:val="0"/>
                <w:kern w:val="0"/>
                <w:szCs w:val="21"/>
              </w:rPr>
              <w:t>螺杆式空压机</w:t>
            </w:r>
          </w:p>
          <w:p>
            <w:pPr>
              <w:suppressAutoHyphens/>
              <w:rPr>
                <w:rFonts w:ascii="宋体" w:hAnsi="宋体"/>
                <w:snapToGrid w:val="0"/>
                <w:kern w:val="0"/>
                <w:szCs w:val="21"/>
              </w:rPr>
            </w:pPr>
            <w:r>
              <w:rPr>
                <w:rFonts w:ascii="宋体" w:hAnsi="宋体"/>
                <w:snapToGrid w:val="0"/>
                <w:kern w:val="0"/>
                <w:szCs w:val="21"/>
              </w:rPr>
              <w:t>排气量:      25m3/min</w:t>
            </w:r>
          </w:p>
          <w:p>
            <w:pPr>
              <w:suppressAutoHyphens/>
              <w:rPr>
                <w:rFonts w:ascii="宋体" w:hAnsi="宋体"/>
                <w:snapToGrid w:val="0"/>
                <w:kern w:val="0"/>
                <w:szCs w:val="21"/>
              </w:rPr>
            </w:pPr>
            <w:r>
              <w:rPr>
                <w:rFonts w:ascii="宋体" w:hAnsi="宋体"/>
                <w:snapToGrid w:val="0"/>
                <w:kern w:val="0"/>
                <w:szCs w:val="21"/>
              </w:rPr>
              <w:t>排气压力:    0.8MPa</w:t>
            </w:r>
          </w:p>
          <w:p>
            <w:pPr>
              <w:suppressAutoHyphens/>
              <w:rPr>
                <w:rFonts w:ascii="宋体" w:hAnsi="宋体"/>
                <w:snapToGrid w:val="0"/>
                <w:kern w:val="0"/>
                <w:szCs w:val="21"/>
              </w:rPr>
            </w:pPr>
            <w:r>
              <w:rPr>
                <w:rFonts w:ascii="宋体" w:hAnsi="宋体"/>
                <w:snapToGrid w:val="0"/>
                <w:kern w:val="0"/>
                <w:szCs w:val="21"/>
              </w:rPr>
              <w:t>电机功率:    132kW</w:t>
            </w:r>
          </w:p>
        </w:tc>
        <w:tc>
          <w:tcPr>
            <w:tcW w:w="1104" w:type="dxa"/>
            <w:vAlign w:val="center"/>
          </w:tcPr>
          <w:p>
            <w:pPr>
              <w:suppressAutoHyphens/>
              <w:rPr>
                <w:rFonts w:ascii="宋体" w:hAnsi="宋体"/>
                <w:snapToGrid w:val="0"/>
                <w:kern w:val="0"/>
                <w:szCs w:val="21"/>
              </w:rPr>
            </w:pPr>
          </w:p>
        </w:tc>
        <w:tc>
          <w:tcPr>
            <w:tcW w:w="513" w:type="dxa"/>
            <w:vAlign w:val="center"/>
          </w:tcPr>
          <w:p>
            <w:pPr>
              <w:suppressAutoHyphens/>
              <w:jc w:val="center"/>
              <w:rPr>
                <w:rFonts w:ascii="宋体" w:hAnsi="宋体"/>
                <w:snapToGrid w:val="0"/>
                <w:kern w:val="0"/>
                <w:szCs w:val="21"/>
              </w:rPr>
            </w:pPr>
            <w:r>
              <w:rPr>
                <w:rFonts w:ascii="宋体" w:hAnsi="宋体"/>
                <w:snapToGrid w:val="0"/>
                <w:kern w:val="0"/>
                <w:szCs w:val="21"/>
              </w:rPr>
              <w:t>5</w:t>
            </w:r>
          </w:p>
        </w:tc>
        <w:tc>
          <w:tcPr>
            <w:tcW w:w="1174" w:type="dxa"/>
            <w:vAlign w:val="center"/>
          </w:tcPr>
          <w:p>
            <w:pPr>
              <w:suppressAutoHyphens/>
              <w:jc w:val="center"/>
              <w:rPr>
                <w:rFonts w:ascii="宋体" w:hAnsi="宋体"/>
                <w:snapToGrid w:val="0"/>
                <w:kern w:val="0"/>
                <w:szCs w:val="21"/>
              </w:rPr>
            </w:pPr>
          </w:p>
        </w:tc>
        <w:tc>
          <w:tcPr>
            <w:tcW w:w="705" w:type="dxa"/>
            <w:vAlign w:val="center"/>
          </w:tcPr>
          <w:p>
            <w:pPr>
              <w:suppressAutoHyphens/>
              <w:rPr>
                <w:rFonts w:ascii="宋体" w:hAnsi="宋体"/>
                <w:snapToGrid w:val="0"/>
                <w:kern w:val="0"/>
                <w:szCs w:val="21"/>
              </w:rPr>
            </w:pPr>
          </w:p>
        </w:tc>
      </w:tr>
      <w:bookmarkEnd w:id="623"/>
      <w:bookmarkEnd w:id="624"/>
    </w:tbl>
    <w:p>
      <w:pPr>
        <w:pStyle w:val="3"/>
      </w:pPr>
      <w:bookmarkStart w:id="625" w:name="_Toc461048102"/>
      <w:r>
        <w:rPr>
          <w:rFonts w:hint="eastAsia"/>
        </w:rPr>
        <w:t>2</w:t>
      </w:r>
      <w:r>
        <w:t>.</w:t>
      </w:r>
      <w:r>
        <w:rPr>
          <w:rFonts w:hint="eastAsia"/>
        </w:rPr>
        <w:t>2自然</w:t>
      </w:r>
      <w:r>
        <w:t>环境概况</w:t>
      </w:r>
      <w:bookmarkEnd w:id="625"/>
    </w:p>
    <w:p>
      <w:pPr>
        <w:spacing w:line="360" w:lineRule="auto"/>
        <w:ind w:firstLine="470" w:firstLineChars="196"/>
        <w:rPr>
          <w:rFonts w:ascii="Times New Roman" w:hAnsi="Times New Roman"/>
          <w:sz w:val="24"/>
          <w:szCs w:val="24"/>
        </w:rPr>
      </w:pPr>
      <w:r>
        <w:rPr>
          <w:rFonts w:ascii="Times New Roman" w:hAnsi="宋体"/>
          <w:sz w:val="24"/>
          <w:szCs w:val="24"/>
        </w:rPr>
        <w:t>（</w:t>
      </w:r>
      <w:r>
        <w:rPr>
          <w:rFonts w:ascii="Times New Roman" w:hAnsi="Times New Roman"/>
          <w:sz w:val="24"/>
          <w:szCs w:val="24"/>
        </w:rPr>
        <w:t>1</w:t>
      </w:r>
      <w:r>
        <w:rPr>
          <w:rFonts w:ascii="Times New Roman" w:hAnsi="宋体"/>
          <w:sz w:val="24"/>
          <w:szCs w:val="24"/>
        </w:rPr>
        <w:t>）区域位置</w:t>
      </w:r>
    </w:p>
    <w:p>
      <w:pPr>
        <w:spacing w:line="360" w:lineRule="auto"/>
        <w:ind w:firstLine="470" w:firstLineChars="196"/>
        <w:rPr>
          <w:rFonts w:ascii="Times New Roman" w:hAnsi="Times New Roman"/>
          <w:sz w:val="24"/>
          <w:szCs w:val="24"/>
        </w:rPr>
      </w:pPr>
      <w:r>
        <w:rPr>
          <w:rFonts w:ascii="Times New Roman" w:hAnsi="宋体"/>
          <w:sz w:val="24"/>
          <w:szCs w:val="24"/>
        </w:rPr>
        <w:t>沙坪坝区位于重庆主城区西部，东滨嘉陵江，西抵缙云山，幅员面积</w:t>
      </w:r>
      <w:r>
        <w:rPr>
          <w:rFonts w:ascii="Times New Roman" w:hAnsi="Times New Roman"/>
          <w:sz w:val="24"/>
          <w:szCs w:val="24"/>
        </w:rPr>
        <w:t xml:space="preserve"> 396.2km</w:t>
      </w:r>
      <w:r>
        <w:rPr>
          <w:rFonts w:ascii="Times New Roman" w:hAnsi="Times New Roman"/>
          <w:sz w:val="24"/>
          <w:szCs w:val="24"/>
          <w:vertAlign w:val="superscript"/>
        </w:rPr>
        <w:t>2</w:t>
      </w:r>
      <w:r>
        <w:rPr>
          <w:rFonts w:ascii="Times New Roman" w:hAnsi="宋体"/>
          <w:sz w:val="24"/>
          <w:szCs w:val="24"/>
        </w:rPr>
        <w:t>，区境中部歌乐山纵贯南北，东为沙坪坝，是重庆市的科教文化中心和工业基地，建成区面积</w:t>
      </w:r>
      <w:r>
        <w:rPr>
          <w:rFonts w:ascii="Times New Roman" w:hAnsi="Times New Roman"/>
          <w:sz w:val="24"/>
          <w:szCs w:val="24"/>
        </w:rPr>
        <w:t xml:space="preserve"> 35.26km</w:t>
      </w:r>
      <w:r>
        <w:rPr>
          <w:rFonts w:ascii="Times New Roman" w:hAnsi="Times New Roman"/>
          <w:sz w:val="24"/>
          <w:szCs w:val="24"/>
          <w:vertAlign w:val="superscript"/>
        </w:rPr>
        <w:t>2</w:t>
      </w:r>
      <w:r>
        <w:rPr>
          <w:rFonts w:ascii="Times New Roman" w:hAnsi="宋体"/>
          <w:sz w:val="24"/>
          <w:szCs w:val="24"/>
        </w:rPr>
        <w:t>；西为梁滩坝，是农业、乡镇工业为主的地区，</w:t>
      </w:r>
      <w:r>
        <w:rPr>
          <w:rFonts w:ascii="Times New Roman" w:hAnsi="Times New Roman"/>
          <w:sz w:val="24"/>
          <w:szCs w:val="24"/>
        </w:rPr>
        <w:t xml:space="preserve">2003 </w:t>
      </w:r>
      <w:r>
        <w:rPr>
          <w:rFonts w:ascii="Times New Roman" w:hAnsi="宋体"/>
          <w:sz w:val="24"/>
          <w:szCs w:val="24"/>
        </w:rPr>
        <w:t>年重庆市大学城在这里动工兴建；中部歌乐山是重庆市风景旅游区、国家森林公园，有</w:t>
      </w:r>
      <w:r>
        <w:rPr>
          <w:rFonts w:ascii="Times New Roman" w:hAnsi="Times New Roman"/>
          <w:sz w:val="24"/>
          <w:szCs w:val="24"/>
        </w:rPr>
        <w:t>“</w:t>
      </w:r>
      <w:r>
        <w:rPr>
          <w:rFonts w:ascii="Times New Roman" w:hAnsi="宋体"/>
          <w:sz w:val="24"/>
          <w:szCs w:val="24"/>
        </w:rPr>
        <w:t>渝西第一峰</w:t>
      </w:r>
      <w:r>
        <w:rPr>
          <w:rFonts w:ascii="Times New Roman" w:hAnsi="Times New Roman"/>
          <w:sz w:val="24"/>
          <w:szCs w:val="24"/>
        </w:rPr>
        <w:t>”</w:t>
      </w:r>
      <w:r>
        <w:rPr>
          <w:rFonts w:ascii="Times New Roman" w:hAnsi="宋体"/>
          <w:sz w:val="24"/>
          <w:szCs w:val="24"/>
        </w:rPr>
        <w:t>、</w:t>
      </w:r>
      <w:r>
        <w:rPr>
          <w:rFonts w:ascii="Times New Roman" w:hAnsi="Times New Roman"/>
          <w:sz w:val="24"/>
          <w:szCs w:val="24"/>
        </w:rPr>
        <w:t>“</w:t>
      </w:r>
      <w:r>
        <w:rPr>
          <w:rFonts w:ascii="Times New Roman" w:hAnsi="宋体"/>
          <w:sz w:val="24"/>
          <w:szCs w:val="24"/>
        </w:rPr>
        <w:t>山城绿宝石</w:t>
      </w:r>
      <w:r>
        <w:rPr>
          <w:rFonts w:ascii="Times New Roman" w:hAnsi="Times New Roman"/>
          <w:sz w:val="24"/>
          <w:szCs w:val="24"/>
        </w:rPr>
        <w:t>”</w:t>
      </w:r>
      <w:r>
        <w:rPr>
          <w:rFonts w:ascii="Times New Roman" w:hAnsi="宋体"/>
          <w:sz w:val="24"/>
          <w:szCs w:val="24"/>
        </w:rPr>
        <w:t>之称。</w:t>
      </w:r>
      <w:r>
        <w:rPr>
          <w:rFonts w:ascii="Times New Roman" w:hAnsi="Times New Roman"/>
          <w:sz w:val="24"/>
          <w:szCs w:val="24"/>
        </w:rPr>
        <w:t xml:space="preserve"> </w:t>
      </w:r>
    </w:p>
    <w:p>
      <w:pPr>
        <w:spacing w:line="360" w:lineRule="auto"/>
        <w:ind w:firstLine="470" w:firstLineChars="196"/>
        <w:rPr>
          <w:rFonts w:ascii="Times New Roman" w:hAnsi="Times New Roman"/>
          <w:sz w:val="24"/>
          <w:szCs w:val="24"/>
        </w:rPr>
      </w:pPr>
      <w:r>
        <w:rPr>
          <w:rFonts w:ascii="Times New Roman" w:hAnsi="宋体"/>
          <w:sz w:val="24"/>
          <w:szCs w:val="24"/>
        </w:rPr>
        <w:t>重庆永荣青鹏煤业有限公司水泥厂位于重庆市沙坪坝区青木关镇，地处重庆市的西北郊二环路以外，是沙坪坝区与郊县璧山交界处，距壁山区城</w:t>
      </w:r>
      <w:r>
        <w:rPr>
          <w:rFonts w:ascii="Times New Roman" w:hAnsi="Times New Roman"/>
          <w:sz w:val="24"/>
          <w:szCs w:val="24"/>
        </w:rPr>
        <w:t>10km</w:t>
      </w:r>
      <w:r>
        <w:rPr>
          <w:rFonts w:ascii="Times New Roman" w:hAnsi="宋体"/>
          <w:sz w:val="24"/>
          <w:szCs w:val="24"/>
        </w:rPr>
        <w:t>，老成渝公路和遂渝高速公路从矿区北侧穿过，与成渝高速公路和襄渝铁路西永火车站有公路相连，分别相距为</w:t>
      </w:r>
      <w:r>
        <w:rPr>
          <w:rFonts w:ascii="Times New Roman" w:hAnsi="Times New Roman"/>
          <w:sz w:val="24"/>
          <w:szCs w:val="24"/>
        </w:rPr>
        <w:t>12 km</w:t>
      </w:r>
      <w:r>
        <w:rPr>
          <w:rFonts w:ascii="Times New Roman" w:hAnsi="宋体"/>
          <w:sz w:val="24"/>
          <w:szCs w:val="24"/>
        </w:rPr>
        <w:t>和</w:t>
      </w:r>
      <w:r>
        <w:rPr>
          <w:rFonts w:ascii="Times New Roman" w:hAnsi="Times New Roman"/>
          <w:sz w:val="24"/>
          <w:szCs w:val="24"/>
        </w:rPr>
        <w:t>15 km</w:t>
      </w:r>
      <w:r>
        <w:rPr>
          <w:rFonts w:ascii="Times New Roman" w:hAnsi="宋体"/>
          <w:sz w:val="24"/>
          <w:szCs w:val="24"/>
        </w:rPr>
        <w:t>，距遂渝高速公路璧山站</w:t>
      </w:r>
      <w:r>
        <w:rPr>
          <w:rFonts w:ascii="Times New Roman" w:hAnsi="Times New Roman"/>
          <w:sz w:val="24"/>
          <w:szCs w:val="24"/>
        </w:rPr>
        <w:t>1.5 km</w:t>
      </w:r>
      <w:r>
        <w:rPr>
          <w:rFonts w:ascii="Times New Roman" w:hAnsi="宋体"/>
          <w:sz w:val="24"/>
          <w:szCs w:val="24"/>
        </w:rPr>
        <w:t>，交通非常方便。</w:t>
      </w:r>
    </w:p>
    <w:p>
      <w:pPr>
        <w:spacing w:line="360" w:lineRule="auto"/>
        <w:ind w:firstLine="470" w:firstLineChars="196"/>
        <w:rPr>
          <w:rFonts w:ascii="Times New Roman" w:hAnsi="Times New Roman"/>
          <w:color w:val="FF0000"/>
          <w:sz w:val="24"/>
          <w:szCs w:val="24"/>
        </w:rPr>
      </w:pPr>
      <w:r>
        <w:rPr>
          <w:rFonts w:hint="eastAsia" w:ascii="Times New Roman" w:hAnsi="宋体"/>
          <w:sz w:val="24"/>
          <w:szCs w:val="24"/>
        </w:rPr>
        <w:t>企业</w:t>
      </w:r>
      <w:r>
        <w:rPr>
          <w:rFonts w:ascii="Times New Roman" w:hAnsi="宋体"/>
          <w:sz w:val="24"/>
          <w:szCs w:val="24"/>
        </w:rPr>
        <w:t>地理位置</w:t>
      </w:r>
      <w:r>
        <w:rPr>
          <w:rFonts w:hint="eastAsia" w:ascii="Times New Roman" w:hAnsi="宋体"/>
          <w:sz w:val="24"/>
          <w:szCs w:val="24"/>
        </w:rPr>
        <w:t>详见附图</w:t>
      </w:r>
      <w:r>
        <w:rPr>
          <w:rFonts w:ascii="Times New Roman" w:hAnsi="宋体"/>
          <w:sz w:val="24"/>
          <w:szCs w:val="24"/>
        </w:rPr>
        <w:t>。</w:t>
      </w:r>
    </w:p>
    <w:p>
      <w:pPr>
        <w:spacing w:line="360" w:lineRule="auto"/>
        <w:ind w:firstLine="470" w:firstLineChars="196"/>
        <w:rPr>
          <w:rFonts w:ascii="Times New Roman" w:hAnsi="Times New Roman"/>
          <w:sz w:val="24"/>
          <w:szCs w:val="24"/>
        </w:rPr>
      </w:pPr>
      <w:r>
        <w:rPr>
          <w:rFonts w:ascii="Times New Roman" w:hAnsi="宋体"/>
          <w:sz w:val="24"/>
          <w:szCs w:val="24"/>
        </w:rPr>
        <w:t>（</w:t>
      </w:r>
      <w:r>
        <w:rPr>
          <w:rFonts w:ascii="Times New Roman" w:hAnsi="Times New Roman"/>
          <w:sz w:val="24"/>
          <w:szCs w:val="24"/>
        </w:rPr>
        <w:t>2</w:t>
      </w:r>
      <w:r>
        <w:rPr>
          <w:rFonts w:ascii="Times New Roman" w:hAnsi="宋体"/>
          <w:sz w:val="24"/>
          <w:szCs w:val="24"/>
        </w:rPr>
        <w:t>）地形地貌</w:t>
      </w:r>
    </w:p>
    <w:p>
      <w:pPr>
        <w:spacing w:line="360" w:lineRule="auto"/>
        <w:ind w:firstLine="470" w:firstLineChars="196"/>
        <w:rPr>
          <w:rFonts w:ascii="Times New Roman" w:hAnsi="Times New Roman"/>
          <w:sz w:val="24"/>
          <w:szCs w:val="24"/>
        </w:rPr>
      </w:pPr>
      <w:r>
        <w:rPr>
          <w:rFonts w:ascii="Times New Roman" w:hAnsi="宋体"/>
          <w:sz w:val="24"/>
          <w:szCs w:val="24"/>
        </w:rPr>
        <w:t>重庆市西部地区以重庆褶皱束构造为特点，由一系列</w:t>
      </w:r>
      <w:r>
        <w:rPr>
          <w:rFonts w:ascii="Times New Roman" w:hAnsi="Times New Roman"/>
          <w:sz w:val="24"/>
          <w:szCs w:val="24"/>
        </w:rPr>
        <w:t xml:space="preserve"> NNE </w:t>
      </w:r>
      <w:r>
        <w:rPr>
          <w:rFonts w:ascii="Times New Roman" w:hAnsi="宋体"/>
          <w:sz w:val="24"/>
          <w:szCs w:val="24"/>
        </w:rPr>
        <w:t>背斜和向斜组成，背斜、向斜相间发育，背斜紧密狭窄隆起成山，向斜宽阔平缓成为宽缓的丘陵沟谷，形成典型平行岭谷地形地貌格局。</w:t>
      </w:r>
      <w:r>
        <w:rPr>
          <w:rFonts w:ascii="Times New Roman" w:hAnsi="Times New Roman"/>
          <w:sz w:val="24"/>
          <w:szCs w:val="24"/>
        </w:rPr>
        <w:t xml:space="preserve"> </w:t>
      </w:r>
      <w:r>
        <w:rPr>
          <w:rFonts w:ascii="Times New Roman" w:hAnsi="Times New Roman"/>
          <w:sz w:val="24"/>
          <w:szCs w:val="24"/>
        </w:rPr>
        <w:cr/>
      </w:r>
      <w:r>
        <w:rPr>
          <w:rFonts w:hint="eastAsia" w:ascii="Times New Roman" w:hAnsi="Times New Roman"/>
          <w:sz w:val="24"/>
          <w:szCs w:val="24"/>
        </w:rPr>
        <w:t xml:space="preserve">    </w:t>
      </w:r>
      <w:r>
        <w:rPr>
          <w:rFonts w:ascii="Times New Roman" w:hAnsi="宋体"/>
          <w:sz w:val="24"/>
          <w:szCs w:val="24"/>
        </w:rPr>
        <w:t>青木关地区地质构造处于温塘峡背斜中段轴部。温塘峡背斜北起合川市三汇镇，往南跨过嘉陵江，南延至江津市油溪镇再跨过长江而倾没，长约</w:t>
      </w:r>
      <w:r>
        <w:rPr>
          <w:rFonts w:ascii="Times New Roman" w:hAnsi="Times New Roman"/>
          <w:sz w:val="24"/>
          <w:szCs w:val="24"/>
        </w:rPr>
        <w:t xml:space="preserve"> 105 </w:t>
      </w:r>
      <w:r>
        <w:rPr>
          <w:rFonts w:ascii="Times New Roman" w:hAnsi="宋体"/>
          <w:sz w:val="24"/>
          <w:szCs w:val="24"/>
        </w:rPr>
        <w:t>公里，宽约</w:t>
      </w:r>
      <w:r>
        <w:rPr>
          <w:rFonts w:ascii="Times New Roman" w:hAnsi="Times New Roman"/>
          <w:sz w:val="24"/>
          <w:szCs w:val="24"/>
        </w:rPr>
        <w:t xml:space="preserve"> 1</w:t>
      </w:r>
      <w:r>
        <w:rPr>
          <w:rFonts w:ascii="Times New Roman" w:hAnsi="宋体"/>
          <w:sz w:val="24"/>
          <w:szCs w:val="24"/>
        </w:rPr>
        <w:t>～</w:t>
      </w:r>
      <w:r>
        <w:rPr>
          <w:rFonts w:ascii="Times New Roman" w:hAnsi="Times New Roman"/>
          <w:sz w:val="24"/>
          <w:szCs w:val="24"/>
        </w:rPr>
        <w:t xml:space="preserve">2 </w:t>
      </w:r>
      <w:r>
        <w:rPr>
          <w:rFonts w:ascii="Times New Roman" w:hAnsi="宋体"/>
          <w:sz w:val="24"/>
          <w:szCs w:val="24"/>
        </w:rPr>
        <w:t>公里（以须家河组地层顶面计）。构造轴线总体延伸略呈</w:t>
      </w:r>
      <w:r>
        <w:rPr>
          <w:rFonts w:ascii="Times New Roman" w:hAnsi="Times New Roman"/>
          <w:sz w:val="24"/>
          <w:szCs w:val="24"/>
        </w:rPr>
        <w:t>“S”</w:t>
      </w:r>
      <w:r>
        <w:rPr>
          <w:rFonts w:ascii="Times New Roman" w:hAnsi="宋体"/>
          <w:sz w:val="24"/>
          <w:szCs w:val="24"/>
        </w:rPr>
        <w:t>形，轴向</w:t>
      </w:r>
      <w:r>
        <w:rPr>
          <w:rFonts w:ascii="Times New Roman" w:hAnsi="Times New Roman"/>
          <w:sz w:val="24"/>
          <w:szCs w:val="24"/>
        </w:rPr>
        <w:t xml:space="preserve"> NE10°</w:t>
      </w:r>
      <w:r>
        <w:rPr>
          <w:rFonts w:ascii="Times New Roman" w:hAnsi="宋体"/>
          <w:sz w:val="24"/>
          <w:szCs w:val="24"/>
        </w:rPr>
        <w:t>～</w:t>
      </w:r>
      <w:r>
        <w:rPr>
          <w:rFonts w:ascii="Times New Roman" w:hAnsi="Times New Roman"/>
          <w:sz w:val="24"/>
          <w:szCs w:val="24"/>
        </w:rPr>
        <w:t>40°</w:t>
      </w:r>
      <w:r>
        <w:rPr>
          <w:rFonts w:ascii="Times New Roman" w:hAnsi="宋体"/>
          <w:sz w:val="24"/>
          <w:szCs w:val="24"/>
        </w:rPr>
        <w:t>转</w:t>
      </w:r>
      <w:r>
        <w:rPr>
          <w:rFonts w:ascii="Times New Roman" w:hAnsi="Times New Roman"/>
          <w:sz w:val="24"/>
          <w:szCs w:val="24"/>
        </w:rPr>
        <w:t xml:space="preserve"> NW20°→SN→NE20°</w:t>
      </w:r>
      <w:r>
        <w:rPr>
          <w:rFonts w:ascii="Times New Roman" w:hAnsi="宋体"/>
          <w:sz w:val="24"/>
          <w:szCs w:val="24"/>
        </w:rPr>
        <w:t>，背斜为长条线形斜歪背斜，轴部狭窄尖棱，两翼不对称，北段东陡西缓，倾角</w:t>
      </w:r>
      <w:r>
        <w:rPr>
          <w:rFonts w:ascii="Times New Roman" w:hAnsi="Times New Roman"/>
          <w:sz w:val="24"/>
          <w:szCs w:val="24"/>
        </w:rPr>
        <w:t xml:space="preserve"> 30°</w:t>
      </w:r>
      <w:r>
        <w:rPr>
          <w:rFonts w:ascii="Times New Roman" w:hAnsi="宋体"/>
          <w:sz w:val="24"/>
          <w:szCs w:val="24"/>
        </w:rPr>
        <w:t>～</w:t>
      </w:r>
      <w:r>
        <w:rPr>
          <w:rFonts w:ascii="Times New Roman" w:hAnsi="Times New Roman"/>
          <w:sz w:val="24"/>
          <w:szCs w:val="24"/>
        </w:rPr>
        <w:t>80°</w:t>
      </w:r>
      <w:r>
        <w:rPr>
          <w:rFonts w:ascii="Times New Roman" w:hAnsi="宋体"/>
          <w:sz w:val="24"/>
          <w:szCs w:val="24"/>
        </w:rPr>
        <w:t>，中段及南段西陡东缓，倾角</w:t>
      </w:r>
      <w:r>
        <w:rPr>
          <w:rFonts w:ascii="Times New Roman" w:hAnsi="Times New Roman"/>
          <w:sz w:val="24"/>
          <w:szCs w:val="24"/>
        </w:rPr>
        <w:t xml:space="preserve"> 30°</w:t>
      </w:r>
      <w:r>
        <w:rPr>
          <w:rFonts w:ascii="Times New Roman" w:hAnsi="宋体"/>
          <w:sz w:val="24"/>
          <w:szCs w:val="24"/>
        </w:rPr>
        <w:t>～</w:t>
      </w:r>
      <w:r>
        <w:rPr>
          <w:rFonts w:ascii="Times New Roman" w:hAnsi="Times New Roman"/>
          <w:sz w:val="24"/>
          <w:szCs w:val="24"/>
        </w:rPr>
        <w:t>50°</w:t>
      </w:r>
      <w:r>
        <w:rPr>
          <w:rFonts w:ascii="Times New Roman" w:hAnsi="宋体"/>
          <w:sz w:val="24"/>
          <w:szCs w:val="24"/>
        </w:rPr>
        <w:t>。</w:t>
      </w:r>
      <w:r>
        <w:rPr>
          <w:rFonts w:ascii="Times New Roman" w:hAnsi="Times New Roman"/>
          <w:sz w:val="24"/>
          <w:szCs w:val="24"/>
        </w:rPr>
        <w:t xml:space="preserve"> </w:t>
      </w:r>
      <w:r>
        <w:rPr>
          <w:rFonts w:ascii="Times New Roman" w:hAnsi="Times New Roman"/>
          <w:sz w:val="24"/>
          <w:szCs w:val="24"/>
        </w:rPr>
        <w:cr/>
      </w:r>
      <w:r>
        <w:rPr>
          <w:rFonts w:hint="eastAsia" w:ascii="Times New Roman" w:hAnsi="Times New Roman"/>
          <w:sz w:val="24"/>
          <w:szCs w:val="24"/>
        </w:rPr>
        <w:t xml:space="preserve">    </w:t>
      </w:r>
      <w:r>
        <w:rPr>
          <w:rFonts w:ascii="Times New Roman" w:hAnsi="宋体"/>
          <w:sz w:val="24"/>
          <w:szCs w:val="24"/>
        </w:rPr>
        <w:t>（</w:t>
      </w:r>
      <w:r>
        <w:rPr>
          <w:rFonts w:ascii="Times New Roman" w:hAnsi="Times New Roman"/>
          <w:sz w:val="24"/>
          <w:szCs w:val="24"/>
        </w:rPr>
        <w:t>3</w:t>
      </w:r>
      <w:r>
        <w:rPr>
          <w:rFonts w:ascii="Times New Roman" w:hAnsi="宋体"/>
          <w:sz w:val="24"/>
          <w:szCs w:val="24"/>
        </w:rPr>
        <w:t>）水文</w:t>
      </w:r>
    </w:p>
    <w:p>
      <w:pPr>
        <w:spacing w:line="360" w:lineRule="auto"/>
        <w:ind w:firstLine="470" w:firstLineChars="196"/>
        <w:rPr>
          <w:rFonts w:ascii="Times New Roman" w:hAnsi="Times New Roman"/>
          <w:sz w:val="24"/>
          <w:szCs w:val="24"/>
        </w:rPr>
      </w:pPr>
      <w:r>
        <w:rPr>
          <w:rFonts w:ascii="Times New Roman" w:hAnsi="宋体"/>
          <w:sz w:val="24"/>
          <w:szCs w:val="24"/>
        </w:rPr>
        <w:t>沙坪坝区境内地表水丰富，大河主要为梁滩河，梁滩河由北往东南流经沙坪坝区</w:t>
      </w:r>
      <w:r>
        <w:rPr>
          <w:rFonts w:ascii="Times New Roman" w:hAnsi="Times New Roman"/>
          <w:sz w:val="24"/>
          <w:szCs w:val="24"/>
        </w:rPr>
        <w:t xml:space="preserve"> 19.3 </w:t>
      </w:r>
      <w:r>
        <w:rPr>
          <w:rFonts w:ascii="Times New Roman" w:hAnsi="宋体"/>
          <w:sz w:val="24"/>
          <w:szCs w:val="24"/>
        </w:rPr>
        <w:t>公里。遍布境内的大小河流均属梁滩河水系。全区水体除梁滩河外，虎溪河、清水溪、凤凰溪、詹家溪、南溪口溪是区内较大的溪河。梁滩河多年平均流量约为</w:t>
      </w:r>
      <w:r>
        <w:rPr>
          <w:rFonts w:ascii="Times New Roman" w:hAnsi="Times New Roman"/>
          <w:sz w:val="24"/>
          <w:szCs w:val="24"/>
        </w:rPr>
        <w:t>2100m</w:t>
      </w:r>
      <w:r>
        <w:rPr>
          <w:rFonts w:ascii="Times New Roman" w:hAnsi="Times New Roman"/>
          <w:sz w:val="24"/>
          <w:szCs w:val="24"/>
          <w:vertAlign w:val="superscript"/>
        </w:rPr>
        <w:t>3</w:t>
      </w:r>
      <w:r>
        <w:rPr>
          <w:rFonts w:ascii="Times New Roman" w:hAnsi="Times New Roman"/>
          <w:sz w:val="24"/>
          <w:szCs w:val="24"/>
        </w:rPr>
        <w:t>/s</w:t>
      </w:r>
      <w:r>
        <w:rPr>
          <w:rFonts w:ascii="Times New Roman" w:hAnsi="宋体"/>
          <w:sz w:val="24"/>
          <w:szCs w:val="24"/>
        </w:rPr>
        <w:t>。</w:t>
      </w:r>
      <w:r>
        <w:rPr>
          <w:rFonts w:ascii="Times New Roman" w:hAnsi="Times New Roman"/>
          <w:sz w:val="24"/>
          <w:szCs w:val="24"/>
        </w:rPr>
        <w:t xml:space="preserve"> </w:t>
      </w:r>
    </w:p>
    <w:p>
      <w:pPr>
        <w:spacing w:line="360" w:lineRule="auto"/>
        <w:ind w:firstLine="470" w:firstLineChars="196"/>
        <w:rPr>
          <w:rFonts w:ascii="Times New Roman" w:hAnsi="Times New Roman"/>
          <w:sz w:val="24"/>
          <w:szCs w:val="24"/>
        </w:rPr>
      </w:pPr>
      <w:r>
        <w:rPr>
          <w:rFonts w:hint="eastAsia" w:ascii="Times New Roman" w:hAnsi="宋体"/>
          <w:sz w:val="24"/>
          <w:szCs w:val="24"/>
        </w:rPr>
        <w:t>本</w:t>
      </w:r>
      <w:r>
        <w:rPr>
          <w:rFonts w:ascii="Times New Roman" w:hAnsi="宋体"/>
          <w:sz w:val="24"/>
          <w:szCs w:val="24"/>
        </w:rPr>
        <w:t>项目污废水</w:t>
      </w:r>
      <w:r>
        <w:rPr>
          <w:rFonts w:hint="eastAsia" w:ascii="Times New Roman" w:hAnsi="宋体"/>
          <w:sz w:val="24"/>
          <w:szCs w:val="24"/>
        </w:rPr>
        <w:t>处理达标后排入厂区北面小溪沟，最终汇入梁滩河。</w:t>
      </w:r>
    </w:p>
    <w:p>
      <w:pPr>
        <w:spacing w:line="360" w:lineRule="auto"/>
        <w:ind w:firstLine="470" w:firstLineChars="196"/>
        <w:rPr>
          <w:rFonts w:ascii="Times New Roman" w:hAnsi="Times New Roman"/>
          <w:sz w:val="24"/>
          <w:szCs w:val="24"/>
        </w:rPr>
      </w:pPr>
      <w:r>
        <w:rPr>
          <w:rFonts w:ascii="Times New Roman" w:hAnsi="宋体"/>
          <w:sz w:val="24"/>
          <w:szCs w:val="24"/>
        </w:rPr>
        <w:t>（</w:t>
      </w:r>
      <w:r>
        <w:rPr>
          <w:rFonts w:ascii="Times New Roman" w:hAnsi="Times New Roman"/>
          <w:sz w:val="24"/>
          <w:szCs w:val="24"/>
        </w:rPr>
        <w:t>4</w:t>
      </w:r>
      <w:r>
        <w:rPr>
          <w:rFonts w:ascii="Times New Roman" w:hAnsi="宋体"/>
          <w:sz w:val="24"/>
          <w:szCs w:val="24"/>
        </w:rPr>
        <w:t>）气候、气象</w:t>
      </w:r>
    </w:p>
    <w:p>
      <w:pPr>
        <w:spacing w:line="360" w:lineRule="auto"/>
        <w:ind w:firstLine="470" w:firstLineChars="196"/>
        <w:rPr>
          <w:rFonts w:hint="eastAsia" w:ascii="Times New Roman" w:hAnsi="Times New Roman"/>
          <w:sz w:val="24"/>
          <w:szCs w:val="24"/>
        </w:rPr>
      </w:pPr>
      <w:r>
        <w:rPr>
          <w:rFonts w:ascii="Times New Roman" w:hAnsi="宋体"/>
          <w:sz w:val="24"/>
          <w:szCs w:val="24"/>
        </w:rPr>
        <w:t>本区属亚热带湿润季风气候，四季分明，春早秋迟，夏热冬暖，初夏有梅雨，盛</w:t>
      </w:r>
      <w:r>
        <w:rPr>
          <w:rFonts w:ascii="Times New Roman" w:hAnsi="Times New Roman"/>
          <w:sz w:val="24"/>
          <w:szCs w:val="24"/>
        </w:rPr>
        <w:t xml:space="preserve"> </w:t>
      </w:r>
      <w:r>
        <w:rPr>
          <w:rFonts w:ascii="Times New Roman" w:hAnsi="宋体"/>
          <w:sz w:val="24"/>
          <w:szCs w:val="24"/>
        </w:rPr>
        <w:t>夏多伏旱，秋季有绵雨，冬季多云雾，霜雪甚少，无霜期长，日照少，风力小，湿度</w:t>
      </w:r>
      <w:r>
        <w:rPr>
          <w:rFonts w:ascii="Times New Roman" w:hAnsi="Times New Roman"/>
          <w:sz w:val="24"/>
          <w:szCs w:val="24"/>
        </w:rPr>
        <w:t xml:space="preserve"> </w:t>
      </w:r>
      <w:r>
        <w:rPr>
          <w:rFonts w:ascii="Times New Roman" w:hAnsi="宋体"/>
          <w:sz w:val="24"/>
          <w:szCs w:val="24"/>
        </w:rPr>
        <w:t>大。据</w:t>
      </w:r>
      <w:r>
        <w:rPr>
          <w:rFonts w:ascii="Times New Roman" w:hAnsi="Times New Roman"/>
          <w:sz w:val="24"/>
          <w:szCs w:val="24"/>
        </w:rPr>
        <w:t>1995</w:t>
      </w:r>
      <w:r>
        <w:rPr>
          <w:rFonts w:ascii="Times New Roman" w:hAnsi="宋体"/>
          <w:sz w:val="24"/>
          <w:szCs w:val="24"/>
        </w:rPr>
        <w:t>～</w:t>
      </w:r>
      <w:r>
        <w:rPr>
          <w:rFonts w:ascii="Times New Roman" w:hAnsi="Times New Roman"/>
          <w:sz w:val="24"/>
          <w:szCs w:val="24"/>
        </w:rPr>
        <w:t>2007</w:t>
      </w:r>
      <w:r>
        <w:rPr>
          <w:rFonts w:ascii="Times New Roman" w:hAnsi="宋体"/>
          <w:sz w:val="24"/>
          <w:szCs w:val="24"/>
        </w:rPr>
        <w:t>年气象资料，多年平均气温为</w:t>
      </w:r>
      <w:r>
        <w:rPr>
          <w:rFonts w:ascii="Times New Roman" w:hAnsi="Times New Roman"/>
          <w:sz w:val="24"/>
          <w:szCs w:val="24"/>
        </w:rPr>
        <w:t>18.70</w:t>
      </w:r>
      <w:r>
        <w:rPr>
          <w:rFonts w:ascii="Times New Roman" w:hAnsi="宋体"/>
          <w:sz w:val="24"/>
          <w:szCs w:val="24"/>
        </w:rPr>
        <w:t>℃，极端最高气温为</w:t>
      </w:r>
      <w:r>
        <w:rPr>
          <w:rFonts w:ascii="Times New Roman" w:hAnsi="Times New Roman"/>
          <w:sz w:val="24"/>
          <w:szCs w:val="24"/>
        </w:rPr>
        <w:t>44.5</w:t>
      </w:r>
      <w:r>
        <w:rPr>
          <w:rFonts w:ascii="Times New Roman" w:hAnsi="宋体"/>
          <w:sz w:val="24"/>
          <w:szCs w:val="24"/>
        </w:rPr>
        <w:t>℃（</w:t>
      </w:r>
      <w:r>
        <w:rPr>
          <w:rFonts w:ascii="Times New Roman" w:hAnsi="Times New Roman"/>
          <w:sz w:val="24"/>
          <w:szCs w:val="24"/>
        </w:rPr>
        <w:t xml:space="preserve">2006 </w:t>
      </w:r>
      <w:r>
        <w:rPr>
          <w:rFonts w:ascii="Times New Roman" w:hAnsi="宋体"/>
          <w:sz w:val="24"/>
          <w:szCs w:val="24"/>
        </w:rPr>
        <w:t>年</w:t>
      </w:r>
      <w:r>
        <w:rPr>
          <w:rFonts w:ascii="Times New Roman" w:hAnsi="Times New Roman"/>
          <w:sz w:val="24"/>
          <w:szCs w:val="24"/>
        </w:rPr>
        <w:t>8</w:t>
      </w:r>
      <w:r>
        <w:rPr>
          <w:rFonts w:ascii="Times New Roman" w:hAnsi="宋体"/>
          <w:sz w:val="24"/>
          <w:szCs w:val="24"/>
        </w:rPr>
        <w:t>月），极端最低气温是</w:t>
      </w:r>
      <w:r>
        <w:rPr>
          <w:rFonts w:ascii="Times New Roman" w:hAnsi="Times New Roman"/>
          <w:sz w:val="24"/>
          <w:szCs w:val="24"/>
        </w:rPr>
        <w:t>0.3</w:t>
      </w:r>
      <w:r>
        <w:rPr>
          <w:rFonts w:ascii="Times New Roman" w:hAnsi="宋体"/>
          <w:sz w:val="24"/>
          <w:szCs w:val="24"/>
        </w:rPr>
        <w:t>℃（</w:t>
      </w:r>
      <w:r>
        <w:rPr>
          <w:rFonts w:ascii="Times New Roman" w:hAnsi="Times New Roman"/>
          <w:sz w:val="24"/>
          <w:szCs w:val="24"/>
        </w:rPr>
        <w:t>2004</w:t>
      </w:r>
      <w:r>
        <w:rPr>
          <w:rFonts w:ascii="Times New Roman" w:hAnsi="宋体"/>
          <w:sz w:val="24"/>
          <w:szCs w:val="24"/>
        </w:rPr>
        <w:t>年</w:t>
      </w:r>
      <w:r>
        <w:rPr>
          <w:rFonts w:ascii="Times New Roman" w:hAnsi="Times New Roman"/>
          <w:sz w:val="24"/>
          <w:szCs w:val="24"/>
        </w:rPr>
        <w:t>1</w:t>
      </w:r>
      <w:r>
        <w:rPr>
          <w:rFonts w:ascii="Times New Roman" w:hAnsi="宋体"/>
          <w:sz w:val="24"/>
          <w:szCs w:val="24"/>
        </w:rPr>
        <w:t>月）；多年平均降水量</w:t>
      </w:r>
      <w:r>
        <w:rPr>
          <w:rFonts w:ascii="Times New Roman" w:hAnsi="Times New Roman"/>
          <w:sz w:val="24"/>
          <w:szCs w:val="24"/>
        </w:rPr>
        <w:t>1152mm</w:t>
      </w:r>
      <w:r>
        <w:rPr>
          <w:rFonts w:ascii="Times New Roman" w:hAnsi="宋体"/>
          <w:sz w:val="24"/>
          <w:szCs w:val="24"/>
        </w:rPr>
        <w:t>，极端最高年降水量</w:t>
      </w:r>
      <w:r>
        <w:rPr>
          <w:rFonts w:ascii="Times New Roman" w:hAnsi="Times New Roman"/>
          <w:sz w:val="24"/>
          <w:szCs w:val="24"/>
        </w:rPr>
        <w:t>1615.80mm</w:t>
      </w:r>
      <w:r>
        <w:rPr>
          <w:rFonts w:ascii="Times New Roman" w:hAnsi="宋体"/>
          <w:sz w:val="24"/>
          <w:szCs w:val="24"/>
        </w:rPr>
        <w:t>（</w:t>
      </w:r>
      <w:r>
        <w:rPr>
          <w:rFonts w:ascii="Times New Roman" w:hAnsi="Times New Roman"/>
          <w:sz w:val="24"/>
          <w:szCs w:val="24"/>
        </w:rPr>
        <w:t>1998</w:t>
      </w:r>
      <w:r>
        <w:rPr>
          <w:rFonts w:ascii="Times New Roman" w:hAnsi="宋体"/>
          <w:sz w:val="24"/>
          <w:szCs w:val="24"/>
        </w:rPr>
        <w:t>年），极端最低年降水量</w:t>
      </w:r>
      <w:r>
        <w:rPr>
          <w:rFonts w:ascii="Times New Roman" w:hAnsi="Times New Roman"/>
          <w:sz w:val="24"/>
          <w:szCs w:val="24"/>
        </w:rPr>
        <w:t>813.90mm</w:t>
      </w:r>
      <w:r>
        <w:rPr>
          <w:rFonts w:ascii="Times New Roman" w:hAnsi="宋体"/>
          <w:sz w:val="24"/>
          <w:szCs w:val="24"/>
        </w:rPr>
        <w:t>（</w:t>
      </w:r>
      <w:r>
        <w:rPr>
          <w:rFonts w:ascii="Times New Roman" w:hAnsi="Times New Roman"/>
          <w:sz w:val="24"/>
          <w:szCs w:val="24"/>
        </w:rPr>
        <w:t>2001</w:t>
      </w:r>
      <w:r>
        <w:rPr>
          <w:rFonts w:ascii="Times New Roman" w:hAnsi="宋体"/>
          <w:sz w:val="24"/>
          <w:szCs w:val="24"/>
        </w:rPr>
        <w:t>年），降水量时空分布不均，主要集中于每年</w:t>
      </w:r>
      <w:r>
        <w:rPr>
          <w:rFonts w:ascii="Times New Roman" w:hAnsi="Times New Roman"/>
          <w:sz w:val="24"/>
          <w:szCs w:val="24"/>
        </w:rPr>
        <w:t>5</w:t>
      </w:r>
      <w:r>
        <w:rPr>
          <w:rFonts w:ascii="Times New Roman" w:hAnsi="宋体"/>
          <w:sz w:val="24"/>
          <w:szCs w:val="24"/>
        </w:rPr>
        <w:t>～</w:t>
      </w:r>
      <w:r>
        <w:rPr>
          <w:rFonts w:ascii="Times New Roman" w:hAnsi="Times New Roman"/>
          <w:sz w:val="24"/>
          <w:szCs w:val="24"/>
        </w:rPr>
        <w:t>9</w:t>
      </w:r>
      <w:r>
        <w:rPr>
          <w:rFonts w:ascii="Times New Roman" w:hAnsi="宋体"/>
          <w:sz w:val="24"/>
          <w:szCs w:val="24"/>
        </w:rPr>
        <w:t>月，约占全年降水总量</w:t>
      </w:r>
      <w:r>
        <w:rPr>
          <w:rFonts w:ascii="Times New Roman" w:hAnsi="Times New Roman"/>
          <w:sz w:val="24"/>
          <w:szCs w:val="24"/>
        </w:rPr>
        <w:t>70%</w:t>
      </w:r>
      <w:r>
        <w:rPr>
          <w:rFonts w:ascii="Times New Roman" w:hAnsi="宋体"/>
          <w:sz w:val="24"/>
          <w:szCs w:val="24"/>
        </w:rPr>
        <w:t>，属丰水期，每年的</w:t>
      </w:r>
      <w:r>
        <w:rPr>
          <w:rFonts w:ascii="Times New Roman" w:hAnsi="Times New Roman"/>
          <w:sz w:val="24"/>
          <w:szCs w:val="24"/>
        </w:rPr>
        <w:t>12</w:t>
      </w:r>
      <w:r>
        <w:rPr>
          <w:rFonts w:ascii="Times New Roman" w:hAnsi="宋体"/>
          <w:sz w:val="24"/>
          <w:szCs w:val="24"/>
        </w:rPr>
        <w:t>月和次年的</w:t>
      </w:r>
      <w:r>
        <w:rPr>
          <w:rFonts w:ascii="Times New Roman" w:hAnsi="Times New Roman"/>
          <w:sz w:val="24"/>
          <w:szCs w:val="24"/>
        </w:rPr>
        <w:t>1</w:t>
      </w:r>
      <w:r>
        <w:rPr>
          <w:rFonts w:ascii="Times New Roman" w:hAnsi="宋体"/>
          <w:sz w:val="24"/>
          <w:szCs w:val="24"/>
        </w:rPr>
        <w:t>～</w:t>
      </w:r>
      <w:r>
        <w:rPr>
          <w:rFonts w:ascii="Times New Roman" w:hAnsi="Times New Roman"/>
          <w:sz w:val="24"/>
          <w:szCs w:val="24"/>
        </w:rPr>
        <w:t>3</w:t>
      </w:r>
      <w:r>
        <w:rPr>
          <w:rFonts w:ascii="Times New Roman" w:hAnsi="宋体"/>
          <w:sz w:val="24"/>
          <w:szCs w:val="24"/>
        </w:rPr>
        <w:t>月累计降水量仅占全年降水总量</w:t>
      </w:r>
      <w:r>
        <w:rPr>
          <w:rFonts w:ascii="Times New Roman" w:hAnsi="Times New Roman"/>
          <w:sz w:val="24"/>
          <w:szCs w:val="24"/>
        </w:rPr>
        <w:t>10%</w:t>
      </w:r>
      <w:r>
        <w:rPr>
          <w:rFonts w:ascii="Times New Roman" w:hAnsi="宋体"/>
          <w:sz w:val="24"/>
          <w:szCs w:val="24"/>
        </w:rPr>
        <w:t>，属枯水期，其余</w:t>
      </w:r>
      <w:r>
        <w:rPr>
          <w:rFonts w:ascii="Times New Roman" w:hAnsi="Times New Roman"/>
          <w:sz w:val="24"/>
          <w:szCs w:val="24"/>
        </w:rPr>
        <w:t>4</w:t>
      </w:r>
      <w:r>
        <w:rPr>
          <w:rFonts w:ascii="Times New Roman" w:hAnsi="宋体"/>
          <w:sz w:val="24"/>
          <w:szCs w:val="24"/>
        </w:rPr>
        <w:t>月、</w:t>
      </w:r>
      <w:r>
        <w:rPr>
          <w:rFonts w:ascii="Times New Roman" w:hAnsi="Times New Roman"/>
          <w:sz w:val="24"/>
          <w:szCs w:val="24"/>
        </w:rPr>
        <w:t>10</w:t>
      </w:r>
      <w:r>
        <w:rPr>
          <w:rFonts w:ascii="Times New Roman" w:hAnsi="宋体"/>
          <w:sz w:val="24"/>
          <w:szCs w:val="24"/>
        </w:rPr>
        <w:t>月、</w:t>
      </w:r>
      <w:r>
        <w:rPr>
          <w:rFonts w:ascii="Times New Roman" w:hAnsi="Times New Roman"/>
          <w:sz w:val="24"/>
          <w:szCs w:val="24"/>
        </w:rPr>
        <w:t>11</w:t>
      </w:r>
      <w:r>
        <w:rPr>
          <w:rFonts w:ascii="Times New Roman" w:hAnsi="宋体"/>
          <w:sz w:val="24"/>
          <w:szCs w:val="24"/>
        </w:rPr>
        <w:t>月降水量介于丰、枯水期之间，属平水期。</w:t>
      </w:r>
      <w:r>
        <w:rPr>
          <w:rFonts w:ascii="Times New Roman" w:hAnsi="Times New Roman"/>
          <w:sz w:val="24"/>
          <w:szCs w:val="24"/>
        </w:rPr>
        <w:t xml:space="preserve"> </w:t>
      </w:r>
    </w:p>
    <w:p>
      <w:pPr>
        <w:pStyle w:val="3"/>
      </w:pPr>
      <w:bookmarkStart w:id="626" w:name="_Toc461048103"/>
      <w:r>
        <w:rPr>
          <w:rFonts w:hint="eastAsia"/>
        </w:rPr>
        <w:t>2</w:t>
      </w:r>
      <w:r>
        <w:t>.</w:t>
      </w:r>
      <w:r>
        <w:rPr>
          <w:rFonts w:hint="eastAsia"/>
        </w:rPr>
        <w:t>3危险</w:t>
      </w:r>
      <w:r>
        <w:t>化学品和危险废物基本情况</w:t>
      </w:r>
      <w:bookmarkEnd w:id="626"/>
    </w:p>
    <w:p>
      <w:pPr>
        <w:spacing w:line="360" w:lineRule="auto"/>
        <w:ind w:firstLine="480" w:firstLineChars="200"/>
        <w:rPr>
          <w:rFonts w:hint="eastAsia" w:ascii="Times New Roman" w:hAnsi="宋体"/>
          <w:b/>
          <w:sz w:val="24"/>
          <w:szCs w:val="24"/>
        </w:rPr>
      </w:pPr>
      <w:bookmarkStart w:id="627" w:name="_Toc151961059"/>
      <w:bookmarkStart w:id="628" w:name="_Toc180241780"/>
      <w:bookmarkStart w:id="629" w:name="_Toc338228593"/>
      <w:bookmarkStart w:id="630" w:name="_Toc338230947"/>
      <w:bookmarkStart w:id="631" w:name="_Toc179730720"/>
      <w:bookmarkStart w:id="632" w:name="_Toc179714538"/>
      <w:bookmarkStart w:id="633" w:name="_Toc130356360"/>
      <w:bookmarkStart w:id="634" w:name="_Toc179769689"/>
      <w:bookmarkStart w:id="635" w:name="_Toc180242554"/>
      <w:bookmarkStart w:id="636" w:name="_Toc178755681"/>
      <w:r>
        <w:rPr>
          <w:rFonts w:ascii="Times New Roman" w:hAnsi="宋体"/>
          <w:kern w:val="0"/>
          <w:sz w:val="24"/>
          <w:szCs w:val="24"/>
        </w:rPr>
        <w:t>依据企业《环境突发事件风险评估报告》评估结果，企业涉及的危险化学品包括</w:t>
      </w:r>
      <w:r>
        <w:rPr>
          <w:rFonts w:hint="eastAsia" w:ascii="Times New Roman" w:hAnsi="宋体"/>
          <w:b/>
          <w:sz w:val="24"/>
          <w:szCs w:val="24"/>
        </w:rPr>
        <w:t>氨水、柴油和润滑油</w:t>
      </w:r>
      <w:r>
        <w:rPr>
          <w:rFonts w:ascii="Times New Roman" w:hAnsi="宋体"/>
          <w:b/>
          <w:sz w:val="24"/>
          <w:szCs w:val="24"/>
        </w:rPr>
        <w:t>。</w:t>
      </w:r>
    </w:p>
    <w:p>
      <w:pPr>
        <w:spacing w:line="360" w:lineRule="auto"/>
        <w:ind w:firstLine="480" w:firstLineChars="200"/>
        <w:rPr>
          <w:rFonts w:ascii="Times New Roman" w:hAnsi="宋体"/>
          <w:sz w:val="24"/>
          <w:szCs w:val="24"/>
        </w:rPr>
      </w:pPr>
      <w:r>
        <w:rPr>
          <w:rFonts w:ascii="Times New Roman" w:hAnsi="宋体"/>
          <w:sz w:val="24"/>
          <w:szCs w:val="24"/>
        </w:rPr>
        <w:t>氨水存放在氨水储罐中</w:t>
      </w:r>
      <w:r>
        <w:rPr>
          <w:rFonts w:hint="eastAsia" w:ascii="Times New Roman" w:hAnsi="宋体"/>
          <w:sz w:val="24"/>
          <w:szCs w:val="24"/>
        </w:rPr>
        <w:t>，柴油存放在柴油罐中，润滑油存放在润滑油库房中，</w:t>
      </w:r>
      <w:r>
        <w:rPr>
          <w:rFonts w:ascii="Times New Roman" w:hAnsi="宋体"/>
          <w:sz w:val="24"/>
          <w:szCs w:val="24"/>
        </w:rPr>
        <w:t>生产区域内不储存化学品</w:t>
      </w:r>
      <w:r>
        <w:rPr>
          <w:rFonts w:hint="eastAsia" w:ascii="Times New Roman" w:hAnsi="宋体"/>
          <w:sz w:val="24"/>
          <w:szCs w:val="24"/>
        </w:rPr>
        <w:t>。</w:t>
      </w:r>
    </w:p>
    <w:p>
      <w:pPr>
        <w:pStyle w:val="2"/>
        <w:rPr>
          <w:rFonts w:hint="eastAsia"/>
        </w:rPr>
      </w:pPr>
      <w:r>
        <w:rPr>
          <w:rFonts w:ascii="Times New Roman" w:hAnsi="宋体"/>
          <w:sz w:val="24"/>
          <w:szCs w:val="24"/>
        </w:rPr>
        <w:br w:type="page"/>
      </w:r>
      <w:bookmarkStart w:id="637" w:name="_Toc461048104"/>
      <w:r>
        <w:rPr>
          <w:rFonts w:hint="eastAsia"/>
        </w:rPr>
        <w:t>3环境风险源识别及环境风险评估</w:t>
      </w:r>
      <w:bookmarkEnd w:id="637"/>
    </w:p>
    <w:bookmarkEnd w:id="605"/>
    <w:bookmarkEnd w:id="606"/>
    <w:bookmarkEnd w:id="607"/>
    <w:bookmarkEnd w:id="608"/>
    <w:bookmarkEnd w:id="609"/>
    <w:bookmarkEnd w:id="610"/>
    <w:bookmarkEnd w:id="627"/>
    <w:bookmarkEnd w:id="628"/>
    <w:bookmarkEnd w:id="629"/>
    <w:bookmarkEnd w:id="630"/>
    <w:bookmarkEnd w:id="631"/>
    <w:bookmarkEnd w:id="632"/>
    <w:bookmarkEnd w:id="633"/>
    <w:bookmarkEnd w:id="634"/>
    <w:bookmarkEnd w:id="635"/>
    <w:bookmarkEnd w:id="636"/>
    <w:p>
      <w:pPr>
        <w:pStyle w:val="3"/>
        <w:rPr>
          <w:rFonts w:ascii="Times New Roman" w:hAnsi="Times New Roman"/>
          <w:szCs w:val="28"/>
        </w:rPr>
      </w:pPr>
      <w:bookmarkStart w:id="638" w:name="_Toc436171723"/>
      <w:bookmarkStart w:id="639" w:name="_Toc461048105"/>
      <w:bookmarkStart w:id="640" w:name="_Toc338228596"/>
      <w:bookmarkStart w:id="641" w:name="_Toc338230950"/>
      <w:r>
        <w:rPr>
          <w:rFonts w:ascii="Times New Roman" w:hAnsi="Times New Roman"/>
          <w:szCs w:val="28"/>
        </w:rPr>
        <w:t>3.1</w:t>
      </w:r>
      <w:r>
        <w:rPr>
          <w:rFonts w:ascii="Times New Roman" w:hAnsi="宋体"/>
          <w:szCs w:val="28"/>
        </w:rPr>
        <w:t>危险化学品环境风险源识别与评价</w:t>
      </w:r>
      <w:bookmarkEnd w:id="638"/>
      <w:bookmarkEnd w:id="639"/>
    </w:p>
    <w:p>
      <w:pPr>
        <w:pStyle w:val="4"/>
        <w:rPr>
          <w:rFonts w:ascii="Times New Roman" w:hAnsi="Times New Roman"/>
          <w:szCs w:val="24"/>
        </w:rPr>
      </w:pPr>
      <w:bookmarkStart w:id="642" w:name="_Toc436171724"/>
      <w:r>
        <w:rPr>
          <w:rFonts w:ascii="Times New Roman" w:hAnsi="Times New Roman"/>
          <w:szCs w:val="24"/>
        </w:rPr>
        <w:t>3.1.1</w:t>
      </w:r>
      <w:r>
        <w:rPr>
          <w:rFonts w:ascii="Times New Roman" w:hAnsi="宋体"/>
          <w:szCs w:val="24"/>
        </w:rPr>
        <w:t>危险化学品环境风险源识别</w:t>
      </w:r>
      <w:bookmarkEnd w:id="642"/>
    </w:p>
    <w:p>
      <w:pPr>
        <w:spacing w:line="360" w:lineRule="auto"/>
        <w:ind w:firstLine="480" w:firstLineChars="200"/>
        <w:rPr>
          <w:rFonts w:ascii="Times New Roman" w:hAnsi="Times New Roman"/>
          <w:kern w:val="0"/>
          <w:sz w:val="24"/>
          <w:szCs w:val="24"/>
        </w:rPr>
      </w:pPr>
      <w:r>
        <w:rPr>
          <w:rFonts w:ascii="Times New Roman" w:hAnsi="宋体"/>
          <w:kern w:val="0"/>
          <w:sz w:val="24"/>
          <w:szCs w:val="24"/>
        </w:rPr>
        <w:t>依据企业《环境突发事件风险评估报告》评估结果，企业环境风险源主要为氨水储罐</w:t>
      </w:r>
      <w:r>
        <w:rPr>
          <w:rFonts w:hint="eastAsia" w:ascii="Times New Roman" w:hAnsi="宋体"/>
          <w:kern w:val="0"/>
          <w:sz w:val="24"/>
          <w:szCs w:val="24"/>
        </w:rPr>
        <w:t>、</w:t>
      </w:r>
      <w:r>
        <w:rPr>
          <w:rFonts w:ascii="Times New Roman" w:hAnsi="宋体"/>
          <w:kern w:val="0"/>
          <w:sz w:val="24"/>
          <w:szCs w:val="24"/>
        </w:rPr>
        <w:t>柴油储罐和润滑油仓库。</w:t>
      </w:r>
    </w:p>
    <w:p>
      <w:pPr>
        <w:pStyle w:val="4"/>
        <w:rPr>
          <w:rFonts w:ascii="Times New Roman" w:hAnsi="Times New Roman"/>
          <w:szCs w:val="24"/>
        </w:rPr>
      </w:pPr>
      <w:bookmarkStart w:id="643" w:name="_Toc436171725"/>
      <w:r>
        <w:rPr>
          <w:rFonts w:ascii="Times New Roman" w:hAnsi="Times New Roman"/>
          <w:szCs w:val="24"/>
        </w:rPr>
        <w:t>3.1.2</w:t>
      </w:r>
      <w:r>
        <w:rPr>
          <w:rFonts w:ascii="Times New Roman" w:hAnsi="宋体"/>
          <w:szCs w:val="24"/>
        </w:rPr>
        <w:t>危险化学品环境风险源风险分析</w:t>
      </w:r>
      <w:bookmarkEnd w:id="643"/>
    </w:p>
    <w:p>
      <w:pPr>
        <w:spacing w:line="360" w:lineRule="auto"/>
        <w:ind w:firstLine="480" w:firstLineChars="200"/>
        <w:rPr>
          <w:rFonts w:ascii="Times New Roman" w:hAnsi="Times New Roman"/>
          <w:kern w:val="0"/>
          <w:sz w:val="24"/>
          <w:szCs w:val="24"/>
        </w:rPr>
      </w:pPr>
      <w:r>
        <w:rPr>
          <w:rFonts w:ascii="Times New Roman" w:hAnsi="宋体"/>
          <w:kern w:val="0"/>
          <w:sz w:val="24"/>
          <w:szCs w:val="24"/>
        </w:rPr>
        <w:t>危险化学品的主要环境风险来自于化学品泄漏造成的水体、土壤、大气的污染，或由泄漏引起火灾和爆炸，带来进一步的环境污染等。</w:t>
      </w:r>
    </w:p>
    <w:p>
      <w:pPr>
        <w:spacing w:line="360" w:lineRule="auto"/>
        <w:ind w:firstLine="480" w:firstLineChars="200"/>
        <w:rPr>
          <w:rFonts w:ascii="Times New Roman" w:hAnsi="Times New Roman"/>
          <w:kern w:val="0"/>
          <w:sz w:val="24"/>
          <w:szCs w:val="24"/>
        </w:rPr>
      </w:pPr>
      <w:r>
        <w:rPr>
          <w:rFonts w:ascii="Times New Roman" w:hAnsi="宋体"/>
          <w:kern w:val="0"/>
          <w:sz w:val="24"/>
          <w:szCs w:val="24"/>
        </w:rPr>
        <w:t>泄漏事故类型主要有槽罐破裂、管线断裂、连接点裂口、密封点泄漏和误操作造成的排放等。泄漏可发生于氨水储罐，氨水输送管道及使用区域等。</w:t>
      </w:r>
    </w:p>
    <w:p>
      <w:pPr>
        <w:spacing w:line="360" w:lineRule="auto"/>
        <w:ind w:firstLine="480" w:firstLineChars="200"/>
        <w:rPr>
          <w:rFonts w:ascii="Times New Roman" w:hAnsi="Times New Roman"/>
          <w:b/>
          <w:color w:val="000000"/>
          <w:sz w:val="24"/>
          <w:szCs w:val="24"/>
        </w:rPr>
      </w:pPr>
      <w:r>
        <w:rPr>
          <w:rFonts w:ascii="Times New Roman" w:hAnsi="宋体"/>
          <w:kern w:val="0"/>
          <w:sz w:val="24"/>
          <w:szCs w:val="24"/>
        </w:rPr>
        <w:t>本预案引用企业《环境影响评价报告书》环境风险评价专篇的评估结论：</w:t>
      </w:r>
      <w:r>
        <w:rPr>
          <w:rFonts w:ascii="Times New Roman" w:hAnsi="宋体"/>
          <w:b/>
          <w:color w:val="000000"/>
          <w:sz w:val="24"/>
          <w:szCs w:val="24"/>
        </w:rPr>
        <w:t>项目的建设，不可避免会存在一定的环境风险。对此，建设单位必须高度重视。做到风险防范警钟常鸣，环境安全管理常抓不懈；严格落实各项风险防范措施，不断完善风险管理体系。只有这样，才能有效降低风险事故发生概率、杜绝特大事故的发生隐患。</w:t>
      </w:r>
    </w:p>
    <w:p>
      <w:pPr>
        <w:pStyle w:val="4"/>
        <w:rPr>
          <w:rFonts w:ascii="Times New Roman" w:hAnsi="Times New Roman"/>
          <w:szCs w:val="24"/>
        </w:rPr>
      </w:pPr>
      <w:bookmarkStart w:id="644" w:name="_Toc436171726"/>
      <w:r>
        <w:rPr>
          <w:rFonts w:ascii="Times New Roman" w:hAnsi="Times New Roman"/>
          <w:szCs w:val="24"/>
        </w:rPr>
        <w:t>3.1.3</w:t>
      </w:r>
      <w:r>
        <w:rPr>
          <w:rFonts w:ascii="Times New Roman" w:hAnsi="宋体"/>
          <w:szCs w:val="24"/>
        </w:rPr>
        <w:t>其他环境风险源识别与评价</w:t>
      </w:r>
      <w:bookmarkEnd w:id="644"/>
    </w:p>
    <w:p>
      <w:pPr>
        <w:spacing w:line="360" w:lineRule="auto"/>
        <w:ind w:firstLine="480" w:firstLineChars="200"/>
        <w:rPr>
          <w:kern w:val="0"/>
          <w:sz w:val="24"/>
          <w:szCs w:val="24"/>
        </w:rPr>
      </w:pPr>
      <w:r>
        <w:rPr>
          <w:kern w:val="0"/>
          <w:sz w:val="24"/>
          <w:szCs w:val="24"/>
        </w:rPr>
        <w:t>除化学品泄漏外，企业其他环境风险源还包括：</w:t>
      </w:r>
    </w:p>
    <w:p>
      <w:pPr>
        <w:spacing w:line="360" w:lineRule="auto"/>
        <w:ind w:firstLine="480" w:firstLineChars="200"/>
        <w:rPr>
          <w:kern w:val="0"/>
          <w:sz w:val="24"/>
          <w:szCs w:val="24"/>
        </w:rPr>
      </w:pPr>
      <w:r>
        <w:rPr>
          <w:kern w:val="0"/>
          <w:sz w:val="24"/>
          <w:szCs w:val="24"/>
        </w:rPr>
        <w:t>（1）废气处理系统异常停机，导致废气超标，污染大气环境；</w:t>
      </w:r>
    </w:p>
    <w:p>
      <w:pPr>
        <w:spacing w:line="360" w:lineRule="auto"/>
        <w:ind w:firstLine="480" w:firstLineChars="200"/>
        <w:rPr>
          <w:kern w:val="0"/>
          <w:sz w:val="24"/>
          <w:szCs w:val="24"/>
        </w:rPr>
      </w:pPr>
      <w:r>
        <w:rPr>
          <w:kern w:val="0"/>
          <w:sz w:val="24"/>
          <w:szCs w:val="24"/>
        </w:rPr>
        <w:t>（2）污水处理设施发生故障，导致废水不能处理或污染物超标；</w:t>
      </w:r>
    </w:p>
    <w:p>
      <w:pPr>
        <w:spacing w:line="360" w:lineRule="auto"/>
        <w:ind w:firstLine="480" w:firstLineChars="200"/>
        <w:rPr>
          <w:kern w:val="0"/>
          <w:sz w:val="24"/>
          <w:szCs w:val="24"/>
        </w:rPr>
      </w:pPr>
      <w:r>
        <w:rPr>
          <w:kern w:val="0"/>
          <w:sz w:val="24"/>
          <w:szCs w:val="24"/>
        </w:rPr>
        <w:t>（3）污水渗漏污染土壤及地下水；</w:t>
      </w:r>
    </w:p>
    <w:p>
      <w:pPr>
        <w:spacing w:line="360" w:lineRule="auto"/>
        <w:ind w:firstLine="480" w:firstLineChars="200"/>
        <w:rPr>
          <w:kern w:val="0"/>
          <w:sz w:val="24"/>
          <w:szCs w:val="24"/>
        </w:rPr>
      </w:pPr>
      <w:r>
        <w:rPr>
          <w:kern w:val="0"/>
          <w:sz w:val="24"/>
          <w:szCs w:val="24"/>
        </w:rPr>
        <w:t>（4）危险废弃物收集，贮存过程中残留化学品泄漏或渗漏；</w:t>
      </w:r>
    </w:p>
    <w:p>
      <w:pPr>
        <w:spacing w:line="360" w:lineRule="auto"/>
        <w:ind w:firstLine="480" w:firstLineChars="200"/>
        <w:rPr>
          <w:kern w:val="0"/>
          <w:sz w:val="24"/>
          <w:szCs w:val="24"/>
        </w:rPr>
      </w:pPr>
      <w:r>
        <w:rPr>
          <w:kern w:val="0"/>
          <w:sz w:val="24"/>
          <w:szCs w:val="24"/>
        </w:rPr>
        <w:t>（5）危险废弃物运输过程中，交通事故废弃物倾翻污染土壤、水体或大气等；</w:t>
      </w:r>
    </w:p>
    <w:p>
      <w:pPr>
        <w:pStyle w:val="3"/>
      </w:pPr>
      <w:bookmarkStart w:id="645" w:name="_Toc436171727"/>
      <w:bookmarkStart w:id="646" w:name="_Toc461048106"/>
      <w:r>
        <w:t>3.2风险防范措施</w:t>
      </w:r>
      <w:bookmarkEnd w:id="645"/>
      <w:bookmarkEnd w:id="646"/>
    </w:p>
    <w:p>
      <w:pPr>
        <w:pStyle w:val="4"/>
      </w:pPr>
      <w:bookmarkStart w:id="647" w:name="_Toc436171728"/>
      <w:r>
        <w:t>3.</w:t>
      </w:r>
      <w:r>
        <w:rPr>
          <w:rFonts w:hint="eastAsia"/>
        </w:rPr>
        <w:t>2</w:t>
      </w:r>
      <w:r>
        <w:t>.1危险化学品贮存及使用</w:t>
      </w:r>
      <w:bookmarkEnd w:id="647"/>
    </w:p>
    <w:p>
      <w:pPr>
        <w:spacing w:line="360" w:lineRule="auto"/>
        <w:ind w:firstLine="480" w:firstLineChars="200"/>
        <w:rPr>
          <w:rFonts w:ascii="Times New Roman" w:hAnsi="Times New Roman"/>
          <w:b/>
          <w:kern w:val="0"/>
          <w:sz w:val="24"/>
          <w:szCs w:val="24"/>
        </w:rPr>
      </w:pPr>
      <w:r>
        <w:rPr>
          <w:rFonts w:ascii="Times New Roman" w:hAnsi="宋体"/>
          <w:b/>
          <w:kern w:val="0"/>
          <w:sz w:val="24"/>
          <w:szCs w:val="24"/>
        </w:rPr>
        <w:t>一、危险化学品存储</w:t>
      </w:r>
    </w:p>
    <w:p>
      <w:pPr>
        <w:spacing w:line="360" w:lineRule="auto"/>
        <w:ind w:firstLine="560"/>
        <w:rPr>
          <w:rFonts w:ascii="Times New Roman" w:hAnsi="Times New Roman"/>
          <w:sz w:val="24"/>
          <w:szCs w:val="24"/>
        </w:rPr>
      </w:pPr>
      <w:r>
        <w:rPr>
          <w:rFonts w:ascii="Times New Roman" w:hAnsi="宋体"/>
          <w:sz w:val="24"/>
          <w:szCs w:val="24"/>
        </w:rPr>
        <w:t>氨水储罐采用不锈钢储罐，储罐外设置</w:t>
      </w:r>
      <w:r>
        <w:rPr>
          <w:rFonts w:ascii="Times New Roman" w:hAnsi="Times New Roman"/>
          <w:sz w:val="24"/>
          <w:szCs w:val="24"/>
        </w:rPr>
        <w:t>1.5m</w:t>
      </w:r>
      <w:r>
        <w:rPr>
          <w:rFonts w:ascii="Times New Roman" w:hAnsi="宋体"/>
          <w:sz w:val="24"/>
          <w:szCs w:val="24"/>
        </w:rPr>
        <w:t>高围堰，形成一个</w:t>
      </w:r>
      <w:r>
        <w:rPr>
          <w:rFonts w:ascii="Times New Roman" w:hAnsi="Times New Roman"/>
          <w:sz w:val="24"/>
          <w:szCs w:val="24"/>
        </w:rPr>
        <w:t>38m</w:t>
      </w:r>
      <w:r>
        <w:rPr>
          <w:rFonts w:ascii="Times New Roman" w:hAnsi="Times New Roman"/>
          <w:sz w:val="24"/>
          <w:szCs w:val="24"/>
          <w:vertAlign w:val="superscript"/>
        </w:rPr>
        <w:t>3</w:t>
      </w:r>
      <w:r>
        <w:rPr>
          <w:rFonts w:ascii="Times New Roman" w:hAnsi="宋体"/>
          <w:sz w:val="24"/>
          <w:szCs w:val="24"/>
        </w:rPr>
        <w:t>事故收集池，事故收集池底部配置一个</w:t>
      </w:r>
      <w:r>
        <w:rPr>
          <w:rFonts w:ascii="Times New Roman" w:hAnsi="Times New Roman"/>
          <w:sz w:val="24"/>
          <w:szCs w:val="24"/>
        </w:rPr>
        <w:t>52m</w:t>
      </w:r>
      <w:r>
        <w:rPr>
          <w:rFonts w:ascii="Times New Roman" w:hAnsi="Times New Roman"/>
          <w:sz w:val="24"/>
          <w:szCs w:val="24"/>
          <w:vertAlign w:val="superscript"/>
        </w:rPr>
        <w:t>3</w:t>
      </w:r>
      <w:r>
        <w:rPr>
          <w:rFonts w:ascii="Times New Roman" w:hAnsi="宋体"/>
          <w:sz w:val="24"/>
          <w:szCs w:val="24"/>
        </w:rPr>
        <w:t>应急事故池，如储罐发生破损，事故收集池和应急事故池能够有效收集泄漏的氨水和消防用水。氨水储罐西侧有</w:t>
      </w:r>
      <w:r>
        <w:rPr>
          <w:rFonts w:ascii="Times New Roman" w:hAnsi="Times New Roman"/>
          <w:sz w:val="24"/>
          <w:szCs w:val="24"/>
        </w:rPr>
        <w:t>1</w:t>
      </w:r>
      <w:r>
        <w:rPr>
          <w:rFonts w:ascii="Times New Roman" w:hAnsi="宋体"/>
          <w:sz w:val="24"/>
          <w:szCs w:val="24"/>
        </w:rPr>
        <w:t>个</w:t>
      </w:r>
      <w:r>
        <w:rPr>
          <w:rFonts w:ascii="Times New Roman" w:hAnsi="Times New Roman"/>
          <w:sz w:val="24"/>
          <w:szCs w:val="24"/>
        </w:rPr>
        <w:t>100m</w:t>
      </w:r>
      <w:r>
        <w:rPr>
          <w:rFonts w:ascii="Times New Roman" w:hAnsi="Times New Roman"/>
          <w:sz w:val="24"/>
          <w:szCs w:val="24"/>
          <w:vertAlign w:val="superscript"/>
        </w:rPr>
        <w:t>3</w:t>
      </w:r>
      <w:r>
        <w:rPr>
          <w:rFonts w:ascii="Times New Roman" w:hAnsi="宋体"/>
          <w:sz w:val="24"/>
          <w:szCs w:val="24"/>
        </w:rPr>
        <w:t>循环冷却水池，氨水储罐一旦发生泄漏可将循环用水作为消防用水使用。同时及时通知氨水运输罐车，将事故池中的氨水外运处置。储罐内的两台卸氨泵可通过调节变成抽水泵。</w:t>
      </w:r>
      <w:r>
        <w:rPr>
          <w:rFonts w:ascii="Times New Roman" w:hAnsi="宋体"/>
          <w:kern w:val="0"/>
          <w:sz w:val="24"/>
          <w:szCs w:val="24"/>
        </w:rPr>
        <w:t>在氨水储罐区设置了泄漏感应装置，一旦槽体发生泄漏，感应装置将会将信号输送至控制室，管理人员可根据信号立即达到泄漏储罐所在位置并进行相应的处置。</w:t>
      </w:r>
      <w:r>
        <w:rPr>
          <w:rFonts w:ascii="Times New Roman" w:hAnsi="宋体"/>
          <w:sz w:val="24"/>
          <w:szCs w:val="24"/>
        </w:rPr>
        <w:t>地面为乙烯基纤维布压层防腐地坪，墙面涂有水性环氧涂料。</w:t>
      </w:r>
    </w:p>
    <w:p>
      <w:pPr>
        <w:spacing w:line="360" w:lineRule="auto"/>
        <w:ind w:firstLine="560"/>
        <w:rPr>
          <w:rFonts w:ascii="Times New Roman" w:hAnsi="Times New Roman"/>
          <w:sz w:val="24"/>
          <w:szCs w:val="24"/>
        </w:rPr>
      </w:pPr>
      <w:r>
        <w:rPr>
          <w:rFonts w:ascii="Times New Roman" w:hAnsi="宋体"/>
          <w:sz w:val="24"/>
          <w:szCs w:val="24"/>
        </w:rPr>
        <w:t>柴油储罐采用不锈钢储罐，储罐外设置围堰，形成一个</w:t>
      </w:r>
      <w:r>
        <w:rPr>
          <w:rFonts w:ascii="Times New Roman" w:hAnsi="Times New Roman"/>
          <w:sz w:val="24"/>
          <w:szCs w:val="24"/>
        </w:rPr>
        <w:t>20m</w:t>
      </w:r>
      <w:r>
        <w:rPr>
          <w:rFonts w:ascii="Times New Roman" w:hAnsi="Times New Roman"/>
          <w:sz w:val="24"/>
          <w:szCs w:val="24"/>
          <w:vertAlign w:val="superscript"/>
        </w:rPr>
        <w:t>3</w:t>
      </w:r>
      <w:r>
        <w:rPr>
          <w:rFonts w:ascii="Times New Roman" w:hAnsi="宋体"/>
          <w:sz w:val="24"/>
          <w:szCs w:val="24"/>
        </w:rPr>
        <w:t>的事故收集池。一旦发生泄漏，及时通知柴油运输罐车，将事故收集池中的柴油外运处置。地面为乙烯基纤维布压层防腐地坪，墙面涂有水性环氧涂料。</w:t>
      </w:r>
    </w:p>
    <w:p>
      <w:pPr>
        <w:spacing w:line="360" w:lineRule="auto"/>
        <w:ind w:firstLine="560"/>
        <w:rPr>
          <w:rFonts w:ascii="Times New Roman" w:hAnsi="Times New Roman"/>
          <w:sz w:val="24"/>
          <w:szCs w:val="24"/>
        </w:rPr>
      </w:pPr>
      <w:r>
        <w:rPr>
          <w:rFonts w:ascii="Times New Roman" w:hAnsi="宋体"/>
          <w:kern w:val="0"/>
          <w:sz w:val="24"/>
          <w:szCs w:val="24"/>
        </w:rPr>
        <w:t>润滑油仓库设有地沟，以收集泄漏的化学品，防止其进一步扩散。</w:t>
      </w:r>
      <w:r>
        <w:rPr>
          <w:rFonts w:ascii="Times New Roman" w:hAnsi="宋体"/>
          <w:sz w:val="24"/>
          <w:szCs w:val="24"/>
        </w:rPr>
        <w:t>地面为乙烯基纤维布压层防腐地坪。</w:t>
      </w:r>
      <w:r>
        <w:rPr>
          <w:rFonts w:hAnsi="楷体"/>
          <w:sz w:val="24"/>
          <w:szCs w:val="24"/>
        </w:rPr>
        <w:t>化学品仓库存放化学品类型及收集池的容积、尺寸汇总</w:t>
      </w:r>
      <w:r>
        <w:rPr>
          <w:rFonts w:hint="eastAsia" w:hAnsi="楷体"/>
          <w:sz w:val="24"/>
          <w:szCs w:val="24"/>
        </w:rPr>
        <w:t>详见表3.2—1。</w:t>
      </w:r>
    </w:p>
    <w:p>
      <w:pPr>
        <w:jc w:val="center"/>
        <w:rPr>
          <w:b/>
          <w:sz w:val="24"/>
          <w:szCs w:val="24"/>
        </w:rPr>
      </w:pPr>
      <w:r>
        <w:rPr>
          <w:rFonts w:hAnsi="楷体"/>
          <w:b/>
          <w:sz w:val="24"/>
          <w:szCs w:val="24"/>
        </w:rPr>
        <w:t>表</w:t>
      </w:r>
      <w:r>
        <w:rPr>
          <w:rFonts w:hint="eastAsia"/>
          <w:b/>
          <w:sz w:val="24"/>
          <w:szCs w:val="24"/>
        </w:rPr>
        <w:t>3.2—1</w:t>
      </w:r>
      <w:r>
        <w:rPr>
          <w:b/>
          <w:sz w:val="24"/>
          <w:szCs w:val="24"/>
        </w:rPr>
        <w:t xml:space="preserve">   </w:t>
      </w:r>
      <w:r>
        <w:rPr>
          <w:rFonts w:hAnsi="楷体"/>
          <w:b/>
          <w:sz w:val="24"/>
          <w:szCs w:val="24"/>
        </w:rPr>
        <w:t>化学品仓库存放化学品类型及收集池的容积、尺寸汇总</w:t>
      </w:r>
    </w:p>
    <w:tbl>
      <w:tblPr>
        <w:tblStyle w:val="21"/>
        <w:tblW w:w="8505"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94"/>
        <w:gridCol w:w="2314"/>
        <w:gridCol w:w="1297"/>
        <w:gridCol w:w="1170"/>
        <w:gridCol w:w="936"/>
        <w:gridCol w:w="555"/>
        <w:gridCol w:w="8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jc w:val="center"/>
        </w:trPr>
        <w:tc>
          <w:tcPr>
            <w:tcW w:w="1394" w:type="dxa"/>
            <w:vMerge w:val="restart"/>
            <w:vAlign w:val="center"/>
          </w:tcPr>
          <w:p>
            <w:pPr>
              <w:widowControl/>
              <w:jc w:val="center"/>
              <w:rPr>
                <w:color w:val="000000"/>
                <w:kern w:val="0"/>
                <w:szCs w:val="21"/>
              </w:rPr>
            </w:pPr>
            <w:r>
              <w:rPr>
                <w:rFonts w:hAnsi="楷体"/>
                <w:color w:val="000000"/>
                <w:kern w:val="0"/>
                <w:szCs w:val="21"/>
              </w:rPr>
              <w:t>区域</w:t>
            </w:r>
          </w:p>
        </w:tc>
        <w:tc>
          <w:tcPr>
            <w:tcW w:w="2314" w:type="dxa"/>
            <w:vMerge w:val="restart"/>
            <w:vAlign w:val="center"/>
          </w:tcPr>
          <w:p>
            <w:pPr>
              <w:widowControl/>
              <w:jc w:val="center"/>
              <w:rPr>
                <w:color w:val="000000"/>
                <w:kern w:val="0"/>
                <w:szCs w:val="21"/>
              </w:rPr>
            </w:pPr>
            <w:r>
              <w:rPr>
                <w:rFonts w:hAnsi="楷体"/>
                <w:color w:val="000000"/>
                <w:kern w:val="0"/>
                <w:szCs w:val="21"/>
              </w:rPr>
              <w:t>存储化学品类型</w:t>
            </w:r>
          </w:p>
        </w:tc>
        <w:tc>
          <w:tcPr>
            <w:tcW w:w="3403" w:type="dxa"/>
            <w:gridSpan w:val="3"/>
            <w:vAlign w:val="center"/>
          </w:tcPr>
          <w:p>
            <w:pPr>
              <w:widowControl/>
              <w:jc w:val="center"/>
              <w:rPr>
                <w:color w:val="000000"/>
                <w:kern w:val="0"/>
                <w:szCs w:val="21"/>
              </w:rPr>
            </w:pPr>
            <w:r>
              <w:rPr>
                <w:rFonts w:hAnsi="楷体"/>
                <w:color w:val="000000"/>
                <w:kern w:val="0"/>
                <w:szCs w:val="21"/>
              </w:rPr>
              <w:t>收集池尺寸</w:t>
            </w:r>
          </w:p>
        </w:tc>
        <w:tc>
          <w:tcPr>
            <w:tcW w:w="555" w:type="dxa"/>
            <w:vMerge w:val="restart"/>
            <w:vAlign w:val="center"/>
          </w:tcPr>
          <w:p>
            <w:pPr>
              <w:widowControl/>
              <w:jc w:val="center"/>
              <w:rPr>
                <w:color w:val="000000"/>
                <w:kern w:val="0"/>
                <w:szCs w:val="21"/>
              </w:rPr>
            </w:pPr>
            <w:r>
              <w:rPr>
                <w:rFonts w:hAnsi="楷体"/>
                <w:color w:val="000000"/>
                <w:kern w:val="0"/>
                <w:szCs w:val="21"/>
              </w:rPr>
              <w:t>个数</w:t>
            </w:r>
          </w:p>
        </w:tc>
        <w:tc>
          <w:tcPr>
            <w:tcW w:w="839" w:type="dxa"/>
            <w:vMerge w:val="restart"/>
            <w:vAlign w:val="center"/>
          </w:tcPr>
          <w:p>
            <w:pPr>
              <w:widowControl/>
              <w:jc w:val="center"/>
              <w:rPr>
                <w:color w:val="000000"/>
                <w:kern w:val="0"/>
                <w:szCs w:val="21"/>
              </w:rPr>
            </w:pPr>
            <w:r>
              <w:rPr>
                <w:rFonts w:hAnsi="楷体"/>
                <w:color w:val="000000"/>
                <w:kern w:val="0"/>
                <w:szCs w:val="21"/>
              </w:rPr>
              <w:t>容积</w:t>
            </w:r>
            <w:r>
              <w:rPr>
                <w:color w:val="000000"/>
                <w:kern w:val="0"/>
                <w:szCs w:val="21"/>
              </w:rPr>
              <w:t>(m</w:t>
            </w:r>
            <w:r>
              <w:rPr>
                <w:color w:val="000000"/>
                <w:kern w:val="0"/>
                <w:szCs w:val="21"/>
                <w:vertAlign w:val="superscript"/>
              </w:rPr>
              <w:t>3</w:t>
            </w:r>
            <w:r>
              <w:rPr>
                <w:color w:val="000000"/>
                <w:kern w:val="0"/>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jc w:val="center"/>
        </w:trPr>
        <w:tc>
          <w:tcPr>
            <w:tcW w:w="1394" w:type="dxa"/>
            <w:vMerge w:val="continue"/>
            <w:vAlign w:val="center"/>
          </w:tcPr>
          <w:p>
            <w:pPr>
              <w:widowControl/>
              <w:jc w:val="center"/>
              <w:rPr>
                <w:color w:val="000000"/>
                <w:kern w:val="0"/>
                <w:szCs w:val="21"/>
              </w:rPr>
            </w:pPr>
          </w:p>
        </w:tc>
        <w:tc>
          <w:tcPr>
            <w:tcW w:w="2314" w:type="dxa"/>
            <w:vMerge w:val="continue"/>
            <w:vAlign w:val="center"/>
          </w:tcPr>
          <w:p>
            <w:pPr>
              <w:widowControl/>
              <w:jc w:val="center"/>
              <w:rPr>
                <w:color w:val="000000"/>
                <w:kern w:val="0"/>
                <w:szCs w:val="21"/>
              </w:rPr>
            </w:pPr>
          </w:p>
        </w:tc>
        <w:tc>
          <w:tcPr>
            <w:tcW w:w="1297" w:type="dxa"/>
            <w:vAlign w:val="center"/>
          </w:tcPr>
          <w:p>
            <w:pPr>
              <w:widowControl/>
              <w:jc w:val="center"/>
              <w:rPr>
                <w:color w:val="000000"/>
                <w:kern w:val="0"/>
                <w:szCs w:val="21"/>
              </w:rPr>
            </w:pPr>
            <w:r>
              <w:rPr>
                <w:rFonts w:hAnsi="楷体"/>
                <w:color w:val="000000"/>
                <w:kern w:val="0"/>
                <w:szCs w:val="21"/>
              </w:rPr>
              <w:t>长（</w:t>
            </w:r>
            <w:r>
              <w:rPr>
                <w:color w:val="000000"/>
                <w:kern w:val="0"/>
                <w:szCs w:val="21"/>
              </w:rPr>
              <w:t>mm</w:t>
            </w:r>
            <w:r>
              <w:rPr>
                <w:rFonts w:hAnsi="楷体"/>
                <w:color w:val="000000"/>
                <w:kern w:val="0"/>
                <w:szCs w:val="21"/>
              </w:rPr>
              <w:t>）</w:t>
            </w:r>
          </w:p>
        </w:tc>
        <w:tc>
          <w:tcPr>
            <w:tcW w:w="1170" w:type="dxa"/>
            <w:vAlign w:val="center"/>
          </w:tcPr>
          <w:p>
            <w:pPr>
              <w:widowControl/>
              <w:jc w:val="center"/>
              <w:rPr>
                <w:color w:val="000000"/>
                <w:kern w:val="0"/>
                <w:szCs w:val="21"/>
              </w:rPr>
            </w:pPr>
            <w:r>
              <w:rPr>
                <w:rFonts w:hAnsi="楷体"/>
                <w:color w:val="000000"/>
                <w:kern w:val="0"/>
                <w:szCs w:val="21"/>
              </w:rPr>
              <w:t>宽</w:t>
            </w:r>
            <w:r>
              <w:rPr>
                <w:color w:val="000000"/>
                <w:kern w:val="0"/>
                <w:szCs w:val="21"/>
              </w:rPr>
              <w:t>(mm)</w:t>
            </w:r>
          </w:p>
        </w:tc>
        <w:tc>
          <w:tcPr>
            <w:tcW w:w="936" w:type="dxa"/>
            <w:vAlign w:val="center"/>
          </w:tcPr>
          <w:p>
            <w:pPr>
              <w:widowControl/>
              <w:jc w:val="center"/>
              <w:rPr>
                <w:color w:val="000000"/>
                <w:kern w:val="0"/>
                <w:szCs w:val="21"/>
              </w:rPr>
            </w:pPr>
            <w:r>
              <w:rPr>
                <w:rFonts w:hAnsi="楷体"/>
                <w:color w:val="000000"/>
                <w:kern w:val="0"/>
                <w:szCs w:val="21"/>
              </w:rPr>
              <w:t>深</w:t>
            </w:r>
            <w:r>
              <w:rPr>
                <w:color w:val="000000"/>
                <w:kern w:val="0"/>
                <w:szCs w:val="21"/>
              </w:rPr>
              <w:t>(mm)</w:t>
            </w:r>
          </w:p>
        </w:tc>
        <w:tc>
          <w:tcPr>
            <w:tcW w:w="555" w:type="dxa"/>
            <w:vMerge w:val="continue"/>
            <w:vAlign w:val="center"/>
          </w:tcPr>
          <w:p>
            <w:pPr>
              <w:widowControl/>
              <w:jc w:val="center"/>
              <w:rPr>
                <w:color w:val="000000"/>
                <w:kern w:val="0"/>
                <w:szCs w:val="21"/>
              </w:rPr>
            </w:pPr>
          </w:p>
        </w:tc>
        <w:tc>
          <w:tcPr>
            <w:tcW w:w="839" w:type="dxa"/>
            <w:vMerge w:val="continue"/>
            <w:vAlign w:val="center"/>
          </w:tcPr>
          <w:p>
            <w:pPr>
              <w:widowControl/>
              <w:jc w:val="center"/>
              <w:rPr>
                <w:color w:val="000000"/>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jc w:val="center"/>
        </w:trPr>
        <w:tc>
          <w:tcPr>
            <w:tcW w:w="1394" w:type="dxa"/>
            <w:vAlign w:val="center"/>
          </w:tcPr>
          <w:p>
            <w:pPr>
              <w:widowControl/>
              <w:jc w:val="center"/>
              <w:rPr>
                <w:color w:val="000000"/>
                <w:kern w:val="0"/>
                <w:szCs w:val="21"/>
              </w:rPr>
            </w:pPr>
            <w:r>
              <w:rPr>
                <w:rFonts w:hAnsi="楷体"/>
                <w:color w:val="000000"/>
                <w:kern w:val="0"/>
                <w:szCs w:val="21"/>
              </w:rPr>
              <w:t>氨水收集池</w:t>
            </w:r>
          </w:p>
        </w:tc>
        <w:tc>
          <w:tcPr>
            <w:tcW w:w="2314" w:type="dxa"/>
            <w:vAlign w:val="center"/>
          </w:tcPr>
          <w:p>
            <w:pPr>
              <w:widowControl/>
              <w:jc w:val="center"/>
              <w:rPr>
                <w:color w:val="000000"/>
                <w:kern w:val="0"/>
                <w:szCs w:val="21"/>
              </w:rPr>
            </w:pPr>
            <w:r>
              <w:rPr>
                <w:color w:val="000000"/>
                <w:kern w:val="0"/>
                <w:szCs w:val="21"/>
              </w:rPr>
              <w:t>17-22%</w:t>
            </w:r>
            <w:r>
              <w:rPr>
                <w:rFonts w:hAnsi="楷体"/>
                <w:color w:val="000000"/>
                <w:kern w:val="0"/>
                <w:szCs w:val="21"/>
              </w:rPr>
              <w:t>氨水</w:t>
            </w:r>
          </w:p>
        </w:tc>
        <w:tc>
          <w:tcPr>
            <w:tcW w:w="1297" w:type="dxa"/>
            <w:vAlign w:val="center"/>
          </w:tcPr>
          <w:p>
            <w:pPr>
              <w:widowControl/>
              <w:jc w:val="center"/>
              <w:rPr>
                <w:color w:val="000000"/>
                <w:kern w:val="0"/>
                <w:szCs w:val="21"/>
              </w:rPr>
            </w:pPr>
            <w:r>
              <w:rPr>
                <w:color w:val="000000"/>
                <w:kern w:val="0"/>
                <w:szCs w:val="21"/>
              </w:rPr>
              <w:t>6500</w:t>
            </w:r>
          </w:p>
        </w:tc>
        <w:tc>
          <w:tcPr>
            <w:tcW w:w="1170" w:type="dxa"/>
            <w:vAlign w:val="center"/>
          </w:tcPr>
          <w:p>
            <w:pPr>
              <w:widowControl/>
              <w:jc w:val="center"/>
              <w:rPr>
                <w:color w:val="000000"/>
                <w:kern w:val="0"/>
                <w:szCs w:val="21"/>
              </w:rPr>
            </w:pPr>
            <w:r>
              <w:rPr>
                <w:color w:val="000000"/>
                <w:kern w:val="0"/>
                <w:szCs w:val="21"/>
              </w:rPr>
              <w:t>4000</w:t>
            </w:r>
          </w:p>
        </w:tc>
        <w:tc>
          <w:tcPr>
            <w:tcW w:w="936" w:type="dxa"/>
            <w:vAlign w:val="center"/>
          </w:tcPr>
          <w:p>
            <w:pPr>
              <w:widowControl/>
              <w:jc w:val="center"/>
              <w:rPr>
                <w:color w:val="000000"/>
                <w:kern w:val="0"/>
                <w:szCs w:val="21"/>
              </w:rPr>
            </w:pPr>
            <w:r>
              <w:rPr>
                <w:color w:val="000000"/>
                <w:kern w:val="0"/>
                <w:szCs w:val="21"/>
              </w:rPr>
              <w:t>1500</w:t>
            </w:r>
          </w:p>
        </w:tc>
        <w:tc>
          <w:tcPr>
            <w:tcW w:w="555" w:type="dxa"/>
            <w:vAlign w:val="center"/>
          </w:tcPr>
          <w:p>
            <w:pPr>
              <w:widowControl/>
              <w:jc w:val="center"/>
              <w:rPr>
                <w:color w:val="000000"/>
                <w:kern w:val="0"/>
                <w:szCs w:val="21"/>
              </w:rPr>
            </w:pPr>
            <w:r>
              <w:rPr>
                <w:color w:val="000000"/>
                <w:kern w:val="0"/>
                <w:szCs w:val="21"/>
              </w:rPr>
              <w:t>1</w:t>
            </w:r>
          </w:p>
        </w:tc>
        <w:tc>
          <w:tcPr>
            <w:tcW w:w="839" w:type="dxa"/>
            <w:vAlign w:val="center"/>
          </w:tcPr>
          <w:p>
            <w:pPr>
              <w:widowControl/>
              <w:jc w:val="center"/>
              <w:rPr>
                <w:color w:val="000000"/>
                <w:kern w:val="0"/>
                <w:szCs w:val="21"/>
              </w:rPr>
            </w:pPr>
            <w:r>
              <w:rPr>
                <w:color w:val="000000"/>
                <w:kern w:val="0"/>
                <w:szCs w:val="21"/>
              </w:rPr>
              <w:t>39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jc w:val="center"/>
        </w:trPr>
        <w:tc>
          <w:tcPr>
            <w:tcW w:w="1394" w:type="dxa"/>
            <w:vAlign w:val="center"/>
          </w:tcPr>
          <w:p>
            <w:pPr>
              <w:widowControl/>
              <w:jc w:val="center"/>
              <w:rPr>
                <w:color w:val="000000"/>
                <w:kern w:val="0"/>
                <w:szCs w:val="21"/>
              </w:rPr>
            </w:pPr>
            <w:r>
              <w:rPr>
                <w:rFonts w:hAnsi="楷体"/>
                <w:color w:val="000000"/>
                <w:kern w:val="0"/>
                <w:szCs w:val="21"/>
              </w:rPr>
              <w:t>氨水事故池</w:t>
            </w:r>
          </w:p>
        </w:tc>
        <w:tc>
          <w:tcPr>
            <w:tcW w:w="2314" w:type="dxa"/>
            <w:vAlign w:val="center"/>
          </w:tcPr>
          <w:p>
            <w:pPr>
              <w:widowControl/>
              <w:jc w:val="center"/>
              <w:rPr>
                <w:color w:val="000000"/>
                <w:kern w:val="0"/>
                <w:szCs w:val="21"/>
              </w:rPr>
            </w:pPr>
            <w:r>
              <w:rPr>
                <w:color w:val="000000"/>
                <w:kern w:val="0"/>
                <w:szCs w:val="21"/>
              </w:rPr>
              <w:t>17-22%</w:t>
            </w:r>
            <w:r>
              <w:rPr>
                <w:rFonts w:hAnsi="楷体"/>
                <w:color w:val="000000"/>
                <w:kern w:val="0"/>
                <w:szCs w:val="21"/>
              </w:rPr>
              <w:t>氨水</w:t>
            </w:r>
          </w:p>
        </w:tc>
        <w:tc>
          <w:tcPr>
            <w:tcW w:w="1297" w:type="dxa"/>
            <w:vAlign w:val="center"/>
          </w:tcPr>
          <w:p>
            <w:pPr>
              <w:widowControl/>
              <w:jc w:val="center"/>
              <w:rPr>
                <w:color w:val="000000"/>
                <w:kern w:val="0"/>
                <w:szCs w:val="21"/>
              </w:rPr>
            </w:pPr>
            <w:r>
              <w:rPr>
                <w:color w:val="000000"/>
                <w:kern w:val="0"/>
                <w:szCs w:val="21"/>
              </w:rPr>
              <w:t>6500</w:t>
            </w:r>
          </w:p>
        </w:tc>
        <w:tc>
          <w:tcPr>
            <w:tcW w:w="1170" w:type="dxa"/>
            <w:vAlign w:val="center"/>
          </w:tcPr>
          <w:p>
            <w:pPr>
              <w:widowControl/>
              <w:jc w:val="center"/>
              <w:rPr>
                <w:color w:val="000000"/>
                <w:kern w:val="0"/>
                <w:szCs w:val="21"/>
              </w:rPr>
            </w:pPr>
            <w:r>
              <w:rPr>
                <w:color w:val="000000"/>
                <w:kern w:val="0"/>
                <w:szCs w:val="21"/>
              </w:rPr>
              <w:t>4000</w:t>
            </w:r>
          </w:p>
        </w:tc>
        <w:tc>
          <w:tcPr>
            <w:tcW w:w="936" w:type="dxa"/>
            <w:vAlign w:val="center"/>
          </w:tcPr>
          <w:p>
            <w:pPr>
              <w:widowControl/>
              <w:jc w:val="center"/>
              <w:rPr>
                <w:color w:val="000000"/>
                <w:kern w:val="0"/>
                <w:szCs w:val="21"/>
              </w:rPr>
            </w:pPr>
            <w:r>
              <w:rPr>
                <w:color w:val="000000"/>
                <w:kern w:val="0"/>
                <w:szCs w:val="21"/>
              </w:rPr>
              <w:t>2000</w:t>
            </w:r>
          </w:p>
        </w:tc>
        <w:tc>
          <w:tcPr>
            <w:tcW w:w="555" w:type="dxa"/>
            <w:vAlign w:val="center"/>
          </w:tcPr>
          <w:p>
            <w:pPr>
              <w:widowControl/>
              <w:jc w:val="center"/>
              <w:rPr>
                <w:color w:val="000000"/>
                <w:kern w:val="0"/>
                <w:szCs w:val="21"/>
              </w:rPr>
            </w:pPr>
            <w:r>
              <w:rPr>
                <w:color w:val="000000"/>
                <w:kern w:val="0"/>
                <w:szCs w:val="21"/>
              </w:rPr>
              <w:t>1</w:t>
            </w:r>
          </w:p>
        </w:tc>
        <w:tc>
          <w:tcPr>
            <w:tcW w:w="839" w:type="dxa"/>
            <w:vAlign w:val="center"/>
          </w:tcPr>
          <w:p>
            <w:pPr>
              <w:widowControl/>
              <w:jc w:val="center"/>
              <w:rPr>
                <w:color w:val="000000"/>
                <w:kern w:val="0"/>
                <w:szCs w:val="21"/>
              </w:rPr>
            </w:pPr>
            <w:r>
              <w:rPr>
                <w:color w:val="000000"/>
                <w:kern w:val="0"/>
                <w:szCs w:val="21"/>
              </w:rPr>
              <w:t>52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jc w:val="center"/>
        </w:trPr>
        <w:tc>
          <w:tcPr>
            <w:tcW w:w="1394" w:type="dxa"/>
            <w:vAlign w:val="center"/>
          </w:tcPr>
          <w:p>
            <w:pPr>
              <w:widowControl/>
              <w:jc w:val="center"/>
              <w:rPr>
                <w:color w:val="000000"/>
                <w:kern w:val="0"/>
                <w:szCs w:val="21"/>
              </w:rPr>
            </w:pPr>
            <w:r>
              <w:rPr>
                <w:rFonts w:hAnsi="楷体"/>
                <w:color w:val="000000"/>
                <w:kern w:val="0"/>
                <w:szCs w:val="21"/>
              </w:rPr>
              <w:t>柴油收集池</w:t>
            </w:r>
          </w:p>
        </w:tc>
        <w:tc>
          <w:tcPr>
            <w:tcW w:w="2314" w:type="dxa"/>
            <w:vAlign w:val="center"/>
          </w:tcPr>
          <w:p>
            <w:pPr>
              <w:widowControl/>
              <w:jc w:val="center"/>
              <w:rPr>
                <w:color w:val="000000"/>
                <w:kern w:val="0"/>
                <w:szCs w:val="21"/>
              </w:rPr>
            </w:pPr>
            <w:r>
              <w:rPr>
                <w:rFonts w:hAnsi="楷体"/>
                <w:color w:val="000000"/>
                <w:kern w:val="0"/>
                <w:szCs w:val="21"/>
              </w:rPr>
              <w:t>柴油</w:t>
            </w:r>
          </w:p>
        </w:tc>
        <w:tc>
          <w:tcPr>
            <w:tcW w:w="1297" w:type="dxa"/>
            <w:vAlign w:val="center"/>
          </w:tcPr>
          <w:p>
            <w:pPr>
              <w:widowControl/>
              <w:jc w:val="center"/>
              <w:rPr>
                <w:color w:val="000000"/>
                <w:kern w:val="0"/>
                <w:szCs w:val="21"/>
              </w:rPr>
            </w:pPr>
            <w:r>
              <w:rPr>
                <w:color w:val="000000"/>
                <w:kern w:val="0"/>
                <w:szCs w:val="21"/>
              </w:rPr>
              <w:t>4500</w:t>
            </w:r>
          </w:p>
        </w:tc>
        <w:tc>
          <w:tcPr>
            <w:tcW w:w="1170" w:type="dxa"/>
            <w:vAlign w:val="center"/>
          </w:tcPr>
          <w:p>
            <w:pPr>
              <w:widowControl/>
              <w:jc w:val="center"/>
              <w:rPr>
                <w:color w:val="000000"/>
                <w:kern w:val="0"/>
                <w:szCs w:val="21"/>
              </w:rPr>
            </w:pPr>
            <w:r>
              <w:rPr>
                <w:color w:val="000000"/>
                <w:kern w:val="0"/>
                <w:szCs w:val="21"/>
              </w:rPr>
              <w:t>4000</w:t>
            </w:r>
          </w:p>
        </w:tc>
        <w:tc>
          <w:tcPr>
            <w:tcW w:w="936" w:type="dxa"/>
            <w:vAlign w:val="center"/>
          </w:tcPr>
          <w:p>
            <w:pPr>
              <w:widowControl/>
              <w:jc w:val="center"/>
              <w:rPr>
                <w:color w:val="000000"/>
                <w:kern w:val="0"/>
                <w:szCs w:val="21"/>
              </w:rPr>
            </w:pPr>
            <w:r>
              <w:rPr>
                <w:color w:val="000000"/>
                <w:kern w:val="0"/>
                <w:szCs w:val="21"/>
              </w:rPr>
              <w:t>100</w:t>
            </w:r>
          </w:p>
        </w:tc>
        <w:tc>
          <w:tcPr>
            <w:tcW w:w="555" w:type="dxa"/>
            <w:vAlign w:val="center"/>
          </w:tcPr>
          <w:p>
            <w:pPr>
              <w:widowControl/>
              <w:jc w:val="center"/>
              <w:rPr>
                <w:color w:val="000000"/>
                <w:kern w:val="0"/>
                <w:szCs w:val="21"/>
              </w:rPr>
            </w:pPr>
            <w:r>
              <w:rPr>
                <w:color w:val="000000"/>
                <w:kern w:val="0"/>
                <w:szCs w:val="21"/>
              </w:rPr>
              <w:t>1</w:t>
            </w:r>
          </w:p>
        </w:tc>
        <w:tc>
          <w:tcPr>
            <w:tcW w:w="839" w:type="dxa"/>
            <w:vAlign w:val="center"/>
          </w:tcPr>
          <w:p>
            <w:pPr>
              <w:widowControl/>
              <w:jc w:val="center"/>
              <w:rPr>
                <w:color w:val="000000"/>
                <w:kern w:val="0"/>
                <w:szCs w:val="21"/>
              </w:rPr>
            </w:pPr>
            <w:r>
              <w:rPr>
                <w:color w:val="000000"/>
                <w:kern w:val="0"/>
                <w:szCs w:val="21"/>
              </w:rPr>
              <w:t>18</w:t>
            </w:r>
          </w:p>
        </w:tc>
      </w:tr>
    </w:tbl>
    <w:p>
      <w:pPr>
        <w:pStyle w:val="36"/>
        <w:tabs>
          <w:tab w:val="left" w:pos="3150"/>
        </w:tabs>
        <w:ind w:firstLine="480"/>
        <w:rPr>
          <w:rFonts w:cs="Times New Roman"/>
          <w:szCs w:val="24"/>
        </w:rPr>
      </w:pPr>
      <w:r>
        <w:rPr>
          <w:rFonts w:cs="Times New Roman"/>
          <w:szCs w:val="24"/>
        </w:rPr>
        <w:tab/>
      </w:r>
    </w:p>
    <w:p>
      <w:pPr>
        <w:spacing w:line="312" w:lineRule="auto"/>
        <w:jc w:val="center"/>
        <w:rPr>
          <w:szCs w:val="21"/>
        </w:rPr>
      </w:pPr>
      <w:r>
        <w:rPr>
          <w:szCs w:val="21"/>
        </w:rPr>
        <w:drawing>
          <wp:anchor distT="0" distB="0" distL="114300" distR="114300" simplePos="0" relativeHeight="252037120" behindDoc="0" locked="0" layoutInCell="1" allowOverlap="1">
            <wp:simplePos x="0" y="0"/>
            <wp:positionH relativeFrom="column">
              <wp:posOffset>2924810</wp:posOffset>
            </wp:positionH>
            <wp:positionV relativeFrom="paragraph">
              <wp:posOffset>38100</wp:posOffset>
            </wp:positionV>
            <wp:extent cx="2639060" cy="1979295"/>
            <wp:effectExtent l="9525" t="9525" r="18415" b="11430"/>
            <wp:wrapNone/>
            <wp:docPr id="515" name="图片 112" descr="IMG_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112" descr="IMG_5395"/>
                    <pic:cNvPicPr>
                      <a:picLocks noChangeAspect="1"/>
                    </pic:cNvPicPr>
                  </pic:nvPicPr>
                  <pic:blipFill>
                    <a:blip r:embed="rId59"/>
                    <a:stretch>
                      <a:fillRect/>
                    </a:stretch>
                  </pic:blipFill>
                  <pic:spPr>
                    <a:xfrm>
                      <a:off x="0" y="0"/>
                      <a:ext cx="2639060" cy="1979295"/>
                    </a:xfrm>
                    <a:prstGeom prst="rect">
                      <a:avLst/>
                    </a:prstGeom>
                    <a:noFill/>
                    <a:ln w="9525" cap="flat" cmpd="sng">
                      <a:solidFill>
                        <a:srgbClr val="000000"/>
                      </a:solidFill>
                      <a:prstDash val="solid"/>
                      <a:miter/>
                      <a:headEnd type="none" w="med" len="med"/>
                      <a:tailEnd type="none" w="med" len="med"/>
                    </a:ln>
                  </pic:spPr>
                </pic:pic>
              </a:graphicData>
            </a:graphic>
          </wp:anchor>
        </w:drawing>
      </w:r>
      <w:r>
        <w:rPr>
          <w:szCs w:val="21"/>
        </w:rPr>
        <w:drawing>
          <wp:anchor distT="0" distB="0" distL="114300" distR="114300" simplePos="0" relativeHeight="252036096" behindDoc="0" locked="0" layoutInCell="1" allowOverlap="1">
            <wp:simplePos x="0" y="0"/>
            <wp:positionH relativeFrom="column">
              <wp:posOffset>76200</wp:posOffset>
            </wp:positionH>
            <wp:positionV relativeFrom="paragraph">
              <wp:posOffset>38100</wp:posOffset>
            </wp:positionV>
            <wp:extent cx="2639060" cy="1979295"/>
            <wp:effectExtent l="9525" t="9525" r="18415" b="11430"/>
            <wp:wrapNone/>
            <wp:docPr id="552" name="图片 113" descr="IMG_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113" descr="IMG_5386"/>
                    <pic:cNvPicPr>
                      <a:picLocks noChangeAspect="1"/>
                    </pic:cNvPicPr>
                  </pic:nvPicPr>
                  <pic:blipFill>
                    <a:blip r:embed="rId60"/>
                    <a:stretch>
                      <a:fillRect/>
                    </a:stretch>
                  </pic:blipFill>
                  <pic:spPr>
                    <a:xfrm>
                      <a:off x="0" y="0"/>
                      <a:ext cx="2639060" cy="1979295"/>
                    </a:xfrm>
                    <a:prstGeom prst="rect">
                      <a:avLst/>
                    </a:prstGeom>
                    <a:noFill/>
                    <a:ln w="9525" cap="flat" cmpd="sng">
                      <a:solidFill>
                        <a:srgbClr val="000000"/>
                      </a:solidFill>
                      <a:prstDash val="solid"/>
                      <a:miter/>
                      <a:headEnd type="none" w="med" len="med"/>
                      <a:tailEnd type="none" w="med" len="med"/>
                    </a:ln>
                  </pic:spPr>
                </pic:pic>
              </a:graphicData>
            </a:graphic>
          </wp:anchor>
        </w:drawing>
      </w:r>
    </w:p>
    <w:p>
      <w:pPr>
        <w:spacing w:line="312" w:lineRule="auto"/>
        <w:jc w:val="center"/>
        <w:rPr>
          <w:szCs w:val="21"/>
        </w:rPr>
      </w:pPr>
    </w:p>
    <w:p>
      <w:pPr>
        <w:spacing w:line="312" w:lineRule="auto"/>
        <w:jc w:val="center"/>
        <w:rPr>
          <w:szCs w:val="21"/>
        </w:rPr>
      </w:pPr>
    </w:p>
    <w:p>
      <w:pPr>
        <w:spacing w:line="312" w:lineRule="auto"/>
        <w:jc w:val="center"/>
        <w:rPr>
          <w:szCs w:val="21"/>
        </w:rPr>
      </w:pPr>
    </w:p>
    <w:p>
      <w:pPr>
        <w:spacing w:line="312" w:lineRule="auto"/>
        <w:jc w:val="center"/>
        <w:rPr>
          <w:szCs w:val="21"/>
        </w:rPr>
      </w:pPr>
    </w:p>
    <w:p>
      <w:pPr>
        <w:spacing w:line="312" w:lineRule="auto"/>
        <w:jc w:val="center"/>
        <w:rPr>
          <w:szCs w:val="21"/>
        </w:rPr>
      </w:pPr>
    </w:p>
    <w:p>
      <w:pPr>
        <w:spacing w:line="312" w:lineRule="auto"/>
        <w:jc w:val="center"/>
        <w:rPr>
          <w:szCs w:val="21"/>
        </w:rPr>
      </w:pPr>
    </w:p>
    <w:p>
      <w:pPr>
        <w:spacing w:line="312" w:lineRule="auto"/>
        <w:jc w:val="center"/>
        <w:rPr>
          <w:szCs w:val="21"/>
        </w:rPr>
      </w:pPr>
    </w:p>
    <w:p>
      <w:pPr>
        <w:tabs>
          <w:tab w:val="left" w:pos="1685"/>
          <w:tab w:val="left" w:pos="6915"/>
        </w:tabs>
        <w:spacing w:line="312" w:lineRule="auto"/>
        <w:rPr>
          <w:szCs w:val="21"/>
        </w:rPr>
      </w:pPr>
      <w:r>
        <w:rPr>
          <w:szCs w:val="21"/>
        </w:rPr>
        <w:tab/>
      </w:r>
      <w:r>
        <w:rPr>
          <w:rFonts w:hAnsi="楷体"/>
          <w:szCs w:val="21"/>
        </w:rPr>
        <w:t>氨水储罐</w:t>
      </w:r>
      <w:r>
        <w:rPr>
          <w:szCs w:val="21"/>
        </w:rPr>
        <w:tab/>
      </w:r>
      <w:r>
        <w:rPr>
          <w:rFonts w:hAnsi="楷体"/>
          <w:szCs w:val="21"/>
        </w:rPr>
        <w:t>柴油储罐</w:t>
      </w:r>
    </w:p>
    <w:p>
      <w:pPr>
        <w:pStyle w:val="36"/>
        <w:ind w:firstLine="482"/>
        <w:rPr>
          <w:rFonts w:cs="Times New Roman"/>
          <w:b/>
          <w:szCs w:val="24"/>
        </w:rPr>
      </w:pPr>
      <w:r>
        <w:rPr>
          <w:rFonts w:hint="eastAsia" w:cs="Times New Roman"/>
          <w:b/>
          <w:szCs w:val="24"/>
        </w:rPr>
        <w:t>2、</w:t>
      </w:r>
      <w:r>
        <w:rPr>
          <w:rFonts w:hAnsi="楷体" w:cs="Times New Roman"/>
          <w:b/>
          <w:szCs w:val="24"/>
        </w:rPr>
        <w:t>化学品使用过程风险防控措施</w:t>
      </w:r>
    </w:p>
    <w:p>
      <w:pPr>
        <w:spacing w:line="360" w:lineRule="auto"/>
        <w:ind w:firstLine="480" w:firstLineChars="200"/>
        <w:rPr>
          <w:rFonts w:hint="eastAsia" w:ascii="Times New Roman" w:hAnsi="宋体"/>
          <w:kern w:val="0"/>
          <w:sz w:val="24"/>
          <w:szCs w:val="24"/>
        </w:rPr>
      </w:pPr>
      <w:r>
        <w:rPr>
          <w:rFonts w:hint="eastAsia" w:ascii="Times New Roman" w:hAnsi="宋体"/>
          <w:kern w:val="0"/>
          <w:sz w:val="24"/>
          <w:szCs w:val="24"/>
        </w:rPr>
        <w:t>氨水和柴油</w:t>
      </w:r>
      <w:r>
        <w:rPr>
          <w:rFonts w:ascii="Times New Roman" w:hAnsi="宋体"/>
          <w:kern w:val="0"/>
          <w:sz w:val="24"/>
          <w:szCs w:val="24"/>
        </w:rPr>
        <w:t>的供给全部采用电脑精确控制，</w:t>
      </w:r>
      <w:r>
        <w:rPr>
          <w:rFonts w:hint="eastAsia" w:ascii="Times New Roman" w:hAnsi="宋体"/>
          <w:kern w:val="0"/>
          <w:sz w:val="24"/>
          <w:szCs w:val="24"/>
        </w:rPr>
        <w:t>通过管道分别输送至废气处理系统和燃烧室，有效避免了人为失误造成的风险事故。</w:t>
      </w:r>
    </w:p>
    <w:p>
      <w:pPr>
        <w:pStyle w:val="36"/>
        <w:ind w:firstLine="480"/>
        <w:rPr>
          <w:rFonts w:eastAsia="宋体" w:cs="Times New Roman"/>
          <w:szCs w:val="24"/>
        </w:rPr>
      </w:pPr>
      <w:r>
        <w:rPr>
          <w:rFonts w:hint="eastAsia" w:hAnsi="宋体" w:eastAsia="宋体" w:cs="Times New Roman"/>
          <w:szCs w:val="24"/>
        </w:rPr>
        <w:t>同时</w:t>
      </w:r>
      <w:r>
        <w:rPr>
          <w:rFonts w:hAnsi="宋体" w:eastAsia="宋体" w:cs="Times New Roman"/>
          <w:szCs w:val="24"/>
        </w:rPr>
        <w:t>公司内部所有化学品的存储区及使用区域均贴有简版化学品安全技术说明书（</w:t>
      </w:r>
      <w:r>
        <w:rPr>
          <w:rFonts w:eastAsia="宋体" w:cs="Times New Roman"/>
          <w:szCs w:val="24"/>
        </w:rPr>
        <w:t>SDS</w:t>
      </w:r>
      <w:r>
        <w:rPr>
          <w:rFonts w:hAnsi="宋体" w:eastAsia="宋体" w:cs="Times New Roman"/>
          <w:szCs w:val="24"/>
        </w:rPr>
        <w:t>），具体如图</w:t>
      </w:r>
      <w:r>
        <w:rPr>
          <w:rFonts w:eastAsia="宋体" w:cs="Times New Roman"/>
          <w:szCs w:val="24"/>
        </w:rPr>
        <w:t>3.2—1</w:t>
      </w:r>
      <w:r>
        <w:rPr>
          <w:rFonts w:hAnsi="宋体" w:eastAsia="宋体" w:cs="Times New Roman"/>
          <w:szCs w:val="24"/>
        </w:rPr>
        <w:t>所示。简版</w:t>
      </w:r>
      <w:r>
        <w:rPr>
          <w:rFonts w:eastAsia="宋体" w:cs="Times New Roman"/>
          <w:szCs w:val="24"/>
        </w:rPr>
        <w:t>SDS</w:t>
      </w:r>
      <w:r>
        <w:rPr>
          <w:rFonts w:hAnsi="宋体" w:eastAsia="宋体" w:cs="Times New Roman"/>
          <w:szCs w:val="24"/>
        </w:rPr>
        <w:t>是从化学品供应商提供的原始</w:t>
      </w:r>
      <w:r>
        <w:rPr>
          <w:rFonts w:eastAsia="宋体" w:cs="Times New Roman"/>
          <w:szCs w:val="24"/>
        </w:rPr>
        <w:t>SDS</w:t>
      </w:r>
      <w:r>
        <w:rPr>
          <w:rFonts w:hAnsi="宋体" w:eastAsia="宋体" w:cs="Times New Roman"/>
          <w:szCs w:val="24"/>
        </w:rPr>
        <w:t>中提取出化学品危害信息，急救措施，灭火措施，泄漏应急措施等，以指引相关人员，在发生泄漏等危险情况时，做出正确的应急措施。</w:t>
      </w:r>
    </w:p>
    <w:p>
      <w:pPr>
        <w:pStyle w:val="36"/>
        <w:ind w:firstLine="0" w:firstLineChars="0"/>
        <w:jc w:val="center"/>
        <w:rPr>
          <w:rFonts w:cs="Times New Roman"/>
          <w:szCs w:val="24"/>
        </w:rPr>
      </w:pPr>
      <w:r>
        <w:rPr>
          <w:rFonts w:cs="Times New Roman"/>
          <w:szCs w:val="21"/>
        </w:rPr>
        <w:drawing>
          <wp:inline distT="0" distB="0" distL="114300" distR="114300">
            <wp:extent cx="2710180" cy="3833495"/>
            <wp:effectExtent l="0" t="0" r="13970" b="14605"/>
            <wp:docPr id="5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12"/>
                    <pic:cNvPicPr>
                      <a:picLocks noChangeAspect="1"/>
                    </pic:cNvPicPr>
                  </pic:nvPicPr>
                  <pic:blipFill>
                    <a:blip r:embed="rId61"/>
                    <a:stretch>
                      <a:fillRect/>
                    </a:stretch>
                  </pic:blipFill>
                  <pic:spPr>
                    <a:xfrm>
                      <a:off x="0" y="0"/>
                      <a:ext cx="2710180" cy="3833495"/>
                    </a:xfrm>
                    <a:prstGeom prst="rect">
                      <a:avLst/>
                    </a:prstGeom>
                    <a:noFill/>
                    <a:ln>
                      <a:noFill/>
                    </a:ln>
                  </pic:spPr>
                </pic:pic>
              </a:graphicData>
            </a:graphic>
          </wp:inline>
        </w:drawing>
      </w:r>
    </w:p>
    <w:p>
      <w:pPr>
        <w:spacing w:line="312" w:lineRule="auto"/>
        <w:jc w:val="center"/>
        <w:rPr>
          <w:rFonts w:hint="eastAsia" w:hAnsi="楷体"/>
          <w:b/>
          <w:sz w:val="24"/>
          <w:szCs w:val="24"/>
        </w:rPr>
      </w:pPr>
      <w:r>
        <w:rPr>
          <w:rFonts w:hAnsi="楷体"/>
          <w:b/>
          <w:sz w:val="24"/>
          <w:szCs w:val="24"/>
        </w:rPr>
        <w:t>图</w:t>
      </w:r>
      <w:r>
        <w:rPr>
          <w:b/>
          <w:sz w:val="24"/>
          <w:szCs w:val="24"/>
        </w:rPr>
        <w:t>3</w:t>
      </w:r>
      <w:r>
        <w:rPr>
          <w:rFonts w:hint="eastAsia"/>
          <w:b/>
          <w:sz w:val="24"/>
          <w:szCs w:val="24"/>
        </w:rPr>
        <w:t>.2—1</w:t>
      </w:r>
      <w:r>
        <w:rPr>
          <w:b/>
          <w:sz w:val="24"/>
          <w:szCs w:val="24"/>
        </w:rPr>
        <w:t xml:space="preserve"> </w:t>
      </w:r>
      <w:r>
        <w:rPr>
          <w:rFonts w:hAnsi="楷体"/>
          <w:b/>
          <w:sz w:val="24"/>
          <w:szCs w:val="24"/>
        </w:rPr>
        <w:t>简版</w:t>
      </w:r>
      <w:r>
        <w:rPr>
          <w:b/>
          <w:sz w:val="24"/>
          <w:szCs w:val="24"/>
        </w:rPr>
        <w:t>SDS</w:t>
      </w:r>
      <w:r>
        <w:rPr>
          <w:rFonts w:hAnsi="楷体"/>
          <w:b/>
          <w:sz w:val="24"/>
          <w:szCs w:val="24"/>
        </w:rPr>
        <w:t>模板</w:t>
      </w:r>
    </w:p>
    <w:p>
      <w:pPr>
        <w:pStyle w:val="36"/>
        <w:ind w:firstLine="482"/>
        <w:rPr>
          <w:rFonts w:cs="Times New Roman"/>
          <w:b/>
          <w:szCs w:val="24"/>
        </w:rPr>
      </w:pPr>
      <w:r>
        <w:rPr>
          <w:rFonts w:hint="eastAsia" w:cs="Times New Roman"/>
          <w:b/>
          <w:szCs w:val="24"/>
        </w:rPr>
        <w:t>3、</w:t>
      </w:r>
      <w:r>
        <w:rPr>
          <w:rFonts w:hint="eastAsia" w:hAnsi="楷体" w:cs="Times New Roman"/>
          <w:b/>
          <w:szCs w:val="24"/>
        </w:rPr>
        <w:t>生产</w:t>
      </w:r>
      <w:r>
        <w:rPr>
          <w:rFonts w:hAnsi="楷体" w:cs="Times New Roman"/>
          <w:b/>
          <w:szCs w:val="24"/>
        </w:rPr>
        <w:t>过程风险防控措施</w:t>
      </w:r>
    </w:p>
    <w:p>
      <w:pPr>
        <w:spacing w:line="360" w:lineRule="auto"/>
        <w:ind w:firstLine="424" w:firstLineChars="177"/>
        <w:rPr>
          <w:rFonts w:ascii="Times New Roman" w:hAnsi="Times New Roman"/>
          <w:sz w:val="24"/>
          <w:szCs w:val="24"/>
        </w:rPr>
      </w:pPr>
      <w:r>
        <w:rPr>
          <w:rFonts w:ascii="Times New Roman" w:hAnsi="宋体"/>
          <w:sz w:val="24"/>
          <w:szCs w:val="24"/>
        </w:rPr>
        <w:t>为防止生产过程事故发生、提高应对能力，企业做了以下几个方面的工作：</w:t>
      </w:r>
    </w:p>
    <w:p>
      <w:pPr>
        <w:spacing w:line="360" w:lineRule="auto"/>
        <w:ind w:firstLine="424" w:firstLineChars="177"/>
        <w:rPr>
          <w:rFonts w:ascii="Times New Roman" w:hAnsi="Times New Roman"/>
          <w:sz w:val="24"/>
          <w:szCs w:val="24"/>
        </w:rPr>
      </w:pPr>
      <w:r>
        <w:rPr>
          <w:rFonts w:ascii="宋体" w:hAnsi="宋体"/>
          <w:sz w:val="24"/>
          <w:szCs w:val="24"/>
        </w:rPr>
        <w:t>①</w:t>
      </w:r>
      <w:r>
        <w:rPr>
          <w:rFonts w:ascii="Times New Roman" w:hAnsi="宋体"/>
          <w:sz w:val="24"/>
          <w:szCs w:val="24"/>
        </w:rPr>
        <w:t>树立</w:t>
      </w:r>
      <w:r>
        <w:rPr>
          <w:rFonts w:ascii="Times New Roman" w:hAnsi="Times New Roman"/>
          <w:sz w:val="24"/>
          <w:szCs w:val="24"/>
        </w:rPr>
        <w:t>“</w:t>
      </w:r>
      <w:r>
        <w:rPr>
          <w:rFonts w:ascii="Times New Roman" w:hAnsi="宋体"/>
          <w:sz w:val="24"/>
          <w:szCs w:val="24"/>
        </w:rPr>
        <w:t>预防为主、安全第一</w:t>
      </w:r>
      <w:r>
        <w:rPr>
          <w:rFonts w:ascii="Times New Roman" w:hAnsi="Times New Roman"/>
          <w:sz w:val="24"/>
          <w:szCs w:val="24"/>
        </w:rPr>
        <w:t>”</w:t>
      </w:r>
      <w:r>
        <w:rPr>
          <w:rFonts w:ascii="Times New Roman" w:hAnsi="宋体"/>
          <w:sz w:val="24"/>
          <w:szCs w:val="24"/>
        </w:rPr>
        <w:t>的观念，认真落实有关化工生产安全的有关法律法规。这些法律法规主要有：</w:t>
      </w:r>
    </w:p>
    <w:p>
      <w:pPr>
        <w:spacing w:line="360" w:lineRule="auto"/>
        <w:ind w:firstLine="424" w:firstLineChars="177"/>
        <w:rPr>
          <w:rFonts w:ascii="Times New Roman" w:hAnsi="Times New Roman"/>
          <w:sz w:val="24"/>
          <w:szCs w:val="24"/>
        </w:rPr>
      </w:pPr>
      <w:r>
        <w:rPr>
          <w:rFonts w:ascii="Times New Roman" w:hAnsi="Times New Roman"/>
          <w:sz w:val="24"/>
          <w:szCs w:val="24"/>
        </w:rPr>
        <w:t>·</w:t>
      </w:r>
      <w:r>
        <w:rPr>
          <w:rFonts w:ascii="Times New Roman" w:hAnsi="宋体"/>
          <w:sz w:val="24"/>
          <w:szCs w:val="24"/>
        </w:rPr>
        <w:t>加强化工企业安全生产的八条规定。</w:t>
      </w:r>
    </w:p>
    <w:p>
      <w:pPr>
        <w:spacing w:line="360" w:lineRule="auto"/>
        <w:ind w:firstLine="424" w:firstLineChars="177"/>
        <w:rPr>
          <w:rFonts w:ascii="Times New Roman" w:hAnsi="Times New Roman"/>
          <w:sz w:val="24"/>
          <w:szCs w:val="24"/>
        </w:rPr>
      </w:pPr>
      <w:r>
        <w:rPr>
          <w:rFonts w:ascii="Times New Roman" w:hAnsi="Times New Roman"/>
          <w:sz w:val="24"/>
          <w:szCs w:val="24"/>
        </w:rPr>
        <w:t>·</w:t>
      </w:r>
      <w:r>
        <w:rPr>
          <w:rFonts w:ascii="Times New Roman" w:hAnsi="宋体"/>
          <w:sz w:val="24"/>
          <w:szCs w:val="24"/>
        </w:rPr>
        <w:t>化学危险物品安全管理条例。</w:t>
      </w:r>
    </w:p>
    <w:p>
      <w:pPr>
        <w:spacing w:line="360" w:lineRule="auto"/>
        <w:ind w:firstLine="424" w:firstLineChars="177"/>
        <w:rPr>
          <w:rFonts w:ascii="Times New Roman" w:hAnsi="Times New Roman"/>
          <w:sz w:val="24"/>
          <w:szCs w:val="24"/>
        </w:rPr>
      </w:pPr>
      <w:r>
        <w:rPr>
          <w:rFonts w:ascii="Times New Roman" w:hAnsi="宋体"/>
          <w:sz w:val="24"/>
          <w:szCs w:val="24"/>
        </w:rPr>
        <w:t>企业根据实际情况，建立了一整套安全生产和事故风险防范制度、措施，定期开展事故演习，从企业领导到基层职工都加强了防范事故意识、具备了一定的处理事故能力。</w:t>
      </w:r>
    </w:p>
    <w:p>
      <w:pPr>
        <w:spacing w:line="360" w:lineRule="auto"/>
        <w:ind w:firstLine="424" w:firstLineChars="177"/>
        <w:rPr>
          <w:rFonts w:ascii="Times New Roman" w:hAnsi="Times New Roman"/>
          <w:sz w:val="24"/>
          <w:szCs w:val="24"/>
        </w:rPr>
      </w:pPr>
      <w:r>
        <w:rPr>
          <w:rFonts w:ascii="宋体" w:hAnsi="宋体"/>
          <w:sz w:val="24"/>
          <w:szCs w:val="24"/>
        </w:rPr>
        <w:t>②</w:t>
      </w:r>
      <w:r>
        <w:rPr>
          <w:rFonts w:ascii="Times New Roman" w:hAnsi="宋体"/>
          <w:sz w:val="24"/>
          <w:szCs w:val="24"/>
        </w:rPr>
        <w:t>严格工程设计和施工，从根本上消除事故隐患。在工艺设计中，应该注意对易散发、泄漏有毒有害物料的单位，设备选型时要考虑职业危害治理和安全配套设施，执行《生产设备安全卫生设计总则》的要求，尽量选用技术先进和安全可靠的设备；平面布置方面有明确的功能分区，设立防护带、绿化带。</w:t>
      </w:r>
    </w:p>
    <w:p>
      <w:pPr>
        <w:spacing w:line="360" w:lineRule="auto"/>
        <w:ind w:firstLine="424" w:firstLineChars="177"/>
        <w:rPr>
          <w:rFonts w:ascii="Times New Roman" w:hAnsi="Times New Roman"/>
          <w:sz w:val="24"/>
          <w:szCs w:val="24"/>
        </w:rPr>
      </w:pPr>
      <w:r>
        <w:rPr>
          <w:rFonts w:ascii="宋体" w:hAnsi="宋体"/>
          <w:sz w:val="24"/>
          <w:szCs w:val="24"/>
        </w:rPr>
        <w:t>③</w:t>
      </w:r>
      <w:r>
        <w:rPr>
          <w:rFonts w:ascii="Times New Roman" w:hAnsi="宋体"/>
          <w:sz w:val="24"/>
          <w:szCs w:val="24"/>
        </w:rPr>
        <w:t>厂房布置除了严格执行国家有关防火防爆规范、安装自动报警装置和急救器材之外，设置了足够的通风设备（按照工作场所各主要工艺废气的允许浓度限值，设置通风设备及换气量，使生产车间内废气浓度达标）、消防废水收集池等。</w:t>
      </w:r>
    </w:p>
    <w:p>
      <w:pPr>
        <w:spacing w:line="360" w:lineRule="auto"/>
        <w:ind w:firstLine="424" w:firstLineChars="177"/>
        <w:rPr>
          <w:rFonts w:ascii="Times New Roman" w:hAnsi="Times New Roman"/>
          <w:sz w:val="24"/>
          <w:szCs w:val="24"/>
        </w:rPr>
      </w:pPr>
      <w:r>
        <w:rPr>
          <w:rFonts w:ascii="宋体" w:hAnsi="宋体"/>
          <w:sz w:val="24"/>
          <w:szCs w:val="24"/>
        </w:rPr>
        <w:t>④</w:t>
      </w:r>
      <w:r>
        <w:rPr>
          <w:rFonts w:ascii="Times New Roman" w:hAnsi="宋体"/>
          <w:sz w:val="24"/>
          <w:szCs w:val="24"/>
        </w:rPr>
        <w:t>加强设备的维护与管理，所有设备在安全的条件下运行。</w:t>
      </w:r>
    </w:p>
    <w:p>
      <w:pPr>
        <w:spacing w:line="360" w:lineRule="auto"/>
        <w:ind w:firstLine="424" w:firstLineChars="177"/>
        <w:rPr>
          <w:rFonts w:ascii="Times New Roman" w:hAnsi="Times New Roman"/>
          <w:sz w:val="24"/>
          <w:szCs w:val="24"/>
        </w:rPr>
      </w:pPr>
      <w:r>
        <w:rPr>
          <w:rFonts w:ascii="宋体" w:hAnsi="宋体"/>
          <w:sz w:val="24"/>
          <w:szCs w:val="24"/>
        </w:rPr>
        <w:t>⑤</w:t>
      </w:r>
      <w:r>
        <w:rPr>
          <w:rFonts w:ascii="Times New Roman" w:hAnsi="宋体"/>
          <w:sz w:val="24"/>
          <w:szCs w:val="24"/>
        </w:rPr>
        <w:t>企业具体防范措施</w:t>
      </w:r>
    </w:p>
    <w:p>
      <w:pPr>
        <w:spacing w:line="360" w:lineRule="auto"/>
        <w:ind w:firstLine="424" w:firstLineChars="177"/>
        <w:rPr>
          <w:rFonts w:ascii="Times New Roman" w:hAnsi="Times New Roman"/>
          <w:sz w:val="24"/>
          <w:szCs w:val="24"/>
        </w:rPr>
      </w:pPr>
      <w:r>
        <w:rPr>
          <w:rFonts w:ascii="Times New Roman" w:hAnsi="宋体"/>
          <w:sz w:val="24"/>
          <w:szCs w:val="24"/>
        </w:rPr>
        <w:t>企业设置事故收集池，一旦发生事故，立即通知罐车，将事故收集池中的废液外运处置。</w:t>
      </w:r>
    </w:p>
    <w:p>
      <w:pPr>
        <w:pStyle w:val="4"/>
        <w:rPr>
          <w:bCs w:val="0"/>
          <w:szCs w:val="24"/>
        </w:rPr>
      </w:pPr>
      <w:bookmarkStart w:id="648" w:name="_Toc436171729"/>
      <w:r>
        <w:rPr>
          <w:bCs w:val="0"/>
          <w:szCs w:val="24"/>
        </w:rPr>
        <w:t>3.</w:t>
      </w:r>
      <w:r>
        <w:rPr>
          <w:rFonts w:hint="eastAsia"/>
          <w:bCs w:val="0"/>
          <w:szCs w:val="24"/>
        </w:rPr>
        <w:t>2</w:t>
      </w:r>
      <w:r>
        <w:rPr>
          <w:bCs w:val="0"/>
          <w:szCs w:val="24"/>
        </w:rPr>
        <w:t>.2废气处理系统</w:t>
      </w:r>
      <w:bookmarkEnd w:id="648"/>
    </w:p>
    <w:p>
      <w:pPr>
        <w:spacing w:line="360" w:lineRule="auto"/>
        <w:ind w:firstLine="480" w:firstLineChars="200"/>
        <w:rPr>
          <w:rFonts w:hint="eastAsia"/>
          <w:kern w:val="0"/>
          <w:sz w:val="24"/>
          <w:szCs w:val="24"/>
        </w:rPr>
      </w:pPr>
      <w:r>
        <w:rPr>
          <w:kern w:val="0"/>
          <w:sz w:val="24"/>
          <w:szCs w:val="24"/>
        </w:rPr>
        <w:t>首先，生产线采用封闭的水平线，除尘器的设计考虑了生产能力过剩时的需求。每套</w:t>
      </w:r>
      <w:r>
        <w:rPr>
          <w:rFonts w:hint="eastAsia"/>
          <w:kern w:val="0"/>
          <w:sz w:val="24"/>
          <w:szCs w:val="24"/>
        </w:rPr>
        <w:t>除尘器</w:t>
      </w:r>
      <w:r>
        <w:rPr>
          <w:kern w:val="0"/>
          <w:sz w:val="24"/>
          <w:szCs w:val="24"/>
        </w:rPr>
        <w:t>设置一台备用风机，以确保24小时连续运转，与生产线保持一致。废气处理系统采用自动操作和控制的管理系统，允许对参数和设备状态进行远程的实时监控。另外，公司还会定期对系统设备进行检修，保证其正常运行</w:t>
      </w:r>
      <w:r>
        <w:rPr>
          <w:rFonts w:hint="eastAsia"/>
          <w:kern w:val="0"/>
          <w:sz w:val="24"/>
          <w:szCs w:val="24"/>
        </w:rPr>
        <w:t>。废气处理措施详见表3.2—2。</w:t>
      </w:r>
    </w:p>
    <w:p>
      <w:pPr>
        <w:spacing w:line="360" w:lineRule="auto"/>
        <w:jc w:val="center"/>
        <w:rPr>
          <w:rFonts w:hint="eastAsia"/>
          <w:b/>
          <w:sz w:val="24"/>
          <w:szCs w:val="24"/>
        </w:rPr>
      </w:pPr>
      <w:r>
        <w:rPr>
          <w:rFonts w:hint="eastAsia"/>
          <w:b/>
          <w:kern w:val="0"/>
          <w:sz w:val="24"/>
          <w:szCs w:val="24"/>
        </w:rPr>
        <w:t>表3.2—2   废气处理措施</w:t>
      </w:r>
    </w:p>
    <w:tbl>
      <w:tblPr>
        <w:tblStyle w:val="21"/>
        <w:tblW w:w="850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48"/>
        <w:gridCol w:w="2118"/>
        <w:gridCol w:w="880"/>
        <w:gridCol w:w="1322"/>
        <w:gridCol w:w="1741"/>
        <w:gridCol w:w="1009"/>
        <w:gridCol w:w="8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548" w:type="dxa"/>
            <w:vAlign w:val="center"/>
          </w:tcPr>
          <w:p>
            <w:pPr>
              <w:jc w:val="center"/>
              <w:rPr>
                <w:rFonts w:ascii="Times New Roman" w:hAnsi="Times New Roman"/>
                <w:color w:val="000000"/>
                <w:szCs w:val="21"/>
              </w:rPr>
            </w:pPr>
            <w:r>
              <w:rPr>
                <w:rFonts w:ascii="Times New Roman" w:hAnsi="宋体"/>
                <w:color w:val="000000"/>
                <w:szCs w:val="21"/>
              </w:rPr>
              <w:t>编号</w:t>
            </w:r>
          </w:p>
        </w:tc>
        <w:tc>
          <w:tcPr>
            <w:tcW w:w="2118" w:type="dxa"/>
            <w:vAlign w:val="center"/>
          </w:tcPr>
          <w:p>
            <w:pPr>
              <w:jc w:val="center"/>
              <w:rPr>
                <w:rFonts w:ascii="Times New Roman" w:hAnsi="Times New Roman"/>
                <w:color w:val="000000"/>
                <w:szCs w:val="21"/>
              </w:rPr>
            </w:pPr>
            <w:r>
              <w:rPr>
                <w:rFonts w:ascii="Times New Roman" w:hAnsi="宋体"/>
                <w:color w:val="000000"/>
                <w:szCs w:val="21"/>
              </w:rPr>
              <w:t>位置</w:t>
            </w:r>
          </w:p>
        </w:tc>
        <w:tc>
          <w:tcPr>
            <w:tcW w:w="880" w:type="dxa"/>
            <w:vAlign w:val="center"/>
          </w:tcPr>
          <w:p>
            <w:pPr>
              <w:jc w:val="center"/>
              <w:rPr>
                <w:rFonts w:ascii="Times New Roman" w:hAnsi="Times New Roman"/>
                <w:color w:val="000000"/>
                <w:szCs w:val="21"/>
              </w:rPr>
            </w:pPr>
            <w:r>
              <w:rPr>
                <w:rFonts w:ascii="Times New Roman" w:hAnsi="宋体"/>
                <w:color w:val="000000"/>
                <w:szCs w:val="21"/>
              </w:rPr>
              <w:t>主要</w:t>
            </w:r>
          </w:p>
          <w:p>
            <w:pPr>
              <w:jc w:val="center"/>
              <w:rPr>
                <w:rFonts w:ascii="Times New Roman" w:hAnsi="Times New Roman"/>
                <w:color w:val="000000"/>
                <w:szCs w:val="21"/>
              </w:rPr>
            </w:pPr>
            <w:r>
              <w:rPr>
                <w:rFonts w:ascii="Times New Roman" w:hAnsi="宋体"/>
                <w:color w:val="000000"/>
                <w:szCs w:val="21"/>
              </w:rPr>
              <w:t>污染物</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治理措施</w:t>
            </w:r>
          </w:p>
        </w:tc>
        <w:tc>
          <w:tcPr>
            <w:tcW w:w="1741" w:type="dxa"/>
            <w:vAlign w:val="center"/>
          </w:tcPr>
          <w:p>
            <w:pPr>
              <w:jc w:val="center"/>
              <w:rPr>
                <w:rFonts w:ascii="Times New Roman" w:hAnsi="Times New Roman"/>
                <w:color w:val="000000"/>
                <w:szCs w:val="21"/>
              </w:rPr>
            </w:pPr>
            <w:r>
              <w:rPr>
                <w:rFonts w:ascii="Times New Roman" w:hAnsi="宋体"/>
                <w:color w:val="000000"/>
                <w:szCs w:val="21"/>
              </w:rPr>
              <w:t>型号</w:t>
            </w:r>
          </w:p>
        </w:tc>
        <w:tc>
          <w:tcPr>
            <w:tcW w:w="1009" w:type="dxa"/>
            <w:vAlign w:val="center"/>
          </w:tcPr>
          <w:p>
            <w:pPr>
              <w:jc w:val="center"/>
              <w:rPr>
                <w:rFonts w:ascii="Times New Roman" w:hAnsi="Times New Roman"/>
                <w:color w:val="000000"/>
                <w:szCs w:val="21"/>
              </w:rPr>
            </w:pPr>
            <w:r>
              <w:rPr>
                <w:rFonts w:ascii="Times New Roman" w:hAnsi="宋体"/>
                <w:color w:val="000000"/>
                <w:szCs w:val="21"/>
              </w:rPr>
              <w:t>风量</w:t>
            </w:r>
            <w:r>
              <w:rPr>
                <w:rFonts w:ascii="Times New Roman" w:hAnsi="Times New Roman"/>
                <w:color w:val="000000"/>
                <w:szCs w:val="21"/>
              </w:rPr>
              <w:t>(m</w:t>
            </w:r>
            <w:r>
              <w:rPr>
                <w:rFonts w:ascii="Times New Roman" w:hAnsi="Times New Roman"/>
                <w:color w:val="000000"/>
                <w:szCs w:val="21"/>
                <w:vertAlign w:val="superscript"/>
              </w:rPr>
              <w:t>3</w:t>
            </w:r>
            <w:r>
              <w:rPr>
                <w:rFonts w:ascii="Times New Roman" w:hAnsi="Times New Roman"/>
                <w:color w:val="000000"/>
                <w:szCs w:val="21"/>
              </w:rPr>
              <w:t>/h)</w:t>
            </w:r>
          </w:p>
        </w:tc>
        <w:tc>
          <w:tcPr>
            <w:tcW w:w="887" w:type="dxa"/>
            <w:vAlign w:val="center"/>
          </w:tcPr>
          <w:p>
            <w:pPr>
              <w:jc w:val="center"/>
              <w:rPr>
                <w:rFonts w:ascii="Times New Roman" w:hAnsi="Times New Roman"/>
                <w:color w:val="000000"/>
                <w:szCs w:val="21"/>
              </w:rPr>
            </w:pPr>
            <w:r>
              <w:rPr>
                <w:rFonts w:ascii="Times New Roman" w:hAnsi="宋体"/>
                <w:color w:val="000000"/>
                <w:szCs w:val="21"/>
              </w:rPr>
              <w:t>排气高度（</w:t>
            </w:r>
            <w:r>
              <w:rPr>
                <w:rFonts w:ascii="Times New Roman" w:hAnsi="Times New Roman"/>
                <w:color w:val="000000"/>
                <w:szCs w:val="21"/>
              </w:rPr>
              <w:t>m</w:t>
            </w:r>
            <w:r>
              <w:rPr>
                <w:rFonts w:ascii="Times New Roman" w:hAnsi="宋体"/>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1#</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辅助喂料、破碎</w:t>
            </w:r>
            <w:r>
              <w:rPr>
                <w:rFonts w:ascii="Times New Roman" w:hAnsi="Times New Roman"/>
                <w:color w:val="000000"/>
                <w:spacing w:val="-13"/>
                <w:kern w:val="0"/>
                <w:szCs w:val="21"/>
              </w:rPr>
              <w:t xml:space="preserve"> </w:t>
            </w:r>
          </w:p>
        </w:tc>
        <w:tc>
          <w:tcPr>
            <w:tcW w:w="880" w:type="dxa"/>
            <w:vAlign w:val="center"/>
          </w:tcPr>
          <w:p>
            <w:pPr>
              <w:autoSpaceDE w:val="0"/>
              <w:autoSpaceDN w:val="0"/>
              <w:ind w:firstLine="14" w:firstLineChars="7"/>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FGM64-4</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13000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2#</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主喂料、破碎</w:t>
            </w:r>
            <w:r>
              <w:rPr>
                <w:rFonts w:ascii="Times New Roman" w:hAnsi="Times New Roman"/>
                <w:color w:val="000000"/>
                <w:spacing w:val="-13"/>
                <w:kern w:val="0"/>
                <w:szCs w:val="21"/>
              </w:rPr>
              <w:t xml:space="preserve"> </w:t>
            </w:r>
          </w:p>
        </w:tc>
        <w:tc>
          <w:tcPr>
            <w:tcW w:w="880" w:type="dxa"/>
            <w:vAlign w:val="center"/>
          </w:tcPr>
          <w:p>
            <w:pPr>
              <w:autoSpaceDE w:val="0"/>
              <w:autoSpaceDN w:val="0"/>
              <w:ind w:firstLine="14" w:firstLineChars="7"/>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PPW96-2×6</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70000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3#</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石灰石均化场皮带</w:t>
            </w:r>
          </w:p>
        </w:tc>
        <w:tc>
          <w:tcPr>
            <w:tcW w:w="880" w:type="dxa"/>
            <w:vAlign w:val="center"/>
          </w:tcPr>
          <w:p>
            <w:pPr>
              <w:autoSpaceDE w:val="0"/>
              <w:autoSpaceDN w:val="0"/>
              <w:ind w:firstLine="14" w:firstLineChars="7"/>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DMC</w:t>
            </w:r>
            <w:r>
              <w:rPr>
                <w:rFonts w:ascii="Times New Roman" w:hAnsi="宋体"/>
                <w:color w:val="000000"/>
                <w:kern w:val="0"/>
                <w:szCs w:val="21"/>
              </w:rPr>
              <w:t>（</w:t>
            </w:r>
            <w:r>
              <w:rPr>
                <w:rFonts w:ascii="Times New Roman" w:hAnsi="Times New Roman"/>
                <w:color w:val="000000"/>
                <w:kern w:val="0"/>
                <w:szCs w:val="21"/>
              </w:rPr>
              <w:t>A</w:t>
            </w:r>
            <w:r>
              <w:rPr>
                <w:rFonts w:ascii="Times New Roman" w:hAnsi="宋体"/>
                <w:color w:val="000000"/>
                <w:kern w:val="0"/>
                <w:szCs w:val="21"/>
              </w:rPr>
              <w:t>）</w:t>
            </w:r>
            <w:r>
              <w:rPr>
                <w:rFonts w:ascii="Times New Roman" w:hAnsi="Times New Roman"/>
                <w:color w:val="000000"/>
                <w:kern w:val="0"/>
                <w:szCs w:val="21"/>
              </w:rPr>
              <w:t>-96</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7000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4#</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石灰石库顶</w:t>
            </w:r>
          </w:p>
        </w:tc>
        <w:tc>
          <w:tcPr>
            <w:tcW w:w="880" w:type="dxa"/>
            <w:vAlign w:val="center"/>
          </w:tcPr>
          <w:p>
            <w:pPr>
              <w:autoSpaceDE w:val="0"/>
              <w:autoSpaceDN w:val="0"/>
              <w:ind w:firstLine="14" w:firstLineChars="7"/>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HQM32-5</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10800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5#</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磷渣库顶</w:t>
            </w:r>
          </w:p>
        </w:tc>
        <w:tc>
          <w:tcPr>
            <w:tcW w:w="880" w:type="dxa"/>
            <w:vAlign w:val="center"/>
          </w:tcPr>
          <w:p>
            <w:pPr>
              <w:autoSpaceDE w:val="0"/>
              <w:autoSpaceDN w:val="0"/>
              <w:ind w:firstLine="14" w:firstLineChars="7"/>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HQM32-4</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7200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6#</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煤矸石库顶</w:t>
            </w:r>
          </w:p>
        </w:tc>
        <w:tc>
          <w:tcPr>
            <w:tcW w:w="880" w:type="dxa"/>
            <w:vAlign w:val="center"/>
          </w:tcPr>
          <w:p>
            <w:pPr>
              <w:autoSpaceDE w:val="0"/>
              <w:autoSpaceDN w:val="0"/>
              <w:ind w:firstLine="14" w:firstLineChars="7"/>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HQM32-4</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7200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7#</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冶炼废渣均化场皮带</w:t>
            </w:r>
          </w:p>
        </w:tc>
        <w:tc>
          <w:tcPr>
            <w:tcW w:w="880" w:type="dxa"/>
            <w:vAlign w:val="center"/>
          </w:tcPr>
          <w:p>
            <w:pPr>
              <w:autoSpaceDE w:val="0"/>
              <w:autoSpaceDN w:val="0"/>
              <w:ind w:firstLine="14" w:firstLineChars="7"/>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PPC1-32</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2000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8#</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冶炼废渣均化场皮带</w:t>
            </w:r>
          </w:p>
        </w:tc>
        <w:tc>
          <w:tcPr>
            <w:tcW w:w="880" w:type="dxa"/>
            <w:vAlign w:val="center"/>
          </w:tcPr>
          <w:p>
            <w:pPr>
              <w:autoSpaceDE w:val="0"/>
              <w:autoSpaceDN w:val="0"/>
              <w:ind w:firstLine="14" w:firstLineChars="7"/>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PPC1-32</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2000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9#</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立磨下料口收尘</w:t>
            </w:r>
          </w:p>
        </w:tc>
        <w:tc>
          <w:tcPr>
            <w:tcW w:w="880" w:type="dxa"/>
            <w:vAlign w:val="center"/>
          </w:tcPr>
          <w:p>
            <w:pPr>
              <w:autoSpaceDE w:val="0"/>
              <w:autoSpaceDN w:val="0"/>
              <w:ind w:firstLine="14" w:firstLineChars="7"/>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HQM78-4</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21600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10#</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立磨空气斜槽收尘</w:t>
            </w:r>
          </w:p>
        </w:tc>
        <w:tc>
          <w:tcPr>
            <w:tcW w:w="880" w:type="dxa"/>
            <w:vAlign w:val="center"/>
          </w:tcPr>
          <w:p>
            <w:pPr>
              <w:autoSpaceDE w:val="0"/>
              <w:autoSpaceDN w:val="0"/>
              <w:ind w:firstLine="14" w:firstLineChars="7"/>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DMC96</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8500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11#</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窑尾空气斜槽收尘</w:t>
            </w:r>
          </w:p>
        </w:tc>
        <w:tc>
          <w:tcPr>
            <w:tcW w:w="880" w:type="dxa"/>
            <w:vAlign w:val="center"/>
          </w:tcPr>
          <w:p>
            <w:pPr>
              <w:autoSpaceDE w:val="0"/>
              <w:autoSpaceDN w:val="0"/>
              <w:ind w:firstLine="14" w:firstLineChars="7"/>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DMC80A</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7000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12#</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窑尾空气斜槽收尘</w:t>
            </w:r>
          </w:p>
        </w:tc>
        <w:tc>
          <w:tcPr>
            <w:tcW w:w="880" w:type="dxa"/>
            <w:vAlign w:val="center"/>
          </w:tcPr>
          <w:p>
            <w:pPr>
              <w:autoSpaceDE w:val="0"/>
              <w:autoSpaceDN w:val="0"/>
              <w:ind w:firstLine="14" w:firstLineChars="7"/>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PMD-6B</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6500-7000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13#</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入窑提升机收尘</w:t>
            </w:r>
          </w:p>
        </w:tc>
        <w:tc>
          <w:tcPr>
            <w:tcW w:w="880" w:type="dxa"/>
            <w:vAlign w:val="center"/>
          </w:tcPr>
          <w:p>
            <w:pPr>
              <w:autoSpaceDE w:val="0"/>
              <w:autoSpaceDN w:val="0"/>
              <w:ind w:firstLine="14" w:firstLineChars="7"/>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DMC-72</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4000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9" w:hRule="atLeast"/>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14#</w:t>
            </w:r>
          </w:p>
        </w:tc>
        <w:tc>
          <w:tcPr>
            <w:tcW w:w="2118" w:type="dxa"/>
            <w:vAlign w:val="top"/>
          </w:tcPr>
          <w:p>
            <w:pPr>
              <w:autoSpaceDE w:val="0"/>
              <w:autoSpaceDN w:val="0"/>
              <w:rPr>
                <w:rFonts w:ascii="Times New Roman" w:hAnsi="Times New Roman"/>
                <w:color w:val="000000"/>
                <w:szCs w:val="21"/>
              </w:rPr>
            </w:pPr>
            <w:r>
              <w:rPr>
                <w:rFonts w:ascii="Times New Roman" w:hAnsi="宋体"/>
                <w:color w:val="000000"/>
                <w:szCs w:val="21"/>
              </w:rPr>
              <w:t>生料均化库顶</w:t>
            </w:r>
          </w:p>
        </w:tc>
        <w:tc>
          <w:tcPr>
            <w:tcW w:w="880" w:type="dxa"/>
            <w:vAlign w:val="center"/>
          </w:tcPr>
          <w:p>
            <w:pPr>
              <w:autoSpaceDE w:val="0"/>
              <w:autoSpaceDN w:val="0"/>
              <w:ind w:firstLine="14" w:firstLineChars="7"/>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HQM64-4</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18000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15#</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窑尾收尘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r>
              <w:rPr>
                <w:rFonts w:ascii="Times New Roman" w:hAnsi="Times New Roman"/>
                <w:color w:val="000000"/>
                <w:kern w:val="0"/>
                <w:szCs w:val="21"/>
              </w:rPr>
              <w:t>SO</w:t>
            </w:r>
            <w:r>
              <w:rPr>
                <w:rFonts w:ascii="Times New Roman" w:hAnsi="Times New Roman"/>
                <w:color w:val="000000"/>
                <w:kern w:val="0"/>
                <w:szCs w:val="21"/>
                <w:vertAlign w:val="subscript"/>
              </w:rPr>
              <w:t>2</w:t>
            </w:r>
            <w:r>
              <w:rPr>
                <w:rFonts w:ascii="Times New Roman" w:hAnsi="宋体"/>
                <w:color w:val="000000"/>
                <w:kern w:val="0"/>
                <w:szCs w:val="21"/>
              </w:rPr>
              <w:t>、</w:t>
            </w:r>
            <w:r>
              <w:rPr>
                <w:rFonts w:ascii="Times New Roman" w:hAnsi="Times New Roman"/>
                <w:color w:val="000000"/>
                <w:kern w:val="0"/>
                <w:szCs w:val="21"/>
              </w:rPr>
              <w:t>NO</w:t>
            </w:r>
            <w:r>
              <w:rPr>
                <w:rFonts w:ascii="Times New Roman" w:hAnsi="Times New Roman"/>
                <w:color w:val="000000"/>
                <w:kern w:val="0"/>
                <w:szCs w:val="21"/>
                <w:vertAlign w:val="subscript"/>
              </w:rPr>
              <w:t>x</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LCMP994-2×6</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635000</w:t>
            </w:r>
          </w:p>
        </w:tc>
        <w:tc>
          <w:tcPr>
            <w:tcW w:w="887" w:type="dxa"/>
            <w:vAlign w:val="center"/>
          </w:tcPr>
          <w:p>
            <w:pPr>
              <w:autoSpaceDE w:val="0"/>
              <w:autoSpaceDN w:val="0"/>
              <w:jc w:val="center"/>
              <w:rPr>
                <w:rFonts w:ascii="Times New Roman" w:hAnsi="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16#</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窑头收尘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Lcmp770-2×6</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465600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17#</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熟料库顶收尘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szCs w:val="21"/>
              </w:rPr>
              <w:t>PPC96-6</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22300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18#</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熟料落料口收尘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szCs w:val="21"/>
              </w:rPr>
              <w:t>HMC-96(A)</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6708</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19#</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煤粉称收尘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DMC80B</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6000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20#</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煤磨收尘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szCs w:val="21"/>
              </w:rPr>
              <w:t>PPCM 96-2×8</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85000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21#</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煤粉皮带收尘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DMC80B</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6000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22#</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煤粉皮带收尘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szCs w:val="21"/>
              </w:rPr>
              <w:t>DMC(A)-96</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7200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23#</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煤粉运送机下料端收尘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szCs w:val="21"/>
              </w:rPr>
              <w:t>DMC(A)-96</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7200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24#</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入辊皮带机收尘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HQM32-5</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10230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25#</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配料皮带机收尘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DMC80A</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7000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26#</w:t>
            </w:r>
          </w:p>
        </w:tc>
        <w:tc>
          <w:tcPr>
            <w:tcW w:w="2118"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w:t>
            </w:r>
            <w:r>
              <w:rPr>
                <w:rFonts w:ascii="Times New Roman" w:hAnsi="宋体"/>
                <w:color w:val="000000"/>
                <w:kern w:val="0"/>
                <w:szCs w:val="21"/>
              </w:rPr>
              <w:t>出库皮带收尘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HQM64-5</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szCs w:val="21"/>
              </w:rPr>
              <w:t>16740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27#</w:t>
            </w:r>
          </w:p>
        </w:tc>
        <w:tc>
          <w:tcPr>
            <w:tcW w:w="2118"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2#</w:t>
            </w:r>
            <w:r>
              <w:rPr>
                <w:rFonts w:ascii="Times New Roman" w:hAnsi="宋体"/>
                <w:color w:val="000000"/>
                <w:kern w:val="0"/>
                <w:szCs w:val="21"/>
              </w:rPr>
              <w:t>出库皮带收尘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HQM64-5</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szCs w:val="21"/>
              </w:rPr>
              <w:t>16740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28#</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水泥配料石灰石破碎收尘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PPC40-4</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12852-22803</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29#</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石膏配料库收尘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FGM64-4</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14880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30#</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矿渣配料库收尘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FGM32-6</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12276</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31#</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石灰石库收尘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FGM64-4</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14880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32#</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水泥磨</w:t>
            </w:r>
            <w:r>
              <w:rPr>
                <w:rFonts w:ascii="Times New Roman" w:hAnsi="Times New Roman"/>
                <w:color w:val="000000"/>
                <w:kern w:val="0"/>
                <w:szCs w:val="21"/>
              </w:rPr>
              <w:t>1</w:t>
            </w:r>
            <w:r>
              <w:rPr>
                <w:rFonts w:ascii="Times New Roman" w:hAnsi="宋体"/>
                <w:color w:val="000000"/>
                <w:kern w:val="0"/>
                <w:szCs w:val="21"/>
              </w:rPr>
              <w:t>号后排收尘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szCs w:val="21"/>
              </w:rPr>
              <w:t>LHMC154-2×5</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235000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33#</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水泥磨</w:t>
            </w:r>
            <w:r>
              <w:rPr>
                <w:rFonts w:ascii="Times New Roman" w:hAnsi="Times New Roman"/>
                <w:color w:val="000000"/>
                <w:kern w:val="0"/>
                <w:szCs w:val="21"/>
              </w:rPr>
              <w:t>2</w:t>
            </w:r>
            <w:r>
              <w:rPr>
                <w:rFonts w:ascii="Times New Roman" w:hAnsi="宋体"/>
                <w:color w:val="000000"/>
                <w:kern w:val="0"/>
                <w:szCs w:val="21"/>
              </w:rPr>
              <w:t>号后排收尘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szCs w:val="21"/>
              </w:rPr>
              <w:t>LHMC154-2×5</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235000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34#</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水泥磨</w:t>
            </w:r>
            <w:r>
              <w:rPr>
                <w:rFonts w:ascii="Times New Roman" w:hAnsi="Times New Roman"/>
                <w:color w:val="000000"/>
                <w:kern w:val="0"/>
                <w:szCs w:val="21"/>
              </w:rPr>
              <w:t>1</w:t>
            </w:r>
            <w:r>
              <w:rPr>
                <w:rFonts w:ascii="Times New Roman" w:hAnsi="宋体"/>
                <w:color w:val="000000"/>
                <w:kern w:val="0"/>
                <w:szCs w:val="21"/>
              </w:rPr>
              <w:t>号尾排收尘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r>
              <w:rPr>
                <w:rFonts w:hint="eastAsia" w:ascii="Times New Roman" w:hAnsi="宋体"/>
                <w:color w:val="000000"/>
                <w:szCs w:val="21"/>
              </w:rPr>
              <w:t>、SCN处理设施</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szCs w:val="21"/>
              </w:rPr>
              <w:t>PPC96-9</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40000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35#</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水泥磨</w:t>
            </w:r>
            <w:r>
              <w:rPr>
                <w:rFonts w:ascii="Times New Roman" w:hAnsi="Times New Roman"/>
                <w:color w:val="000000"/>
                <w:kern w:val="0"/>
                <w:szCs w:val="21"/>
              </w:rPr>
              <w:t>2</w:t>
            </w:r>
            <w:r>
              <w:rPr>
                <w:rFonts w:ascii="Times New Roman" w:hAnsi="宋体"/>
                <w:color w:val="000000"/>
                <w:kern w:val="0"/>
                <w:szCs w:val="21"/>
              </w:rPr>
              <w:t>号尾排收尘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r>
              <w:rPr>
                <w:rFonts w:hint="eastAsia" w:ascii="Times New Roman" w:hAnsi="宋体"/>
                <w:color w:val="000000"/>
                <w:szCs w:val="21"/>
              </w:rPr>
              <w:t>、SCN处理设施</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szCs w:val="21"/>
              </w:rPr>
              <w:t>PPC96-9</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40000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36#</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粉煤灰库顶收尘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DMC80B</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8500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37#</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粉煤灰库顶收尘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DMC80B</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8500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38#</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粉煤灰入库</w:t>
            </w:r>
            <w:r>
              <w:rPr>
                <w:rFonts w:ascii="Times New Roman" w:hAnsi="Times New Roman"/>
                <w:color w:val="000000"/>
                <w:kern w:val="0"/>
                <w:szCs w:val="21"/>
              </w:rPr>
              <w:t>1#</w:t>
            </w:r>
            <w:r>
              <w:rPr>
                <w:rFonts w:ascii="Times New Roman" w:hAnsi="宋体"/>
                <w:color w:val="000000"/>
                <w:kern w:val="0"/>
                <w:szCs w:val="21"/>
              </w:rPr>
              <w:t>提升机收尘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DMC-96</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7000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39#</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粉煤灰入库</w:t>
            </w:r>
            <w:r>
              <w:rPr>
                <w:rFonts w:ascii="Times New Roman" w:hAnsi="Times New Roman"/>
                <w:color w:val="000000"/>
                <w:kern w:val="0"/>
                <w:szCs w:val="21"/>
              </w:rPr>
              <w:t>2#</w:t>
            </w:r>
            <w:r>
              <w:rPr>
                <w:rFonts w:ascii="Times New Roman" w:hAnsi="宋体"/>
                <w:color w:val="000000"/>
                <w:kern w:val="0"/>
                <w:szCs w:val="21"/>
              </w:rPr>
              <w:t>提升机收尘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DMC-96</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7000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40#</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水泥库</w:t>
            </w:r>
            <w:r>
              <w:rPr>
                <w:rFonts w:ascii="Times New Roman" w:hAnsi="Times New Roman"/>
                <w:color w:val="000000"/>
                <w:kern w:val="0"/>
                <w:szCs w:val="21"/>
              </w:rPr>
              <w:t>1#</w:t>
            </w:r>
            <w:r>
              <w:rPr>
                <w:rFonts w:ascii="Times New Roman" w:hAnsi="宋体"/>
                <w:color w:val="000000"/>
                <w:kern w:val="0"/>
                <w:szCs w:val="21"/>
              </w:rPr>
              <w:t>入库提升机收尘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DMC80A</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6000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center"/>
          </w:tcPr>
          <w:p>
            <w:pPr>
              <w:jc w:val="center"/>
              <w:rPr>
                <w:rFonts w:ascii="Times New Roman" w:hAnsi="Times New Roman"/>
                <w:color w:val="000000"/>
                <w:szCs w:val="21"/>
              </w:rPr>
            </w:pPr>
            <w:r>
              <w:rPr>
                <w:rFonts w:ascii="Times New Roman" w:hAnsi="Times New Roman"/>
                <w:color w:val="000000"/>
                <w:szCs w:val="21"/>
              </w:rPr>
              <w:t>41#</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水泥库</w:t>
            </w:r>
            <w:r>
              <w:rPr>
                <w:rFonts w:ascii="Times New Roman" w:hAnsi="Times New Roman"/>
                <w:color w:val="000000"/>
                <w:kern w:val="0"/>
                <w:szCs w:val="21"/>
              </w:rPr>
              <w:t>2#</w:t>
            </w:r>
            <w:r>
              <w:rPr>
                <w:rFonts w:ascii="Times New Roman" w:hAnsi="宋体"/>
                <w:color w:val="000000"/>
                <w:kern w:val="0"/>
                <w:szCs w:val="21"/>
              </w:rPr>
              <w:t>入库提升机收尘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DMC80A</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6000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top"/>
          </w:tcPr>
          <w:p>
            <w:pPr>
              <w:jc w:val="center"/>
              <w:rPr>
                <w:rFonts w:ascii="Times New Roman" w:hAnsi="Times New Roman"/>
                <w:color w:val="000000"/>
                <w:szCs w:val="21"/>
              </w:rPr>
            </w:pPr>
            <w:r>
              <w:rPr>
                <w:rFonts w:ascii="Times New Roman" w:hAnsi="Times New Roman"/>
                <w:color w:val="000000"/>
                <w:szCs w:val="21"/>
              </w:rPr>
              <w:t>42#</w:t>
            </w:r>
          </w:p>
        </w:tc>
        <w:tc>
          <w:tcPr>
            <w:tcW w:w="2118"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w:t>
            </w:r>
            <w:r>
              <w:rPr>
                <w:rFonts w:ascii="Times New Roman" w:hAnsi="宋体"/>
                <w:color w:val="000000"/>
                <w:kern w:val="0"/>
                <w:szCs w:val="21"/>
              </w:rPr>
              <w:t>水泥库顶收尘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HQM32-5</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9000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top"/>
          </w:tcPr>
          <w:p>
            <w:pPr>
              <w:jc w:val="center"/>
              <w:rPr>
                <w:rFonts w:ascii="Times New Roman" w:hAnsi="Times New Roman"/>
                <w:color w:val="000000"/>
                <w:szCs w:val="21"/>
              </w:rPr>
            </w:pPr>
            <w:r>
              <w:rPr>
                <w:rFonts w:ascii="Times New Roman" w:hAnsi="Times New Roman"/>
                <w:color w:val="000000"/>
                <w:szCs w:val="21"/>
              </w:rPr>
              <w:t>43#</w:t>
            </w:r>
          </w:p>
        </w:tc>
        <w:tc>
          <w:tcPr>
            <w:tcW w:w="2118"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2#</w:t>
            </w:r>
            <w:r>
              <w:rPr>
                <w:rFonts w:ascii="Times New Roman" w:hAnsi="宋体"/>
                <w:color w:val="000000"/>
                <w:kern w:val="0"/>
                <w:szCs w:val="21"/>
              </w:rPr>
              <w:t>水泥库顶收尘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HQM32-5</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9000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top"/>
          </w:tcPr>
          <w:p>
            <w:pPr>
              <w:jc w:val="center"/>
              <w:rPr>
                <w:rFonts w:ascii="Times New Roman" w:hAnsi="Times New Roman"/>
                <w:color w:val="000000"/>
                <w:szCs w:val="21"/>
              </w:rPr>
            </w:pPr>
            <w:r>
              <w:rPr>
                <w:rFonts w:ascii="Times New Roman" w:hAnsi="Times New Roman"/>
                <w:color w:val="000000"/>
                <w:szCs w:val="21"/>
              </w:rPr>
              <w:t>44#</w:t>
            </w:r>
          </w:p>
        </w:tc>
        <w:tc>
          <w:tcPr>
            <w:tcW w:w="2118"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3#</w:t>
            </w:r>
            <w:r>
              <w:rPr>
                <w:rFonts w:ascii="Times New Roman" w:hAnsi="宋体"/>
                <w:color w:val="000000"/>
                <w:kern w:val="0"/>
                <w:szCs w:val="21"/>
              </w:rPr>
              <w:t>水泥库顶收尘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HQM32-5</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9000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top"/>
          </w:tcPr>
          <w:p>
            <w:pPr>
              <w:jc w:val="center"/>
              <w:rPr>
                <w:rFonts w:ascii="Times New Roman" w:hAnsi="Times New Roman"/>
                <w:color w:val="000000"/>
                <w:szCs w:val="21"/>
              </w:rPr>
            </w:pPr>
            <w:r>
              <w:rPr>
                <w:rFonts w:ascii="Times New Roman" w:hAnsi="Times New Roman"/>
                <w:color w:val="000000"/>
                <w:szCs w:val="21"/>
              </w:rPr>
              <w:t>45#</w:t>
            </w:r>
          </w:p>
        </w:tc>
        <w:tc>
          <w:tcPr>
            <w:tcW w:w="2118"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4#</w:t>
            </w:r>
            <w:r>
              <w:rPr>
                <w:rFonts w:ascii="Times New Roman" w:hAnsi="宋体"/>
                <w:color w:val="000000"/>
                <w:kern w:val="0"/>
                <w:szCs w:val="21"/>
              </w:rPr>
              <w:t>水泥库顶收尘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HQM32-5</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9000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top"/>
          </w:tcPr>
          <w:p>
            <w:pPr>
              <w:jc w:val="center"/>
              <w:rPr>
                <w:rFonts w:ascii="Times New Roman" w:hAnsi="Times New Roman"/>
                <w:color w:val="000000"/>
                <w:szCs w:val="21"/>
              </w:rPr>
            </w:pPr>
            <w:r>
              <w:rPr>
                <w:rFonts w:ascii="Times New Roman" w:hAnsi="Times New Roman"/>
                <w:color w:val="000000"/>
                <w:szCs w:val="21"/>
              </w:rPr>
              <w:t>46#</w:t>
            </w:r>
          </w:p>
        </w:tc>
        <w:tc>
          <w:tcPr>
            <w:tcW w:w="2118"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5#</w:t>
            </w:r>
            <w:r>
              <w:rPr>
                <w:rFonts w:ascii="Times New Roman" w:hAnsi="宋体"/>
                <w:color w:val="000000"/>
                <w:kern w:val="0"/>
                <w:szCs w:val="21"/>
              </w:rPr>
              <w:t>水泥库顶收尘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HQM32-5</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9000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top"/>
          </w:tcPr>
          <w:p>
            <w:pPr>
              <w:jc w:val="center"/>
              <w:rPr>
                <w:rFonts w:ascii="Times New Roman" w:hAnsi="Times New Roman"/>
                <w:color w:val="000000"/>
                <w:szCs w:val="21"/>
              </w:rPr>
            </w:pPr>
            <w:r>
              <w:rPr>
                <w:rFonts w:ascii="Times New Roman" w:hAnsi="Times New Roman"/>
                <w:color w:val="000000"/>
                <w:szCs w:val="21"/>
              </w:rPr>
              <w:t>47#</w:t>
            </w:r>
          </w:p>
        </w:tc>
        <w:tc>
          <w:tcPr>
            <w:tcW w:w="2118"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6#</w:t>
            </w:r>
            <w:r>
              <w:rPr>
                <w:rFonts w:ascii="Times New Roman" w:hAnsi="宋体"/>
                <w:color w:val="000000"/>
                <w:kern w:val="0"/>
                <w:szCs w:val="21"/>
              </w:rPr>
              <w:t>水泥库顶收尘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HQM32-5</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9000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top"/>
          </w:tcPr>
          <w:p>
            <w:pPr>
              <w:jc w:val="center"/>
              <w:rPr>
                <w:rFonts w:ascii="Times New Roman" w:hAnsi="Times New Roman"/>
                <w:color w:val="000000"/>
                <w:szCs w:val="21"/>
              </w:rPr>
            </w:pPr>
            <w:r>
              <w:rPr>
                <w:rFonts w:ascii="Times New Roman" w:hAnsi="Times New Roman"/>
                <w:color w:val="000000"/>
                <w:szCs w:val="21"/>
              </w:rPr>
              <w:t>48#</w:t>
            </w:r>
          </w:p>
        </w:tc>
        <w:tc>
          <w:tcPr>
            <w:tcW w:w="2118"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w:t>
            </w:r>
            <w:r>
              <w:rPr>
                <w:rFonts w:ascii="Times New Roman" w:hAnsi="宋体"/>
                <w:color w:val="000000"/>
                <w:kern w:val="0"/>
                <w:szCs w:val="21"/>
              </w:rPr>
              <w:t>水泥库内收尘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szCs w:val="21"/>
              </w:rPr>
              <w:t>HMC-126 (A)</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6708</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top"/>
          </w:tcPr>
          <w:p>
            <w:pPr>
              <w:jc w:val="center"/>
              <w:rPr>
                <w:rFonts w:ascii="Times New Roman" w:hAnsi="Times New Roman"/>
                <w:color w:val="000000"/>
                <w:szCs w:val="21"/>
              </w:rPr>
            </w:pPr>
            <w:r>
              <w:rPr>
                <w:rFonts w:ascii="Times New Roman" w:hAnsi="Times New Roman"/>
                <w:color w:val="000000"/>
                <w:szCs w:val="21"/>
              </w:rPr>
              <w:t>49#</w:t>
            </w:r>
          </w:p>
        </w:tc>
        <w:tc>
          <w:tcPr>
            <w:tcW w:w="2118"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2#</w:t>
            </w:r>
            <w:r>
              <w:rPr>
                <w:rFonts w:ascii="Times New Roman" w:hAnsi="宋体"/>
                <w:color w:val="000000"/>
                <w:kern w:val="0"/>
                <w:szCs w:val="21"/>
              </w:rPr>
              <w:t>水泥库内收尘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szCs w:val="21"/>
              </w:rPr>
              <w:t>HMC-126 (A)</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6708</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top"/>
          </w:tcPr>
          <w:p>
            <w:pPr>
              <w:jc w:val="center"/>
              <w:rPr>
                <w:rFonts w:ascii="Times New Roman" w:hAnsi="Times New Roman"/>
                <w:color w:val="000000"/>
                <w:szCs w:val="21"/>
              </w:rPr>
            </w:pPr>
            <w:r>
              <w:rPr>
                <w:rFonts w:ascii="Times New Roman" w:hAnsi="Times New Roman"/>
                <w:color w:val="000000"/>
                <w:szCs w:val="21"/>
              </w:rPr>
              <w:t>50#</w:t>
            </w:r>
          </w:p>
        </w:tc>
        <w:tc>
          <w:tcPr>
            <w:tcW w:w="2118"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3#</w:t>
            </w:r>
            <w:r>
              <w:rPr>
                <w:rFonts w:ascii="Times New Roman" w:hAnsi="宋体"/>
                <w:color w:val="000000"/>
                <w:kern w:val="0"/>
                <w:szCs w:val="21"/>
              </w:rPr>
              <w:t>水泥库内收尘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szCs w:val="21"/>
              </w:rPr>
              <w:t>HMC-126 (A)</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6708</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top"/>
          </w:tcPr>
          <w:p>
            <w:pPr>
              <w:jc w:val="center"/>
              <w:rPr>
                <w:rFonts w:ascii="Times New Roman" w:hAnsi="Times New Roman"/>
                <w:color w:val="000000"/>
                <w:szCs w:val="21"/>
              </w:rPr>
            </w:pPr>
            <w:r>
              <w:rPr>
                <w:rFonts w:ascii="Times New Roman" w:hAnsi="Times New Roman"/>
                <w:color w:val="000000"/>
                <w:szCs w:val="21"/>
              </w:rPr>
              <w:t>51#</w:t>
            </w:r>
          </w:p>
        </w:tc>
        <w:tc>
          <w:tcPr>
            <w:tcW w:w="2118"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4#</w:t>
            </w:r>
            <w:r>
              <w:rPr>
                <w:rFonts w:ascii="Times New Roman" w:hAnsi="宋体"/>
                <w:color w:val="000000"/>
                <w:kern w:val="0"/>
                <w:szCs w:val="21"/>
              </w:rPr>
              <w:t>水泥库内收尘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szCs w:val="21"/>
              </w:rPr>
              <w:t>HMC-126 (A)</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6708</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top"/>
          </w:tcPr>
          <w:p>
            <w:pPr>
              <w:jc w:val="center"/>
              <w:rPr>
                <w:rFonts w:ascii="Times New Roman" w:hAnsi="Times New Roman"/>
                <w:color w:val="000000"/>
                <w:szCs w:val="21"/>
              </w:rPr>
            </w:pPr>
            <w:r>
              <w:rPr>
                <w:rFonts w:ascii="Times New Roman" w:hAnsi="Times New Roman"/>
                <w:color w:val="000000"/>
                <w:szCs w:val="21"/>
              </w:rPr>
              <w:t>52#</w:t>
            </w:r>
          </w:p>
        </w:tc>
        <w:tc>
          <w:tcPr>
            <w:tcW w:w="2118"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5#</w:t>
            </w:r>
            <w:r>
              <w:rPr>
                <w:rFonts w:ascii="Times New Roman" w:hAnsi="宋体"/>
                <w:color w:val="000000"/>
                <w:kern w:val="0"/>
                <w:szCs w:val="21"/>
              </w:rPr>
              <w:t>水泥库内收尘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szCs w:val="21"/>
              </w:rPr>
              <w:t>HMC-126 (A)</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6708</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top"/>
          </w:tcPr>
          <w:p>
            <w:pPr>
              <w:jc w:val="center"/>
              <w:rPr>
                <w:rFonts w:ascii="Times New Roman" w:hAnsi="Times New Roman"/>
                <w:color w:val="000000"/>
                <w:szCs w:val="21"/>
              </w:rPr>
            </w:pPr>
            <w:r>
              <w:rPr>
                <w:rFonts w:ascii="Times New Roman" w:hAnsi="Times New Roman"/>
                <w:color w:val="000000"/>
                <w:szCs w:val="21"/>
              </w:rPr>
              <w:t>53#</w:t>
            </w:r>
          </w:p>
        </w:tc>
        <w:tc>
          <w:tcPr>
            <w:tcW w:w="2118"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6#</w:t>
            </w:r>
            <w:r>
              <w:rPr>
                <w:rFonts w:ascii="Times New Roman" w:hAnsi="宋体"/>
                <w:color w:val="000000"/>
                <w:kern w:val="0"/>
                <w:szCs w:val="21"/>
              </w:rPr>
              <w:t>水泥库内收尘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szCs w:val="21"/>
              </w:rPr>
              <w:t>HMC-126 (A)</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6708</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top"/>
          </w:tcPr>
          <w:p>
            <w:pPr>
              <w:jc w:val="center"/>
              <w:rPr>
                <w:rFonts w:ascii="Times New Roman" w:hAnsi="Times New Roman"/>
                <w:color w:val="000000"/>
                <w:szCs w:val="21"/>
              </w:rPr>
            </w:pPr>
            <w:r>
              <w:rPr>
                <w:rFonts w:ascii="Times New Roman" w:hAnsi="Times New Roman"/>
                <w:color w:val="000000"/>
                <w:szCs w:val="21"/>
              </w:rPr>
              <w:t>54#</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水泥库空气斜槽收尘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DMC112A</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9000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top"/>
          </w:tcPr>
          <w:p>
            <w:pPr>
              <w:jc w:val="center"/>
              <w:rPr>
                <w:rFonts w:ascii="Times New Roman" w:hAnsi="Times New Roman"/>
                <w:color w:val="000000"/>
                <w:szCs w:val="21"/>
              </w:rPr>
            </w:pPr>
            <w:r>
              <w:rPr>
                <w:rFonts w:ascii="Times New Roman" w:hAnsi="Times New Roman"/>
                <w:color w:val="000000"/>
                <w:szCs w:val="21"/>
              </w:rPr>
              <w:t>55#</w:t>
            </w:r>
          </w:p>
        </w:tc>
        <w:tc>
          <w:tcPr>
            <w:tcW w:w="2118"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水泥库空气斜槽收尘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DMC112A</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9000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top"/>
          </w:tcPr>
          <w:p>
            <w:pPr>
              <w:jc w:val="center"/>
              <w:rPr>
                <w:rFonts w:ascii="Times New Roman" w:hAnsi="Times New Roman"/>
                <w:color w:val="000000"/>
                <w:szCs w:val="21"/>
              </w:rPr>
            </w:pPr>
            <w:r>
              <w:rPr>
                <w:rFonts w:ascii="Times New Roman" w:hAnsi="Times New Roman"/>
                <w:color w:val="000000"/>
                <w:szCs w:val="21"/>
              </w:rPr>
              <w:t>56#</w:t>
            </w:r>
          </w:p>
        </w:tc>
        <w:tc>
          <w:tcPr>
            <w:tcW w:w="2118"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w:t>
            </w:r>
            <w:r>
              <w:rPr>
                <w:rFonts w:ascii="Times New Roman" w:hAnsi="宋体"/>
                <w:color w:val="000000"/>
                <w:kern w:val="0"/>
                <w:szCs w:val="21"/>
              </w:rPr>
              <w:t>包装提升机收尘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HQM32-5</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10000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top"/>
          </w:tcPr>
          <w:p>
            <w:pPr>
              <w:jc w:val="center"/>
              <w:rPr>
                <w:rFonts w:ascii="Times New Roman" w:hAnsi="Times New Roman"/>
                <w:color w:val="000000"/>
                <w:szCs w:val="21"/>
              </w:rPr>
            </w:pPr>
            <w:r>
              <w:rPr>
                <w:rFonts w:ascii="Times New Roman" w:hAnsi="Times New Roman"/>
                <w:color w:val="000000"/>
                <w:szCs w:val="21"/>
              </w:rPr>
              <w:t>57#</w:t>
            </w:r>
          </w:p>
        </w:tc>
        <w:tc>
          <w:tcPr>
            <w:tcW w:w="2118"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2#</w:t>
            </w:r>
            <w:r>
              <w:rPr>
                <w:rFonts w:ascii="Times New Roman" w:hAnsi="宋体"/>
                <w:color w:val="000000"/>
                <w:kern w:val="0"/>
                <w:szCs w:val="21"/>
              </w:rPr>
              <w:t>包装提升机收尘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HQM32-5</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10000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top"/>
          </w:tcPr>
          <w:p>
            <w:pPr>
              <w:jc w:val="center"/>
              <w:rPr>
                <w:rFonts w:ascii="Times New Roman" w:hAnsi="Times New Roman"/>
                <w:color w:val="000000"/>
                <w:szCs w:val="21"/>
              </w:rPr>
            </w:pPr>
            <w:r>
              <w:rPr>
                <w:rFonts w:ascii="Times New Roman" w:hAnsi="Times New Roman"/>
                <w:color w:val="000000"/>
                <w:szCs w:val="21"/>
              </w:rPr>
              <w:t>58#</w:t>
            </w:r>
          </w:p>
        </w:tc>
        <w:tc>
          <w:tcPr>
            <w:tcW w:w="2118"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3#</w:t>
            </w:r>
            <w:r>
              <w:rPr>
                <w:rFonts w:ascii="Times New Roman" w:hAnsi="宋体"/>
                <w:color w:val="000000"/>
                <w:kern w:val="0"/>
                <w:szCs w:val="21"/>
              </w:rPr>
              <w:t>包装提升机收尘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HQM32-5</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10000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top"/>
          </w:tcPr>
          <w:p>
            <w:pPr>
              <w:jc w:val="center"/>
              <w:rPr>
                <w:rFonts w:ascii="Times New Roman" w:hAnsi="Times New Roman"/>
                <w:color w:val="000000"/>
                <w:szCs w:val="21"/>
              </w:rPr>
            </w:pPr>
            <w:r>
              <w:rPr>
                <w:rFonts w:ascii="Times New Roman" w:hAnsi="Times New Roman"/>
                <w:color w:val="000000"/>
                <w:szCs w:val="21"/>
              </w:rPr>
              <w:t>59#</w:t>
            </w:r>
          </w:p>
        </w:tc>
        <w:tc>
          <w:tcPr>
            <w:tcW w:w="2118"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w:t>
            </w:r>
            <w:r>
              <w:rPr>
                <w:rFonts w:ascii="Times New Roman" w:hAnsi="宋体"/>
                <w:color w:val="000000"/>
                <w:kern w:val="0"/>
                <w:szCs w:val="21"/>
              </w:rPr>
              <w:t>包装机收尘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HQM96-6</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33000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top"/>
          </w:tcPr>
          <w:p>
            <w:pPr>
              <w:jc w:val="center"/>
              <w:rPr>
                <w:rFonts w:ascii="Times New Roman" w:hAnsi="Times New Roman"/>
                <w:color w:val="000000"/>
                <w:szCs w:val="21"/>
              </w:rPr>
            </w:pPr>
            <w:r>
              <w:rPr>
                <w:rFonts w:ascii="Times New Roman" w:hAnsi="Times New Roman"/>
                <w:color w:val="000000"/>
                <w:szCs w:val="21"/>
              </w:rPr>
              <w:t>60#</w:t>
            </w:r>
          </w:p>
        </w:tc>
        <w:tc>
          <w:tcPr>
            <w:tcW w:w="2118"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2#</w:t>
            </w:r>
            <w:r>
              <w:rPr>
                <w:rFonts w:ascii="Times New Roman" w:hAnsi="宋体"/>
                <w:color w:val="000000"/>
                <w:kern w:val="0"/>
                <w:szCs w:val="21"/>
              </w:rPr>
              <w:t>包装机收尘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HQM96-6</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33000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8" w:type="dxa"/>
            <w:vAlign w:val="top"/>
          </w:tcPr>
          <w:p>
            <w:pPr>
              <w:jc w:val="center"/>
              <w:rPr>
                <w:rFonts w:ascii="Times New Roman" w:hAnsi="Times New Roman"/>
                <w:color w:val="000000"/>
                <w:szCs w:val="21"/>
              </w:rPr>
            </w:pPr>
            <w:r>
              <w:rPr>
                <w:rFonts w:ascii="Times New Roman" w:hAnsi="Times New Roman"/>
                <w:color w:val="000000"/>
                <w:szCs w:val="21"/>
              </w:rPr>
              <w:t>61#</w:t>
            </w:r>
          </w:p>
        </w:tc>
        <w:tc>
          <w:tcPr>
            <w:tcW w:w="2118"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3#</w:t>
            </w:r>
            <w:r>
              <w:rPr>
                <w:rFonts w:ascii="Times New Roman" w:hAnsi="宋体"/>
                <w:color w:val="000000"/>
                <w:kern w:val="0"/>
                <w:szCs w:val="21"/>
              </w:rPr>
              <w:t>包装机收尘</w:t>
            </w:r>
          </w:p>
        </w:tc>
        <w:tc>
          <w:tcPr>
            <w:tcW w:w="880" w:type="dxa"/>
            <w:vAlign w:val="center"/>
          </w:tcPr>
          <w:p>
            <w:pPr>
              <w:autoSpaceDE w:val="0"/>
              <w:autoSpaceDN w:val="0"/>
              <w:jc w:val="center"/>
              <w:rPr>
                <w:rFonts w:ascii="Times New Roman" w:hAnsi="Times New Roman"/>
                <w:color w:val="000000"/>
                <w:szCs w:val="21"/>
              </w:rPr>
            </w:pPr>
            <w:r>
              <w:rPr>
                <w:rFonts w:ascii="Times New Roman" w:hAnsi="宋体"/>
                <w:color w:val="000000"/>
                <w:kern w:val="0"/>
                <w:szCs w:val="21"/>
              </w:rPr>
              <w:t>粉尘</w:t>
            </w:r>
          </w:p>
        </w:tc>
        <w:tc>
          <w:tcPr>
            <w:tcW w:w="1322" w:type="dxa"/>
            <w:vAlign w:val="center"/>
          </w:tcPr>
          <w:p>
            <w:pPr>
              <w:jc w:val="center"/>
              <w:rPr>
                <w:rFonts w:ascii="Times New Roman" w:hAnsi="Times New Roman"/>
                <w:color w:val="000000"/>
                <w:szCs w:val="21"/>
              </w:rPr>
            </w:pPr>
            <w:r>
              <w:rPr>
                <w:rFonts w:ascii="Times New Roman" w:hAnsi="宋体"/>
                <w:color w:val="000000"/>
                <w:szCs w:val="21"/>
              </w:rPr>
              <w:t>收尘器收尘</w:t>
            </w:r>
          </w:p>
        </w:tc>
        <w:tc>
          <w:tcPr>
            <w:tcW w:w="1741"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HQM96-6</w:t>
            </w:r>
          </w:p>
        </w:tc>
        <w:tc>
          <w:tcPr>
            <w:tcW w:w="1009"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33000</w:t>
            </w:r>
          </w:p>
        </w:tc>
        <w:tc>
          <w:tcPr>
            <w:tcW w:w="887" w:type="dxa"/>
            <w:vAlign w:val="center"/>
          </w:tcPr>
          <w:p>
            <w:pPr>
              <w:autoSpaceDE w:val="0"/>
              <w:autoSpaceDN w:val="0"/>
              <w:jc w:val="center"/>
              <w:rPr>
                <w:rFonts w:ascii="Times New Roman" w:hAnsi="Times New Roman"/>
                <w:color w:val="000000"/>
                <w:szCs w:val="21"/>
              </w:rPr>
            </w:pPr>
            <w:r>
              <w:rPr>
                <w:rFonts w:ascii="Times New Roman" w:hAnsi="Times New Roman"/>
                <w:color w:val="000000"/>
                <w:kern w:val="0"/>
                <w:szCs w:val="21"/>
              </w:rPr>
              <w:t>15</w:t>
            </w:r>
          </w:p>
        </w:tc>
      </w:tr>
    </w:tbl>
    <w:p>
      <w:pPr>
        <w:pStyle w:val="4"/>
        <w:rPr>
          <w:bCs w:val="0"/>
        </w:rPr>
      </w:pPr>
      <w:bookmarkStart w:id="649" w:name="_Toc436171730"/>
      <w:r>
        <w:rPr>
          <w:bCs w:val="0"/>
        </w:rPr>
        <w:t>3.</w:t>
      </w:r>
      <w:r>
        <w:rPr>
          <w:rFonts w:hint="eastAsia"/>
          <w:bCs w:val="0"/>
        </w:rPr>
        <w:t>2</w:t>
      </w:r>
      <w:r>
        <w:rPr>
          <w:bCs w:val="0"/>
        </w:rPr>
        <w:t>.3废水处理系统</w:t>
      </w:r>
      <w:bookmarkEnd w:id="649"/>
    </w:p>
    <w:p>
      <w:pPr>
        <w:pStyle w:val="5"/>
        <w:spacing w:line="360" w:lineRule="auto"/>
        <w:ind w:firstLine="480"/>
        <w:textAlignment w:val="center"/>
        <w:rPr>
          <w:rFonts w:hint="eastAsia" w:ascii="宋体" w:hAnsi="宋体"/>
          <w:color w:val="000000"/>
          <w:sz w:val="24"/>
          <w:szCs w:val="28"/>
        </w:rPr>
      </w:pPr>
      <w:r>
        <w:rPr>
          <w:rFonts w:hint="eastAsia" w:ascii="宋体" w:hAnsi="宋体"/>
          <w:color w:val="000000"/>
          <w:sz w:val="24"/>
          <w:szCs w:val="28"/>
        </w:rPr>
        <w:t>生产用水主要为设备冷却水及仪表用水，均循环使用，水循环率达到96%。生产系统排水仅循环冷却水系统的置换水、余热锅炉水，均属于清净下水，直接排入雨水管网，无工艺废水外排。</w:t>
      </w:r>
    </w:p>
    <w:p>
      <w:pPr>
        <w:pStyle w:val="5"/>
        <w:spacing w:line="360" w:lineRule="auto"/>
        <w:ind w:firstLine="480"/>
        <w:textAlignment w:val="center"/>
        <w:rPr>
          <w:rFonts w:hint="eastAsia" w:ascii="宋体" w:hAnsi="宋体"/>
          <w:color w:val="000000"/>
          <w:sz w:val="24"/>
          <w:szCs w:val="28"/>
        </w:rPr>
      </w:pPr>
      <w:r>
        <w:rPr>
          <w:rFonts w:hint="eastAsia" w:ascii="宋体" w:hAnsi="宋体"/>
          <w:color w:val="000000"/>
          <w:sz w:val="24"/>
          <w:szCs w:val="28"/>
        </w:rPr>
        <w:t>生活污水主要是办公辅助设施产生的生活污水，经生化池处理达《污水综合排放标准》（GB8978—1996）中一级排放标准后排入小溪沟，</w:t>
      </w:r>
      <w:r>
        <w:rPr>
          <w:rFonts w:hint="eastAsia" w:ascii="宋体" w:hAnsi="宋体"/>
          <w:sz w:val="24"/>
          <w:szCs w:val="28"/>
        </w:rPr>
        <w:t>最终汇入梁滩河。</w:t>
      </w:r>
    </w:p>
    <w:p>
      <w:pPr>
        <w:pStyle w:val="4"/>
        <w:rPr>
          <w:rFonts w:hint="eastAsia" w:ascii="Times New Roman" w:hAnsi="Times New Roman" w:eastAsia="仿宋"/>
          <w:bCs w:val="0"/>
          <w:kern w:val="0"/>
          <w:szCs w:val="24"/>
        </w:rPr>
      </w:pPr>
      <w:bookmarkStart w:id="650" w:name="_Toc436171731"/>
      <w:r>
        <w:rPr>
          <w:bCs w:val="0"/>
          <w:szCs w:val="24"/>
        </w:rPr>
        <w:t>3.</w:t>
      </w:r>
      <w:r>
        <w:rPr>
          <w:rFonts w:hint="eastAsia"/>
          <w:bCs w:val="0"/>
          <w:szCs w:val="24"/>
        </w:rPr>
        <w:t>2</w:t>
      </w:r>
      <w:r>
        <w:rPr>
          <w:bCs w:val="0"/>
          <w:szCs w:val="24"/>
        </w:rPr>
        <w:t>.4</w:t>
      </w:r>
      <w:bookmarkEnd w:id="650"/>
      <w:r>
        <w:rPr>
          <w:rFonts w:hint="eastAsia"/>
          <w:bCs w:val="0"/>
          <w:szCs w:val="24"/>
        </w:rPr>
        <w:t>固废</w:t>
      </w:r>
      <w:bookmarkStart w:id="651" w:name="OLE_LINK8"/>
    </w:p>
    <w:p>
      <w:pPr>
        <w:spacing w:line="360" w:lineRule="auto"/>
        <w:ind w:firstLine="470" w:firstLineChars="196"/>
        <w:rPr>
          <w:rFonts w:hint="eastAsia"/>
          <w:sz w:val="24"/>
          <w:szCs w:val="24"/>
        </w:rPr>
      </w:pPr>
      <w:r>
        <w:rPr>
          <w:rFonts w:hint="eastAsia"/>
          <w:sz w:val="24"/>
          <w:szCs w:val="24"/>
        </w:rPr>
        <w:t>该企业分类并规范设置危险废物、一般工业固体废物、生活垃圾收集的暂存场所，确保满足“三防”等相关技术要求，避免二次污染。废润滑油桶交原单位回收处理。一般工业固体废物中的除尘灰、污水处理设施污泥按照《一般工业固体废物储存、处置场污染控制标准》要求分类收集后，除尘灰作为生产原料或者产品，污泥直接送水泥回转窑做原料煅烧；生活垃圾交由环卫部门定期清运。</w:t>
      </w:r>
    </w:p>
    <w:bookmarkEnd w:id="651"/>
    <w:p>
      <w:pPr>
        <w:rPr>
          <w:rFonts w:hint="eastAsia"/>
        </w:rPr>
      </w:pPr>
    </w:p>
    <w:p>
      <w:pPr>
        <w:rPr>
          <w:rFonts w:hint="eastAsia"/>
        </w:rPr>
      </w:pPr>
    </w:p>
    <w:p>
      <w:pPr>
        <w:rPr>
          <w:rFonts w:hint="eastAsia"/>
        </w:rPr>
      </w:pPr>
    </w:p>
    <w:p>
      <w:pPr>
        <w:rPr>
          <w:rFonts w:hint="eastAsia"/>
        </w:rPr>
      </w:pPr>
    </w:p>
    <w:p>
      <w:pPr>
        <w:rPr>
          <w:rFonts w:hint="eastAsia"/>
        </w:rPr>
      </w:pPr>
    </w:p>
    <w:p>
      <w:pPr>
        <w:adjustRightInd w:val="0"/>
        <w:snapToGrid w:val="0"/>
        <w:spacing w:line="360" w:lineRule="auto"/>
        <w:ind w:firstLine="561"/>
        <w:rPr>
          <w:sz w:val="24"/>
          <w:szCs w:val="24"/>
        </w:rPr>
      </w:pPr>
      <w:bookmarkStart w:id="652" w:name="_Toc402277604"/>
      <w:r>
        <w:rPr>
          <w:color w:val="000000"/>
          <w:sz w:val="24"/>
        </w:rPr>
        <w:t xml:space="preserve">    </w:t>
      </w:r>
      <w:bookmarkEnd w:id="652"/>
    </w:p>
    <w:p>
      <w:pPr>
        <w:spacing w:line="360" w:lineRule="auto"/>
        <w:rPr>
          <w:color w:val="000000"/>
          <w:sz w:val="24"/>
        </w:rPr>
      </w:pPr>
    </w:p>
    <w:p>
      <w:pPr>
        <w:pStyle w:val="2"/>
        <w:rPr>
          <w:rFonts w:hint="eastAsia"/>
        </w:rPr>
      </w:pPr>
      <w:r>
        <w:br w:type="page"/>
      </w:r>
      <w:bookmarkStart w:id="653" w:name="_Toc461048107"/>
      <w:r>
        <w:rPr>
          <w:rFonts w:hint="eastAsia"/>
        </w:rPr>
        <w:t>4.环境事件应急救援组织体系</w:t>
      </w:r>
      <w:bookmarkEnd w:id="640"/>
      <w:bookmarkEnd w:id="641"/>
      <w:bookmarkEnd w:id="653"/>
    </w:p>
    <w:p>
      <w:pPr>
        <w:pStyle w:val="3"/>
        <w:rPr>
          <w:rFonts w:hint="eastAsia"/>
        </w:rPr>
      </w:pPr>
      <w:bookmarkStart w:id="654" w:name="_Toc461048108"/>
      <w:bookmarkStart w:id="655" w:name="_Toc338228597"/>
      <w:bookmarkStart w:id="656" w:name="_Toc338230951"/>
      <w:r>
        <w:rPr>
          <w:rFonts w:hint="eastAsia"/>
        </w:rPr>
        <w:t>4.1 应急救援组织机构关系</w:t>
      </w:r>
      <w:bookmarkEnd w:id="654"/>
    </w:p>
    <w:p>
      <w:pPr>
        <w:spacing w:after="156" w:afterLines="50" w:line="360" w:lineRule="auto"/>
        <w:ind w:firstLine="480" w:firstLineChars="200"/>
        <w:jc w:val="left"/>
        <w:rPr>
          <w:rFonts w:hint="eastAsia" w:ascii="Times New Roman" w:hAnsi="Times New Roman"/>
          <w:sz w:val="24"/>
          <w:szCs w:val="24"/>
        </w:rPr>
      </w:pPr>
      <w:r>
        <w:rPr>
          <w:rFonts w:hint="eastAsia" w:ascii="Times New Roman" w:hAnsi="Times New Roman"/>
          <w:sz w:val="24"/>
          <w:szCs w:val="24"/>
        </w:rPr>
        <w:t>应急指挥部管理监督各应急救援组织，各企业应急救援组织负责环境突发事件的报告和环境应急救援工作的实施。</w:t>
      </w:r>
    </w:p>
    <w:p>
      <w:pPr>
        <w:spacing w:line="360" w:lineRule="auto"/>
        <w:rPr>
          <w:rFonts w:hint="eastAsia" w:ascii="Times New Roman" w:hAnsi="Times New Roman"/>
          <w:sz w:val="24"/>
          <w:szCs w:val="24"/>
        </w:rPr>
      </w:pPr>
      <w:r>
        <w:rPr>
          <w:rFonts w:ascii="Times New Roman"/>
          <w:sz w:val="24"/>
          <w:szCs w:val="24"/>
        </w:rPr>
        <mc:AlternateContent>
          <mc:Choice Requires="wps">
            <w:drawing>
              <wp:anchor distT="0" distB="0" distL="114300" distR="114300" simplePos="0" relativeHeight="252039168" behindDoc="0" locked="0" layoutInCell="1" allowOverlap="1">
                <wp:simplePos x="0" y="0"/>
                <wp:positionH relativeFrom="column">
                  <wp:posOffset>3657600</wp:posOffset>
                </wp:positionH>
                <wp:positionV relativeFrom="paragraph">
                  <wp:posOffset>67310</wp:posOffset>
                </wp:positionV>
                <wp:extent cx="1143000" cy="297180"/>
                <wp:effectExtent l="4445" t="4445" r="14605" b="22225"/>
                <wp:wrapNone/>
                <wp:docPr id="550" name="文本框 550"/>
                <wp:cNvGraphicFramePr/>
                <a:graphic xmlns:a="http://schemas.openxmlformats.org/drawingml/2006/main">
                  <a:graphicData uri="http://schemas.microsoft.com/office/word/2010/wordprocessingShape">
                    <wps:wsp>
                      <wps:cNvSpPr txBox="1"/>
                      <wps:spPr>
                        <a:xfrm>
                          <a:off x="0" y="0"/>
                          <a:ext cx="11430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hint="eastAsia"/>
                                <w:b/>
                                <w:sz w:val="24"/>
                                <w:szCs w:val="24"/>
                              </w:rPr>
                            </w:pPr>
                            <w:r>
                              <w:rPr>
                                <w:rFonts w:hint="eastAsia"/>
                                <w:b/>
                                <w:sz w:val="24"/>
                                <w:szCs w:val="24"/>
                              </w:rPr>
                              <w:t>应急指挥部</w:t>
                            </w:r>
                          </w:p>
                        </w:txbxContent>
                      </wps:txbx>
                      <wps:bodyPr upright="1"/>
                    </wps:wsp>
                  </a:graphicData>
                </a:graphic>
              </wp:anchor>
            </w:drawing>
          </mc:Choice>
          <mc:Fallback>
            <w:pict>
              <v:shape id="_x0000_s1026" o:spid="_x0000_s1026" o:spt="202" type="#_x0000_t202" style="position:absolute;left:0pt;margin-left:288pt;margin-top:5.3pt;height:23.4pt;width:90pt;z-index:252039168;mso-width-relative:page;mso-height-relative:page;" fillcolor="#FFFFFF" filled="t" stroked="t" coordsize="21600,21600" o:gfxdata="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tS8ZS1gAAAAkBAAAPAAAAAAAAAAEAIAAAACIAAABkcnMvZG93bnJldi54bWxQSwECFAAUAAAA&#10;CACHTuJAfvvJk/ABAADsAwAADgAAAAAAAAABACAAAAAlAQAAZHJzL2Uyb0RvYy54bWxQSwUGAAAA&#10;AAYABgBZAQAAhwUAAAAA&#10;">
                <v:fill on="t" focussize="0,0"/>
                <v:stroke color="#FFFFFF" joinstyle="miter"/>
                <v:imagedata o:title=""/>
                <o:lock v:ext="edit" aspectratio="f"/>
                <v:textbox>
                  <w:txbxContent>
                    <w:p>
                      <w:pPr>
                        <w:jc w:val="center"/>
                        <w:rPr>
                          <w:rFonts w:hint="eastAsia"/>
                          <w:b/>
                          <w:sz w:val="24"/>
                          <w:szCs w:val="24"/>
                        </w:rPr>
                      </w:pPr>
                      <w:r>
                        <w:rPr>
                          <w:rFonts w:hint="eastAsia"/>
                          <w:b/>
                          <w:sz w:val="24"/>
                          <w:szCs w:val="24"/>
                        </w:rPr>
                        <w:t>应急指挥部</w:t>
                      </w:r>
                    </w:p>
                  </w:txbxContent>
                </v:textbox>
              </v:shape>
            </w:pict>
          </mc:Fallback>
        </mc:AlternateContent>
      </w:r>
      <w:r>
        <w:rPr>
          <w:rFonts w:hint="eastAsia" w:ascii="Times New Roman" w:hAnsi="Times New Roman"/>
          <w:sz w:val="24"/>
          <w:szCs w:val="24"/>
        </w:rPr>
        <mc:AlternateContent>
          <mc:Choice Requires="wps">
            <w:drawing>
              <wp:anchor distT="0" distB="0" distL="114300" distR="114300" simplePos="0" relativeHeight="252056576" behindDoc="0" locked="0" layoutInCell="1" allowOverlap="1">
                <wp:simplePos x="0" y="0"/>
                <wp:positionH relativeFrom="column">
                  <wp:posOffset>3086100</wp:posOffset>
                </wp:positionH>
                <wp:positionV relativeFrom="paragraph">
                  <wp:posOffset>265430</wp:posOffset>
                </wp:positionV>
                <wp:extent cx="571500" cy="0"/>
                <wp:effectExtent l="0" t="38100" r="0" b="38100"/>
                <wp:wrapNone/>
                <wp:docPr id="537" name="直接连接符 537"/>
                <wp:cNvGraphicFramePr/>
                <a:graphic xmlns:a="http://schemas.openxmlformats.org/drawingml/2006/main">
                  <a:graphicData uri="http://schemas.microsoft.com/office/word/2010/wordprocessingShape">
                    <wps:wsp>
                      <wps:cNvCnPr/>
                      <wps:spPr>
                        <a:xfrm flipH="1" flipV="1">
                          <a:off x="0" y="0"/>
                          <a:ext cx="5715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243pt;margin-top:20.9pt;height:0pt;width:45pt;z-index:252056576;mso-width-relative:page;mso-height-relative:page;" filled="f" stroked="t" coordsize="21600,21600" o:gfxdata="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2OraK1wAAAAkBAAAPAAAAAAAAAAEAIAAAACIAAABkcnMvZG93bnJldi54bWxQSwECFAAUAAAA&#10;CACHTuJAXFiTie8BAACxAwAADgAAAAAAAAABACAAAAAmAQAAZHJzL2Uyb0RvYy54bWxQSwUGAAAA&#10;AAYABgBZAQAAhwUAAAAA&#10;">
                <v:fill on="f" focussize="0,0"/>
                <v:stroke color="#000000" joinstyle="round" endarrow="block"/>
                <v:imagedata o:title=""/>
                <o:lock v:ext="edit" aspectratio="f"/>
              </v:line>
            </w:pict>
          </mc:Fallback>
        </mc:AlternateContent>
      </w:r>
      <w:r>
        <w:rPr>
          <w:rFonts w:hint="eastAsia" w:ascii="Times New Roman" w:hAnsi="Times New Roman"/>
          <w:sz w:val="24"/>
          <w:szCs w:val="24"/>
        </w:rPr>
        <mc:AlternateContent>
          <mc:Choice Requires="wps">
            <w:drawing>
              <wp:anchor distT="0" distB="0" distL="114300" distR="114300" simplePos="0" relativeHeight="252057600" behindDoc="0" locked="0" layoutInCell="1" allowOverlap="1">
                <wp:simplePos x="0" y="0"/>
                <wp:positionH relativeFrom="column">
                  <wp:posOffset>800100</wp:posOffset>
                </wp:positionH>
                <wp:positionV relativeFrom="paragraph">
                  <wp:posOffset>265430</wp:posOffset>
                </wp:positionV>
                <wp:extent cx="635" cy="247650"/>
                <wp:effectExtent l="37465" t="0" r="38100" b="0"/>
                <wp:wrapNone/>
                <wp:docPr id="541" name="直接连接符 541"/>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3pt;margin-top:20.9pt;height:19.5pt;width:0.05pt;z-index:252057600;mso-width-relative:page;mso-height-relative:page;" filled="f" stroked="t" coordsize="21600,21600" o:gfxdata="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tRUHM2AAA&#10;AAkBAAAPAAAAAAAAAAEAIAAAACIAAABkcnMvZG93bnJldi54bWxQSwECFAAUAAAACACHTuJAlXGU&#10;iuUBAACfAwAADgAAAAAAAAABACAAAAAnAQAAZHJzL2Uyb0RvYy54bWxQSwUGAAAAAAYABgBZAQAA&#10;fgUAAAAA&#10;">
                <v:fill on="f" focussize="0,0"/>
                <v:stroke color="#000000" joinstyle="round" endarrow="block"/>
                <v:imagedata o:title=""/>
                <o:lock v:ext="edit" aspectratio="f"/>
              </v:line>
            </w:pict>
          </mc:Fallback>
        </mc:AlternateContent>
      </w:r>
      <w:r>
        <w:rPr>
          <w:rFonts w:hint="eastAsia" w:ascii="Times New Roman" w:hAnsi="Times New Roman"/>
          <w:sz w:val="24"/>
          <w:szCs w:val="24"/>
        </w:rPr>
        <mc:AlternateContent>
          <mc:Choice Requires="wps">
            <w:drawing>
              <wp:anchor distT="0" distB="0" distL="114300" distR="114300" simplePos="0" relativeHeight="252060672" behindDoc="0" locked="0" layoutInCell="1" allowOverlap="1">
                <wp:simplePos x="0" y="0"/>
                <wp:positionH relativeFrom="column">
                  <wp:posOffset>800100</wp:posOffset>
                </wp:positionH>
                <wp:positionV relativeFrom="paragraph">
                  <wp:posOffset>215900</wp:posOffset>
                </wp:positionV>
                <wp:extent cx="1714500" cy="0"/>
                <wp:effectExtent l="0" t="0" r="0" b="0"/>
                <wp:wrapNone/>
                <wp:docPr id="544" name="直接连接符 544"/>
                <wp:cNvGraphicFramePr/>
                <a:graphic xmlns:a="http://schemas.openxmlformats.org/drawingml/2006/main">
                  <a:graphicData uri="http://schemas.microsoft.com/office/word/2010/wordprocessingShape">
                    <wps:wsp>
                      <wps:cNvCnPr/>
                      <wps:spPr>
                        <a:xfrm flipH="1">
                          <a:off x="0" y="0"/>
                          <a:ext cx="1714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63pt;margin-top:17pt;height:0pt;width:135pt;z-index:252060672;mso-width-relative:page;mso-height-relative:page;" filled="f" stroked="t" coordsize="21600,21600" o:gfxdata="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LrG+XUAAAACQEA&#10;AA8AAAAAAAAAAQAgAAAAIgAAAGRycy9kb3ducmV2LnhtbFBLAQIUABQAAAAIAIdO4kAdpP4b5QEA&#10;AKQDAAAOAAAAAAAAAAEAIAAAACMBAABkcnMvZTJvRG9jLnhtbFBLBQYAAAAABgAGAFkBAAB6BQAA&#10;AAA=&#10;">
                <v:fill on="f" focussize="0,0"/>
                <v:stroke color="#000000" joinstyle="round"/>
                <v:imagedata o:title=""/>
                <o:lock v:ext="edit" aspectratio="f"/>
              </v:line>
            </w:pict>
          </mc:Fallback>
        </mc:AlternateContent>
      </w:r>
      <w:r>
        <w:rPr>
          <w:rFonts w:hint="eastAsia" w:ascii="Times New Roman" w:hAnsi="Times New Roman"/>
          <w:sz w:val="24"/>
          <w:szCs w:val="24"/>
        </w:rPr>
        <mc:AlternateContent>
          <mc:Choice Requires="wps">
            <w:drawing>
              <wp:anchor distT="0" distB="0" distL="114300" distR="114300" simplePos="0" relativeHeight="252040192" behindDoc="0" locked="0" layoutInCell="1" allowOverlap="1">
                <wp:simplePos x="0" y="0"/>
                <wp:positionH relativeFrom="column">
                  <wp:posOffset>2400300</wp:posOffset>
                </wp:positionH>
                <wp:positionV relativeFrom="paragraph">
                  <wp:posOffset>67310</wp:posOffset>
                </wp:positionV>
                <wp:extent cx="800100" cy="297180"/>
                <wp:effectExtent l="4445" t="4445" r="14605" b="22225"/>
                <wp:wrapNone/>
                <wp:docPr id="551" name="文本框 551"/>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hint="eastAsia"/>
                                <w:b/>
                                <w:sz w:val="24"/>
                                <w:szCs w:val="24"/>
                              </w:rPr>
                            </w:pPr>
                            <w:r>
                              <w:rPr>
                                <w:rFonts w:hint="eastAsia"/>
                                <w:b/>
                                <w:sz w:val="24"/>
                                <w:szCs w:val="24"/>
                              </w:rPr>
                              <w:t>总指挥</w:t>
                            </w:r>
                          </w:p>
                        </w:txbxContent>
                      </wps:txbx>
                      <wps:bodyPr upright="1"/>
                    </wps:wsp>
                  </a:graphicData>
                </a:graphic>
              </wp:anchor>
            </w:drawing>
          </mc:Choice>
          <mc:Fallback>
            <w:pict>
              <v:shape id="_x0000_s1026" o:spid="_x0000_s1026" o:spt="202" type="#_x0000_t202" style="position:absolute;left:0pt;margin-left:189pt;margin-top:5.3pt;height:23.4pt;width:63pt;z-index:252040192;mso-width-relative:page;mso-height-relative:page;" fillcolor="#FFFFFF" filled="t" stroked="t" coordsize="21600,21600" o:gfxdata="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gXRLS1wAAAAkBAAAPAAAAAAAAAAEAIAAAACIAAABkcnMvZG93bnJldi54bWxQSwECFAAUAAAA&#10;CACHTuJADCbvGO8BAADrAwAADgAAAAAAAAABACAAAAAmAQAAZHJzL2Uyb0RvYy54bWxQSwUGAAAA&#10;AAYABgBZAQAAhwUAAAAA&#10;">
                <v:fill on="t" focussize="0,0"/>
                <v:stroke color="#FFFFFF" joinstyle="miter"/>
                <v:imagedata o:title=""/>
                <o:lock v:ext="edit" aspectratio="f"/>
                <v:textbox>
                  <w:txbxContent>
                    <w:p>
                      <w:pPr>
                        <w:jc w:val="center"/>
                        <w:rPr>
                          <w:rFonts w:hint="eastAsia"/>
                          <w:b/>
                          <w:sz w:val="24"/>
                          <w:szCs w:val="24"/>
                        </w:rPr>
                      </w:pPr>
                      <w:r>
                        <w:rPr>
                          <w:rFonts w:hint="eastAsia"/>
                          <w:b/>
                          <w:sz w:val="24"/>
                          <w:szCs w:val="24"/>
                        </w:rPr>
                        <w:t>总指挥</w:t>
                      </w:r>
                    </w:p>
                  </w:txbxContent>
                </v:textbox>
              </v:shape>
            </w:pict>
          </mc:Fallback>
        </mc:AlternateContent>
      </w:r>
    </w:p>
    <w:p>
      <w:pPr>
        <w:spacing w:line="360" w:lineRule="auto"/>
        <w:rPr>
          <w:rFonts w:hint="eastAsia" w:ascii="Times New Roman" w:hAnsi="Times New Roman"/>
          <w:sz w:val="24"/>
          <w:szCs w:val="24"/>
        </w:rPr>
      </w:pPr>
      <w:r>
        <w:rPr>
          <w:rFonts w:hint="eastAsia" w:ascii="Times New Roman" w:hAnsi="Times New Roman"/>
          <w:sz w:val="24"/>
          <w:szCs w:val="24"/>
        </w:rPr>
        <mc:AlternateContent>
          <mc:Choice Requires="wps">
            <w:drawing>
              <wp:anchor distT="0" distB="0" distL="114300" distR="114300" simplePos="0" relativeHeight="252059648" behindDoc="0" locked="0" layoutInCell="1" allowOverlap="1">
                <wp:simplePos x="0" y="0"/>
                <wp:positionH relativeFrom="column">
                  <wp:posOffset>2857500</wp:posOffset>
                </wp:positionH>
                <wp:positionV relativeFrom="paragraph">
                  <wp:posOffset>12065</wp:posOffset>
                </wp:positionV>
                <wp:extent cx="635" cy="222885"/>
                <wp:effectExtent l="37465" t="0" r="38100" b="5715"/>
                <wp:wrapNone/>
                <wp:docPr id="543" name="直接连接符 543"/>
                <wp:cNvGraphicFramePr/>
                <a:graphic xmlns:a="http://schemas.openxmlformats.org/drawingml/2006/main">
                  <a:graphicData uri="http://schemas.microsoft.com/office/word/2010/wordprocessingShape">
                    <wps:wsp>
                      <wps:cNvCnPr/>
                      <wps:spPr>
                        <a:xfrm>
                          <a:off x="0" y="0"/>
                          <a:ext cx="635" cy="2228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pt;margin-top:0.95pt;height:17.55pt;width:0.05pt;z-index:252059648;mso-width-relative:page;mso-height-relative:page;" filled="f" stroked="t" coordsize="21600,21600" o:gfxdata="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snzHC1wAAAAgB&#10;AAAPAAAAAAAAAAEAIAAAACIAAABkcnMvZG93bnJldi54bWxQSwECFAAUAAAACACHTuJAd7hLcOMB&#10;AACfAwAADgAAAAAAAAABACAAAAAmAQAAZHJzL2Uyb0RvYy54bWxQSwUGAAAAAAYABgBZAQAAewUA&#10;AAAA&#10;">
                <v:fill on="f" focussize="0,0"/>
                <v:stroke color="#000000" joinstyle="round" endarrow="block"/>
                <v:imagedata o:title=""/>
                <o:lock v:ext="edit" aspectratio="f"/>
              </v:line>
            </w:pict>
          </mc:Fallback>
        </mc:AlternateContent>
      </w:r>
      <w:r>
        <w:rPr>
          <w:rFonts w:hint="eastAsia" w:ascii="Times New Roman" w:hAnsi="Times New Roman"/>
          <w:sz w:val="24"/>
          <w:szCs w:val="24"/>
        </w:rPr>
        <mc:AlternateContent>
          <mc:Choice Requires="wps">
            <w:drawing>
              <wp:anchor distT="0" distB="0" distL="114300" distR="114300" simplePos="0" relativeHeight="252041216" behindDoc="0" locked="0" layoutInCell="1" allowOverlap="1">
                <wp:simplePos x="0" y="0"/>
                <wp:positionH relativeFrom="column">
                  <wp:posOffset>2466975</wp:posOffset>
                </wp:positionH>
                <wp:positionV relativeFrom="paragraph">
                  <wp:posOffset>189230</wp:posOffset>
                </wp:positionV>
                <wp:extent cx="1028700" cy="297180"/>
                <wp:effectExtent l="4445" t="4445" r="14605" b="22225"/>
                <wp:wrapNone/>
                <wp:docPr id="545" name="文本框 545"/>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b/>
                                <w:sz w:val="24"/>
                                <w:szCs w:val="24"/>
                              </w:rPr>
                            </w:pPr>
                            <w:r>
                              <w:rPr>
                                <w:rFonts w:hint="eastAsia"/>
                                <w:b/>
                                <w:sz w:val="24"/>
                                <w:szCs w:val="24"/>
                              </w:rPr>
                              <w:t>副总指挥</w:t>
                            </w:r>
                          </w:p>
                        </w:txbxContent>
                      </wps:txbx>
                      <wps:bodyPr upright="1"/>
                    </wps:wsp>
                  </a:graphicData>
                </a:graphic>
              </wp:anchor>
            </w:drawing>
          </mc:Choice>
          <mc:Fallback>
            <w:pict>
              <v:shape id="_x0000_s1026" o:spid="_x0000_s1026" o:spt="202" type="#_x0000_t202" style="position:absolute;left:0pt;margin-left:194.25pt;margin-top:14.9pt;height:23.4pt;width:81pt;z-index:252041216;mso-width-relative:page;mso-height-relative:page;" fillcolor="#FFFFFF" filled="t" stroked="t" coordsize="21600,21600" o:gfxdata="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2+D3NcAAAAJAQAADwAAAAAAAAABACAAAAAiAAAAZHJzL2Rvd25yZXYueG1sUEsBAhQAFAAA&#10;AAgAh07iQNk6RdzwAQAA7AMAAA4AAAAAAAAAAQAgAAAAJgEAAGRycy9lMm9Eb2MueG1sUEsFBgAA&#10;AAAGAAYAWQEAAIgFAAAAAA==&#10;">
                <v:fill on="t" focussize="0,0"/>
                <v:stroke color="#FFFFFF" joinstyle="miter"/>
                <v:imagedata o:title=""/>
                <o:lock v:ext="edit" aspectratio="f"/>
                <v:textbox>
                  <w:txbxContent>
                    <w:p>
                      <w:pPr>
                        <w:rPr>
                          <w:rFonts w:hint="eastAsia"/>
                          <w:b/>
                          <w:sz w:val="24"/>
                          <w:szCs w:val="24"/>
                        </w:rPr>
                      </w:pPr>
                      <w:r>
                        <w:rPr>
                          <w:rFonts w:hint="eastAsia"/>
                          <w:b/>
                          <w:sz w:val="24"/>
                          <w:szCs w:val="24"/>
                        </w:rPr>
                        <w:t>副总指挥</w:t>
                      </w:r>
                    </w:p>
                  </w:txbxContent>
                </v:textbox>
              </v:shape>
            </w:pict>
          </mc:Fallback>
        </mc:AlternateContent>
      </w:r>
      <w:r>
        <w:rPr>
          <w:rFonts w:hint="eastAsia" w:ascii="Times New Roman" w:hAnsi="Times New Roman"/>
          <w:sz w:val="24"/>
          <w:szCs w:val="24"/>
        </w:rPr>
        <mc:AlternateContent>
          <mc:Choice Requires="wps">
            <w:drawing>
              <wp:anchor distT="0" distB="0" distL="114300" distR="114300" simplePos="0" relativeHeight="252049408" behindDoc="0" locked="0" layoutInCell="1" allowOverlap="1">
                <wp:simplePos x="0" y="0"/>
                <wp:positionH relativeFrom="column">
                  <wp:posOffset>4343400</wp:posOffset>
                </wp:positionH>
                <wp:positionV relativeFrom="paragraph">
                  <wp:posOffset>265430</wp:posOffset>
                </wp:positionV>
                <wp:extent cx="1485900" cy="297180"/>
                <wp:effectExtent l="4445" t="4445" r="14605" b="22225"/>
                <wp:wrapNone/>
                <wp:docPr id="559" name="文本框 559"/>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sz w:val="24"/>
                                <w:szCs w:val="24"/>
                              </w:rPr>
                            </w:pPr>
                            <w:r>
                              <w:rPr>
                                <w:rFonts w:hint="eastAsia"/>
                                <w:b/>
                                <w:sz w:val="24"/>
                                <w:szCs w:val="24"/>
                              </w:rPr>
                              <w:t>硬件设施</w:t>
                            </w:r>
                          </w:p>
                        </w:txbxContent>
                      </wps:txbx>
                      <wps:bodyPr upright="1"/>
                    </wps:wsp>
                  </a:graphicData>
                </a:graphic>
              </wp:anchor>
            </w:drawing>
          </mc:Choice>
          <mc:Fallback>
            <w:pict>
              <v:shape id="_x0000_s1026" o:spid="_x0000_s1026" o:spt="202" type="#_x0000_t202" style="position:absolute;left:0pt;margin-left:342pt;margin-top:20.9pt;height:23.4pt;width:117pt;z-index:252049408;mso-width-relative:page;mso-height-relative:page;" fillcolor="#FFFFFF" filled="t" stroked="t" coordsize="21600,21600" o:gfxdata="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L/gsnXAAAACQEAAA8AAAAAAAAAAQAgAAAAIgAAAGRycy9kb3ducmV2LnhtbFBLAQIU&#10;ABQAAAAIAIdO4kBkg0/G9AEAAOwDAAAOAAAAAAAAAAEAIAAAACYBAABkcnMvZTJvRG9jLnhtbFBL&#10;BQYAAAAABgAGAFkBAACMBQAAAAA=&#10;">
                <v:fill on="t" focussize="0,0"/>
                <v:stroke color="#000000" joinstyle="miter"/>
                <v:imagedata o:title=""/>
                <o:lock v:ext="edit" aspectratio="f"/>
                <v:textbox>
                  <w:txbxContent>
                    <w:p>
                      <w:pPr>
                        <w:jc w:val="center"/>
                        <w:rPr>
                          <w:rFonts w:hint="eastAsia"/>
                          <w:b/>
                          <w:sz w:val="24"/>
                          <w:szCs w:val="24"/>
                        </w:rPr>
                      </w:pPr>
                      <w:r>
                        <w:rPr>
                          <w:rFonts w:hint="eastAsia"/>
                          <w:b/>
                          <w:sz w:val="24"/>
                          <w:szCs w:val="24"/>
                        </w:rPr>
                        <w:t>硬件设施</w:t>
                      </w:r>
                    </w:p>
                  </w:txbxContent>
                </v:textbox>
              </v:shape>
            </w:pict>
          </mc:Fallback>
        </mc:AlternateContent>
      </w:r>
      <w:r>
        <w:rPr>
          <w:rFonts w:hint="eastAsia" w:ascii="Times New Roman" w:hAnsi="Times New Roman"/>
          <w:sz w:val="24"/>
          <w:szCs w:val="24"/>
        </w:rPr>
        <mc:AlternateContent>
          <mc:Choice Requires="wps">
            <w:drawing>
              <wp:anchor distT="0" distB="0" distL="114300" distR="114300" simplePos="0" relativeHeight="252047360" behindDoc="0" locked="0" layoutInCell="1" allowOverlap="1">
                <wp:simplePos x="0" y="0"/>
                <wp:positionH relativeFrom="column">
                  <wp:posOffset>0</wp:posOffset>
                </wp:positionH>
                <wp:positionV relativeFrom="paragraph">
                  <wp:posOffset>265430</wp:posOffset>
                </wp:positionV>
                <wp:extent cx="1485900" cy="297180"/>
                <wp:effectExtent l="4445" t="4445" r="14605" b="22225"/>
                <wp:wrapNone/>
                <wp:docPr id="546" name="文本框 546"/>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sz w:val="24"/>
                                <w:szCs w:val="24"/>
                              </w:rPr>
                            </w:pPr>
                            <w:r>
                              <w:rPr>
                                <w:rFonts w:hint="eastAsia"/>
                                <w:b/>
                                <w:sz w:val="24"/>
                                <w:szCs w:val="24"/>
                              </w:rPr>
                              <w:t>应急救援队伍</w:t>
                            </w:r>
                          </w:p>
                        </w:txbxContent>
                      </wps:txbx>
                      <wps:bodyPr upright="1"/>
                    </wps:wsp>
                  </a:graphicData>
                </a:graphic>
              </wp:anchor>
            </w:drawing>
          </mc:Choice>
          <mc:Fallback>
            <w:pict>
              <v:shape id="_x0000_s1026" o:spid="_x0000_s1026" o:spt="202" type="#_x0000_t202" style="position:absolute;left:0pt;margin-left:0pt;margin-top:20.9pt;height:23.4pt;width:117pt;z-index:252047360;mso-width-relative:page;mso-height-relative:page;" fillcolor="#FFFFFF" filled="t" stroked="t" coordsize="21600,21600" o:gfxdata="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jklrNUAAAAGAQAADwAAAAAAAAABACAAAAAiAAAAZHJzL2Rvd25yZXYueG1sUEsBAhQA&#10;FAAAAAgAh07iQK9EkyP1AQAA7AMAAA4AAAAAAAAAAQAgAAAAJAEAAGRycy9lMm9Eb2MueG1sUEsF&#10;BgAAAAAGAAYAWQEAAIsFAAAAAA==&#10;">
                <v:fill on="t" focussize="0,0"/>
                <v:stroke color="#000000" joinstyle="miter"/>
                <v:imagedata o:title=""/>
                <o:lock v:ext="edit" aspectratio="f"/>
                <v:textbox>
                  <w:txbxContent>
                    <w:p>
                      <w:pPr>
                        <w:jc w:val="center"/>
                        <w:rPr>
                          <w:rFonts w:hint="eastAsia"/>
                          <w:b/>
                          <w:sz w:val="24"/>
                          <w:szCs w:val="24"/>
                        </w:rPr>
                      </w:pPr>
                      <w:r>
                        <w:rPr>
                          <w:rFonts w:hint="eastAsia"/>
                          <w:b/>
                          <w:sz w:val="24"/>
                          <w:szCs w:val="24"/>
                        </w:rPr>
                        <w:t>应急救援队伍</w:t>
                      </w:r>
                    </w:p>
                  </w:txbxContent>
                </v:textbox>
              </v:shape>
            </w:pict>
          </mc:Fallback>
        </mc:AlternateContent>
      </w:r>
    </w:p>
    <w:p>
      <w:pPr>
        <w:spacing w:line="360" w:lineRule="auto"/>
        <w:rPr>
          <w:rFonts w:hint="eastAsia" w:ascii="Times New Roman" w:hAnsi="Times New Roman"/>
          <w:sz w:val="24"/>
          <w:szCs w:val="24"/>
        </w:rPr>
      </w:pPr>
      <w:r>
        <w:rPr>
          <w:rFonts w:hint="eastAsia" w:ascii="Times New Roman" w:hAnsi="Times New Roman"/>
          <w:sz w:val="24"/>
          <w:szCs w:val="24"/>
        </w:rPr>
        <mc:AlternateContent>
          <mc:Choice Requires="wps">
            <w:drawing>
              <wp:anchor distT="0" distB="0" distL="114300" distR="114300" simplePos="0" relativeHeight="252058624" behindDoc="0" locked="0" layoutInCell="1" allowOverlap="1">
                <wp:simplePos x="0" y="0"/>
                <wp:positionH relativeFrom="column">
                  <wp:posOffset>1485900</wp:posOffset>
                </wp:positionH>
                <wp:positionV relativeFrom="paragraph">
                  <wp:posOffset>116840</wp:posOffset>
                </wp:positionV>
                <wp:extent cx="2857500" cy="0"/>
                <wp:effectExtent l="0" t="0" r="0" b="0"/>
                <wp:wrapNone/>
                <wp:docPr id="560" name="直接连接符 560"/>
                <wp:cNvGraphicFramePr/>
                <a:graphic xmlns:a="http://schemas.openxmlformats.org/drawingml/2006/main">
                  <a:graphicData uri="http://schemas.microsoft.com/office/word/2010/wordprocessingShape">
                    <wps:wsp>
                      <wps:cNvCnPr/>
                      <wps:spPr>
                        <a:xfrm>
                          <a:off x="0" y="0"/>
                          <a:ext cx="2857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7pt;margin-top:9.2pt;height:0pt;width:225pt;z-index:252058624;mso-width-relative:page;mso-height-relative:page;" filled="f" stroked="t" coordsize="21600,21600" o:gfxdata="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ysEljWAAAACQEAAA8AAAAA&#10;AAAAAQAgAAAAIgAAAGRycy9kb3ducmV2LnhtbFBLAQIUABQAAAAIAIdO4kAyzRzl3QEAAJoDAAAO&#10;AAAAAAAAAAEAIAAAACUBAABkcnMvZTJvRG9jLnhtbFBLBQYAAAAABgAGAFkBAAB0BQAAAAA=&#10;">
                <v:fill on="f" focussize="0,0"/>
                <v:stroke color="#000000" joinstyle="round"/>
                <v:imagedata o:title=""/>
                <o:lock v:ext="edit" aspectratio="f"/>
              </v:line>
            </w:pict>
          </mc:Fallback>
        </mc:AlternateContent>
      </w:r>
      <w:r>
        <w:rPr>
          <w:rFonts w:hint="eastAsia" w:ascii="Times New Roman" w:hAnsi="Times New Roman"/>
          <w:sz w:val="24"/>
          <w:szCs w:val="24"/>
        </w:rPr>
        <mc:AlternateContent>
          <mc:Choice Requires="wps">
            <w:drawing>
              <wp:anchor distT="0" distB="0" distL="114300" distR="114300" simplePos="0" relativeHeight="252055552" behindDoc="0" locked="0" layoutInCell="1" allowOverlap="1">
                <wp:simplePos x="0" y="0"/>
                <wp:positionH relativeFrom="column">
                  <wp:posOffset>5143500</wp:posOffset>
                </wp:positionH>
                <wp:positionV relativeFrom="paragraph">
                  <wp:posOffset>265430</wp:posOffset>
                </wp:positionV>
                <wp:extent cx="635" cy="297180"/>
                <wp:effectExtent l="4445" t="0" r="13970" b="7620"/>
                <wp:wrapNone/>
                <wp:docPr id="538" name="直接连接符 538"/>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05pt;margin-top:20.9pt;height:23.4pt;width:0.05pt;z-index:252055552;mso-width-relative:page;mso-height-relative:page;" filled="f" stroked="t" coordsize="21600,21600" o:gfxdata="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MJJHPWAAAACQEAAA8A&#10;AAAAAAAAAQAgAAAAIgAAAGRycy9kb3ducmV2LnhtbFBLAQIUABQAAAAIAIdO4kBKKNvi4AEAAJsD&#10;AAAOAAAAAAAAAAEAIAAAACUBAABkcnMvZTJvRG9jLnhtbFBLBQYAAAAABgAGAFkBAAB3BQAAAAA=&#10;">
                <v:fill on="f" focussize="0,0"/>
                <v:stroke color="#000000" joinstyle="round"/>
                <v:imagedata o:title=""/>
                <o:lock v:ext="edit" aspectratio="f"/>
              </v:line>
            </w:pict>
          </mc:Fallback>
        </mc:AlternateContent>
      </w:r>
    </w:p>
    <w:p>
      <w:pPr>
        <w:spacing w:line="360" w:lineRule="auto"/>
        <w:rPr>
          <w:rFonts w:hint="eastAsia" w:ascii="Times New Roman" w:hAnsi="Times New Roman"/>
          <w:sz w:val="24"/>
          <w:szCs w:val="24"/>
        </w:rPr>
      </w:pPr>
      <w:r>
        <w:rPr>
          <w:rFonts w:hint="eastAsia"/>
          <w:b/>
          <w:sz w:val="24"/>
          <w:szCs w:val="24"/>
        </w:rPr>
        <mc:AlternateContent>
          <mc:Choice Requires="wps">
            <w:drawing>
              <wp:anchor distT="0" distB="0" distL="114300" distR="114300" simplePos="0" relativeHeight="252038144" behindDoc="0" locked="0" layoutInCell="1" allowOverlap="1">
                <wp:simplePos x="0" y="0"/>
                <wp:positionH relativeFrom="column">
                  <wp:posOffset>0</wp:posOffset>
                </wp:positionH>
                <wp:positionV relativeFrom="paragraph">
                  <wp:posOffset>265430</wp:posOffset>
                </wp:positionV>
                <wp:extent cx="2667000" cy="1386840"/>
                <wp:effectExtent l="12700" t="0" r="25400" b="29210"/>
                <wp:wrapNone/>
                <wp:docPr id="555" name="矩形 555"/>
                <wp:cNvGraphicFramePr/>
                <a:graphic xmlns:a="http://schemas.openxmlformats.org/drawingml/2006/main">
                  <a:graphicData uri="http://schemas.microsoft.com/office/word/2010/wordprocessingShape">
                    <wps:wsp>
                      <wps:cNvSpPr/>
                      <wps:spPr>
                        <a:xfrm>
                          <a:off x="0" y="0"/>
                          <a:ext cx="2667000" cy="1386840"/>
                        </a:xfrm>
                        <a:prstGeom prst="rect">
                          <a:avLst/>
                        </a:prstGeom>
                        <a:solidFill>
                          <a:srgbClr val="FFFFFF"/>
                        </a:solidFill>
                        <a:ln w="25400" cap="flat" cmpd="sng">
                          <a:solidFill>
                            <a:srgbClr val="000000"/>
                          </a:solidFill>
                          <a:prstDash val="dash"/>
                          <a:miter/>
                          <a:headEnd type="none" w="med" len="med"/>
                          <a:tailEnd type="none" w="med" len="med"/>
                        </a:ln>
                      </wps:spPr>
                      <wps:bodyPr upright="1"/>
                    </wps:wsp>
                  </a:graphicData>
                </a:graphic>
              </wp:anchor>
            </w:drawing>
          </mc:Choice>
          <mc:Fallback>
            <w:pict>
              <v:rect id="_x0000_s1026" o:spid="_x0000_s1026" o:spt="1" style="position:absolute;left:0pt;margin-left:0pt;margin-top:20.9pt;height:109.2pt;width:210pt;z-index:252038144;mso-width-relative:page;mso-height-relative:page;" fillcolor="#FFFFFF" filled="t" stroked="t" coordsize="21600,21600" o:gfxdata="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NuBI7VAAAA&#10;BwEAAA8AAAAAAAAAAQAgAAAAIgAAAGRycy9kb3ducmV2LnhtbFBLAQIUABQAAAAIAIdO4kAagDKS&#10;5wEAANUDAAAOAAAAAAAAAAEAIAAAACQBAABkcnMvZTJvRG9jLnhtbFBLBQYAAAAABgAGAFkBAAB9&#10;BQAAAAA=&#10;">
                <v:fill on="t" focussize="0,0"/>
                <v:stroke weight="2pt" color="#000000" joinstyle="miter" dashstyle="dash"/>
                <v:imagedata o:title=""/>
                <o:lock v:ext="edit" aspectratio="f"/>
              </v:rect>
            </w:pict>
          </mc:Fallback>
        </mc:AlternateContent>
      </w:r>
      <w:r>
        <w:rPr>
          <w:rFonts w:hint="eastAsia" w:ascii="Times New Roman" w:hAnsi="Times New Roman"/>
          <w:sz w:val="24"/>
          <w:szCs w:val="24"/>
        </w:rPr>
        <mc:AlternateContent>
          <mc:Choice Requires="wps">
            <w:drawing>
              <wp:anchor distT="0" distB="0" distL="114300" distR="114300" simplePos="0" relativeHeight="252050432" behindDoc="0" locked="0" layoutInCell="1" allowOverlap="1">
                <wp:simplePos x="0" y="0"/>
                <wp:positionH relativeFrom="column">
                  <wp:posOffset>4400550</wp:posOffset>
                </wp:positionH>
                <wp:positionV relativeFrom="paragraph">
                  <wp:posOffset>265430</wp:posOffset>
                </wp:positionV>
                <wp:extent cx="1428750" cy="1386840"/>
                <wp:effectExtent l="12700" t="0" r="25400" b="29210"/>
                <wp:wrapNone/>
                <wp:docPr id="536" name="矩形 536"/>
                <wp:cNvGraphicFramePr/>
                <a:graphic xmlns:a="http://schemas.openxmlformats.org/drawingml/2006/main">
                  <a:graphicData uri="http://schemas.microsoft.com/office/word/2010/wordprocessingShape">
                    <wps:wsp>
                      <wps:cNvSpPr/>
                      <wps:spPr>
                        <a:xfrm>
                          <a:off x="0" y="0"/>
                          <a:ext cx="1428750" cy="1386840"/>
                        </a:xfrm>
                        <a:prstGeom prst="rect">
                          <a:avLst/>
                        </a:prstGeom>
                        <a:solidFill>
                          <a:srgbClr val="FFFFFF"/>
                        </a:solidFill>
                        <a:ln w="25400" cap="flat" cmpd="sng">
                          <a:solidFill>
                            <a:srgbClr val="000000"/>
                          </a:solidFill>
                          <a:prstDash val="dash"/>
                          <a:miter/>
                          <a:headEnd type="none" w="med" len="med"/>
                          <a:tailEnd type="none" w="med" len="med"/>
                        </a:ln>
                      </wps:spPr>
                      <wps:bodyPr upright="1"/>
                    </wps:wsp>
                  </a:graphicData>
                </a:graphic>
              </wp:anchor>
            </w:drawing>
          </mc:Choice>
          <mc:Fallback>
            <w:pict>
              <v:rect id="_x0000_s1026" o:spid="_x0000_s1026" o:spt="1" style="position:absolute;left:0pt;margin-left:346.5pt;margin-top:20.9pt;height:109.2pt;width:112.5pt;z-index:252050432;mso-width-relative:page;mso-height-relative:page;" fillcolor="#FFFFFF" filled="t" stroked="t" coordsize="21600,21600" o:gfxdata="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hHG&#10;69kAAAAKAQAADwAAAAAAAAABACAAAAAiAAAAZHJzL2Rvd25yZXYueG1sUEsBAhQAFAAAAAgAh07i&#10;QLjLucHoAQAA1QMAAA4AAAAAAAAAAQAgAAAAKAEAAGRycy9lMm9Eb2MueG1sUEsFBgAAAAAGAAYA&#10;WQEAAIIFAAAAAA==&#10;">
                <v:fill on="t" focussize="0,0"/>
                <v:stroke weight="2pt" color="#000000" joinstyle="miter" dashstyle="dash"/>
                <v:imagedata o:title=""/>
                <o:lock v:ext="edit" aspectratio="f"/>
              </v:rect>
            </w:pict>
          </mc:Fallback>
        </mc:AlternateContent>
      </w:r>
      <w:r>
        <w:rPr>
          <w:rFonts w:hint="eastAsia" w:ascii="Times New Roman" w:hAnsi="Times New Roman"/>
          <w:sz w:val="24"/>
          <w:szCs w:val="24"/>
        </w:rPr>
        <mc:AlternateContent>
          <mc:Choice Requires="wps">
            <w:drawing>
              <wp:anchor distT="0" distB="0" distL="114300" distR="114300" simplePos="0" relativeHeight="252054528" behindDoc="0" locked="0" layoutInCell="1" allowOverlap="1">
                <wp:simplePos x="0" y="0"/>
                <wp:positionH relativeFrom="column">
                  <wp:posOffset>800100</wp:posOffset>
                </wp:positionH>
                <wp:positionV relativeFrom="paragraph">
                  <wp:posOffset>17780</wp:posOffset>
                </wp:positionV>
                <wp:extent cx="635" cy="198120"/>
                <wp:effectExtent l="4445" t="0" r="13970" b="11430"/>
                <wp:wrapNone/>
                <wp:docPr id="547" name="直接连接符 547"/>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pt;margin-top:1.4pt;height:15.6pt;width:0.05pt;z-index:252054528;mso-width-relative:page;mso-height-relative:page;" filled="f" stroked="t" coordsize="21600,21600" o:gfxdata="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tfN/wdUAAAAIAQAADwAA&#10;AAAAAAABACAAAAAiAAAAZHJzL2Rvd25yZXYueG1sUEsBAhQAFAAAAAgAh07iQMYw6uLgAQAAmwMA&#10;AA4AAAAAAAAAAQAgAAAAJAEAAGRycy9lMm9Eb2MueG1sUEsFBgAAAAAGAAYAWQEAAHYFAAAAAA==&#10;">
                <v:fill on="f" focussize="0,0"/>
                <v:stroke color="#000000" joinstyle="round"/>
                <v:imagedata o:title=""/>
                <o:lock v:ext="edit" aspectratio="f"/>
              </v:line>
            </w:pict>
          </mc:Fallback>
        </mc:AlternateContent>
      </w:r>
    </w:p>
    <w:p>
      <w:pPr>
        <w:spacing w:line="360" w:lineRule="auto"/>
        <w:rPr>
          <w:rFonts w:hint="eastAsia" w:ascii="Times New Roman" w:hAnsi="Times New Roman"/>
          <w:sz w:val="24"/>
          <w:szCs w:val="24"/>
        </w:rPr>
      </w:pPr>
      <w:r>
        <w:rPr>
          <w:rFonts w:hint="eastAsia"/>
          <w:b/>
          <w:sz w:val="24"/>
          <w:szCs w:val="24"/>
        </w:rPr>
        <mc:AlternateContent>
          <mc:Choice Requires="wps">
            <w:drawing>
              <wp:anchor distT="0" distB="0" distL="114300" distR="114300" simplePos="0" relativeHeight="252061696" behindDoc="0" locked="0" layoutInCell="1" allowOverlap="1">
                <wp:simplePos x="0" y="0"/>
                <wp:positionH relativeFrom="column">
                  <wp:posOffset>2066925</wp:posOffset>
                </wp:positionH>
                <wp:positionV relativeFrom="paragraph">
                  <wp:posOffset>99060</wp:posOffset>
                </wp:positionV>
                <wp:extent cx="571500" cy="1188720"/>
                <wp:effectExtent l="4445" t="5080" r="14605" b="6350"/>
                <wp:wrapNone/>
                <wp:docPr id="539" name="文本框 539"/>
                <wp:cNvGraphicFramePr/>
                <a:graphic xmlns:a="http://schemas.openxmlformats.org/drawingml/2006/main">
                  <a:graphicData uri="http://schemas.microsoft.com/office/word/2010/wordprocessingShape">
                    <wps:wsp>
                      <wps:cNvSpPr txBox="1"/>
                      <wps:spPr>
                        <a:xfrm>
                          <a:off x="0" y="0"/>
                          <a:ext cx="571500" cy="11887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b/>
                                <w:sz w:val="24"/>
                                <w:szCs w:val="24"/>
                              </w:rPr>
                            </w:pPr>
                            <w:r>
                              <w:rPr>
                                <w:rFonts w:hint="eastAsia"/>
                                <w:b/>
                                <w:sz w:val="24"/>
                                <w:szCs w:val="24"/>
                              </w:rPr>
                              <w:t>技安能源组</w:t>
                            </w:r>
                          </w:p>
                          <w:p/>
                        </w:txbxContent>
                      </wps:txbx>
                      <wps:bodyPr vert="eaVert" upright="1"/>
                    </wps:wsp>
                  </a:graphicData>
                </a:graphic>
              </wp:anchor>
            </w:drawing>
          </mc:Choice>
          <mc:Fallback>
            <w:pict>
              <v:shape id="_x0000_s1026" o:spid="_x0000_s1026" o:spt="202" type="#_x0000_t202" style="position:absolute;left:0pt;margin-left:162.75pt;margin-top:7.8pt;height:93.6pt;width:45pt;z-index:252061696;mso-width-relative:page;mso-height-relative:page;" fillcolor="#FFFFFF" filled="t" stroked="t" coordsize="21600,21600" o:gfxdata="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VVGf9UAAAAKAQAADwAAAAAAAAABACAAAAAiAAAAZHJzL2Rvd25yZXYueG1sUEsB&#10;AhQAFAAAAAgAh07iQCyydkT4AQAA+gMAAA4AAAAAAAAAAQAgAAAAJAEAAGRycy9lMm9Eb2MueG1s&#10;UEsFBgAAAAAGAAYAWQEAAI4FAAAAAA==&#10;">
                <v:fill on="t" focussize="0,0"/>
                <v:stroke color="#FFFFFF" joinstyle="miter"/>
                <v:imagedata o:title=""/>
                <o:lock v:ext="edit" aspectratio="f"/>
                <v:textbox style="layout-flow:vertical-ideographic;">
                  <w:txbxContent>
                    <w:p>
                      <w:pPr>
                        <w:rPr>
                          <w:rFonts w:hint="eastAsia"/>
                          <w:b/>
                          <w:sz w:val="24"/>
                          <w:szCs w:val="24"/>
                        </w:rPr>
                      </w:pPr>
                      <w:r>
                        <w:rPr>
                          <w:rFonts w:hint="eastAsia"/>
                          <w:b/>
                          <w:sz w:val="24"/>
                          <w:szCs w:val="24"/>
                        </w:rPr>
                        <w:t>技安能源组</w:t>
                      </w:r>
                    </w:p>
                    <w:p/>
                  </w:txbxContent>
                </v:textbox>
              </v:shape>
            </w:pict>
          </mc:Fallback>
        </mc:AlternateContent>
      </w:r>
      <w:r>
        <w:rPr>
          <w:rFonts w:hint="eastAsia" w:ascii="Times New Roman" w:hAnsi="Times New Roman"/>
          <w:sz w:val="24"/>
          <w:szCs w:val="24"/>
        </w:rPr>
        <mc:AlternateContent>
          <mc:Choice Requires="wps">
            <w:drawing>
              <wp:anchor distT="0" distB="0" distL="114300" distR="114300" simplePos="0" relativeHeight="252051456" behindDoc="0" locked="0" layoutInCell="1" allowOverlap="1">
                <wp:simplePos x="0" y="0"/>
                <wp:positionH relativeFrom="column">
                  <wp:posOffset>4572000</wp:posOffset>
                </wp:positionH>
                <wp:positionV relativeFrom="paragraph">
                  <wp:posOffset>67310</wp:posOffset>
                </wp:positionV>
                <wp:extent cx="457200" cy="1089660"/>
                <wp:effectExtent l="5080" t="4445" r="13970" b="10795"/>
                <wp:wrapNone/>
                <wp:docPr id="548" name="文本框 548"/>
                <wp:cNvGraphicFramePr/>
                <a:graphic xmlns:a="http://schemas.openxmlformats.org/drawingml/2006/main">
                  <a:graphicData uri="http://schemas.microsoft.com/office/word/2010/wordprocessingShape">
                    <wps:wsp>
                      <wps:cNvSpPr txBox="1"/>
                      <wps:spPr>
                        <a:xfrm>
                          <a:off x="0" y="0"/>
                          <a:ext cx="457200" cy="10896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b/>
                                <w:sz w:val="24"/>
                                <w:szCs w:val="24"/>
                              </w:rPr>
                            </w:pPr>
                            <w:r>
                              <w:rPr>
                                <w:rFonts w:hint="eastAsia"/>
                                <w:b/>
                                <w:sz w:val="24"/>
                                <w:szCs w:val="24"/>
                              </w:rPr>
                              <w:t>防护设备</w:t>
                            </w:r>
                          </w:p>
                          <w:p/>
                        </w:txbxContent>
                      </wps:txbx>
                      <wps:bodyPr vert="eaVert" upright="1"/>
                    </wps:wsp>
                  </a:graphicData>
                </a:graphic>
              </wp:anchor>
            </w:drawing>
          </mc:Choice>
          <mc:Fallback>
            <w:pict>
              <v:shape id="_x0000_s1026" o:spid="_x0000_s1026" o:spt="202" type="#_x0000_t202" style="position:absolute;left:0pt;margin-left:360pt;margin-top:5.3pt;height:85.8pt;width:36pt;z-index:252051456;mso-width-relative:page;mso-height-relative:page;" fillcolor="#FFFFFF" filled="t" stroked="t" coordsize="21600,21600" o:gfxdata="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Q6/+9QAAAAKAQAADwAAAAAAAAABACAAAAAiAAAAZHJzL2Rvd25yZXYueG1sUEsB&#10;AhQAFAAAAAgAh07iQHc5yD/5AQAA+gMAAA4AAAAAAAAAAQAgAAAAIwEAAGRycy9lMm9Eb2MueG1s&#10;UEsFBgAAAAAGAAYAWQEAAI4FAAAAAA==&#10;">
                <v:fill on="t" focussize="0,0"/>
                <v:stroke color="#FFFFFF" joinstyle="miter"/>
                <v:imagedata o:title=""/>
                <o:lock v:ext="edit" aspectratio="f"/>
                <v:textbox style="layout-flow:vertical-ideographic;">
                  <w:txbxContent>
                    <w:p>
                      <w:pPr>
                        <w:rPr>
                          <w:rFonts w:hint="eastAsia"/>
                          <w:b/>
                          <w:sz w:val="24"/>
                          <w:szCs w:val="24"/>
                        </w:rPr>
                      </w:pPr>
                      <w:r>
                        <w:rPr>
                          <w:rFonts w:hint="eastAsia"/>
                          <w:b/>
                          <w:sz w:val="24"/>
                          <w:szCs w:val="24"/>
                        </w:rPr>
                        <w:t>防护设备</w:t>
                      </w:r>
                    </w:p>
                    <w:p/>
                  </w:txbxContent>
                </v:textbox>
              </v:shape>
            </w:pict>
          </mc:Fallback>
        </mc:AlternateContent>
      </w:r>
      <w:r>
        <w:rPr>
          <w:rFonts w:hint="eastAsia" w:ascii="Times New Roman" w:hAnsi="Times New Roman"/>
          <w:sz w:val="24"/>
          <w:szCs w:val="24"/>
        </w:rPr>
        <mc:AlternateContent>
          <mc:Choice Requires="wps">
            <w:drawing>
              <wp:anchor distT="0" distB="0" distL="114300" distR="114300" simplePos="0" relativeHeight="252052480" behindDoc="0" locked="0" layoutInCell="1" allowOverlap="1">
                <wp:simplePos x="0" y="0"/>
                <wp:positionH relativeFrom="column">
                  <wp:posOffset>4914900</wp:posOffset>
                </wp:positionH>
                <wp:positionV relativeFrom="paragraph">
                  <wp:posOffset>67310</wp:posOffset>
                </wp:positionV>
                <wp:extent cx="457200" cy="1089660"/>
                <wp:effectExtent l="5080" t="4445" r="13970" b="10795"/>
                <wp:wrapNone/>
                <wp:docPr id="562" name="文本框 562"/>
                <wp:cNvGraphicFramePr/>
                <a:graphic xmlns:a="http://schemas.openxmlformats.org/drawingml/2006/main">
                  <a:graphicData uri="http://schemas.microsoft.com/office/word/2010/wordprocessingShape">
                    <wps:wsp>
                      <wps:cNvSpPr txBox="1"/>
                      <wps:spPr>
                        <a:xfrm>
                          <a:off x="0" y="0"/>
                          <a:ext cx="457200" cy="10896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b/>
                                <w:sz w:val="24"/>
                                <w:szCs w:val="24"/>
                              </w:rPr>
                            </w:pPr>
                            <w:r>
                              <w:rPr>
                                <w:rFonts w:hint="eastAsia"/>
                                <w:b/>
                                <w:sz w:val="24"/>
                                <w:szCs w:val="24"/>
                              </w:rPr>
                              <w:t>救援储备物资</w:t>
                            </w:r>
                          </w:p>
                          <w:p/>
                        </w:txbxContent>
                      </wps:txbx>
                      <wps:bodyPr vert="eaVert" upright="1"/>
                    </wps:wsp>
                  </a:graphicData>
                </a:graphic>
              </wp:anchor>
            </w:drawing>
          </mc:Choice>
          <mc:Fallback>
            <w:pict>
              <v:shape id="_x0000_s1026" o:spid="_x0000_s1026" o:spt="202" type="#_x0000_t202" style="position:absolute;left:0pt;margin-left:387pt;margin-top:5.3pt;height:85.8pt;width:36pt;z-index:252052480;mso-width-relative:page;mso-height-relative:page;" fillcolor="#FFFFFF" filled="t" stroked="t" coordsize="21600,21600" o:gfxdata="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OJdzXVAAAACgEAAA8AAAAAAAAAAQAgAAAAIgAAAGRycy9kb3ducmV2LnhtbFBL&#10;AQIUABQAAAAIAIdO4kDGUXIs+QEAAPoDAAAOAAAAAAAAAAEAIAAAACQBAABkcnMvZTJvRG9jLnht&#10;bFBLBQYAAAAABgAGAFkBAACPBQAAAAA=&#10;">
                <v:fill on="t" focussize="0,0"/>
                <v:stroke color="#FFFFFF" joinstyle="miter"/>
                <v:imagedata o:title=""/>
                <o:lock v:ext="edit" aspectratio="f"/>
                <v:textbox style="layout-flow:vertical-ideographic;">
                  <w:txbxContent>
                    <w:p>
                      <w:pPr>
                        <w:rPr>
                          <w:rFonts w:hint="eastAsia"/>
                          <w:b/>
                          <w:sz w:val="24"/>
                          <w:szCs w:val="24"/>
                        </w:rPr>
                      </w:pPr>
                      <w:r>
                        <w:rPr>
                          <w:rFonts w:hint="eastAsia"/>
                          <w:b/>
                          <w:sz w:val="24"/>
                          <w:szCs w:val="24"/>
                        </w:rPr>
                        <w:t>救援储备物资</w:t>
                      </w:r>
                    </w:p>
                    <w:p/>
                  </w:txbxContent>
                </v:textbox>
              </v:shape>
            </w:pict>
          </mc:Fallback>
        </mc:AlternateContent>
      </w:r>
      <w:r>
        <w:rPr>
          <w:rFonts w:hint="eastAsia" w:ascii="Times New Roman" w:hAnsi="Times New Roman"/>
          <w:sz w:val="24"/>
          <w:szCs w:val="24"/>
        </w:rPr>
        <mc:AlternateContent>
          <mc:Choice Requires="wps">
            <w:drawing>
              <wp:anchor distT="0" distB="0" distL="114300" distR="114300" simplePos="0" relativeHeight="252053504" behindDoc="0" locked="0" layoutInCell="1" allowOverlap="1">
                <wp:simplePos x="0" y="0"/>
                <wp:positionH relativeFrom="column">
                  <wp:posOffset>5257800</wp:posOffset>
                </wp:positionH>
                <wp:positionV relativeFrom="paragraph">
                  <wp:posOffset>67310</wp:posOffset>
                </wp:positionV>
                <wp:extent cx="457200" cy="1089660"/>
                <wp:effectExtent l="5080" t="4445" r="13970" b="10795"/>
                <wp:wrapNone/>
                <wp:docPr id="549" name="文本框 549"/>
                <wp:cNvGraphicFramePr/>
                <a:graphic xmlns:a="http://schemas.openxmlformats.org/drawingml/2006/main">
                  <a:graphicData uri="http://schemas.microsoft.com/office/word/2010/wordprocessingShape">
                    <wps:wsp>
                      <wps:cNvSpPr txBox="1"/>
                      <wps:spPr>
                        <a:xfrm>
                          <a:off x="0" y="0"/>
                          <a:ext cx="457200" cy="10896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b/>
                                <w:sz w:val="24"/>
                                <w:szCs w:val="24"/>
                              </w:rPr>
                            </w:pPr>
                            <w:r>
                              <w:rPr>
                                <w:rFonts w:hint="eastAsia"/>
                                <w:b/>
                                <w:sz w:val="24"/>
                                <w:szCs w:val="24"/>
                              </w:rPr>
                              <w:t>通讯设备</w:t>
                            </w:r>
                          </w:p>
                          <w:p/>
                        </w:txbxContent>
                      </wps:txbx>
                      <wps:bodyPr vert="eaVert" upright="1"/>
                    </wps:wsp>
                  </a:graphicData>
                </a:graphic>
              </wp:anchor>
            </w:drawing>
          </mc:Choice>
          <mc:Fallback>
            <w:pict>
              <v:shape id="_x0000_s1026" o:spid="_x0000_s1026" o:spt="202" type="#_x0000_t202" style="position:absolute;left:0pt;margin-left:414pt;margin-top:5.3pt;height:85.8pt;width:36pt;z-index:252053504;mso-width-relative:page;mso-height-relative:page;" fillcolor="#FFFFFF" filled="t" stroked="t" coordsize="21600,21600" o:gfxdata="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UOMptQAAAAKAQAADwAAAAAAAAABACAAAAAiAAAAZHJzL2Rvd25yZXYueG1sUEsB&#10;AhQAFAAAAAgAh07iQHmz+on5AQAA+gMAAA4AAAAAAAAAAQAgAAAAIwEAAGRycy9lMm9Eb2MueG1s&#10;UEsFBgAAAAAGAAYAWQEAAI4FAAAAAA==&#10;">
                <v:fill on="t" focussize="0,0"/>
                <v:stroke color="#FFFFFF" joinstyle="miter"/>
                <v:imagedata o:title=""/>
                <o:lock v:ext="edit" aspectratio="f"/>
                <v:textbox style="layout-flow:vertical-ideographic;">
                  <w:txbxContent>
                    <w:p>
                      <w:pPr>
                        <w:rPr>
                          <w:rFonts w:hint="eastAsia"/>
                          <w:b/>
                          <w:sz w:val="24"/>
                          <w:szCs w:val="24"/>
                        </w:rPr>
                      </w:pPr>
                      <w:r>
                        <w:rPr>
                          <w:rFonts w:hint="eastAsia"/>
                          <w:b/>
                          <w:sz w:val="24"/>
                          <w:szCs w:val="24"/>
                        </w:rPr>
                        <w:t>通讯设备</w:t>
                      </w:r>
                    </w:p>
                    <w:p/>
                  </w:txbxContent>
                </v:textbox>
              </v:shape>
            </w:pict>
          </mc:Fallback>
        </mc:AlternateContent>
      </w:r>
      <w:r>
        <w:rPr>
          <w:rFonts w:hint="eastAsia" w:ascii="Times New Roman" w:hAnsi="Times New Roman"/>
          <w:sz w:val="24"/>
          <w:szCs w:val="24"/>
        </w:rPr>
        <mc:AlternateContent>
          <mc:Choice Requires="wps">
            <w:drawing>
              <wp:anchor distT="0" distB="0" distL="114300" distR="114300" simplePos="0" relativeHeight="252048384" behindDoc="0" locked="0" layoutInCell="1" allowOverlap="1">
                <wp:simplePos x="0" y="0"/>
                <wp:positionH relativeFrom="column">
                  <wp:posOffset>1714500</wp:posOffset>
                </wp:positionH>
                <wp:positionV relativeFrom="paragraph">
                  <wp:posOffset>67310</wp:posOffset>
                </wp:positionV>
                <wp:extent cx="571500" cy="1188720"/>
                <wp:effectExtent l="4445" t="5080" r="14605" b="6350"/>
                <wp:wrapNone/>
                <wp:docPr id="557" name="文本框 557"/>
                <wp:cNvGraphicFramePr/>
                <a:graphic xmlns:a="http://schemas.openxmlformats.org/drawingml/2006/main">
                  <a:graphicData uri="http://schemas.microsoft.com/office/word/2010/wordprocessingShape">
                    <wps:wsp>
                      <wps:cNvSpPr txBox="1"/>
                      <wps:spPr>
                        <a:xfrm>
                          <a:off x="0" y="0"/>
                          <a:ext cx="571500" cy="11887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b/>
                                <w:sz w:val="24"/>
                                <w:szCs w:val="24"/>
                              </w:rPr>
                            </w:pPr>
                            <w:r>
                              <w:rPr>
                                <w:rFonts w:hint="eastAsia"/>
                                <w:b/>
                                <w:sz w:val="24"/>
                                <w:szCs w:val="24"/>
                              </w:rPr>
                              <w:t>救援专家组</w:t>
                            </w:r>
                          </w:p>
                          <w:p/>
                        </w:txbxContent>
                      </wps:txbx>
                      <wps:bodyPr vert="eaVert" upright="1"/>
                    </wps:wsp>
                  </a:graphicData>
                </a:graphic>
              </wp:anchor>
            </w:drawing>
          </mc:Choice>
          <mc:Fallback>
            <w:pict>
              <v:shape id="_x0000_s1026" o:spid="_x0000_s1026" o:spt="202" type="#_x0000_t202" style="position:absolute;left:0pt;margin-left:135pt;margin-top:5.3pt;height:93.6pt;width:45pt;z-index:252048384;mso-width-relative:page;mso-height-relative:page;" fillcolor="#FFFFFF" filled="t" stroked="t" coordsize="21600,21600" o:gfxdata="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WfpJ7UAAAACgEAAA8AAAAAAAAAAQAgAAAAIgAAAGRycy9kb3ducmV2LnhtbFBLAQIU&#10;ABQAAAAIAIdO4kDQik/I9wEAAPoDAAAOAAAAAAAAAAEAIAAAACMBAABkcnMvZTJvRG9jLnhtbFBL&#10;BQYAAAAABgAGAFkBAACMBQAAAAA=&#10;">
                <v:fill on="t" focussize="0,0"/>
                <v:stroke color="#FFFFFF" joinstyle="miter"/>
                <v:imagedata o:title=""/>
                <o:lock v:ext="edit" aspectratio="f"/>
                <v:textbox style="layout-flow:vertical-ideographic;">
                  <w:txbxContent>
                    <w:p>
                      <w:pPr>
                        <w:rPr>
                          <w:rFonts w:hint="eastAsia"/>
                          <w:b/>
                          <w:sz w:val="24"/>
                          <w:szCs w:val="24"/>
                        </w:rPr>
                      </w:pPr>
                      <w:r>
                        <w:rPr>
                          <w:rFonts w:hint="eastAsia"/>
                          <w:b/>
                          <w:sz w:val="24"/>
                          <w:szCs w:val="24"/>
                        </w:rPr>
                        <w:t>救援专家组</w:t>
                      </w:r>
                    </w:p>
                    <w:p/>
                  </w:txbxContent>
                </v:textbox>
              </v:shape>
            </w:pict>
          </mc:Fallback>
        </mc:AlternateContent>
      </w:r>
      <w:r>
        <w:rPr>
          <w:rFonts w:hint="eastAsia" w:ascii="Times New Roman" w:hAnsi="Times New Roman"/>
          <w:sz w:val="24"/>
          <w:szCs w:val="24"/>
        </w:rPr>
        <mc:AlternateContent>
          <mc:Choice Requires="wps">
            <w:drawing>
              <wp:anchor distT="0" distB="0" distL="114300" distR="114300" simplePos="0" relativeHeight="252046336" behindDoc="0" locked="0" layoutInCell="1" allowOverlap="1">
                <wp:simplePos x="0" y="0"/>
                <wp:positionH relativeFrom="column">
                  <wp:posOffset>1371600</wp:posOffset>
                </wp:positionH>
                <wp:positionV relativeFrom="paragraph">
                  <wp:posOffset>67310</wp:posOffset>
                </wp:positionV>
                <wp:extent cx="571500" cy="1188720"/>
                <wp:effectExtent l="4445" t="5080" r="14605" b="6350"/>
                <wp:wrapNone/>
                <wp:docPr id="565" name="文本框 565"/>
                <wp:cNvGraphicFramePr/>
                <a:graphic xmlns:a="http://schemas.openxmlformats.org/drawingml/2006/main">
                  <a:graphicData uri="http://schemas.microsoft.com/office/word/2010/wordprocessingShape">
                    <wps:wsp>
                      <wps:cNvSpPr txBox="1"/>
                      <wps:spPr>
                        <a:xfrm>
                          <a:off x="0" y="0"/>
                          <a:ext cx="571500" cy="11887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b/>
                                <w:sz w:val="24"/>
                                <w:szCs w:val="24"/>
                              </w:rPr>
                            </w:pPr>
                            <w:r>
                              <w:rPr>
                                <w:rFonts w:hint="eastAsia"/>
                                <w:b/>
                                <w:sz w:val="24"/>
                                <w:szCs w:val="24"/>
                              </w:rPr>
                              <w:t>通信联络组</w:t>
                            </w:r>
                          </w:p>
                          <w:p/>
                        </w:txbxContent>
                      </wps:txbx>
                      <wps:bodyPr vert="eaVert" upright="1"/>
                    </wps:wsp>
                  </a:graphicData>
                </a:graphic>
              </wp:anchor>
            </w:drawing>
          </mc:Choice>
          <mc:Fallback>
            <w:pict>
              <v:shape id="_x0000_s1026" o:spid="_x0000_s1026" o:spt="202" type="#_x0000_t202" style="position:absolute;left:0pt;margin-left:108pt;margin-top:5.3pt;height:93.6pt;width:45pt;z-index:252046336;mso-width-relative:page;mso-height-relative:page;" fillcolor="#FFFFFF" filled="t" stroked="t" coordsize="21600,21600" o:gfxdata="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oZyTx1AAAAAoBAAAPAAAAAAAAAAEAIAAAACIAAABkcnMvZG93bnJldi54bWxQSwEC&#10;FAAUAAAACACHTuJAW744jfgBAAD6AwAADgAAAAAAAAABACAAAAAjAQAAZHJzL2Uyb0RvYy54bWxQ&#10;SwUGAAAAAAYABgBZAQAAjQUAAAAA&#10;">
                <v:fill on="t" focussize="0,0"/>
                <v:stroke color="#FFFFFF" joinstyle="miter"/>
                <v:imagedata o:title=""/>
                <o:lock v:ext="edit" aspectratio="f"/>
                <v:textbox style="layout-flow:vertical-ideographic;">
                  <w:txbxContent>
                    <w:p>
                      <w:pPr>
                        <w:rPr>
                          <w:rFonts w:hint="eastAsia"/>
                          <w:b/>
                          <w:sz w:val="24"/>
                          <w:szCs w:val="24"/>
                        </w:rPr>
                      </w:pPr>
                      <w:r>
                        <w:rPr>
                          <w:rFonts w:hint="eastAsia"/>
                          <w:b/>
                          <w:sz w:val="24"/>
                          <w:szCs w:val="24"/>
                        </w:rPr>
                        <w:t>通信联络组</w:t>
                      </w:r>
                    </w:p>
                    <w:p/>
                  </w:txbxContent>
                </v:textbox>
              </v:shape>
            </w:pict>
          </mc:Fallback>
        </mc:AlternateContent>
      </w:r>
      <w:r>
        <w:rPr>
          <w:rFonts w:hint="eastAsia" w:ascii="Times New Roman" w:hAnsi="Times New Roman"/>
          <w:sz w:val="24"/>
          <w:szCs w:val="24"/>
        </w:rPr>
        <mc:AlternateContent>
          <mc:Choice Requires="wps">
            <w:drawing>
              <wp:anchor distT="0" distB="0" distL="114300" distR="114300" simplePos="0" relativeHeight="252045312" behindDoc="0" locked="0" layoutInCell="1" allowOverlap="1">
                <wp:simplePos x="0" y="0"/>
                <wp:positionH relativeFrom="column">
                  <wp:posOffset>1143000</wp:posOffset>
                </wp:positionH>
                <wp:positionV relativeFrom="paragraph">
                  <wp:posOffset>67310</wp:posOffset>
                </wp:positionV>
                <wp:extent cx="457200" cy="1089660"/>
                <wp:effectExtent l="5080" t="4445" r="13970" b="10795"/>
                <wp:wrapNone/>
                <wp:docPr id="561" name="文本框 561"/>
                <wp:cNvGraphicFramePr/>
                <a:graphic xmlns:a="http://schemas.openxmlformats.org/drawingml/2006/main">
                  <a:graphicData uri="http://schemas.microsoft.com/office/word/2010/wordprocessingShape">
                    <wps:wsp>
                      <wps:cNvSpPr txBox="1"/>
                      <wps:spPr>
                        <a:xfrm>
                          <a:off x="0" y="0"/>
                          <a:ext cx="457200" cy="10896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b/>
                                <w:sz w:val="24"/>
                                <w:szCs w:val="24"/>
                              </w:rPr>
                            </w:pPr>
                            <w:r>
                              <w:rPr>
                                <w:rFonts w:hint="eastAsia"/>
                                <w:b/>
                                <w:sz w:val="24"/>
                                <w:szCs w:val="24"/>
                              </w:rPr>
                              <w:t>物资供应组</w:t>
                            </w:r>
                          </w:p>
                          <w:p/>
                        </w:txbxContent>
                      </wps:txbx>
                      <wps:bodyPr vert="eaVert" upright="1"/>
                    </wps:wsp>
                  </a:graphicData>
                </a:graphic>
              </wp:anchor>
            </w:drawing>
          </mc:Choice>
          <mc:Fallback>
            <w:pict>
              <v:shape id="_x0000_s1026" o:spid="_x0000_s1026" o:spt="202" type="#_x0000_t202" style="position:absolute;left:0pt;margin-left:90pt;margin-top:5.3pt;height:85.8pt;width:36pt;z-index:252045312;mso-width-relative:page;mso-height-relative:page;" fillcolor="#FFFFFF" filled="t" stroked="t" coordsize="21600,21600" o:gfxdata="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X8TqXSAAAACgEAAA8AAAAAAAAAAQAgAAAAIgAAAGRycy9kb3ducmV2LnhtbFBLAQIU&#10;ABQAAAAIAIdO4kCVyVQt+QEAAPoDAAAOAAAAAAAAAAEAIAAAACEBAABkcnMvZTJvRG9jLnhtbFBL&#10;BQYAAAAABgAGAFkBAACMBQAAAAA=&#10;">
                <v:fill on="t" focussize="0,0"/>
                <v:stroke color="#FFFFFF" joinstyle="miter"/>
                <v:imagedata o:title=""/>
                <o:lock v:ext="edit" aspectratio="f"/>
                <v:textbox style="layout-flow:vertical-ideographic;">
                  <w:txbxContent>
                    <w:p>
                      <w:pPr>
                        <w:rPr>
                          <w:rFonts w:hint="eastAsia"/>
                          <w:b/>
                          <w:sz w:val="24"/>
                          <w:szCs w:val="24"/>
                        </w:rPr>
                      </w:pPr>
                      <w:r>
                        <w:rPr>
                          <w:rFonts w:hint="eastAsia"/>
                          <w:b/>
                          <w:sz w:val="24"/>
                          <w:szCs w:val="24"/>
                        </w:rPr>
                        <w:t>物资供应组</w:t>
                      </w:r>
                    </w:p>
                    <w:p/>
                  </w:txbxContent>
                </v:textbox>
              </v:shape>
            </w:pict>
          </mc:Fallback>
        </mc:AlternateContent>
      </w:r>
      <w:r>
        <w:rPr>
          <w:rFonts w:hint="eastAsia" w:ascii="Times New Roman" w:hAnsi="Times New Roman"/>
          <w:sz w:val="24"/>
          <w:szCs w:val="24"/>
        </w:rPr>
        <mc:AlternateContent>
          <mc:Choice Requires="wps">
            <w:drawing>
              <wp:anchor distT="0" distB="0" distL="114300" distR="114300" simplePos="0" relativeHeight="252044288" behindDoc="0" locked="0" layoutInCell="1" allowOverlap="1">
                <wp:simplePos x="0" y="0"/>
                <wp:positionH relativeFrom="column">
                  <wp:posOffset>800100</wp:posOffset>
                </wp:positionH>
                <wp:positionV relativeFrom="paragraph">
                  <wp:posOffset>67310</wp:posOffset>
                </wp:positionV>
                <wp:extent cx="457200" cy="1089660"/>
                <wp:effectExtent l="5080" t="4445" r="13970" b="10795"/>
                <wp:wrapNone/>
                <wp:docPr id="553" name="文本框 553"/>
                <wp:cNvGraphicFramePr/>
                <a:graphic xmlns:a="http://schemas.openxmlformats.org/drawingml/2006/main">
                  <a:graphicData uri="http://schemas.microsoft.com/office/word/2010/wordprocessingShape">
                    <wps:wsp>
                      <wps:cNvSpPr txBox="1"/>
                      <wps:spPr>
                        <a:xfrm>
                          <a:off x="0" y="0"/>
                          <a:ext cx="457200" cy="10896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b/>
                                <w:sz w:val="24"/>
                                <w:szCs w:val="24"/>
                              </w:rPr>
                            </w:pPr>
                            <w:r>
                              <w:rPr>
                                <w:rFonts w:hint="eastAsia"/>
                                <w:b/>
                                <w:sz w:val="24"/>
                                <w:szCs w:val="24"/>
                              </w:rPr>
                              <w:t>安全警戒组</w:t>
                            </w:r>
                          </w:p>
                          <w:p/>
                        </w:txbxContent>
                      </wps:txbx>
                      <wps:bodyPr vert="eaVert" upright="1"/>
                    </wps:wsp>
                  </a:graphicData>
                </a:graphic>
              </wp:anchor>
            </w:drawing>
          </mc:Choice>
          <mc:Fallback>
            <w:pict>
              <v:shape id="_x0000_s1026" o:spid="_x0000_s1026" o:spt="202" type="#_x0000_t202" style="position:absolute;left:0pt;margin-left:63pt;margin-top:5.3pt;height:85.8pt;width:36pt;z-index:252044288;mso-width-relative:page;mso-height-relative:page;" fillcolor="#FFFFFF" filled="t" stroked="t" coordsize="21600,21600" o:gfxdata="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GPlzj0gAAAAoBAAAPAAAAAAAAAAEAIAAAACIAAABkcnMvZG93bnJldi54bWxQSwEC&#10;FAAUAAAACACHTuJAHv0jaPoBAAD6AwAADgAAAAAAAAABACAAAAAhAQAAZHJzL2Uyb0RvYy54bWxQ&#10;SwUGAAAAAAYABgBZAQAAjQUAAAAA&#10;">
                <v:fill on="t" focussize="0,0"/>
                <v:stroke color="#FFFFFF" joinstyle="miter"/>
                <v:imagedata o:title=""/>
                <o:lock v:ext="edit" aspectratio="f"/>
                <v:textbox style="layout-flow:vertical-ideographic;">
                  <w:txbxContent>
                    <w:p>
                      <w:pPr>
                        <w:rPr>
                          <w:rFonts w:hint="eastAsia"/>
                          <w:b/>
                          <w:sz w:val="24"/>
                          <w:szCs w:val="24"/>
                        </w:rPr>
                      </w:pPr>
                      <w:r>
                        <w:rPr>
                          <w:rFonts w:hint="eastAsia"/>
                          <w:b/>
                          <w:sz w:val="24"/>
                          <w:szCs w:val="24"/>
                        </w:rPr>
                        <w:t>安全警戒组</w:t>
                      </w:r>
                    </w:p>
                    <w:p/>
                  </w:txbxContent>
                </v:textbox>
              </v:shape>
            </w:pict>
          </mc:Fallback>
        </mc:AlternateContent>
      </w:r>
      <w:r>
        <w:rPr>
          <w:rFonts w:hint="eastAsia" w:ascii="Times New Roman" w:hAnsi="Times New Roman"/>
          <w:sz w:val="24"/>
          <w:szCs w:val="24"/>
        </w:rPr>
        <mc:AlternateContent>
          <mc:Choice Requires="wps">
            <w:drawing>
              <wp:anchor distT="0" distB="0" distL="114300" distR="114300" simplePos="0" relativeHeight="252043264" behindDoc="0" locked="0" layoutInCell="1" allowOverlap="1">
                <wp:simplePos x="0" y="0"/>
                <wp:positionH relativeFrom="column">
                  <wp:posOffset>457200</wp:posOffset>
                </wp:positionH>
                <wp:positionV relativeFrom="paragraph">
                  <wp:posOffset>67310</wp:posOffset>
                </wp:positionV>
                <wp:extent cx="457200" cy="1089660"/>
                <wp:effectExtent l="5080" t="4445" r="13970" b="10795"/>
                <wp:wrapNone/>
                <wp:docPr id="564" name="文本框 564"/>
                <wp:cNvGraphicFramePr/>
                <a:graphic xmlns:a="http://schemas.openxmlformats.org/drawingml/2006/main">
                  <a:graphicData uri="http://schemas.microsoft.com/office/word/2010/wordprocessingShape">
                    <wps:wsp>
                      <wps:cNvSpPr txBox="1"/>
                      <wps:spPr>
                        <a:xfrm>
                          <a:off x="0" y="0"/>
                          <a:ext cx="457200" cy="10896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b/>
                                <w:sz w:val="24"/>
                                <w:szCs w:val="24"/>
                              </w:rPr>
                            </w:pPr>
                            <w:r>
                              <w:rPr>
                                <w:rFonts w:hint="eastAsia"/>
                                <w:b/>
                                <w:sz w:val="24"/>
                                <w:szCs w:val="24"/>
                              </w:rPr>
                              <w:t>医疗救护组</w:t>
                            </w:r>
                          </w:p>
                          <w:p/>
                        </w:txbxContent>
                      </wps:txbx>
                      <wps:bodyPr vert="eaVert" upright="1"/>
                    </wps:wsp>
                  </a:graphicData>
                </a:graphic>
              </wp:anchor>
            </w:drawing>
          </mc:Choice>
          <mc:Fallback>
            <w:pict>
              <v:shape id="_x0000_s1026" o:spid="_x0000_s1026" o:spt="202" type="#_x0000_t202" style="position:absolute;left:0pt;margin-left:36pt;margin-top:5.3pt;height:85.8pt;width:36pt;z-index:252043264;mso-width-relative:page;mso-height-relative:page;" fillcolor="#FFFFFF" filled="t" stroked="t" coordsize="21600,21600" o:gfxdata="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Gq9MzUAAAACQEAAA8AAAAAAAAAAQAgAAAAIgAAAGRycy9kb3ducmV2LnhtbFBL&#10;AQIUABQAAAAIAIdO4kBgYT8u+gEAAPoDAAAOAAAAAAAAAAEAIAAAACMBAABkcnMvZTJvRG9jLnht&#10;bFBLBQYAAAAABgAGAFkBAACPBQAAAAA=&#10;">
                <v:fill on="t" focussize="0,0"/>
                <v:stroke color="#FFFFFF" joinstyle="miter"/>
                <v:imagedata o:title=""/>
                <o:lock v:ext="edit" aspectratio="f"/>
                <v:textbox style="layout-flow:vertical-ideographic;">
                  <w:txbxContent>
                    <w:p>
                      <w:pPr>
                        <w:rPr>
                          <w:rFonts w:hint="eastAsia"/>
                          <w:b/>
                          <w:sz w:val="24"/>
                          <w:szCs w:val="24"/>
                        </w:rPr>
                      </w:pPr>
                      <w:r>
                        <w:rPr>
                          <w:rFonts w:hint="eastAsia"/>
                          <w:b/>
                          <w:sz w:val="24"/>
                          <w:szCs w:val="24"/>
                        </w:rPr>
                        <w:t>医疗救护组</w:t>
                      </w:r>
                    </w:p>
                    <w:p/>
                  </w:txbxContent>
                </v:textbox>
              </v:shape>
            </w:pict>
          </mc:Fallback>
        </mc:AlternateContent>
      </w:r>
      <w:r>
        <w:rPr>
          <w:rFonts w:hint="eastAsia" w:ascii="Times New Roman" w:hAnsi="Times New Roman"/>
          <w:sz w:val="24"/>
          <w:szCs w:val="24"/>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67310</wp:posOffset>
                </wp:positionV>
                <wp:extent cx="457200" cy="1089660"/>
                <wp:effectExtent l="5080" t="4445" r="13970" b="10795"/>
                <wp:wrapNone/>
                <wp:docPr id="540" name="文本框 540"/>
                <wp:cNvGraphicFramePr/>
                <a:graphic xmlns:a="http://schemas.openxmlformats.org/drawingml/2006/main">
                  <a:graphicData uri="http://schemas.microsoft.com/office/word/2010/wordprocessingShape">
                    <wps:wsp>
                      <wps:cNvSpPr txBox="1"/>
                      <wps:spPr>
                        <a:xfrm>
                          <a:off x="0" y="0"/>
                          <a:ext cx="457200" cy="10896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b/>
                                <w:sz w:val="24"/>
                                <w:szCs w:val="24"/>
                              </w:rPr>
                            </w:pPr>
                            <w:r>
                              <w:rPr>
                                <w:rFonts w:hint="eastAsia"/>
                                <w:b/>
                                <w:sz w:val="24"/>
                                <w:szCs w:val="24"/>
                              </w:rPr>
                              <w:t>消防抢险组</w:t>
                            </w:r>
                          </w:p>
                          <w:p/>
                        </w:txbxContent>
                      </wps:txbx>
                      <wps:bodyPr vert="eaVert" upright="1"/>
                    </wps:wsp>
                  </a:graphicData>
                </a:graphic>
              </wp:anchor>
            </w:drawing>
          </mc:Choice>
          <mc:Fallback>
            <w:pict>
              <v:shape id="_x0000_s1026" o:spid="_x0000_s1026" o:spt="202" type="#_x0000_t202" style="position:absolute;left:0pt;margin-left:9pt;margin-top:5.3pt;height:85.8pt;width:36pt;z-index:252042240;mso-width-relative:page;mso-height-relative:page;" fillcolor="#FFFFFF" filled="t" stroked="t" coordsize="21600,21600" o:gfxdata="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68DKtEAAAAIAQAADwAAAAAAAAABACAAAAAiAAAAZHJzL2Rvd25yZXYueG1sUEsBAhQA&#10;FAAAAAgAh07iQMB6C475AQAA+gMAAA4AAAAAAAAAAQAgAAAAIAEAAGRycy9lMm9Eb2MueG1sUEsF&#10;BgAAAAAGAAYAWQEAAIsFAAAAAA==&#10;">
                <v:fill on="t" focussize="0,0"/>
                <v:stroke color="#FFFFFF" joinstyle="miter"/>
                <v:imagedata o:title=""/>
                <o:lock v:ext="edit" aspectratio="f"/>
                <v:textbox style="layout-flow:vertical-ideographic;">
                  <w:txbxContent>
                    <w:p>
                      <w:pPr>
                        <w:rPr>
                          <w:rFonts w:hint="eastAsia"/>
                          <w:b/>
                          <w:sz w:val="24"/>
                          <w:szCs w:val="24"/>
                        </w:rPr>
                      </w:pPr>
                      <w:r>
                        <w:rPr>
                          <w:rFonts w:hint="eastAsia"/>
                          <w:b/>
                          <w:sz w:val="24"/>
                          <w:szCs w:val="24"/>
                        </w:rPr>
                        <w:t>消防抢险组</w:t>
                      </w:r>
                    </w:p>
                    <w:p/>
                  </w:txbxContent>
                </v:textbox>
              </v:shape>
            </w:pict>
          </mc:Fallback>
        </mc:AlternateContent>
      </w:r>
    </w:p>
    <w:p>
      <w:pPr>
        <w:spacing w:line="360" w:lineRule="auto"/>
        <w:rPr>
          <w:rFonts w:hint="eastAsia" w:ascii="Times New Roman" w:hAnsi="Times New Roman"/>
          <w:sz w:val="24"/>
          <w:szCs w:val="24"/>
        </w:rPr>
      </w:pPr>
    </w:p>
    <w:p>
      <w:pPr>
        <w:spacing w:line="360" w:lineRule="auto"/>
        <w:rPr>
          <w:rFonts w:hint="eastAsia" w:ascii="Times New Roman" w:hAnsi="Times New Roman"/>
          <w:sz w:val="24"/>
          <w:szCs w:val="24"/>
        </w:rPr>
      </w:pPr>
    </w:p>
    <w:p>
      <w:pPr>
        <w:pStyle w:val="3"/>
        <w:rPr>
          <w:rFonts w:hint="eastAsia"/>
        </w:rPr>
      </w:pPr>
    </w:p>
    <w:p>
      <w:pPr>
        <w:pStyle w:val="3"/>
        <w:rPr>
          <w:rFonts w:hint="eastAsia"/>
        </w:rPr>
      </w:pPr>
      <w:bookmarkStart w:id="657" w:name="_Toc461048109"/>
      <w:r>
        <w:rPr>
          <w:rFonts w:hint="eastAsia"/>
        </w:rPr>
        <w:t>4.2 指挥机构组成及职责</w:t>
      </w:r>
      <w:bookmarkEnd w:id="655"/>
      <w:bookmarkEnd w:id="656"/>
      <w:bookmarkEnd w:id="657"/>
    </w:p>
    <w:p>
      <w:pPr>
        <w:pStyle w:val="4"/>
        <w:rPr>
          <w:rFonts w:hint="eastAsia" w:ascii="Times New Roman" w:hAnsi="Times New Roman" w:eastAsia="仿宋"/>
          <w:bCs w:val="0"/>
          <w:kern w:val="0"/>
          <w:szCs w:val="24"/>
        </w:rPr>
      </w:pPr>
      <w:r>
        <w:rPr>
          <w:rFonts w:hint="eastAsia"/>
          <w:bCs w:val="0"/>
          <w:szCs w:val="24"/>
        </w:rPr>
        <w:t>4.2.1指挥机构</w:t>
      </w:r>
    </w:p>
    <w:p>
      <w:pPr>
        <w:spacing w:line="360" w:lineRule="auto"/>
        <w:ind w:firstLine="480" w:firstLineChars="200"/>
        <w:rPr>
          <w:rFonts w:hint="eastAsia" w:ascii="宋体" w:hAnsi="宋体"/>
          <w:sz w:val="24"/>
          <w:szCs w:val="24"/>
        </w:rPr>
      </w:pPr>
      <w:r>
        <w:rPr>
          <w:rFonts w:hint="eastAsia" w:ascii="宋体" w:hAnsi="宋体"/>
          <w:sz w:val="24"/>
          <w:szCs w:val="24"/>
        </w:rPr>
        <w:t>重庆永荣青鹏煤业有限公司应急救援指挥部组成如下：</w:t>
      </w:r>
    </w:p>
    <w:p>
      <w:pPr>
        <w:spacing w:line="360" w:lineRule="auto"/>
        <w:ind w:firstLine="480" w:firstLineChars="200"/>
        <w:rPr>
          <w:rFonts w:hint="eastAsia" w:ascii="宋体" w:hAnsi="宋体"/>
          <w:sz w:val="24"/>
          <w:szCs w:val="24"/>
        </w:rPr>
      </w:pPr>
      <w:r>
        <w:rPr>
          <w:rFonts w:hint="eastAsia" w:ascii="宋体" w:hAnsi="宋体"/>
          <w:sz w:val="24"/>
          <w:szCs w:val="24"/>
        </w:rPr>
        <w:t xml:space="preserve">总指挥：总经理 </w:t>
      </w:r>
      <w:r>
        <w:rPr>
          <w:rFonts w:hint="eastAsia"/>
          <w:kern w:val="0"/>
          <w:sz w:val="24"/>
          <w:szCs w:val="24"/>
        </w:rPr>
        <w:t>张安俊</w:t>
      </w:r>
      <w:r>
        <w:rPr>
          <w:rFonts w:hint="eastAsia" w:ascii="宋体" w:hAnsi="宋体"/>
          <w:sz w:val="24"/>
          <w:szCs w:val="24"/>
        </w:rPr>
        <w:t xml:space="preserve">  </w:t>
      </w:r>
      <w:r>
        <w:rPr>
          <w:rFonts w:hint="eastAsia"/>
          <w:bCs/>
          <w:color w:val="000000"/>
          <w:kern w:val="0"/>
          <w:sz w:val="24"/>
          <w:szCs w:val="24"/>
        </w:rPr>
        <w:t>13908394421</w:t>
      </w:r>
    </w:p>
    <w:p>
      <w:pPr>
        <w:spacing w:line="360" w:lineRule="auto"/>
        <w:ind w:firstLine="480" w:firstLineChars="200"/>
        <w:rPr>
          <w:rFonts w:hint="eastAsia"/>
          <w:kern w:val="0"/>
          <w:sz w:val="24"/>
          <w:szCs w:val="24"/>
        </w:rPr>
      </w:pPr>
      <w:r>
        <w:rPr>
          <w:rFonts w:hint="eastAsia" w:ascii="宋体" w:hAnsi="宋体"/>
          <w:sz w:val="24"/>
          <w:szCs w:val="24"/>
        </w:rPr>
        <w:t xml:space="preserve">副总指挥：副总 </w:t>
      </w:r>
      <w:r>
        <w:rPr>
          <w:rFonts w:hint="eastAsia"/>
          <w:kern w:val="0"/>
          <w:sz w:val="24"/>
          <w:szCs w:val="24"/>
        </w:rPr>
        <w:t xml:space="preserve">肖泽江  </w:t>
      </w:r>
      <w:r>
        <w:rPr>
          <w:rFonts w:hint="eastAsia"/>
          <w:bCs/>
          <w:color w:val="000000"/>
          <w:kern w:val="0"/>
          <w:sz w:val="24"/>
          <w:szCs w:val="24"/>
        </w:rPr>
        <w:t>13608338262</w:t>
      </w:r>
    </w:p>
    <w:p>
      <w:pPr>
        <w:spacing w:line="360" w:lineRule="auto"/>
        <w:ind w:firstLine="480" w:firstLineChars="200"/>
        <w:rPr>
          <w:rFonts w:hint="eastAsia" w:ascii="宋体" w:hAnsi="宋体" w:cs="宋体"/>
          <w:color w:val="000000"/>
          <w:sz w:val="24"/>
          <w:szCs w:val="24"/>
        </w:rPr>
      </w:pPr>
      <w:r>
        <w:rPr>
          <w:rFonts w:hint="eastAsia" w:ascii="宋体" w:hAnsi="宋体"/>
          <w:sz w:val="24"/>
          <w:szCs w:val="24"/>
        </w:rPr>
        <w:t>指挥部成员：</w:t>
      </w:r>
      <w:r>
        <w:rPr>
          <w:rFonts w:hint="eastAsia"/>
          <w:color w:val="000000"/>
          <w:kern w:val="0"/>
          <w:sz w:val="24"/>
          <w:szCs w:val="24"/>
        </w:rPr>
        <w:t>丁洪飞15923019598</w:t>
      </w:r>
      <w:r>
        <w:rPr>
          <w:rFonts w:hint="eastAsia" w:ascii="宋体" w:hAnsi="宋体" w:cs="宋体"/>
          <w:color w:val="000000"/>
          <w:sz w:val="24"/>
          <w:szCs w:val="24"/>
        </w:rPr>
        <w:t>、</w:t>
      </w:r>
      <w:r>
        <w:rPr>
          <w:rFonts w:hint="eastAsia"/>
          <w:color w:val="000000"/>
          <w:kern w:val="0"/>
          <w:sz w:val="24"/>
          <w:szCs w:val="24"/>
        </w:rPr>
        <w:t>曹峰18223532925</w:t>
      </w:r>
      <w:r>
        <w:rPr>
          <w:rFonts w:hint="eastAsia" w:ascii="宋体" w:hAnsi="宋体" w:cs="宋体"/>
          <w:color w:val="000000"/>
          <w:sz w:val="24"/>
          <w:szCs w:val="24"/>
        </w:rPr>
        <w:t>、</w:t>
      </w:r>
      <w:r>
        <w:rPr>
          <w:rFonts w:hint="eastAsia"/>
          <w:bCs/>
          <w:color w:val="000000"/>
          <w:kern w:val="0"/>
          <w:sz w:val="24"/>
          <w:szCs w:val="24"/>
        </w:rPr>
        <w:t>曹多毅13527413186、</w:t>
      </w:r>
      <w:r>
        <w:rPr>
          <w:rFonts w:hint="eastAsia"/>
          <w:color w:val="000000"/>
          <w:kern w:val="0"/>
          <w:sz w:val="24"/>
          <w:szCs w:val="24"/>
        </w:rPr>
        <w:t>庞超</w:t>
      </w:r>
      <w:r>
        <w:rPr>
          <w:rFonts w:hint="eastAsia"/>
          <w:bCs/>
          <w:color w:val="000000"/>
          <w:kern w:val="0"/>
          <w:sz w:val="24"/>
          <w:szCs w:val="24"/>
        </w:rPr>
        <w:t>13452185625、</w:t>
      </w:r>
      <w:r>
        <w:rPr>
          <w:rFonts w:hint="eastAsia"/>
          <w:color w:val="000000"/>
          <w:kern w:val="0"/>
          <w:sz w:val="24"/>
          <w:szCs w:val="24"/>
        </w:rPr>
        <w:t>潘勇</w:t>
      </w:r>
      <w:r>
        <w:rPr>
          <w:rFonts w:hint="eastAsia"/>
          <w:bCs/>
          <w:color w:val="000000"/>
          <w:kern w:val="0"/>
          <w:sz w:val="24"/>
          <w:szCs w:val="24"/>
        </w:rPr>
        <w:t>15025472733、王健13668080666</w:t>
      </w:r>
    </w:p>
    <w:p>
      <w:pPr>
        <w:pStyle w:val="11"/>
        <w:spacing w:after="0" w:line="360" w:lineRule="auto"/>
        <w:ind w:left="0" w:leftChars="0" w:firstLine="480" w:firstLineChars="200"/>
        <w:rPr>
          <w:rFonts w:hint="eastAsia" w:ascii="宋体" w:hAnsi="宋体"/>
          <w:sz w:val="24"/>
          <w:szCs w:val="24"/>
        </w:rPr>
      </w:pPr>
      <w:r>
        <w:rPr>
          <w:rFonts w:hint="eastAsia" w:ascii="宋体" w:hAnsi="宋体"/>
          <w:sz w:val="24"/>
          <w:szCs w:val="24"/>
        </w:rPr>
        <w:t>指挥部人员分工：</w:t>
      </w:r>
    </w:p>
    <w:p>
      <w:pPr>
        <w:pStyle w:val="11"/>
        <w:spacing w:after="0" w:line="360" w:lineRule="auto"/>
        <w:ind w:left="0" w:leftChars="0" w:firstLine="480" w:firstLineChars="200"/>
        <w:rPr>
          <w:rFonts w:hint="eastAsia" w:ascii="宋体" w:hAnsi="宋体"/>
          <w:sz w:val="24"/>
          <w:szCs w:val="24"/>
        </w:rPr>
      </w:pPr>
      <w:r>
        <w:rPr>
          <w:rFonts w:hint="eastAsia" w:ascii="宋体" w:hAnsi="宋体"/>
          <w:sz w:val="24"/>
          <w:szCs w:val="24"/>
        </w:rPr>
        <w:t>总指挥：全面指挥事故现场的应急救援工作。</w:t>
      </w:r>
    </w:p>
    <w:p>
      <w:pPr>
        <w:pStyle w:val="11"/>
        <w:spacing w:after="0" w:line="360" w:lineRule="auto"/>
        <w:ind w:left="0" w:leftChars="0" w:firstLine="480" w:firstLineChars="200"/>
        <w:rPr>
          <w:rFonts w:hint="eastAsia" w:ascii="宋体" w:hAnsi="宋体"/>
          <w:sz w:val="24"/>
          <w:szCs w:val="24"/>
        </w:rPr>
      </w:pPr>
      <w:r>
        <w:rPr>
          <w:rFonts w:hint="eastAsia" w:ascii="宋体" w:hAnsi="宋体"/>
          <w:sz w:val="24"/>
          <w:szCs w:val="24"/>
        </w:rPr>
        <w:t>副总指挥：协助总指挥负责具体的指挥工作，当总指挥不在现场时，副总指挥行使总指挥职责。</w:t>
      </w:r>
    </w:p>
    <w:p>
      <w:pPr>
        <w:pStyle w:val="11"/>
        <w:spacing w:after="0" w:line="360" w:lineRule="auto"/>
        <w:ind w:left="0" w:leftChars="0" w:firstLine="480" w:firstLineChars="200"/>
        <w:rPr>
          <w:rFonts w:hint="eastAsia" w:ascii="宋体" w:hAnsi="宋体"/>
          <w:sz w:val="24"/>
          <w:szCs w:val="24"/>
        </w:rPr>
      </w:pPr>
      <w:r>
        <w:rPr>
          <w:rFonts w:hint="eastAsia" w:ascii="宋体" w:hAnsi="宋体"/>
          <w:sz w:val="24"/>
          <w:szCs w:val="24"/>
        </w:rPr>
        <w:t>各专业主管：按事故后生产调度指令，正确处置有关的开停车工作，做好停车后的各项善后工作，集中可以集中的车间人员、消防器材、防护用具，随时按现场指挥部的命令，支援现场抢救的各项工作。</w:t>
      </w:r>
    </w:p>
    <w:p>
      <w:pPr>
        <w:pStyle w:val="4"/>
        <w:rPr>
          <w:rFonts w:hint="eastAsia" w:ascii="Times New Roman" w:hAnsi="Times New Roman" w:eastAsia="仿宋"/>
          <w:bCs w:val="0"/>
          <w:kern w:val="0"/>
          <w:szCs w:val="24"/>
        </w:rPr>
      </w:pPr>
      <w:r>
        <w:rPr>
          <w:rFonts w:hint="eastAsia"/>
          <w:bCs w:val="0"/>
          <w:szCs w:val="24"/>
        </w:rPr>
        <w:t>4.2.2职责</w:t>
      </w:r>
    </w:p>
    <w:p>
      <w:pPr>
        <w:spacing w:line="360" w:lineRule="auto"/>
        <w:ind w:firstLine="480" w:firstLineChars="200"/>
        <w:rPr>
          <w:rFonts w:hint="eastAsia" w:hAnsi="宋体"/>
          <w:sz w:val="24"/>
          <w:szCs w:val="24"/>
        </w:rPr>
      </w:pPr>
      <w:r>
        <w:rPr>
          <w:rFonts w:hAnsi="宋体"/>
          <w:sz w:val="24"/>
          <w:szCs w:val="24"/>
        </w:rPr>
        <w:t>应急响应时，应急指挥中心根据事件实际情况，成立相应的应急救援专业组</w:t>
      </w:r>
      <w:r>
        <w:rPr>
          <w:rFonts w:hint="eastAsia" w:hAnsi="宋体"/>
          <w:sz w:val="24"/>
          <w:szCs w:val="24"/>
        </w:rPr>
        <w:t>。指挥中心的职责包括：</w:t>
      </w:r>
    </w:p>
    <w:p>
      <w:pPr>
        <w:spacing w:line="360" w:lineRule="auto"/>
        <w:ind w:firstLine="480" w:firstLineChars="200"/>
        <w:jc w:val="left"/>
        <w:rPr>
          <w:sz w:val="24"/>
          <w:szCs w:val="24"/>
        </w:rPr>
      </w:pPr>
      <w:r>
        <w:rPr>
          <w:rFonts w:hAnsi="宋体"/>
          <w:sz w:val="24"/>
          <w:szCs w:val="24"/>
        </w:rPr>
        <w:t>（</w:t>
      </w:r>
      <w:r>
        <w:rPr>
          <w:sz w:val="24"/>
          <w:szCs w:val="24"/>
        </w:rPr>
        <w:t>1</w:t>
      </w:r>
      <w:r>
        <w:rPr>
          <w:rFonts w:hAnsi="宋体"/>
          <w:sz w:val="24"/>
          <w:szCs w:val="24"/>
        </w:rPr>
        <w:t>）贯彻执行国家、当地政府、上级主管部门有关环境安全的方针、政策及规定；</w:t>
      </w:r>
    </w:p>
    <w:p>
      <w:pPr>
        <w:spacing w:line="360" w:lineRule="auto"/>
        <w:ind w:firstLine="480" w:firstLineChars="200"/>
        <w:jc w:val="left"/>
        <w:rPr>
          <w:sz w:val="24"/>
          <w:szCs w:val="24"/>
        </w:rPr>
      </w:pPr>
      <w:r>
        <w:rPr>
          <w:rFonts w:hAnsi="宋体"/>
          <w:sz w:val="24"/>
          <w:szCs w:val="24"/>
        </w:rPr>
        <w:t>（</w:t>
      </w:r>
      <w:r>
        <w:rPr>
          <w:sz w:val="24"/>
          <w:szCs w:val="24"/>
        </w:rPr>
        <w:t>2</w:t>
      </w:r>
      <w:r>
        <w:rPr>
          <w:rFonts w:hAnsi="宋体"/>
          <w:sz w:val="24"/>
          <w:szCs w:val="24"/>
        </w:rPr>
        <w:t>）调查、统计</w:t>
      </w:r>
      <w:r>
        <w:rPr>
          <w:rFonts w:hint="eastAsia" w:hAnsi="宋体"/>
          <w:sz w:val="24"/>
          <w:szCs w:val="24"/>
        </w:rPr>
        <w:t>企业</w:t>
      </w:r>
      <w:r>
        <w:rPr>
          <w:rFonts w:hAnsi="宋体"/>
          <w:sz w:val="24"/>
          <w:szCs w:val="24"/>
        </w:rPr>
        <w:t>内危险物质和重点环境风险源，负责建设并维护危险物质和环境风险源等信息管理库；</w:t>
      </w:r>
      <w:r>
        <w:rPr>
          <w:sz w:val="24"/>
          <w:szCs w:val="24"/>
        </w:rPr>
        <w:t xml:space="preserve"> </w:t>
      </w:r>
    </w:p>
    <w:p>
      <w:pPr>
        <w:spacing w:line="360" w:lineRule="auto"/>
        <w:ind w:firstLine="480" w:firstLineChars="200"/>
        <w:jc w:val="left"/>
        <w:rPr>
          <w:sz w:val="24"/>
          <w:szCs w:val="24"/>
        </w:rPr>
      </w:pPr>
      <w:r>
        <w:rPr>
          <w:rFonts w:hAnsi="宋体"/>
          <w:sz w:val="24"/>
          <w:szCs w:val="24"/>
        </w:rPr>
        <w:t>（</w:t>
      </w:r>
      <w:r>
        <w:rPr>
          <w:sz w:val="24"/>
          <w:szCs w:val="24"/>
        </w:rPr>
        <w:t>3</w:t>
      </w:r>
      <w:r>
        <w:rPr>
          <w:rFonts w:hAnsi="宋体"/>
          <w:sz w:val="24"/>
          <w:szCs w:val="24"/>
        </w:rPr>
        <w:t>）建立（或依托）专业救援队伍，包括通讯联络队、抢险抢修队、侦检抢修队、医疗救护队、应急消防队、治安队、物资供应队和环境应急监测队等；明确环境应急时各级人员和各专业救援队伍的具体职责和任务，以便发生突发环境事件时，快速、有序、高效地开展应急救援行动；</w:t>
      </w:r>
    </w:p>
    <w:p>
      <w:pPr>
        <w:spacing w:line="360" w:lineRule="auto"/>
        <w:ind w:firstLine="480" w:firstLineChars="200"/>
        <w:jc w:val="left"/>
        <w:rPr>
          <w:sz w:val="24"/>
          <w:szCs w:val="24"/>
        </w:rPr>
      </w:pPr>
      <w:r>
        <w:rPr>
          <w:rFonts w:hAnsi="宋体"/>
          <w:sz w:val="24"/>
          <w:szCs w:val="24"/>
        </w:rPr>
        <w:t>（</w:t>
      </w:r>
      <w:r>
        <w:rPr>
          <w:rFonts w:hint="eastAsia"/>
          <w:sz w:val="24"/>
          <w:szCs w:val="24"/>
        </w:rPr>
        <w:t>4</w:t>
      </w:r>
      <w:r>
        <w:rPr>
          <w:rFonts w:hAnsi="宋体"/>
          <w:sz w:val="24"/>
          <w:szCs w:val="24"/>
        </w:rPr>
        <w:t>）负责</w:t>
      </w:r>
      <w:r>
        <w:rPr>
          <w:rFonts w:hint="eastAsia" w:hAnsi="宋体"/>
          <w:sz w:val="24"/>
          <w:szCs w:val="24"/>
        </w:rPr>
        <w:t>企业</w:t>
      </w:r>
      <w:r>
        <w:rPr>
          <w:rFonts w:hAnsi="宋体"/>
          <w:sz w:val="24"/>
          <w:szCs w:val="24"/>
        </w:rPr>
        <w:t>应急设施（备）（如堵漏器材、围堰、环境应急池、防护器材、救援器材和应急交通工具等）的建设，以及应急救援物资，特别是处理泄漏物、消解和吸收污染物的化学品物资（如活性炭、木屑和石灰等）的储备；</w:t>
      </w:r>
      <w:r>
        <w:rPr>
          <w:sz w:val="24"/>
          <w:szCs w:val="24"/>
        </w:rPr>
        <w:t xml:space="preserve"> </w:t>
      </w:r>
    </w:p>
    <w:p>
      <w:pPr>
        <w:spacing w:line="360" w:lineRule="auto"/>
        <w:ind w:firstLine="480" w:firstLineChars="200"/>
        <w:jc w:val="left"/>
        <w:rPr>
          <w:sz w:val="24"/>
          <w:szCs w:val="24"/>
        </w:rPr>
      </w:pPr>
      <w:r>
        <w:rPr>
          <w:rFonts w:hAnsi="宋体"/>
          <w:sz w:val="24"/>
          <w:szCs w:val="24"/>
        </w:rPr>
        <w:t>（</w:t>
      </w:r>
      <w:r>
        <w:rPr>
          <w:rFonts w:hint="eastAsia"/>
          <w:sz w:val="24"/>
          <w:szCs w:val="24"/>
        </w:rPr>
        <w:t>5</w:t>
      </w:r>
      <w:r>
        <w:rPr>
          <w:rFonts w:hAnsi="宋体"/>
          <w:sz w:val="24"/>
          <w:szCs w:val="24"/>
        </w:rPr>
        <w:t>）负责组织预案的外部评审、审批与更新；</w:t>
      </w:r>
      <w:r>
        <w:rPr>
          <w:sz w:val="24"/>
          <w:szCs w:val="24"/>
        </w:rPr>
        <w:t xml:space="preserve"> </w:t>
      </w:r>
    </w:p>
    <w:p>
      <w:pPr>
        <w:spacing w:line="360" w:lineRule="auto"/>
        <w:ind w:firstLine="480" w:firstLineChars="200"/>
        <w:jc w:val="left"/>
        <w:rPr>
          <w:sz w:val="24"/>
          <w:szCs w:val="24"/>
        </w:rPr>
      </w:pPr>
      <w:r>
        <w:rPr>
          <w:rFonts w:hAnsi="宋体"/>
          <w:sz w:val="24"/>
          <w:szCs w:val="24"/>
        </w:rPr>
        <w:t>（</w:t>
      </w:r>
      <w:r>
        <w:rPr>
          <w:rFonts w:hint="eastAsia"/>
          <w:sz w:val="24"/>
          <w:szCs w:val="24"/>
        </w:rPr>
        <w:t>6</w:t>
      </w:r>
      <w:r>
        <w:rPr>
          <w:rFonts w:hAnsi="宋体"/>
          <w:sz w:val="24"/>
          <w:szCs w:val="24"/>
        </w:rPr>
        <w:t>）定期组织根据突发环境事件应急预案开展模拟演练，在演练中检验和完善应急预案；</w:t>
      </w:r>
      <w:r>
        <w:rPr>
          <w:sz w:val="24"/>
          <w:szCs w:val="24"/>
        </w:rPr>
        <w:t xml:space="preserve"> </w:t>
      </w:r>
    </w:p>
    <w:p>
      <w:pPr>
        <w:spacing w:line="360" w:lineRule="auto"/>
        <w:ind w:firstLine="480" w:firstLineChars="200"/>
        <w:jc w:val="left"/>
        <w:rPr>
          <w:sz w:val="24"/>
          <w:szCs w:val="24"/>
        </w:rPr>
      </w:pPr>
      <w:r>
        <w:rPr>
          <w:rFonts w:hAnsi="宋体"/>
          <w:sz w:val="24"/>
          <w:szCs w:val="24"/>
        </w:rPr>
        <w:t>（</w:t>
      </w:r>
      <w:r>
        <w:rPr>
          <w:rFonts w:hint="eastAsia"/>
          <w:sz w:val="24"/>
          <w:szCs w:val="24"/>
        </w:rPr>
        <w:t>7</w:t>
      </w:r>
      <w:r>
        <w:rPr>
          <w:rFonts w:hAnsi="宋体"/>
          <w:sz w:val="24"/>
          <w:szCs w:val="24"/>
        </w:rPr>
        <w:t>）发动组织环境应急志愿救援组织，并制定与周围具有一定环境应急</w:t>
      </w:r>
      <w:r>
        <w:rPr>
          <w:rFonts w:hint="eastAsia" w:hAnsi="宋体"/>
          <w:sz w:val="24"/>
          <w:szCs w:val="24"/>
        </w:rPr>
        <w:t>救援</w:t>
      </w:r>
      <w:r>
        <w:rPr>
          <w:rFonts w:hAnsi="宋体"/>
          <w:sz w:val="24"/>
          <w:szCs w:val="24"/>
        </w:rPr>
        <w:t>能力的</w:t>
      </w:r>
      <w:r>
        <w:rPr>
          <w:rFonts w:hint="eastAsia" w:hAnsi="宋体"/>
          <w:sz w:val="24"/>
          <w:szCs w:val="24"/>
        </w:rPr>
        <w:t>其它</w:t>
      </w:r>
      <w:r>
        <w:rPr>
          <w:rFonts w:hAnsi="宋体"/>
          <w:sz w:val="24"/>
          <w:szCs w:val="24"/>
        </w:rPr>
        <w:t>企业的区域联防方案。汇总社会各种志愿援助组织以及区域联防组织的名称、电话、规模等；</w:t>
      </w:r>
    </w:p>
    <w:p>
      <w:pPr>
        <w:spacing w:line="360" w:lineRule="auto"/>
        <w:ind w:firstLine="480" w:firstLineChars="200"/>
        <w:jc w:val="left"/>
        <w:rPr>
          <w:sz w:val="24"/>
          <w:szCs w:val="24"/>
        </w:rPr>
      </w:pPr>
      <w:r>
        <w:rPr>
          <w:rFonts w:hAnsi="宋体"/>
          <w:sz w:val="24"/>
          <w:szCs w:val="24"/>
        </w:rPr>
        <w:t>（</w:t>
      </w:r>
      <w:r>
        <w:rPr>
          <w:rFonts w:hint="eastAsia"/>
          <w:sz w:val="24"/>
          <w:szCs w:val="24"/>
        </w:rPr>
        <w:t>8</w:t>
      </w:r>
      <w:r>
        <w:rPr>
          <w:rFonts w:hAnsi="宋体"/>
          <w:sz w:val="24"/>
          <w:szCs w:val="24"/>
        </w:rPr>
        <w:t>）在事件发生时，根据指挥中心指令，批准本预案的启动与终止，确定现场指挥人员，协调事件现场有关工作；</w:t>
      </w:r>
      <w:r>
        <w:rPr>
          <w:sz w:val="24"/>
          <w:szCs w:val="24"/>
        </w:rPr>
        <w:t xml:space="preserve"> </w:t>
      </w:r>
    </w:p>
    <w:p>
      <w:pPr>
        <w:spacing w:line="360" w:lineRule="auto"/>
        <w:ind w:firstLine="480" w:firstLineChars="200"/>
        <w:jc w:val="left"/>
        <w:rPr>
          <w:sz w:val="24"/>
          <w:szCs w:val="24"/>
        </w:rPr>
      </w:pPr>
      <w:r>
        <w:rPr>
          <w:rFonts w:hAnsi="宋体"/>
          <w:sz w:val="24"/>
          <w:szCs w:val="24"/>
        </w:rPr>
        <w:t>（</w:t>
      </w:r>
      <w:r>
        <w:rPr>
          <w:rFonts w:hint="eastAsia"/>
          <w:sz w:val="24"/>
          <w:szCs w:val="24"/>
        </w:rPr>
        <w:t>9</w:t>
      </w:r>
      <w:r>
        <w:rPr>
          <w:rFonts w:hAnsi="宋体"/>
          <w:sz w:val="24"/>
          <w:szCs w:val="24"/>
        </w:rPr>
        <w:t>）负责事件信息的收集整理，全面准确地掌握事件状况，提供动态信息，经总指挥同意后及时向上级应急指挥机构报告事件和应急救援进展情况，并负责可能受影响区域的通报工作；</w:t>
      </w:r>
      <w:r>
        <w:rPr>
          <w:sz w:val="24"/>
          <w:szCs w:val="24"/>
        </w:rPr>
        <w:t xml:space="preserve"> </w:t>
      </w:r>
    </w:p>
    <w:p>
      <w:pPr>
        <w:spacing w:line="360" w:lineRule="auto"/>
        <w:ind w:firstLine="480" w:firstLineChars="200"/>
        <w:jc w:val="left"/>
        <w:rPr>
          <w:sz w:val="24"/>
          <w:szCs w:val="24"/>
        </w:rPr>
      </w:pPr>
      <w:r>
        <w:rPr>
          <w:rFonts w:hAnsi="宋体"/>
          <w:sz w:val="24"/>
          <w:szCs w:val="24"/>
        </w:rPr>
        <w:t>（</w:t>
      </w:r>
      <w:r>
        <w:rPr>
          <w:sz w:val="24"/>
          <w:szCs w:val="24"/>
        </w:rPr>
        <w:t>1</w:t>
      </w:r>
      <w:r>
        <w:rPr>
          <w:rFonts w:hint="eastAsia"/>
          <w:sz w:val="24"/>
          <w:szCs w:val="24"/>
        </w:rPr>
        <w:t>0</w:t>
      </w:r>
      <w:r>
        <w:rPr>
          <w:rFonts w:hAnsi="宋体"/>
          <w:sz w:val="24"/>
          <w:szCs w:val="24"/>
        </w:rPr>
        <w:t>）负责应急队伍的调动和资源配置；</w:t>
      </w:r>
    </w:p>
    <w:p>
      <w:pPr>
        <w:spacing w:line="360" w:lineRule="auto"/>
        <w:ind w:firstLine="480" w:firstLineChars="200"/>
        <w:jc w:val="left"/>
        <w:rPr>
          <w:sz w:val="24"/>
          <w:szCs w:val="24"/>
        </w:rPr>
      </w:pPr>
      <w:r>
        <w:rPr>
          <w:rFonts w:hAnsi="宋体"/>
          <w:sz w:val="24"/>
          <w:szCs w:val="24"/>
        </w:rPr>
        <w:t>（</w:t>
      </w:r>
      <w:r>
        <w:rPr>
          <w:sz w:val="24"/>
          <w:szCs w:val="24"/>
        </w:rPr>
        <w:t>1</w:t>
      </w:r>
      <w:r>
        <w:rPr>
          <w:rFonts w:hint="eastAsia"/>
          <w:sz w:val="24"/>
          <w:szCs w:val="24"/>
        </w:rPr>
        <w:t>1</w:t>
      </w:r>
      <w:r>
        <w:rPr>
          <w:rFonts w:hAnsi="宋体"/>
          <w:sz w:val="24"/>
          <w:szCs w:val="24"/>
        </w:rPr>
        <w:t>）负责应急状态下请求外部救援力量的决策；</w:t>
      </w:r>
      <w:r>
        <w:rPr>
          <w:sz w:val="24"/>
          <w:szCs w:val="24"/>
        </w:rPr>
        <w:t xml:space="preserve"> </w:t>
      </w:r>
    </w:p>
    <w:p>
      <w:pPr>
        <w:spacing w:line="360" w:lineRule="auto"/>
        <w:ind w:firstLine="480" w:firstLineChars="200"/>
        <w:jc w:val="left"/>
        <w:rPr>
          <w:sz w:val="24"/>
          <w:szCs w:val="24"/>
        </w:rPr>
      </w:pPr>
      <w:r>
        <w:rPr>
          <w:rFonts w:hAnsi="宋体"/>
          <w:sz w:val="24"/>
          <w:szCs w:val="24"/>
        </w:rPr>
        <w:t>（</w:t>
      </w:r>
      <w:r>
        <w:rPr>
          <w:sz w:val="24"/>
          <w:szCs w:val="24"/>
        </w:rPr>
        <w:t>1</w:t>
      </w:r>
      <w:r>
        <w:rPr>
          <w:rFonts w:hint="eastAsia"/>
          <w:sz w:val="24"/>
          <w:szCs w:val="24"/>
        </w:rPr>
        <w:t>2</w:t>
      </w:r>
      <w:r>
        <w:rPr>
          <w:rFonts w:hAnsi="宋体"/>
          <w:sz w:val="24"/>
          <w:szCs w:val="24"/>
        </w:rPr>
        <w:t>）负责保护事件现场及相关数据；</w:t>
      </w:r>
    </w:p>
    <w:p>
      <w:pPr>
        <w:spacing w:line="360" w:lineRule="auto"/>
        <w:ind w:firstLine="480" w:firstLineChars="200"/>
        <w:rPr>
          <w:rFonts w:hint="eastAsia"/>
          <w:sz w:val="24"/>
          <w:szCs w:val="24"/>
        </w:rPr>
      </w:pPr>
      <w:r>
        <w:rPr>
          <w:sz w:val="24"/>
          <w:szCs w:val="24"/>
        </w:rPr>
        <w:t>（1</w:t>
      </w:r>
      <w:r>
        <w:rPr>
          <w:rFonts w:hint="eastAsia"/>
          <w:sz w:val="24"/>
          <w:szCs w:val="24"/>
        </w:rPr>
        <w:t>3</w:t>
      </w:r>
      <w:r>
        <w:rPr>
          <w:sz w:val="24"/>
          <w:szCs w:val="24"/>
        </w:rPr>
        <w:t>）接受上级应急指挥机构的指令和调动，协助事件的处理；配合相关部门对环境进行修复、事件调查及总结</w:t>
      </w:r>
      <w:r>
        <w:rPr>
          <w:rFonts w:hint="eastAsia"/>
          <w:sz w:val="24"/>
          <w:szCs w:val="24"/>
        </w:rPr>
        <w:t>。</w:t>
      </w:r>
    </w:p>
    <w:p>
      <w:pPr>
        <w:pStyle w:val="3"/>
        <w:rPr>
          <w:rFonts w:hint="eastAsia"/>
        </w:rPr>
      </w:pPr>
      <w:bookmarkStart w:id="658" w:name="_Toc461048110"/>
      <w:bookmarkStart w:id="659" w:name="_Toc338230952"/>
      <w:bookmarkStart w:id="660" w:name="_Toc338228598"/>
      <w:r>
        <w:rPr>
          <w:rFonts w:hint="eastAsia"/>
        </w:rPr>
        <w:t>4.3 应急救援专业组</w:t>
      </w:r>
      <w:bookmarkEnd w:id="658"/>
      <w:bookmarkEnd w:id="659"/>
      <w:bookmarkEnd w:id="660"/>
    </w:p>
    <w:p>
      <w:pPr>
        <w:rPr>
          <w:rFonts w:hint="eastAsia" w:ascii="宋体" w:hAnsi="宋体"/>
          <w:sz w:val="24"/>
          <w:szCs w:val="24"/>
        </w:rPr>
      </w:pPr>
      <w:r>
        <w:rPr>
          <w:rFonts w:hint="eastAsia"/>
        </w:rPr>
        <w:t xml:space="preserve">    </w:t>
      </w:r>
      <w:r>
        <w:rPr>
          <w:rFonts w:hint="eastAsia" w:ascii="宋体" w:hAnsi="宋体"/>
          <w:sz w:val="24"/>
          <w:szCs w:val="24"/>
        </w:rPr>
        <w:t>应急指挥部下设6个应急救援专业小组，救援小组工作职责见表4.3—1。</w:t>
      </w:r>
    </w:p>
    <w:p>
      <w:pPr>
        <w:pStyle w:val="37"/>
        <w:spacing w:line="360" w:lineRule="auto"/>
        <w:ind w:firstLine="0" w:firstLineChars="0"/>
        <w:jc w:val="center"/>
        <w:rPr>
          <w:rFonts w:hint="eastAsia" w:ascii="Times New Roman"/>
          <w:b/>
          <w:sz w:val="24"/>
          <w:szCs w:val="24"/>
        </w:rPr>
      </w:pPr>
      <w:r>
        <w:rPr>
          <w:rFonts w:ascii="Times New Roman"/>
          <w:sz w:val="24"/>
          <w:szCs w:val="24"/>
        </w:rPr>
        <w:br w:type="page"/>
      </w:r>
      <w:r>
        <w:rPr>
          <w:rFonts w:hint="eastAsia" w:ascii="Times New Roman"/>
          <w:b/>
          <w:sz w:val="24"/>
          <w:szCs w:val="24"/>
        </w:rPr>
        <w:t>表4.3—1   应急救援小组工作职责</w:t>
      </w:r>
    </w:p>
    <w:tbl>
      <w:tblPr>
        <w:tblStyle w:val="21"/>
        <w:tblW w:w="850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4"/>
        <w:gridCol w:w="1842"/>
        <w:gridCol w:w="58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5" w:hRule="atLeast"/>
          <w:jc w:val="center"/>
        </w:trPr>
        <w:tc>
          <w:tcPr>
            <w:tcW w:w="824" w:type="dxa"/>
            <w:vAlign w:val="top"/>
          </w:tcPr>
          <w:p>
            <w:pPr>
              <w:jc w:val="center"/>
              <w:rPr>
                <w:rFonts w:hint="eastAsia" w:ascii="Times New Roman" w:hAnsi="Times New Roman"/>
                <w:szCs w:val="21"/>
              </w:rPr>
            </w:pPr>
            <w:r>
              <w:rPr>
                <w:rFonts w:hint="eastAsia" w:ascii="Times New Roman" w:hAnsi="Times New Roman"/>
                <w:szCs w:val="21"/>
              </w:rPr>
              <w:t>序号</w:t>
            </w:r>
          </w:p>
        </w:tc>
        <w:tc>
          <w:tcPr>
            <w:tcW w:w="1842" w:type="dxa"/>
            <w:vAlign w:val="center"/>
          </w:tcPr>
          <w:p>
            <w:pPr>
              <w:jc w:val="center"/>
              <w:rPr>
                <w:rFonts w:hint="eastAsia" w:ascii="Times New Roman" w:hAnsi="Times New Roman"/>
                <w:szCs w:val="21"/>
              </w:rPr>
            </w:pPr>
            <w:r>
              <w:rPr>
                <w:rFonts w:hint="eastAsia" w:ascii="Times New Roman" w:hAnsi="Times New Roman"/>
                <w:szCs w:val="21"/>
              </w:rPr>
              <w:t>救援小组名称</w:t>
            </w:r>
          </w:p>
        </w:tc>
        <w:tc>
          <w:tcPr>
            <w:tcW w:w="5839" w:type="dxa"/>
            <w:vAlign w:val="center"/>
          </w:tcPr>
          <w:p>
            <w:pPr>
              <w:jc w:val="center"/>
              <w:rPr>
                <w:rFonts w:hint="eastAsia" w:ascii="Times New Roman" w:hAnsi="Times New Roman"/>
                <w:szCs w:val="21"/>
              </w:rPr>
            </w:pPr>
            <w:r>
              <w:rPr>
                <w:rFonts w:hint="eastAsia" w:ascii="Times New Roman" w:hAnsi="Times New Roman"/>
                <w:szCs w:val="21"/>
              </w:rPr>
              <w:t>工作职责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5" w:hRule="atLeast"/>
          <w:jc w:val="center"/>
        </w:trPr>
        <w:tc>
          <w:tcPr>
            <w:tcW w:w="824" w:type="dxa"/>
            <w:vAlign w:val="center"/>
          </w:tcPr>
          <w:p>
            <w:pPr>
              <w:jc w:val="center"/>
              <w:rPr>
                <w:rFonts w:hint="eastAsia" w:hAnsi="宋体"/>
                <w:szCs w:val="21"/>
              </w:rPr>
            </w:pPr>
            <w:r>
              <w:rPr>
                <w:rFonts w:hint="eastAsia" w:hAnsi="宋体"/>
                <w:szCs w:val="21"/>
              </w:rPr>
              <w:t>1</w:t>
            </w:r>
          </w:p>
        </w:tc>
        <w:tc>
          <w:tcPr>
            <w:tcW w:w="1842" w:type="dxa"/>
            <w:vAlign w:val="center"/>
          </w:tcPr>
          <w:p>
            <w:pPr>
              <w:jc w:val="center"/>
              <w:rPr>
                <w:rFonts w:hint="eastAsia" w:ascii="Times New Roman" w:hAnsi="Times New Roman"/>
                <w:szCs w:val="21"/>
              </w:rPr>
            </w:pPr>
            <w:r>
              <w:rPr>
                <w:rFonts w:hint="eastAsia" w:ascii="Times New Roman" w:hAnsi="Times New Roman"/>
                <w:szCs w:val="21"/>
              </w:rPr>
              <w:t>消防抢险组</w:t>
            </w:r>
          </w:p>
        </w:tc>
        <w:tc>
          <w:tcPr>
            <w:tcW w:w="5839" w:type="dxa"/>
            <w:vAlign w:val="center"/>
          </w:tcPr>
          <w:p>
            <w:pPr>
              <w:rPr>
                <w:rFonts w:hint="eastAsia" w:ascii="宋体" w:hAnsi="宋体"/>
                <w:szCs w:val="21"/>
              </w:rPr>
            </w:pPr>
            <w:r>
              <w:rPr>
                <w:rFonts w:hint="eastAsia" w:ascii="宋体" w:hAnsi="宋体"/>
                <w:szCs w:val="21"/>
              </w:rPr>
              <w:t>a.接到通知后，迅速集合队伍奔赴现场，根据事故情形正确配戴个人防护用具，协助事故发生单位迅速切断事故源和排除现场的易燃易爆等危险物质；</w:t>
            </w:r>
          </w:p>
          <w:p>
            <w:pPr>
              <w:rPr>
                <w:rFonts w:hint="eastAsia" w:ascii="宋体" w:hAnsi="宋体"/>
                <w:szCs w:val="21"/>
              </w:rPr>
            </w:pPr>
            <w:r>
              <w:rPr>
                <w:rFonts w:hint="eastAsia" w:ascii="宋体" w:hAnsi="宋体"/>
                <w:szCs w:val="21"/>
              </w:rPr>
              <w:t>b.根据指挥部下达的指令，迅速抢修设备、管道，控制事故，以防扩大；查明有无中毒人员及操作者被困，及时使严重中毒者、被困者脱离危险区域；</w:t>
            </w:r>
          </w:p>
          <w:p>
            <w:pPr>
              <w:rPr>
                <w:rFonts w:hint="eastAsia" w:ascii="宋体" w:hAnsi="宋体"/>
                <w:szCs w:val="21"/>
              </w:rPr>
            </w:pPr>
            <w:r>
              <w:rPr>
                <w:rFonts w:hint="eastAsia" w:ascii="宋体" w:hAnsi="宋体"/>
                <w:szCs w:val="21"/>
              </w:rPr>
              <w:t>b. 现场指导抢救人员，消除危险物品，开启现场固定消防装置进行灭火；</w:t>
            </w:r>
          </w:p>
          <w:p>
            <w:pPr>
              <w:rPr>
                <w:rFonts w:hint="eastAsia" w:ascii="宋体" w:hAnsi="宋体"/>
                <w:szCs w:val="21"/>
              </w:rPr>
            </w:pPr>
            <w:r>
              <w:rPr>
                <w:rFonts w:hint="eastAsia" w:ascii="宋体" w:hAnsi="宋体"/>
                <w:szCs w:val="21"/>
              </w:rPr>
              <w:t>c. 负责现场灭火过程的通讯联络，视火灾情况及时向指挥部报告，请求联防力量支援；</w:t>
            </w:r>
          </w:p>
          <w:p>
            <w:pPr>
              <w:rPr>
                <w:rFonts w:hint="eastAsia" w:ascii="宋体" w:hAnsi="宋体"/>
                <w:szCs w:val="21"/>
              </w:rPr>
            </w:pPr>
            <w:r>
              <w:rPr>
                <w:rFonts w:hint="eastAsia" w:ascii="宋体" w:hAnsi="宋体"/>
                <w:szCs w:val="21"/>
              </w:rPr>
              <w:t>d. 现场固定消防泵、移动灭火器等要按规定经常检查，确保其处于良好的备用状态；</w:t>
            </w:r>
          </w:p>
          <w:p>
            <w:pPr>
              <w:rPr>
                <w:rFonts w:hint="eastAsia" w:ascii="宋体" w:hAnsi="宋体"/>
                <w:szCs w:val="21"/>
              </w:rPr>
            </w:pPr>
            <w:r>
              <w:rPr>
                <w:rFonts w:hint="eastAsia" w:ascii="宋体" w:hAnsi="宋体"/>
                <w:szCs w:val="21"/>
              </w:rPr>
              <w:t>e. 负责向上级消防救援力量提供燃烧介质的消防特性，中毒防护方法，着火设备的禁忌注意事项；</w:t>
            </w:r>
          </w:p>
          <w:p>
            <w:pPr>
              <w:rPr>
                <w:rFonts w:hint="eastAsia" w:ascii="宋体" w:hAnsi="宋体"/>
                <w:szCs w:val="21"/>
              </w:rPr>
            </w:pPr>
            <w:r>
              <w:rPr>
                <w:rFonts w:hint="eastAsia" w:ascii="宋体" w:hAnsi="宋体"/>
                <w:szCs w:val="21"/>
              </w:rPr>
              <w:t>f. 有计划地开展灭火预案的演习，熟悉消防重点的灭火预案，提高灭火抢救的战斗力。</w:t>
            </w:r>
          </w:p>
          <w:p>
            <w:pPr>
              <w:rPr>
                <w:rFonts w:hint="eastAsia" w:ascii="Times New Roman" w:hAnsi="Times New Roman"/>
                <w:szCs w:val="21"/>
              </w:rPr>
            </w:pPr>
            <w:r>
              <w:rPr>
                <w:rFonts w:hint="eastAsia" w:ascii="宋体" w:hAnsi="宋体"/>
                <w:szCs w:val="21"/>
              </w:rPr>
              <w:t>g.有计划、有针对性地预测设备、管道泄漏部位，进行计划性检修，并进行封、围、堵等抢救措施的训练和实战演习。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5" w:hRule="atLeast"/>
          <w:jc w:val="center"/>
        </w:trPr>
        <w:tc>
          <w:tcPr>
            <w:tcW w:w="824" w:type="dxa"/>
            <w:vAlign w:val="center"/>
          </w:tcPr>
          <w:p>
            <w:pPr>
              <w:jc w:val="center"/>
              <w:rPr>
                <w:rFonts w:hint="eastAsia" w:hAnsi="宋体"/>
                <w:szCs w:val="21"/>
              </w:rPr>
            </w:pPr>
            <w:r>
              <w:rPr>
                <w:rFonts w:hint="eastAsia" w:hAnsi="宋体"/>
                <w:szCs w:val="21"/>
              </w:rPr>
              <w:t>2</w:t>
            </w:r>
          </w:p>
        </w:tc>
        <w:tc>
          <w:tcPr>
            <w:tcW w:w="1842" w:type="dxa"/>
            <w:vAlign w:val="center"/>
          </w:tcPr>
          <w:p>
            <w:pPr>
              <w:jc w:val="center"/>
              <w:rPr>
                <w:rFonts w:hint="eastAsia" w:ascii="Times New Roman" w:hAnsi="Times New Roman"/>
                <w:szCs w:val="21"/>
              </w:rPr>
            </w:pPr>
            <w:r>
              <w:rPr>
                <w:rFonts w:hint="eastAsia" w:ascii="Times New Roman" w:hAnsi="Times New Roman"/>
                <w:szCs w:val="21"/>
              </w:rPr>
              <w:t>安全警戒组</w:t>
            </w:r>
          </w:p>
        </w:tc>
        <w:tc>
          <w:tcPr>
            <w:tcW w:w="5839" w:type="dxa"/>
            <w:vAlign w:val="center"/>
          </w:tcPr>
          <w:p>
            <w:pPr>
              <w:rPr>
                <w:rFonts w:hint="eastAsia" w:ascii="宋体" w:hAnsi="宋体"/>
                <w:szCs w:val="21"/>
              </w:rPr>
            </w:pPr>
            <w:r>
              <w:rPr>
                <w:rFonts w:hint="eastAsia" w:ascii="宋体" w:hAnsi="宋体"/>
                <w:szCs w:val="21"/>
              </w:rPr>
              <w:t>a.发生事故后，保卫处根据事故情景配戴好防护服、防毒面具等，迅速奔赴现场；根据火灾爆炸（泄漏）影响范围，设置禁区，布置岗哨，加强警戒，巡逻检查，严禁无关人员进入禁区；</w:t>
            </w:r>
          </w:p>
          <w:p>
            <w:pPr>
              <w:rPr>
                <w:rFonts w:hint="eastAsia" w:ascii="宋体" w:hAnsi="宋体"/>
                <w:szCs w:val="21"/>
              </w:rPr>
            </w:pPr>
            <w:r>
              <w:rPr>
                <w:rFonts w:hint="eastAsia" w:ascii="宋体" w:hAnsi="宋体"/>
                <w:szCs w:val="21"/>
              </w:rPr>
              <w:t>b.接到报警后，封闭厂区大门，维持厂区道路交通程序，引导外来救援力量进入事故发生点，严禁外来人员入厂围观；</w:t>
            </w:r>
          </w:p>
          <w:p>
            <w:pPr>
              <w:rPr>
                <w:rFonts w:hint="eastAsia" w:ascii="宋体" w:hAnsi="宋体"/>
                <w:szCs w:val="21"/>
              </w:rPr>
            </w:pPr>
            <w:r>
              <w:rPr>
                <w:rFonts w:hint="eastAsia" w:ascii="宋体" w:hAnsi="宋体"/>
                <w:szCs w:val="21"/>
              </w:rPr>
              <w:t>c.保卫处应到事故发生区域封路，指挥抢救车辆行驶路线。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5" w:hRule="atLeast"/>
          <w:jc w:val="center"/>
        </w:trPr>
        <w:tc>
          <w:tcPr>
            <w:tcW w:w="824" w:type="dxa"/>
            <w:vAlign w:val="center"/>
          </w:tcPr>
          <w:p>
            <w:pPr>
              <w:jc w:val="center"/>
              <w:rPr>
                <w:rFonts w:hint="eastAsia" w:ascii="Times New Roman" w:hAnsi="Times New Roman"/>
                <w:szCs w:val="21"/>
              </w:rPr>
            </w:pPr>
            <w:r>
              <w:rPr>
                <w:rFonts w:hint="eastAsia" w:ascii="Times New Roman" w:hAnsi="Times New Roman"/>
                <w:szCs w:val="21"/>
              </w:rPr>
              <w:t>3</w:t>
            </w:r>
          </w:p>
        </w:tc>
        <w:tc>
          <w:tcPr>
            <w:tcW w:w="1842" w:type="dxa"/>
            <w:vAlign w:val="center"/>
          </w:tcPr>
          <w:p>
            <w:pPr>
              <w:jc w:val="center"/>
              <w:rPr>
                <w:rFonts w:hint="eastAsia" w:ascii="Times New Roman" w:hAnsi="Times New Roman"/>
                <w:szCs w:val="21"/>
              </w:rPr>
            </w:pPr>
            <w:r>
              <w:rPr>
                <w:rFonts w:hint="eastAsia" w:ascii="Times New Roman" w:hAnsi="Times New Roman"/>
                <w:szCs w:val="21"/>
              </w:rPr>
              <w:t>医疗救护组</w:t>
            </w:r>
          </w:p>
        </w:tc>
        <w:tc>
          <w:tcPr>
            <w:tcW w:w="5839" w:type="dxa"/>
            <w:vAlign w:val="center"/>
          </w:tcPr>
          <w:p>
            <w:pPr>
              <w:rPr>
                <w:rFonts w:hint="eastAsia" w:ascii="宋体" w:hAnsi="宋体"/>
                <w:szCs w:val="21"/>
              </w:rPr>
            </w:pPr>
            <w:r>
              <w:rPr>
                <w:rFonts w:hint="eastAsia" w:ascii="宋体" w:hAnsi="宋体"/>
                <w:szCs w:val="21"/>
              </w:rPr>
              <w:t>a.熟悉厂区内危险物质对人体危害的特性及相应的医疗急救措施；</w:t>
            </w:r>
          </w:p>
          <w:p>
            <w:pPr>
              <w:rPr>
                <w:rFonts w:hint="eastAsia" w:ascii="宋体" w:hAnsi="宋体"/>
                <w:szCs w:val="21"/>
              </w:rPr>
            </w:pPr>
            <w:r>
              <w:rPr>
                <w:rFonts w:hint="eastAsia" w:ascii="宋体" w:hAnsi="宋体"/>
                <w:szCs w:val="21"/>
              </w:rPr>
              <w:t>b.储备足量的急救器材和药品，并能随时取用；</w:t>
            </w:r>
          </w:p>
          <w:p>
            <w:pPr>
              <w:rPr>
                <w:rFonts w:hint="eastAsia" w:ascii="宋体" w:hAnsi="宋体"/>
                <w:szCs w:val="21"/>
              </w:rPr>
            </w:pPr>
            <w:r>
              <w:rPr>
                <w:rFonts w:hint="eastAsia" w:ascii="宋体" w:hAnsi="宋体"/>
                <w:szCs w:val="21"/>
              </w:rPr>
              <w:t>c.事故发生后，应迅速做好准备工作，伤者送来后，根据受伤症状，及时采取相应的急救措施对伤者进行急救，重伤员及时转院抢救；</w:t>
            </w:r>
          </w:p>
          <w:p>
            <w:pPr>
              <w:rPr>
                <w:rFonts w:hint="eastAsia" w:ascii="宋体" w:hAnsi="宋体"/>
                <w:szCs w:val="21"/>
              </w:rPr>
            </w:pPr>
            <w:r>
              <w:rPr>
                <w:rFonts w:hint="eastAsia" w:ascii="宋体" w:hAnsi="宋体"/>
                <w:szCs w:val="21"/>
              </w:rPr>
              <w:t>d.当厂区急救力量无法满足需要时，向其他医疗单位申请救援并迅速转移伤者。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5" w:hRule="atLeast"/>
          <w:jc w:val="center"/>
        </w:trPr>
        <w:tc>
          <w:tcPr>
            <w:tcW w:w="824" w:type="dxa"/>
            <w:vAlign w:val="center"/>
          </w:tcPr>
          <w:p>
            <w:pPr>
              <w:jc w:val="center"/>
              <w:rPr>
                <w:rFonts w:hint="eastAsia" w:ascii="Times New Roman" w:hAnsi="Times New Roman"/>
                <w:szCs w:val="21"/>
              </w:rPr>
            </w:pPr>
            <w:r>
              <w:rPr>
                <w:rFonts w:hint="eastAsia" w:ascii="Times New Roman" w:hAnsi="Times New Roman"/>
                <w:szCs w:val="21"/>
              </w:rPr>
              <w:t>4</w:t>
            </w:r>
          </w:p>
        </w:tc>
        <w:tc>
          <w:tcPr>
            <w:tcW w:w="1842" w:type="dxa"/>
            <w:vAlign w:val="center"/>
          </w:tcPr>
          <w:p>
            <w:pPr>
              <w:jc w:val="center"/>
              <w:rPr>
                <w:rFonts w:hint="eastAsia" w:ascii="Times New Roman" w:hAnsi="Times New Roman"/>
                <w:szCs w:val="21"/>
              </w:rPr>
            </w:pPr>
            <w:r>
              <w:rPr>
                <w:rFonts w:hint="eastAsia" w:ascii="Times New Roman" w:hAnsi="Times New Roman"/>
                <w:szCs w:val="21"/>
              </w:rPr>
              <w:t>物资供应组</w:t>
            </w:r>
          </w:p>
        </w:tc>
        <w:tc>
          <w:tcPr>
            <w:tcW w:w="5839" w:type="dxa"/>
            <w:vAlign w:val="center"/>
          </w:tcPr>
          <w:p>
            <w:pPr>
              <w:rPr>
                <w:rFonts w:hint="eastAsia" w:ascii="宋体" w:hAnsi="宋体"/>
                <w:szCs w:val="21"/>
              </w:rPr>
            </w:pPr>
            <w:r>
              <w:rPr>
                <w:rFonts w:hint="eastAsia" w:ascii="宋体" w:hAnsi="宋体"/>
                <w:szCs w:val="21"/>
              </w:rPr>
              <w:t>a.物资供应队（供应部）在接到报警后，根据现场实际需要，准备抢险抢救物质及设备等工具；</w:t>
            </w:r>
          </w:p>
          <w:p>
            <w:pPr>
              <w:rPr>
                <w:rFonts w:hint="eastAsia" w:ascii="宋体" w:hAnsi="宋体"/>
                <w:szCs w:val="21"/>
              </w:rPr>
            </w:pPr>
            <w:r>
              <w:rPr>
                <w:rFonts w:hint="eastAsia" w:ascii="宋体" w:hAnsi="宋体"/>
                <w:szCs w:val="21"/>
              </w:rPr>
              <w:t>b.根据生产部门、事故装置查明事故部位管线、法兰、阀门、设备等型号及几何尺寸，对照库存储备，及时准确地提供备件；</w:t>
            </w:r>
          </w:p>
          <w:p>
            <w:pPr>
              <w:rPr>
                <w:rFonts w:hint="eastAsia" w:ascii="宋体" w:hAnsi="宋体"/>
                <w:szCs w:val="21"/>
              </w:rPr>
            </w:pPr>
            <w:r>
              <w:rPr>
                <w:rFonts w:hint="eastAsia" w:ascii="宋体" w:hAnsi="宋体"/>
                <w:szCs w:val="21"/>
              </w:rPr>
              <w:t>c.根据事故的程度，及时向外单位联系，调剂物质、工程器具等；</w:t>
            </w:r>
          </w:p>
          <w:p>
            <w:pPr>
              <w:rPr>
                <w:rFonts w:hint="eastAsia" w:ascii="宋体" w:hAnsi="宋体"/>
                <w:szCs w:val="21"/>
              </w:rPr>
            </w:pPr>
            <w:r>
              <w:rPr>
                <w:rFonts w:hint="eastAsia" w:ascii="宋体" w:hAnsi="宋体"/>
                <w:szCs w:val="21"/>
              </w:rPr>
              <w:t>d.负责抢救受伤、中毒人员的生活必需品的供应；</w:t>
            </w:r>
          </w:p>
          <w:p>
            <w:pPr>
              <w:rPr>
                <w:rFonts w:hint="eastAsia" w:ascii="Times New Roman" w:hAnsi="Times New Roman"/>
                <w:szCs w:val="21"/>
              </w:rPr>
            </w:pPr>
            <w:r>
              <w:rPr>
                <w:rFonts w:hint="eastAsia" w:ascii="宋体" w:hAnsi="宋体"/>
                <w:szCs w:val="21"/>
              </w:rPr>
              <w:t>e.负责抢险救援物质的运输。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5" w:hRule="atLeast"/>
          <w:jc w:val="center"/>
        </w:trPr>
        <w:tc>
          <w:tcPr>
            <w:tcW w:w="824" w:type="dxa"/>
            <w:vAlign w:val="center"/>
          </w:tcPr>
          <w:p>
            <w:pPr>
              <w:jc w:val="center"/>
              <w:rPr>
                <w:rFonts w:hint="eastAsia" w:ascii="Times New Roman" w:hAnsi="Times New Roman"/>
                <w:szCs w:val="21"/>
              </w:rPr>
            </w:pPr>
            <w:r>
              <w:rPr>
                <w:rFonts w:hint="eastAsia" w:ascii="Times New Roman" w:hAnsi="Times New Roman"/>
                <w:szCs w:val="21"/>
              </w:rPr>
              <w:t>5</w:t>
            </w:r>
          </w:p>
        </w:tc>
        <w:tc>
          <w:tcPr>
            <w:tcW w:w="1842" w:type="dxa"/>
            <w:vAlign w:val="center"/>
          </w:tcPr>
          <w:p>
            <w:pPr>
              <w:jc w:val="center"/>
              <w:rPr>
                <w:rFonts w:hint="eastAsia" w:ascii="Times New Roman" w:hAnsi="Times New Roman"/>
                <w:szCs w:val="21"/>
              </w:rPr>
            </w:pPr>
            <w:r>
              <w:rPr>
                <w:rFonts w:hint="eastAsia" w:ascii="Times New Roman" w:hAnsi="Times New Roman"/>
                <w:szCs w:val="21"/>
              </w:rPr>
              <w:t>通信联络组</w:t>
            </w:r>
          </w:p>
        </w:tc>
        <w:tc>
          <w:tcPr>
            <w:tcW w:w="5839" w:type="dxa"/>
            <w:vAlign w:val="center"/>
          </w:tcPr>
          <w:p>
            <w:pPr>
              <w:rPr>
                <w:rFonts w:hint="eastAsia" w:ascii="宋体" w:hAnsi="宋体"/>
                <w:szCs w:val="21"/>
              </w:rPr>
            </w:pPr>
            <w:r>
              <w:rPr>
                <w:rFonts w:hint="eastAsia" w:ascii="宋体" w:hAnsi="宋体"/>
                <w:szCs w:val="21"/>
              </w:rPr>
              <w:t>a.通讯联络队（公司办）接到报警后，立即采取措施中断一般外线电话，确保事故处理外线畅通，应急指挥部处理事故所用电话迅速、准备无误。</w:t>
            </w:r>
          </w:p>
          <w:p>
            <w:pPr>
              <w:rPr>
                <w:rFonts w:hint="eastAsia" w:ascii="宋体" w:hAnsi="宋体"/>
                <w:szCs w:val="21"/>
              </w:rPr>
            </w:pPr>
            <w:r>
              <w:rPr>
                <w:rFonts w:hint="eastAsia" w:ascii="宋体" w:hAnsi="宋体"/>
                <w:szCs w:val="21"/>
              </w:rPr>
              <w:t>b.迅速通知应急指挥部、各救援专业队及有关部门、单位，查明事故源外泄部位及原因，采取紧急措施，防止事故扩大，下达按应急预案处置的指令；</w:t>
            </w:r>
          </w:p>
          <w:p>
            <w:pPr>
              <w:rPr>
                <w:rFonts w:hint="eastAsia" w:ascii="Times New Roman" w:hAnsi="Times New Roman"/>
                <w:szCs w:val="21"/>
              </w:rPr>
            </w:pPr>
            <w:r>
              <w:rPr>
                <w:rFonts w:hint="eastAsia" w:ascii="宋体" w:hAnsi="宋体"/>
                <w:szCs w:val="21"/>
              </w:rPr>
              <w:t>c.接受指挥部指令对外信息发布。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5" w:hRule="atLeast"/>
          <w:jc w:val="center"/>
        </w:trPr>
        <w:tc>
          <w:tcPr>
            <w:tcW w:w="824" w:type="dxa"/>
            <w:vAlign w:val="center"/>
          </w:tcPr>
          <w:p>
            <w:pPr>
              <w:jc w:val="center"/>
              <w:rPr>
                <w:rFonts w:hint="eastAsia" w:ascii="Times New Roman" w:hAnsi="Times New Roman"/>
                <w:szCs w:val="21"/>
              </w:rPr>
            </w:pPr>
            <w:r>
              <w:rPr>
                <w:rFonts w:hint="eastAsia" w:ascii="Times New Roman" w:hAnsi="Times New Roman"/>
                <w:szCs w:val="21"/>
              </w:rPr>
              <w:t>6</w:t>
            </w:r>
          </w:p>
        </w:tc>
        <w:tc>
          <w:tcPr>
            <w:tcW w:w="1842" w:type="dxa"/>
            <w:vAlign w:val="center"/>
          </w:tcPr>
          <w:p>
            <w:pPr>
              <w:jc w:val="center"/>
              <w:rPr>
                <w:rFonts w:hint="eastAsia" w:ascii="Times New Roman" w:hAnsi="Times New Roman"/>
                <w:szCs w:val="21"/>
              </w:rPr>
            </w:pPr>
            <w:r>
              <w:rPr>
                <w:rFonts w:hint="eastAsia" w:ascii="Times New Roman" w:hAnsi="Times New Roman"/>
                <w:szCs w:val="21"/>
              </w:rPr>
              <w:t>技安能源组</w:t>
            </w:r>
          </w:p>
        </w:tc>
        <w:tc>
          <w:tcPr>
            <w:tcW w:w="5839" w:type="dxa"/>
            <w:vAlign w:val="center"/>
          </w:tcPr>
          <w:p>
            <w:pPr>
              <w:rPr>
                <w:rFonts w:hint="eastAsia" w:ascii="宋体" w:hAnsi="宋体"/>
                <w:szCs w:val="21"/>
              </w:rPr>
            </w:pPr>
            <w:r>
              <w:rPr>
                <w:rFonts w:hint="eastAsia" w:ascii="宋体" w:hAnsi="宋体"/>
                <w:szCs w:val="21"/>
              </w:rPr>
              <w:t>a.负责对事故发展情况及对周边环境影响的监测，对火灾爆炸气态泄漏物去向进行跟踪监测。将监测结果及时报告应急救援指挥部。</w:t>
            </w:r>
          </w:p>
          <w:p>
            <w:pPr>
              <w:rPr>
                <w:rFonts w:hint="eastAsia" w:ascii="宋体" w:hAnsi="宋体"/>
                <w:szCs w:val="21"/>
              </w:rPr>
            </w:pPr>
            <w:r>
              <w:rPr>
                <w:rFonts w:hint="eastAsia" w:ascii="宋体" w:hAnsi="宋体"/>
                <w:szCs w:val="21"/>
              </w:rPr>
              <w:t>b.负责公众疏散（包括厂内人员和厂外周边人员），引导消防人员或医护人员进入事故现场。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5" w:hRule="atLeast"/>
          <w:jc w:val="center"/>
        </w:trPr>
        <w:tc>
          <w:tcPr>
            <w:tcW w:w="824" w:type="dxa"/>
            <w:vAlign w:val="center"/>
          </w:tcPr>
          <w:p>
            <w:pPr>
              <w:jc w:val="center"/>
              <w:rPr>
                <w:rFonts w:hint="eastAsia" w:ascii="Times New Roman" w:hAnsi="Times New Roman"/>
                <w:szCs w:val="21"/>
              </w:rPr>
            </w:pPr>
            <w:r>
              <w:rPr>
                <w:rFonts w:hint="eastAsia" w:ascii="Times New Roman" w:hAnsi="Times New Roman"/>
                <w:szCs w:val="21"/>
              </w:rPr>
              <w:t>7</w:t>
            </w:r>
          </w:p>
        </w:tc>
        <w:tc>
          <w:tcPr>
            <w:tcW w:w="1842" w:type="dxa"/>
            <w:vAlign w:val="center"/>
          </w:tcPr>
          <w:p>
            <w:pPr>
              <w:jc w:val="center"/>
              <w:rPr>
                <w:rFonts w:hint="eastAsia" w:ascii="Times New Roman" w:hAnsi="Times New Roman"/>
                <w:szCs w:val="21"/>
              </w:rPr>
            </w:pPr>
            <w:r>
              <w:rPr>
                <w:rFonts w:hint="eastAsia" w:ascii="Times New Roman" w:hAnsi="Times New Roman"/>
                <w:szCs w:val="21"/>
              </w:rPr>
              <w:t>救援专家组</w:t>
            </w:r>
          </w:p>
        </w:tc>
        <w:tc>
          <w:tcPr>
            <w:tcW w:w="5839" w:type="dxa"/>
            <w:vAlign w:val="center"/>
          </w:tcPr>
          <w:p>
            <w:pPr>
              <w:rPr>
                <w:rFonts w:hint="eastAsia" w:ascii="Times New Roman" w:hAnsi="Times New Roman"/>
                <w:szCs w:val="21"/>
              </w:rPr>
            </w:pPr>
            <w:r>
              <w:rPr>
                <w:rFonts w:hint="eastAsia" w:ascii="Times New Roman" w:hAnsi="Times New Roman"/>
                <w:szCs w:val="21"/>
              </w:rPr>
              <w:t>1、对事故的危害范围、发展趋势作出科学评估，为应急指挥部决策和指挥提供科学依据；</w:t>
            </w:r>
          </w:p>
          <w:p>
            <w:pPr>
              <w:rPr>
                <w:rFonts w:hint="eastAsia" w:ascii="Times New Roman" w:hAnsi="Times New Roman"/>
                <w:szCs w:val="21"/>
              </w:rPr>
            </w:pPr>
            <w:r>
              <w:rPr>
                <w:rFonts w:hint="eastAsia" w:ascii="Times New Roman" w:hAnsi="Times New Roman"/>
                <w:szCs w:val="21"/>
              </w:rPr>
              <w:t>2、参与污染程度、危害范围、事件等级的判定，对污染区域的警报设立与解除等重大防护措施的 觉得提供技术依据；</w:t>
            </w:r>
          </w:p>
          <w:p>
            <w:pPr>
              <w:rPr>
                <w:rFonts w:hint="eastAsia" w:ascii="Times New Roman" w:hAnsi="Times New Roman"/>
                <w:szCs w:val="21"/>
              </w:rPr>
            </w:pPr>
            <w:r>
              <w:rPr>
                <w:rFonts w:hint="eastAsia" w:ascii="Times New Roman" w:hAnsi="Times New Roman"/>
                <w:szCs w:val="21"/>
              </w:rPr>
              <w:t>3、指导各应急小组进行现场处置；</w:t>
            </w:r>
          </w:p>
          <w:p>
            <w:pPr>
              <w:rPr>
                <w:rFonts w:hint="eastAsia" w:ascii="Times New Roman" w:hAnsi="Times New Roman"/>
                <w:szCs w:val="21"/>
              </w:rPr>
            </w:pPr>
            <w:r>
              <w:rPr>
                <w:rFonts w:hint="eastAsia" w:ascii="Times New Roman" w:hAnsi="Times New Roman"/>
                <w:szCs w:val="21"/>
              </w:rPr>
              <w:t>4、负责对事故现场应急处置工作以及环境受污染程度的评估工作以及环境恢复方案的制定</w:t>
            </w:r>
          </w:p>
        </w:tc>
      </w:tr>
    </w:tbl>
    <w:p>
      <w:pPr>
        <w:rPr>
          <w:rFonts w:hint="eastAsia"/>
        </w:rPr>
      </w:pPr>
      <w:bookmarkStart w:id="661" w:name="_Toc338230953"/>
      <w:bookmarkStart w:id="662" w:name="_Toc338228599"/>
    </w:p>
    <w:bookmarkEnd w:id="661"/>
    <w:bookmarkEnd w:id="662"/>
    <w:p>
      <w:pPr>
        <w:spacing w:after="156" w:afterLines="50" w:line="360" w:lineRule="auto"/>
        <w:ind w:firstLine="480" w:firstLineChars="200"/>
        <w:jc w:val="left"/>
        <w:rPr>
          <w:rFonts w:hint="eastAsia" w:ascii="Times New Roman" w:hAnsi="Times New Roman"/>
          <w:sz w:val="24"/>
          <w:szCs w:val="24"/>
        </w:rPr>
        <w:sectPr>
          <w:headerReference r:id="rId19" w:type="default"/>
          <w:footerReference r:id="rId20" w:type="default"/>
          <w:pgSz w:w="11906" w:h="16838"/>
          <w:pgMar w:top="1247" w:right="1531" w:bottom="1247" w:left="1531" w:header="851" w:footer="992" w:gutter="0"/>
          <w:cols w:space="720" w:num="1"/>
          <w:docGrid w:type="linesAndChars" w:linePitch="312" w:charSpace="0"/>
        </w:sectPr>
      </w:pPr>
    </w:p>
    <w:p>
      <w:pPr>
        <w:pStyle w:val="2"/>
        <w:rPr>
          <w:rFonts w:hint="eastAsia"/>
        </w:rPr>
      </w:pPr>
      <w:bookmarkStart w:id="663" w:name="_Toc338230954"/>
      <w:bookmarkStart w:id="664" w:name="_Toc461048111"/>
      <w:bookmarkStart w:id="665" w:name="_Toc338228600"/>
      <w:r>
        <w:rPr>
          <w:rFonts w:hint="eastAsia"/>
        </w:rPr>
        <w:t>5预防与预警</w:t>
      </w:r>
      <w:bookmarkEnd w:id="663"/>
      <w:bookmarkEnd w:id="664"/>
      <w:bookmarkEnd w:id="665"/>
    </w:p>
    <w:p>
      <w:pPr>
        <w:pStyle w:val="3"/>
        <w:rPr>
          <w:rFonts w:hint="eastAsia"/>
        </w:rPr>
      </w:pPr>
      <w:bookmarkStart w:id="666" w:name="_Toc461048112"/>
      <w:bookmarkStart w:id="667" w:name="_Toc338228601"/>
      <w:bookmarkStart w:id="668" w:name="_Toc338230955"/>
      <w:r>
        <w:rPr>
          <w:rFonts w:hint="eastAsia"/>
        </w:rPr>
        <w:t>5.1预防措施</w:t>
      </w:r>
      <w:bookmarkEnd w:id="666"/>
    </w:p>
    <w:p>
      <w:pPr>
        <w:spacing w:line="360" w:lineRule="auto"/>
        <w:ind w:firstLine="480" w:firstLineChars="200"/>
        <w:rPr>
          <w:rFonts w:hint="eastAsia"/>
          <w:sz w:val="24"/>
          <w:szCs w:val="24"/>
        </w:rPr>
      </w:pPr>
      <w:r>
        <w:rPr>
          <w:rFonts w:hint="eastAsia"/>
          <w:sz w:val="24"/>
          <w:szCs w:val="24"/>
        </w:rPr>
        <w:t>企业应当建立健全事故隐患排查治理和建档监控制度。企业要定期组织环境安全隐患排查，对排查出的问题要按照等级进行登记，建立环境污染事故隐患信息档案，并按照职责分工实施监控，立即整改，予以消除；不能立即整改消除的，要制定相应的防范措施和整改计划，限期整改，并依照有关规定进行评估、报告、整治和销号。做到排查不留死角，整治不留后患。</w:t>
      </w:r>
    </w:p>
    <w:p>
      <w:pPr>
        <w:pStyle w:val="3"/>
        <w:rPr>
          <w:rFonts w:hint="eastAsia"/>
        </w:rPr>
      </w:pPr>
      <w:bookmarkStart w:id="669" w:name="_Toc461048113"/>
      <w:r>
        <w:rPr>
          <w:rFonts w:hint="eastAsia"/>
        </w:rPr>
        <w:t>5.2预警行为</w:t>
      </w:r>
      <w:bookmarkEnd w:id="667"/>
      <w:bookmarkEnd w:id="668"/>
      <w:bookmarkEnd w:id="669"/>
    </w:p>
    <w:p>
      <w:pPr>
        <w:spacing w:line="360" w:lineRule="auto"/>
        <w:rPr>
          <w:rFonts w:hint="eastAsia"/>
          <w:b/>
          <w:sz w:val="24"/>
          <w:szCs w:val="24"/>
        </w:rPr>
      </w:pPr>
      <w:r>
        <w:rPr>
          <w:rFonts w:hint="eastAsia"/>
          <w:b/>
          <w:sz w:val="24"/>
          <w:szCs w:val="24"/>
        </w:rPr>
        <mc:AlternateContent>
          <mc:Choice Requires="wps">
            <w:drawing>
              <wp:anchor distT="0" distB="0" distL="114300" distR="114300" simplePos="0" relativeHeight="251878400" behindDoc="0" locked="0" layoutInCell="1" allowOverlap="1">
                <wp:simplePos x="0" y="0"/>
                <wp:positionH relativeFrom="column">
                  <wp:posOffset>1028700</wp:posOffset>
                </wp:positionH>
                <wp:positionV relativeFrom="paragraph">
                  <wp:posOffset>0</wp:posOffset>
                </wp:positionV>
                <wp:extent cx="1495425" cy="504825"/>
                <wp:effectExtent l="5080" t="5080" r="4445" b="4445"/>
                <wp:wrapNone/>
                <wp:docPr id="558" name="文本框 558"/>
                <wp:cNvGraphicFramePr/>
                <a:graphic xmlns:a="http://schemas.openxmlformats.org/drawingml/2006/main">
                  <a:graphicData uri="http://schemas.microsoft.com/office/word/2010/wordprocessingShape">
                    <wps:wsp>
                      <wps:cNvSpPr txBox="1"/>
                      <wps:spPr>
                        <a:xfrm>
                          <a:off x="0" y="0"/>
                          <a:ext cx="149542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现场环境事件发生</w:t>
                            </w:r>
                          </w:p>
                        </w:txbxContent>
                      </wps:txbx>
                      <wps:bodyPr upright="1"/>
                    </wps:wsp>
                  </a:graphicData>
                </a:graphic>
              </wp:anchor>
            </w:drawing>
          </mc:Choice>
          <mc:Fallback>
            <w:pict>
              <v:shape id="_x0000_s1026" o:spid="_x0000_s1026" o:spt="202" type="#_x0000_t202" style="position:absolute;left:0pt;margin-left:81pt;margin-top:0pt;height:39.75pt;width:117.75pt;z-index:251878400;mso-width-relative:page;mso-height-relative:page;" fillcolor="#FFFFFF" filled="t" stroked="t" coordsize="21600,21600" o:gfxdata="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2ki09cAAAAHAQAADwAAAAAAAAABACAAAAAiAAAAZHJzL2Rvd25yZXYueG1sUEsBAhQAFAAA&#10;AAgAh07iQMOnkRTwAQAA7AMAAA4AAAAAAAAAAQAgAAAAJgEAAGRycy9lMm9Eb2MueG1sUEsFBgAA&#10;AAAGAAYAWQEAAIgFAAAAAA==&#10;">
                <v:fill on="t" focussize="0,0"/>
                <v:stroke color="#000000" joinstyle="miter"/>
                <v:imagedata o:title=""/>
                <o:lock v:ext="edit" aspectratio="f"/>
                <v:textbox>
                  <w:txbxContent>
                    <w:p>
                      <w:pPr>
                        <w:rPr>
                          <w:sz w:val="24"/>
                          <w:szCs w:val="24"/>
                        </w:rPr>
                      </w:pPr>
                      <w:r>
                        <w:rPr>
                          <w:rFonts w:hint="eastAsia"/>
                          <w:sz w:val="24"/>
                          <w:szCs w:val="24"/>
                        </w:rPr>
                        <w:t>现场环境事件发生</w:t>
                      </w:r>
                    </w:p>
                  </w:txbxContent>
                </v:textbox>
              </v:shape>
            </w:pict>
          </mc:Fallback>
        </mc:AlternateContent>
      </w:r>
    </w:p>
    <w:p>
      <w:pPr>
        <w:spacing w:line="360" w:lineRule="auto"/>
        <w:rPr>
          <w:rFonts w:hint="eastAsia"/>
          <w:b/>
          <w:sz w:val="24"/>
          <w:szCs w:val="24"/>
        </w:rPr>
      </w:pPr>
      <w:r>
        <w:rPr>
          <w:rFonts w:hint="eastAsia"/>
          <w:b/>
          <w:sz w:val="24"/>
          <w:szCs w:val="24"/>
        </w:rPr>
        <mc:AlternateContent>
          <mc:Choice Requires="wps">
            <w:drawing>
              <wp:anchor distT="0" distB="0" distL="114300" distR="114300" simplePos="0" relativeHeight="251879424" behindDoc="0" locked="0" layoutInCell="1" allowOverlap="1">
                <wp:simplePos x="0" y="0"/>
                <wp:positionH relativeFrom="column">
                  <wp:posOffset>1676400</wp:posOffset>
                </wp:positionH>
                <wp:positionV relativeFrom="paragraph">
                  <wp:posOffset>163830</wp:posOffset>
                </wp:positionV>
                <wp:extent cx="9525" cy="371475"/>
                <wp:effectExtent l="30480" t="0" r="36195" b="9525"/>
                <wp:wrapNone/>
                <wp:docPr id="554" name="直接箭头连接符 554"/>
                <wp:cNvGraphicFramePr/>
                <a:graphic xmlns:a="http://schemas.openxmlformats.org/drawingml/2006/main">
                  <a:graphicData uri="http://schemas.microsoft.com/office/word/2010/wordprocessingShape">
                    <wps:wsp>
                      <wps:cNvCnPr/>
                      <wps:spPr>
                        <a:xfrm>
                          <a:off x="0" y="0"/>
                          <a:ext cx="9525" cy="3714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32pt;margin-top:12.9pt;height:29.25pt;width:0.75pt;z-index:251879424;mso-width-relative:page;mso-height-relative:page;" filled="f" stroked="t" coordsize="21600,21600" o:gfxdata="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Cm&#10;H2PaAAAACQEAAA8AAAAAAAAAAQAgAAAAIgAAAGRycy9kb3ducmV2LnhtbFBLAQIUABQAAAAIAIdO&#10;4kCU5Oym6AEAAKgDAAAOAAAAAAAAAAEAIAAAACkBAABkcnMvZTJvRG9jLnhtbFBLBQYAAAAABgAG&#10;AFkBAACDBQAAAAA=&#10;">
                <v:fill on="f" focussize="0,0"/>
                <v:stroke color="#000000" joinstyle="round" endarrow="block"/>
                <v:imagedata o:title=""/>
                <o:lock v:ext="edit" aspectratio="f"/>
              </v:shape>
            </w:pict>
          </mc:Fallback>
        </mc:AlternateContent>
      </w:r>
    </w:p>
    <w:p>
      <w:pPr>
        <w:spacing w:line="360" w:lineRule="auto"/>
        <w:rPr>
          <w:rFonts w:hint="eastAsia"/>
          <w:b/>
          <w:sz w:val="24"/>
          <w:szCs w:val="24"/>
        </w:rPr>
      </w:pPr>
      <w:r>
        <w:rPr>
          <w:rFonts w:hint="eastAsia"/>
          <w:b/>
          <w:sz w:val="24"/>
          <w:szCs w:val="24"/>
        </w:rPr>
        <mc:AlternateContent>
          <mc:Choice Requires="wps">
            <w:drawing>
              <wp:anchor distT="0" distB="0" distL="114300" distR="114300" simplePos="0" relativeHeight="251880448" behindDoc="0" locked="0" layoutInCell="1" allowOverlap="1">
                <wp:simplePos x="0" y="0"/>
                <wp:positionH relativeFrom="column">
                  <wp:posOffset>1009650</wp:posOffset>
                </wp:positionH>
                <wp:positionV relativeFrom="paragraph">
                  <wp:posOffset>139065</wp:posOffset>
                </wp:positionV>
                <wp:extent cx="1495425" cy="504825"/>
                <wp:effectExtent l="5080" t="5080" r="4445" b="4445"/>
                <wp:wrapNone/>
                <wp:docPr id="566" name="文本框 566"/>
                <wp:cNvGraphicFramePr/>
                <a:graphic xmlns:a="http://schemas.openxmlformats.org/drawingml/2006/main">
                  <a:graphicData uri="http://schemas.microsoft.com/office/word/2010/wordprocessingShape">
                    <wps:wsp>
                      <wps:cNvSpPr txBox="1"/>
                      <wps:spPr>
                        <a:xfrm>
                          <a:off x="0" y="0"/>
                          <a:ext cx="149542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现场应急小组组长</w:t>
                            </w:r>
                          </w:p>
                        </w:txbxContent>
                      </wps:txbx>
                      <wps:bodyPr upright="1"/>
                    </wps:wsp>
                  </a:graphicData>
                </a:graphic>
              </wp:anchor>
            </w:drawing>
          </mc:Choice>
          <mc:Fallback>
            <w:pict>
              <v:shape id="_x0000_s1026" o:spid="_x0000_s1026" o:spt="202" type="#_x0000_t202" style="position:absolute;left:0pt;margin-left:79.5pt;margin-top:10.95pt;height:39.75pt;width:117.75pt;z-index:251880448;mso-width-relative:page;mso-height-relative:page;" fillcolor="#FFFFFF" filled="t" stroked="t" coordsize="21600,21600" o:gfxdata="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Rz2StkAAAAKAQAADwAAAAAAAAABACAAAAAiAAAAZHJzL2Rvd25yZXYueG1sUEsBAhQA&#10;FAAAAAgAh07iQImriwTxAQAA7AMAAA4AAAAAAAAAAQAgAAAAKAEAAGRycy9lMm9Eb2MueG1sUEsF&#10;BgAAAAAGAAYAWQEAAIsFAAAAAA==&#10;">
                <v:fill on="t" focussize="0,0"/>
                <v:stroke color="#000000" joinstyle="miter"/>
                <v:imagedata o:title=""/>
                <o:lock v:ext="edit" aspectratio="f"/>
                <v:textbox>
                  <w:txbxContent>
                    <w:p>
                      <w:pPr>
                        <w:rPr>
                          <w:sz w:val="24"/>
                          <w:szCs w:val="24"/>
                        </w:rPr>
                      </w:pPr>
                      <w:r>
                        <w:rPr>
                          <w:rFonts w:hint="eastAsia"/>
                          <w:sz w:val="24"/>
                          <w:szCs w:val="24"/>
                        </w:rPr>
                        <w:t>现场应急小组组长</w:t>
                      </w:r>
                    </w:p>
                  </w:txbxContent>
                </v:textbox>
              </v:shape>
            </w:pict>
          </mc:Fallback>
        </mc:AlternateContent>
      </w:r>
    </w:p>
    <w:p>
      <w:pPr>
        <w:spacing w:line="360" w:lineRule="auto"/>
        <w:rPr>
          <w:rFonts w:hint="eastAsia"/>
          <w:b/>
          <w:sz w:val="24"/>
          <w:szCs w:val="24"/>
        </w:rPr>
      </w:pPr>
      <w:r>
        <w:rPr>
          <w:rFonts w:hint="eastAsia"/>
          <w:b/>
          <w:sz w:val="24"/>
          <w:szCs w:val="24"/>
        </w:rPr>
        <mc:AlternateContent>
          <mc:Choice Requires="wps">
            <w:drawing>
              <wp:anchor distT="0" distB="0" distL="114300" distR="114300" simplePos="0" relativeHeight="251888640" behindDoc="0" locked="0" layoutInCell="1" allowOverlap="1">
                <wp:simplePos x="0" y="0"/>
                <wp:positionH relativeFrom="column">
                  <wp:posOffset>4457700</wp:posOffset>
                </wp:positionH>
                <wp:positionV relativeFrom="paragraph">
                  <wp:posOffset>99060</wp:posOffset>
                </wp:positionV>
                <wp:extent cx="381000" cy="1066800"/>
                <wp:effectExtent l="4445" t="5080" r="14605" b="13970"/>
                <wp:wrapNone/>
                <wp:docPr id="556" name="文本框 556"/>
                <wp:cNvGraphicFramePr/>
                <a:graphic xmlns:a="http://schemas.openxmlformats.org/drawingml/2006/main">
                  <a:graphicData uri="http://schemas.microsoft.com/office/word/2010/wordprocessingShape">
                    <wps:wsp>
                      <wps:cNvSpPr txBox="1"/>
                      <wps:spPr>
                        <a:xfrm>
                          <a:off x="0" y="0"/>
                          <a:ext cx="381000"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预</w:t>
                            </w:r>
                          </w:p>
                          <w:p>
                            <w:pPr>
                              <w:rPr>
                                <w:rFonts w:hint="eastAsia"/>
                              </w:rPr>
                            </w:pPr>
                            <w:r>
                              <w:rPr>
                                <w:rFonts w:hint="eastAsia"/>
                              </w:rPr>
                              <w:t>警</w:t>
                            </w:r>
                          </w:p>
                          <w:p>
                            <w:pPr>
                              <w:rPr>
                                <w:rFonts w:hint="eastAsia"/>
                              </w:rPr>
                            </w:pPr>
                            <w:r>
                              <w:rPr>
                                <w:rFonts w:hint="eastAsia"/>
                              </w:rPr>
                              <w:t>解</w:t>
                            </w:r>
                          </w:p>
                          <w:p>
                            <w:r>
                              <w:rPr>
                                <w:rFonts w:hint="eastAsia"/>
                              </w:rPr>
                              <w:t>除</w:t>
                            </w:r>
                          </w:p>
                        </w:txbxContent>
                      </wps:txbx>
                      <wps:bodyPr upright="1"/>
                    </wps:wsp>
                  </a:graphicData>
                </a:graphic>
              </wp:anchor>
            </w:drawing>
          </mc:Choice>
          <mc:Fallback>
            <w:pict>
              <v:shape id="_x0000_s1026" o:spid="_x0000_s1026" o:spt="202" type="#_x0000_t202" style="position:absolute;left:0pt;margin-left:351pt;margin-top:7.8pt;height:84pt;width:30pt;z-index:251888640;mso-width-relative:page;mso-height-relative:page;" fillcolor="#FFFFFF" filled="t" stroked="t" coordsize="21600,21600" o:gfxdata="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m7tcPYAAAACgEAAA8AAAAAAAAAAQAgAAAAIgAAAGRycy9kb3ducmV2LnhtbFBLAQIU&#10;ABQAAAAIAIdO4kAZfUh38wEAAOwDAAAOAAAAAAAAAAEAIAAAACcBAABkcnMvZTJvRG9jLnhtbFBL&#10;BQYAAAAABgAGAFkBAACMBQAAAAA=&#10;">
                <v:fill on="t" focussize="0,0"/>
                <v:stroke color="#000000" joinstyle="miter"/>
                <v:imagedata o:title=""/>
                <o:lock v:ext="edit" aspectratio="f"/>
                <v:textbox>
                  <w:txbxContent>
                    <w:p>
                      <w:pPr>
                        <w:rPr>
                          <w:rFonts w:hint="eastAsia"/>
                        </w:rPr>
                      </w:pPr>
                      <w:r>
                        <w:rPr>
                          <w:rFonts w:hint="eastAsia"/>
                        </w:rPr>
                        <w:t>预</w:t>
                      </w:r>
                    </w:p>
                    <w:p>
                      <w:pPr>
                        <w:rPr>
                          <w:rFonts w:hint="eastAsia"/>
                        </w:rPr>
                      </w:pPr>
                      <w:r>
                        <w:rPr>
                          <w:rFonts w:hint="eastAsia"/>
                        </w:rPr>
                        <w:t>警</w:t>
                      </w:r>
                    </w:p>
                    <w:p>
                      <w:pPr>
                        <w:rPr>
                          <w:rFonts w:hint="eastAsia"/>
                        </w:rPr>
                      </w:pPr>
                      <w:r>
                        <w:rPr>
                          <w:rFonts w:hint="eastAsia"/>
                        </w:rPr>
                        <w:t>解</w:t>
                      </w:r>
                    </w:p>
                    <w:p>
                      <w:r>
                        <w:rPr>
                          <w:rFonts w:hint="eastAsia"/>
                        </w:rPr>
                        <w:t>除</w:t>
                      </w:r>
                    </w:p>
                  </w:txbxContent>
                </v:textbox>
              </v:shape>
            </w:pict>
          </mc:Fallback>
        </mc:AlternateContent>
      </w:r>
      <w:r>
        <w:rPr>
          <w:rFonts w:hint="eastAsia"/>
          <w:b/>
          <w:sz w:val="24"/>
          <w:szCs w:val="24"/>
        </w:rPr>
        <mc:AlternateContent>
          <mc:Choice Requires="wps">
            <w:drawing>
              <wp:anchor distT="0" distB="0" distL="114300" distR="114300" simplePos="0" relativeHeight="251887616" behindDoc="0" locked="0" layoutInCell="1" allowOverlap="1">
                <wp:simplePos x="0" y="0"/>
                <wp:positionH relativeFrom="column">
                  <wp:posOffset>4000500</wp:posOffset>
                </wp:positionH>
                <wp:positionV relativeFrom="paragraph">
                  <wp:posOffset>198120</wp:posOffset>
                </wp:positionV>
                <wp:extent cx="504825" cy="600075"/>
                <wp:effectExtent l="0" t="0" r="0" b="0"/>
                <wp:wrapNone/>
                <wp:docPr id="563" name="文本框 563"/>
                <wp:cNvGraphicFramePr/>
                <a:graphic xmlns:a="http://schemas.openxmlformats.org/drawingml/2006/main">
                  <a:graphicData uri="http://schemas.microsoft.com/office/word/2010/wordprocessingShape">
                    <wps:wsp>
                      <wps:cNvSpPr txBox="1"/>
                      <wps:spPr>
                        <a:xfrm>
                          <a:off x="0" y="0"/>
                          <a:ext cx="504825" cy="600075"/>
                        </a:xfrm>
                        <a:prstGeom prst="rect">
                          <a:avLst/>
                        </a:prstGeom>
                        <a:noFill/>
                        <a:ln>
                          <a:noFill/>
                        </a:ln>
                      </wps:spPr>
                      <wps:txbx>
                        <w:txbxContent>
                          <w:p>
                            <w:r>
                              <w:rPr>
                                <w:rFonts w:hint="eastAsia"/>
                              </w:rPr>
                              <w:t>事件平息</w:t>
                            </w:r>
                          </w:p>
                        </w:txbxContent>
                      </wps:txbx>
                      <wps:bodyPr upright="1"/>
                    </wps:wsp>
                  </a:graphicData>
                </a:graphic>
              </wp:anchor>
            </w:drawing>
          </mc:Choice>
          <mc:Fallback>
            <w:pict>
              <v:shape id="_x0000_s1026" o:spid="_x0000_s1026" o:spt="202" type="#_x0000_t202" style="position:absolute;left:0pt;margin-left:315pt;margin-top:15.6pt;height:47.25pt;width:39.75pt;z-index:251887616;mso-width-relative:page;mso-height-relative:page;" filled="f" stroked="f" coordsize="21600,21600" o:gfxdata="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IRvahNgAAAAKAQAADwAAAAAAAAABACAAAAAiAAAAZHJzL2Rv&#10;d25yZXYueG1sUEsBAhQAFAAAAAgAh07iQOyKtG+PAQAAAwMAAA4AAAAAAAAAAQAgAAAAJwEAAGRy&#10;cy9lMm9Eb2MueG1sUEsFBgAAAAAGAAYAWQEAACgFAAAAAA==&#10;">
                <v:fill on="f" focussize="0,0"/>
                <v:stroke on="f"/>
                <v:imagedata o:title=""/>
                <o:lock v:ext="edit" aspectratio="f"/>
                <v:textbox>
                  <w:txbxContent>
                    <w:p>
                      <w:r>
                        <w:rPr>
                          <w:rFonts w:hint="eastAsia"/>
                        </w:rPr>
                        <w:t>事件平息</w:t>
                      </w:r>
                    </w:p>
                  </w:txbxContent>
                </v:textbox>
              </v:shape>
            </w:pict>
          </mc:Fallback>
        </mc:AlternateContent>
      </w:r>
      <w:r>
        <w:rPr>
          <w:rFonts w:hint="eastAsia"/>
          <w:b/>
          <w:sz w:val="24"/>
          <w:szCs w:val="24"/>
        </w:rPr>
        <mc:AlternateContent>
          <mc:Choice Requires="wps">
            <w:drawing>
              <wp:anchor distT="0" distB="0" distL="114300" distR="114300" simplePos="0" relativeHeight="251881472" behindDoc="0" locked="0" layoutInCell="1" allowOverlap="1">
                <wp:simplePos x="0" y="0"/>
                <wp:positionH relativeFrom="column">
                  <wp:posOffset>1685925</wp:posOffset>
                </wp:positionH>
                <wp:positionV relativeFrom="paragraph">
                  <wp:posOffset>247650</wp:posOffset>
                </wp:positionV>
                <wp:extent cx="635" cy="295275"/>
                <wp:effectExtent l="37465" t="0" r="38100" b="9525"/>
                <wp:wrapNone/>
                <wp:docPr id="581" name="直接箭头连接符 581"/>
                <wp:cNvGraphicFramePr/>
                <a:graphic xmlns:a="http://schemas.openxmlformats.org/drawingml/2006/main">
                  <a:graphicData uri="http://schemas.microsoft.com/office/word/2010/wordprocessingShape">
                    <wps:wsp>
                      <wps:cNvCnPr/>
                      <wps:spPr>
                        <a:xfrm>
                          <a:off x="0" y="0"/>
                          <a:ext cx="635"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32.75pt;margin-top:19.5pt;height:23.25pt;width:0.05pt;z-index:251881472;mso-width-relative:page;mso-height-relative:page;" filled="f" stroked="t" coordsize="21600,21600" o:gfxdata="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39&#10;80bYAAAACQEAAA8AAAAAAAAAAQAgAAAAIgAAAGRycy9kb3ducmV2LnhtbFBLAQIUABQAAAAIAIdO&#10;4kBjjS7u6gEAAKcDAAAOAAAAAAAAAAEAIAAAACcBAABkcnMvZTJvRG9jLnhtbFBLBQYAAAAABgAG&#10;AFkBAACDBQAAAAA=&#10;">
                <v:fill on="f" focussize="0,0"/>
                <v:stroke color="#000000" joinstyle="round" endarrow="block"/>
                <v:imagedata o:title=""/>
                <o:lock v:ext="edit" aspectratio="f"/>
              </v:shape>
            </w:pict>
          </mc:Fallback>
        </mc:AlternateContent>
      </w:r>
    </w:p>
    <w:p>
      <w:pPr>
        <w:spacing w:line="360" w:lineRule="auto"/>
        <w:rPr>
          <w:rFonts w:hint="eastAsia"/>
          <w:b/>
          <w:sz w:val="24"/>
          <w:szCs w:val="24"/>
        </w:rPr>
      </w:pPr>
      <w:r>
        <w:rPr>
          <w:rFonts w:hint="eastAsia"/>
          <w:b/>
          <w:sz w:val="24"/>
          <w:szCs w:val="24"/>
        </w:rPr>
        <mc:AlternateContent>
          <mc:Choice Requires="wps">
            <w:drawing>
              <wp:anchor distT="0" distB="0" distL="114300" distR="114300" simplePos="0" relativeHeight="251885568" behindDoc="0" locked="0" layoutInCell="1" allowOverlap="1">
                <wp:simplePos x="0" y="0"/>
                <wp:positionH relativeFrom="column">
                  <wp:posOffset>3314700</wp:posOffset>
                </wp:positionH>
                <wp:positionV relativeFrom="paragraph">
                  <wp:posOffset>99060</wp:posOffset>
                </wp:positionV>
                <wp:extent cx="590550" cy="617220"/>
                <wp:effectExtent l="4445" t="4445" r="14605" b="6985"/>
                <wp:wrapNone/>
                <wp:docPr id="570" name="文本框 570"/>
                <wp:cNvGraphicFramePr/>
                <a:graphic xmlns:a="http://schemas.openxmlformats.org/drawingml/2006/main">
                  <a:graphicData uri="http://schemas.microsoft.com/office/word/2010/wordprocessingShape">
                    <wps:wsp>
                      <wps:cNvSpPr txBox="1"/>
                      <wps:spPr>
                        <a:xfrm>
                          <a:off x="0" y="0"/>
                          <a:ext cx="590550" cy="6172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现场预 警</w:t>
                            </w:r>
                          </w:p>
                        </w:txbxContent>
                      </wps:txbx>
                      <wps:bodyPr upright="1"/>
                    </wps:wsp>
                  </a:graphicData>
                </a:graphic>
              </wp:anchor>
            </w:drawing>
          </mc:Choice>
          <mc:Fallback>
            <w:pict>
              <v:shape id="_x0000_s1026" o:spid="_x0000_s1026" o:spt="202" type="#_x0000_t202" style="position:absolute;left:0pt;margin-left:261pt;margin-top:7.8pt;height:48.6pt;width:46.5pt;z-index:251885568;mso-width-relative:page;mso-height-relative:page;" fillcolor="#FFFFFF" filled="t" stroked="t" coordsize="21600,21600" o:gfxdata="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ebtWjYAAAACgEAAA8AAAAAAAAAAQAgAAAAIgAAAGRycy9kb3ducmV2LnhtbFBLAQIU&#10;ABQAAAAIAIdO4kCOLmXw8wEAAOsDAAAOAAAAAAAAAAEAIAAAACcBAABkcnMvZTJvRG9jLnhtbFBL&#10;BQYAAAAABgAGAFkBAACMBQAAAAA=&#10;">
                <v:fill on="t" focussize="0,0"/>
                <v:stroke color="#000000" joinstyle="miter"/>
                <v:imagedata o:title=""/>
                <o:lock v:ext="edit" aspectratio="f"/>
                <v:textbox>
                  <w:txbxContent>
                    <w:p>
                      <w:r>
                        <w:rPr>
                          <w:rFonts w:hint="eastAsia"/>
                        </w:rPr>
                        <w:t>现场预 警</w:t>
                      </w:r>
                    </w:p>
                  </w:txbxContent>
                </v:textbox>
              </v:shape>
            </w:pict>
          </mc:Fallback>
        </mc:AlternateContent>
      </w:r>
      <w:r>
        <w:rPr>
          <w:rFonts w:hint="eastAsia"/>
          <w:b/>
          <w:sz w:val="24"/>
          <w:szCs w:val="24"/>
        </w:rPr>
        <mc:AlternateContent>
          <mc:Choice Requires="wps">
            <w:drawing>
              <wp:anchor distT="0" distB="0" distL="114300" distR="114300" simplePos="0" relativeHeight="251884544" behindDoc="0" locked="0" layoutInCell="1" allowOverlap="1">
                <wp:simplePos x="0" y="0"/>
                <wp:positionH relativeFrom="column">
                  <wp:posOffset>2714625</wp:posOffset>
                </wp:positionH>
                <wp:positionV relativeFrom="paragraph">
                  <wp:posOffset>51435</wp:posOffset>
                </wp:positionV>
                <wp:extent cx="504825" cy="381000"/>
                <wp:effectExtent l="0" t="0" r="0" b="0"/>
                <wp:wrapNone/>
                <wp:docPr id="587" name="文本框 587"/>
                <wp:cNvGraphicFramePr/>
                <a:graphic xmlns:a="http://schemas.openxmlformats.org/drawingml/2006/main">
                  <a:graphicData uri="http://schemas.microsoft.com/office/word/2010/wordprocessingShape">
                    <wps:wsp>
                      <wps:cNvSpPr txBox="1"/>
                      <wps:spPr>
                        <a:xfrm>
                          <a:off x="0" y="0"/>
                          <a:ext cx="504825" cy="381000"/>
                        </a:xfrm>
                        <a:prstGeom prst="rect">
                          <a:avLst/>
                        </a:prstGeom>
                        <a:noFill/>
                        <a:ln>
                          <a:noFill/>
                        </a:ln>
                      </wps:spPr>
                      <wps:txbx>
                        <w:txbxContent>
                          <w:p>
                            <w:r>
                              <w:rPr>
                                <w:rFonts w:hint="eastAsia"/>
                              </w:rPr>
                              <w:t>一般</w:t>
                            </w:r>
                          </w:p>
                        </w:txbxContent>
                      </wps:txbx>
                      <wps:bodyPr upright="1"/>
                    </wps:wsp>
                  </a:graphicData>
                </a:graphic>
              </wp:anchor>
            </w:drawing>
          </mc:Choice>
          <mc:Fallback>
            <w:pict>
              <v:shape id="_x0000_s1026" o:spid="_x0000_s1026" o:spt="202" type="#_x0000_t202" style="position:absolute;left:0pt;margin-left:213.75pt;margin-top:4.05pt;height:30pt;width:39.75pt;z-index:251884544;mso-width-relative:page;mso-height-relative:page;" filled="f" stroked="f" coordsize="21600,21600" o:gfxdata="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MjDefVAAAACAEAAA8AAAAAAAAAAQAgAAAAIgAAAGRycy9kb3du&#10;cmV2LnhtbFBLAQIUABQAAAAIAIdO4kBRQfRhkAEAAAMDAAAOAAAAAAAAAAEAIAAAACQBAABkcnMv&#10;ZTJvRG9jLnhtbFBLBQYAAAAABgAGAFkBAAAmBQAAAAA=&#10;">
                <v:fill on="f" focussize="0,0"/>
                <v:stroke on="f"/>
                <v:imagedata o:title=""/>
                <o:lock v:ext="edit" aspectratio="f"/>
                <v:textbox>
                  <w:txbxContent>
                    <w:p>
                      <w:r>
                        <w:rPr>
                          <w:rFonts w:hint="eastAsia"/>
                        </w:rPr>
                        <w:t>一般</w:t>
                      </w:r>
                    </w:p>
                  </w:txbxContent>
                </v:textbox>
              </v:shape>
            </w:pict>
          </mc:Fallback>
        </mc:AlternateContent>
      </w:r>
      <w:r>
        <w:rPr>
          <w:rFonts w:hint="eastAsia"/>
          <w:b/>
          <w:sz w:val="24"/>
          <w:szCs w:val="24"/>
        </w:rPr>
        <mc:AlternateContent>
          <mc:Choice Requires="wps">
            <w:drawing>
              <wp:anchor distT="0" distB="0" distL="114300" distR="114300" simplePos="0" relativeHeight="251882496" behindDoc="0" locked="0" layoutInCell="1" allowOverlap="1">
                <wp:simplePos x="0" y="0"/>
                <wp:positionH relativeFrom="column">
                  <wp:posOffset>1009650</wp:posOffset>
                </wp:positionH>
                <wp:positionV relativeFrom="paragraph">
                  <wp:posOffset>146685</wp:posOffset>
                </wp:positionV>
                <wp:extent cx="1495425" cy="504825"/>
                <wp:effectExtent l="5080" t="5080" r="4445" b="4445"/>
                <wp:wrapNone/>
                <wp:docPr id="595" name="文本框 595"/>
                <wp:cNvGraphicFramePr/>
                <a:graphic xmlns:a="http://schemas.openxmlformats.org/drawingml/2006/main">
                  <a:graphicData uri="http://schemas.microsoft.com/office/word/2010/wordprocessingShape">
                    <wps:wsp>
                      <wps:cNvSpPr txBox="1"/>
                      <wps:spPr>
                        <a:xfrm>
                          <a:off x="0" y="0"/>
                          <a:ext cx="149542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事件等级判断</w:t>
                            </w:r>
                          </w:p>
                        </w:txbxContent>
                      </wps:txbx>
                      <wps:bodyPr upright="1"/>
                    </wps:wsp>
                  </a:graphicData>
                </a:graphic>
              </wp:anchor>
            </w:drawing>
          </mc:Choice>
          <mc:Fallback>
            <w:pict>
              <v:shape id="_x0000_s1026" o:spid="_x0000_s1026" o:spt="202" type="#_x0000_t202" style="position:absolute;left:0pt;margin-left:79.5pt;margin-top:11.55pt;height:39.75pt;width:117.75pt;z-index:251882496;mso-width-relative:page;mso-height-relative:page;" fillcolor="#FFFFFF" filled="t" stroked="t" coordsize="21600,21600" o:gfxdata="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QctjdkAAAAKAQAADwAAAAAAAAABACAAAAAiAAAAZHJzL2Rvd25yZXYueG1sUEsBAhQA&#10;FAAAAAgAh07iQEbDMa/xAQAA7AMAAA4AAAAAAAAAAQAgAAAAKAEAAGRycy9lMm9Eb2MueG1sUEsF&#10;BgAAAAAGAAYAWQEAAIsFAAAAAA==&#10;">
                <v:fill on="t" focussize="0,0"/>
                <v:stroke color="#000000" joinstyle="miter"/>
                <v:imagedata o:title=""/>
                <o:lock v:ext="edit" aspectratio="f"/>
                <v:textbox>
                  <w:txbxContent>
                    <w:p>
                      <w:pPr>
                        <w:rPr>
                          <w:sz w:val="24"/>
                          <w:szCs w:val="24"/>
                        </w:rPr>
                      </w:pPr>
                      <w:r>
                        <w:rPr>
                          <w:rFonts w:hint="eastAsia"/>
                          <w:sz w:val="24"/>
                          <w:szCs w:val="24"/>
                        </w:rPr>
                        <w:t>事件等级判断</w:t>
                      </w:r>
                    </w:p>
                  </w:txbxContent>
                </v:textbox>
              </v:shape>
            </w:pict>
          </mc:Fallback>
        </mc:AlternateContent>
      </w:r>
    </w:p>
    <w:p>
      <w:pPr>
        <w:spacing w:line="360" w:lineRule="auto"/>
        <w:rPr>
          <w:rFonts w:hint="eastAsia"/>
          <w:b/>
          <w:sz w:val="24"/>
          <w:szCs w:val="24"/>
        </w:rPr>
      </w:pPr>
      <w:r>
        <w:rPr>
          <w:rFonts w:hint="eastAsia"/>
          <w:b/>
          <w:sz w:val="24"/>
          <w:szCs w:val="24"/>
        </w:rPr>
        <mc:AlternateContent>
          <mc:Choice Requires="wps">
            <w:drawing>
              <wp:anchor distT="0" distB="0" distL="114300" distR="114300" simplePos="0" relativeHeight="251889664" behindDoc="0" locked="0" layoutInCell="1" allowOverlap="1">
                <wp:simplePos x="0" y="0"/>
                <wp:positionH relativeFrom="column">
                  <wp:posOffset>1676400</wp:posOffset>
                </wp:positionH>
                <wp:positionV relativeFrom="paragraph">
                  <wp:posOffset>255270</wp:posOffset>
                </wp:positionV>
                <wp:extent cx="635" cy="295275"/>
                <wp:effectExtent l="37465" t="0" r="38100" b="9525"/>
                <wp:wrapNone/>
                <wp:docPr id="591" name="直接箭头连接符 591"/>
                <wp:cNvGraphicFramePr/>
                <a:graphic xmlns:a="http://schemas.openxmlformats.org/drawingml/2006/main">
                  <a:graphicData uri="http://schemas.microsoft.com/office/word/2010/wordprocessingShape">
                    <wps:wsp>
                      <wps:cNvCnPr/>
                      <wps:spPr>
                        <a:xfrm>
                          <a:off x="0" y="0"/>
                          <a:ext cx="635"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32pt;margin-top:20.1pt;height:23.25pt;width:0.05pt;z-index:251889664;mso-width-relative:page;mso-height-relative:page;" filled="f" stroked="t" coordsize="21600,21600" o:gfxdata="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9&#10;FA7U2QAAAAkBAAAPAAAAAAAAAAEAIAAAACIAAABkcnMvZG93bnJldi54bWxQSwECFAAUAAAACACH&#10;TuJALRvpfOoBAACnAwAADgAAAAAAAAABACAAAAAoAQAAZHJzL2Uyb0RvYy54bWxQSwUGAAAAAAYA&#10;BgBZAQAAhAUAAAAA&#10;">
                <v:fill on="f" focussize="0,0"/>
                <v:stroke color="#000000" joinstyle="round" endarrow="block"/>
                <v:imagedata o:title=""/>
                <o:lock v:ext="edit" aspectratio="f"/>
              </v:shape>
            </w:pict>
          </mc:Fallback>
        </mc:AlternateContent>
      </w:r>
      <w:r>
        <w:rPr>
          <w:rFonts w:hint="eastAsia"/>
          <w:b/>
          <w:sz w:val="24"/>
          <w:szCs w:val="24"/>
        </w:rPr>
        <mc:AlternateContent>
          <mc:Choice Requires="wps">
            <w:drawing>
              <wp:anchor distT="0" distB="0" distL="114300" distR="114300" simplePos="0" relativeHeight="251886592" behindDoc="0" locked="0" layoutInCell="1" allowOverlap="1">
                <wp:simplePos x="0" y="0"/>
                <wp:positionH relativeFrom="column">
                  <wp:posOffset>3895725</wp:posOffset>
                </wp:positionH>
                <wp:positionV relativeFrom="paragraph">
                  <wp:posOffset>36195</wp:posOffset>
                </wp:positionV>
                <wp:extent cx="533400" cy="0"/>
                <wp:effectExtent l="0" t="38100" r="0" b="38100"/>
                <wp:wrapNone/>
                <wp:docPr id="584" name="直接箭头连接符 584"/>
                <wp:cNvGraphicFramePr/>
                <a:graphic xmlns:a="http://schemas.openxmlformats.org/drawingml/2006/main">
                  <a:graphicData uri="http://schemas.microsoft.com/office/word/2010/wordprocessingShape">
                    <wps:wsp>
                      <wps:cNvCnPr/>
                      <wps:spPr>
                        <a:xfrm>
                          <a:off x="0" y="0"/>
                          <a:ext cx="5334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06.75pt;margin-top:2.85pt;height:0pt;width:42pt;z-index:251886592;mso-width-relative:page;mso-height-relative:page;" filled="f" stroked="t" coordsize="21600,21600" o:gfxdata="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LHQ&#10;ntYAAAAHAQAADwAAAAAAAAABACAAAAAiAAAAZHJzL2Rvd25yZXYueG1sUEsBAhQAFAAAAAgAh07i&#10;QJmdeFDrAQAApQMAAA4AAAAAAAAAAQAgAAAAJQEAAGRycy9lMm9Eb2MueG1sUEsFBgAAAAAGAAYA&#10;WQEAAIIFAAAAAA==&#10;">
                <v:fill on="f" focussize="0,0"/>
                <v:stroke color="#000000" joinstyle="round" endarrow="block"/>
                <v:imagedata o:title=""/>
                <o:lock v:ext="edit" aspectratio="f"/>
              </v:shape>
            </w:pict>
          </mc:Fallback>
        </mc:AlternateContent>
      </w:r>
      <w:r>
        <w:rPr>
          <w:rFonts w:hint="eastAsia"/>
          <w:b/>
          <w:sz w:val="24"/>
          <w:szCs w:val="24"/>
        </w:rPr>
        <mc:AlternateContent>
          <mc:Choice Requires="wps">
            <w:drawing>
              <wp:anchor distT="0" distB="0" distL="114300" distR="114300" simplePos="0" relativeHeight="251883520" behindDoc="0" locked="0" layoutInCell="1" allowOverlap="1">
                <wp:simplePos x="0" y="0"/>
                <wp:positionH relativeFrom="column">
                  <wp:posOffset>2505075</wp:posOffset>
                </wp:positionH>
                <wp:positionV relativeFrom="paragraph">
                  <wp:posOffset>36195</wp:posOffset>
                </wp:positionV>
                <wp:extent cx="800100" cy="0"/>
                <wp:effectExtent l="0" t="38100" r="0" b="38100"/>
                <wp:wrapNone/>
                <wp:docPr id="596" name="直接箭头连接符 596"/>
                <wp:cNvGraphicFramePr/>
                <a:graphic xmlns:a="http://schemas.openxmlformats.org/drawingml/2006/main">
                  <a:graphicData uri="http://schemas.microsoft.com/office/word/2010/wordprocessingShape">
                    <wps:wsp>
                      <wps:cNvCnPr/>
                      <wps:spPr>
                        <a:xfrm>
                          <a:off x="0" y="0"/>
                          <a:ext cx="8001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7.25pt;margin-top:2.85pt;height:0pt;width:63pt;z-index:251883520;mso-width-relative:page;mso-height-relative:page;" filled="f" stroked="t" coordsize="21600,21600" o:gfxdata="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zGyLW&#10;AAAABwEAAA8AAAAAAAAAAQAgAAAAIgAAAGRycy9kb3ducmV2LnhtbFBLAQIUABQAAAAIAIdO4kAv&#10;boRj6QEAAKUDAAAOAAAAAAAAAAEAIAAAACUBAABkcnMvZTJvRG9jLnhtbFBLBQYAAAAABgAGAFkB&#10;AACABQAAAAA=&#10;">
                <v:fill on="f" focussize="0,0"/>
                <v:stroke color="#000000" joinstyle="round" endarrow="block"/>
                <v:imagedata o:title=""/>
                <o:lock v:ext="edit" aspectratio="f"/>
              </v:shape>
            </w:pict>
          </mc:Fallback>
        </mc:AlternateContent>
      </w:r>
    </w:p>
    <w:p>
      <w:pPr>
        <w:spacing w:line="360" w:lineRule="auto"/>
        <w:rPr>
          <w:rFonts w:hint="eastAsia"/>
          <w:b/>
          <w:sz w:val="24"/>
          <w:szCs w:val="24"/>
        </w:rPr>
      </w:pPr>
      <w:r>
        <w:rPr>
          <w:rFonts w:hint="eastAsia"/>
          <w:b/>
          <w:sz w:val="24"/>
          <w:szCs w:val="24"/>
        </w:rPr>
        <mc:AlternateContent>
          <mc:Choice Requires="wps">
            <w:drawing>
              <wp:anchor distT="0" distB="0" distL="114300" distR="114300" simplePos="0" relativeHeight="251898880" behindDoc="0" locked="0" layoutInCell="1" allowOverlap="1">
                <wp:simplePos x="0" y="0"/>
                <wp:positionH relativeFrom="column">
                  <wp:posOffset>3657600</wp:posOffset>
                </wp:positionH>
                <wp:positionV relativeFrom="paragraph">
                  <wp:posOffset>198120</wp:posOffset>
                </wp:positionV>
                <wp:extent cx="800100" cy="297180"/>
                <wp:effectExtent l="0" t="0" r="0" b="0"/>
                <wp:wrapNone/>
                <wp:docPr id="567" name="文本框 567"/>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r>
                              <w:rPr>
                                <w:rFonts w:hint="eastAsia"/>
                              </w:rPr>
                              <w:t>预警降级</w:t>
                            </w:r>
                          </w:p>
                        </w:txbxContent>
                      </wps:txbx>
                      <wps:bodyPr upright="1"/>
                    </wps:wsp>
                  </a:graphicData>
                </a:graphic>
              </wp:anchor>
            </w:drawing>
          </mc:Choice>
          <mc:Fallback>
            <w:pict>
              <v:shape id="_x0000_s1026" o:spid="_x0000_s1026" o:spt="202" type="#_x0000_t202" style="position:absolute;left:0pt;margin-left:288pt;margin-top:15.6pt;height:23.4pt;width:63pt;z-index:251898880;mso-width-relative:page;mso-height-relative:page;" filled="f" stroked="f" coordsize="21600,21600" o:gfxdata="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oT+VEtYAAAAJAQAADwAAAAAAAAABACAAAAAiAAAAZHJzL2Rvd25y&#10;ZXYueG1sUEsBAhQAFAAAAAgAh07iQK8vHx2OAQAAAwMAAA4AAAAAAAAAAQAgAAAAJQEAAGRycy9l&#10;Mm9Eb2MueG1sUEsFBgAAAAAGAAYAWQEAACUFAAAAAA==&#10;">
                <v:fill on="f" focussize="0,0"/>
                <v:stroke on="f"/>
                <v:imagedata o:title=""/>
                <o:lock v:ext="edit" aspectratio="f"/>
                <v:textbox>
                  <w:txbxContent>
                    <w:p>
                      <w:r>
                        <w:rPr>
                          <w:rFonts w:hint="eastAsia"/>
                        </w:rPr>
                        <w:t>预警降级</w:t>
                      </w:r>
                    </w:p>
                  </w:txbxContent>
                </v:textbox>
              </v:shape>
            </w:pict>
          </mc:Fallback>
        </mc:AlternateContent>
      </w:r>
      <w:r>
        <w:rPr>
          <w:rFonts w:hint="eastAsia"/>
          <w:b/>
          <w:sz w:val="24"/>
          <w:szCs w:val="24"/>
        </w:rPr>
        <mc:AlternateContent>
          <mc:Choice Requires="wps">
            <w:drawing>
              <wp:anchor distT="0" distB="0" distL="114300" distR="114300" simplePos="0" relativeHeight="251897856" behindDoc="0" locked="0" layoutInCell="1" allowOverlap="1">
                <wp:simplePos x="0" y="0"/>
                <wp:positionH relativeFrom="column">
                  <wp:posOffset>2857500</wp:posOffset>
                </wp:positionH>
                <wp:positionV relativeFrom="paragraph">
                  <wp:posOffset>198120</wp:posOffset>
                </wp:positionV>
                <wp:extent cx="752475" cy="297180"/>
                <wp:effectExtent l="0" t="0" r="0" b="0"/>
                <wp:wrapNone/>
                <wp:docPr id="583" name="文本框 583"/>
                <wp:cNvGraphicFramePr/>
                <a:graphic xmlns:a="http://schemas.openxmlformats.org/drawingml/2006/main">
                  <a:graphicData uri="http://schemas.microsoft.com/office/word/2010/wordprocessingShape">
                    <wps:wsp>
                      <wps:cNvSpPr txBox="1"/>
                      <wps:spPr>
                        <a:xfrm>
                          <a:off x="0" y="0"/>
                          <a:ext cx="752475" cy="297180"/>
                        </a:xfrm>
                        <a:prstGeom prst="rect">
                          <a:avLst/>
                        </a:prstGeom>
                        <a:noFill/>
                        <a:ln>
                          <a:noFill/>
                        </a:ln>
                      </wps:spPr>
                      <wps:txbx>
                        <w:txbxContent>
                          <w:p>
                            <w:r>
                              <w:rPr>
                                <w:rFonts w:hint="eastAsia"/>
                              </w:rPr>
                              <w:t>影响下降</w:t>
                            </w:r>
                          </w:p>
                        </w:txbxContent>
                      </wps:txbx>
                      <wps:bodyPr upright="1"/>
                    </wps:wsp>
                  </a:graphicData>
                </a:graphic>
              </wp:anchor>
            </w:drawing>
          </mc:Choice>
          <mc:Fallback>
            <w:pict>
              <v:shape id="_x0000_s1026" o:spid="_x0000_s1026" o:spt="202" type="#_x0000_t202" style="position:absolute;left:0pt;margin-left:225pt;margin-top:15.6pt;height:23.4pt;width:59.25pt;z-index:251897856;mso-width-relative:page;mso-height-relative:page;" filled="f" stroked="f" coordsize="21600,21600" o:gfxdata="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eKQBPXAAAACQEAAA8AAAAAAAAAAQAgAAAAIgAAAGRycy9k&#10;b3ducmV2LnhtbFBLAQIUABQAAAAIAIdO4kC/4FGekQEAAAMDAAAOAAAAAAAAAAEAIAAAACYBAABk&#10;cnMvZTJvRG9jLnhtbFBLBQYAAAAABgAGAFkBAAApBQAAAAA=&#10;">
                <v:fill on="f" focussize="0,0"/>
                <v:stroke on="f"/>
                <v:imagedata o:title=""/>
                <o:lock v:ext="edit" aspectratio="f"/>
                <v:textbox>
                  <w:txbxContent>
                    <w:p>
                      <w:r>
                        <w:rPr>
                          <w:rFonts w:hint="eastAsia"/>
                        </w:rPr>
                        <w:t>影响下降</w:t>
                      </w:r>
                    </w:p>
                  </w:txbxContent>
                </v:textbox>
              </v:shape>
            </w:pict>
          </mc:Fallback>
        </mc:AlternateContent>
      </w:r>
      <w:r>
        <w:rPr>
          <w:rFonts w:hint="eastAsia"/>
          <w:b/>
          <w:sz w:val="24"/>
          <w:szCs w:val="24"/>
        </w:rPr>
        <mc:AlternateContent>
          <mc:Choice Requires="wps">
            <w:drawing>
              <wp:anchor distT="0" distB="0" distL="114300" distR="114300" simplePos="0" relativeHeight="251896832" behindDoc="0" locked="0" layoutInCell="1" allowOverlap="1">
                <wp:simplePos x="0" y="0"/>
                <wp:positionH relativeFrom="column">
                  <wp:posOffset>3657600</wp:posOffset>
                </wp:positionH>
                <wp:positionV relativeFrom="paragraph">
                  <wp:posOffset>99060</wp:posOffset>
                </wp:positionV>
                <wp:extent cx="635" cy="485775"/>
                <wp:effectExtent l="37465" t="0" r="38100" b="9525"/>
                <wp:wrapNone/>
                <wp:docPr id="585" name="直接箭头连接符 585"/>
                <wp:cNvGraphicFramePr/>
                <a:graphic xmlns:a="http://schemas.openxmlformats.org/drawingml/2006/main">
                  <a:graphicData uri="http://schemas.microsoft.com/office/word/2010/wordprocessingShape">
                    <wps:wsp>
                      <wps:cNvCnPr/>
                      <wps:spPr>
                        <a:xfrm flipV="1">
                          <a:off x="0" y="0"/>
                          <a:ext cx="635" cy="4857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88pt;margin-top:7.8pt;height:38.25pt;width:0.05pt;z-index:251896832;mso-width-relative:page;mso-height-relative:page;" filled="f" stroked="t" coordsize="21600,21600" o:gfxdata="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FVCiF2AAAAAkBAAAPAAAAAAAAAAEAIAAAACIAAABkcnMvZG93bnJldi54bWxQSwEC&#10;FAAUAAAACACHTuJAkykEFfQBAACxAwAADgAAAAAAAAABACAAAAAnAQAAZHJzL2Uyb0RvYy54bWxQ&#10;SwUGAAAAAAYABgBZAQAAjQUAAAAA&#10;">
                <v:fill on="f" focussize="0,0"/>
                <v:stroke color="#000000" joinstyle="round" endarrow="block"/>
                <v:imagedata o:title=""/>
                <o:lock v:ext="edit" aspectratio="f"/>
              </v:shape>
            </w:pict>
          </mc:Fallback>
        </mc:AlternateContent>
      </w:r>
      <w:r>
        <w:rPr>
          <w:rFonts w:hint="eastAsia"/>
          <w:b/>
          <w:sz w:val="24"/>
          <w:szCs w:val="24"/>
        </w:rPr>
        <mc:AlternateContent>
          <mc:Choice Requires="wps">
            <w:drawing>
              <wp:anchor distT="0" distB="0" distL="114300" distR="114300" simplePos="0" relativeHeight="251890688" behindDoc="0" locked="0" layoutInCell="1" allowOverlap="1">
                <wp:simplePos x="0" y="0"/>
                <wp:positionH relativeFrom="column">
                  <wp:posOffset>1009650</wp:posOffset>
                </wp:positionH>
                <wp:positionV relativeFrom="paragraph">
                  <wp:posOffset>154305</wp:posOffset>
                </wp:positionV>
                <wp:extent cx="1495425" cy="504825"/>
                <wp:effectExtent l="5080" t="5080" r="4445" b="4445"/>
                <wp:wrapNone/>
                <wp:docPr id="574" name="文本框 574"/>
                <wp:cNvGraphicFramePr/>
                <a:graphic xmlns:a="http://schemas.openxmlformats.org/drawingml/2006/main">
                  <a:graphicData uri="http://schemas.microsoft.com/office/word/2010/wordprocessingShape">
                    <wps:wsp>
                      <wps:cNvSpPr txBox="1"/>
                      <wps:spPr>
                        <a:xfrm>
                          <a:off x="0" y="0"/>
                          <a:ext cx="149542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安全环保组</w:t>
                            </w:r>
                          </w:p>
                        </w:txbxContent>
                      </wps:txbx>
                      <wps:bodyPr upright="1"/>
                    </wps:wsp>
                  </a:graphicData>
                </a:graphic>
              </wp:anchor>
            </w:drawing>
          </mc:Choice>
          <mc:Fallback>
            <w:pict>
              <v:shape id="_x0000_s1026" o:spid="_x0000_s1026" o:spt="202" type="#_x0000_t202" style="position:absolute;left:0pt;margin-left:79.5pt;margin-top:12.15pt;height:39.75pt;width:117.75pt;z-index:251890688;mso-width-relative:page;mso-height-relative:page;" fillcolor="#FFFFFF" filled="t" stroked="t" coordsize="21600,21600" o:gfxdata="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v/+sNkAAAAKAQAADwAAAAAAAAABACAAAAAiAAAAZHJzL2Rvd25yZXYueG1sUEsBAhQA&#10;FAAAAAgAh07iQHv9QQnxAQAA7AMAAA4AAAAAAAAAAQAgAAAAKAEAAGRycy9lMm9Eb2MueG1sUEsF&#10;BgAAAAAGAAYAWQEAAIsFAAAAAA==&#10;">
                <v:fill on="t" focussize="0,0"/>
                <v:stroke color="#000000" joinstyle="miter"/>
                <v:imagedata o:title=""/>
                <o:lock v:ext="edit" aspectratio="f"/>
                <v:textbox>
                  <w:txbxContent>
                    <w:p>
                      <w:pPr>
                        <w:rPr>
                          <w:sz w:val="24"/>
                          <w:szCs w:val="24"/>
                        </w:rPr>
                      </w:pPr>
                      <w:r>
                        <w:rPr>
                          <w:rFonts w:hint="eastAsia"/>
                          <w:sz w:val="24"/>
                          <w:szCs w:val="24"/>
                        </w:rPr>
                        <w:t>安全环保组</w:t>
                      </w:r>
                    </w:p>
                  </w:txbxContent>
                </v:textbox>
              </v:shape>
            </w:pict>
          </mc:Fallback>
        </mc:AlternateContent>
      </w:r>
    </w:p>
    <w:p>
      <w:pPr>
        <w:spacing w:line="360" w:lineRule="auto"/>
        <w:rPr>
          <w:rFonts w:hint="eastAsia"/>
          <w:b/>
          <w:sz w:val="24"/>
          <w:szCs w:val="24"/>
        </w:rPr>
      </w:pPr>
      <w:r>
        <w:rPr>
          <w:rFonts w:hint="eastAsia"/>
          <w:b/>
          <w:sz w:val="24"/>
          <w:szCs w:val="24"/>
        </w:rPr>
        <mc:AlternateContent>
          <mc:Choice Requires="wps">
            <w:drawing>
              <wp:anchor distT="0" distB="0" distL="114300" distR="114300" simplePos="0" relativeHeight="251895808" behindDoc="0" locked="0" layoutInCell="1" allowOverlap="1">
                <wp:simplePos x="0" y="0"/>
                <wp:positionH relativeFrom="column">
                  <wp:posOffset>3305175</wp:posOffset>
                </wp:positionH>
                <wp:positionV relativeFrom="paragraph">
                  <wp:posOffset>262890</wp:posOffset>
                </wp:positionV>
                <wp:extent cx="590550" cy="727710"/>
                <wp:effectExtent l="4445" t="4445" r="14605" b="10795"/>
                <wp:wrapNone/>
                <wp:docPr id="582" name="文本框 582"/>
                <wp:cNvGraphicFramePr/>
                <a:graphic xmlns:a="http://schemas.openxmlformats.org/drawingml/2006/main">
                  <a:graphicData uri="http://schemas.microsoft.com/office/word/2010/wordprocessingShape">
                    <wps:wsp>
                      <wps:cNvSpPr txBox="1"/>
                      <wps:spPr>
                        <a:xfrm>
                          <a:off x="0" y="0"/>
                          <a:ext cx="590550" cy="7277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发布厂区预 警</w:t>
                            </w:r>
                          </w:p>
                        </w:txbxContent>
                      </wps:txbx>
                      <wps:bodyPr upright="1"/>
                    </wps:wsp>
                  </a:graphicData>
                </a:graphic>
              </wp:anchor>
            </w:drawing>
          </mc:Choice>
          <mc:Fallback>
            <w:pict>
              <v:shape id="_x0000_s1026" o:spid="_x0000_s1026" o:spt="202" type="#_x0000_t202" style="position:absolute;left:0pt;margin-left:260.25pt;margin-top:20.7pt;height:57.3pt;width:46.5pt;z-index:251895808;mso-width-relative:page;mso-height-relative:page;" fillcolor="#FFFFFF" filled="t" stroked="t" coordsize="21600,21600" o:gfxdata="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fIwOtkAAAAKAQAADwAAAAAAAAABACAAAAAiAAAAZHJzL2Rvd25yZXYueG1sUEsB&#10;AhQAFAAAAAgAh07iQHvzBlD0AQAA6wMAAA4AAAAAAAAAAQAgAAAAKAEAAGRycy9lMm9Eb2MueG1s&#10;UEsFBgAAAAAGAAYAWQEAAI4FAAAAAA==&#10;">
                <v:fill on="t" focussize="0,0"/>
                <v:stroke color="#000000" joinstyle="miter"/>
                <v:imagedata o:title=""/>
                <o:lock v:ext="edit" aspectratio="f"/>
                <v:textbox>
                  <w:txbxContent>
                    <w:p>
                      <w:r>
                        <w:rPr>
                          <w:rFonts w:hint="eastAsia"/>
                        </w:rPr>
                        <w:t>发布厂区预 警</w:t>
                      </w:r>
                    </w:p>
                  </w:txbxContent>
                </v:textbox>
              </v:shape>
            </w:pict>
          </mc:Fallback>
        </mc:AlternateContent>
      </w:r>
      <w:r>
        <w:rPr>
          <w:rFonts w:hint="eastAsia"/>
          <w:b/>
          <w:sz w:val="24"/>
          <w:szCs w:val="24"/>
        </w:rPr>
        <mc:AlternateContent>
          <mc:Choice Requires="wps">
            <w:drawing>
              <wp:anchor distT="0" distB="0" distL="114300" distR="114300" simplePos="0" relativeHeight="251891712" behindDoc="0" locked="0" layoutInCell="1" allowOverlap="1">
                <wp:simplePos x="0" y="0"/>
                <wp:positionH relativeFrom="column">
                  <wp:posOffset>1676400</wp:posOffset>
                </wp:positionH>
                <wp:positionV relativeFrom="paragraph">
                  <wp:posOffset>262890</wp:posOffset>
                </wp:positionV>
                <wp:extent cx="635" cy="295275"/>
                <wp:effectExtent l="37465" t="0" r="38100" b="9525"/>
                <wp:wrapNone/>
                <wp:docPr id="578" name="直接箭头连接符 578"/>
                <wp:cNvGraphicFramePr/>
                <a:graphic xmlns:a="http://schemas.openxmlformats.org/drawingml/2006/main">
                  <a:graphicData uri="http://schemas.microsoft.com/office/word/2010/wordprocessingShape">
                    <wps:wsp>
                      <wps:cNvCnPr/>
                      <wps:spPr>
                        <a:xfrm>
                          <a:off x="0" y="0"/>
                          <a:ext cx="635"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32pt;margin-top:20.7pt;height:23.25pt;width:0.05pt;z-index:251891712;mso-width-relative:page;mso-height-relative:page;" filled="f" stroked="t" coordsize="21600,21600" o:gfxdata="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7Z&#10;JGzZAAAACQEAAA8AAAAAAAAAAQAgAAAAIgAAAGRycy9kb3ducmV2LnhtbFBLAQIUABQAAAAIAIdO&#10;4kBRvl5U6QEAAKcDAAAOAAAAAAAAAAEAIAAAACgBAABkcnMvZTJvRG9jLnhtbFBLBQYAAAAABgAG&#10;AFkBAACDBQAAAAA=&#10;">
                <v:fill on="f" focussize="0,0"/>
                <v:stroke color="#000000" joinstyle="round" endarrow="block"/>
                <v:imagedata o:title=""/>
                <o:lock v:ext="edit" aspectratio="f"/>
              </v:shape>
            </w:pict>
          </mc:Fallback>
        </mc:AlternateContent>
      </w:r>
    </w:p>
    <w:p>
      <w:pPr>
        <w:spacing w:line="360" w:lineRule="auto"/>
        <w:rPr>
          <w:rFonts w:hint="eastAsia"/>
          <w:b/>
          <w:sz w:val="24"/>
          <w:szCs w:val="24"/>
        </w:rPr>
      </w:pPr>
      <w:r>
        <w:rPr>
          <w:rFonts w:hint="eastAsia"/>
          <w:b/>
          <w:sz w:val="24"/>
          <w:szCs w:val="24"/>
        </w:rPr>
        <mc:AlternateContent>
          <mc:Choice Requires="wps">
            <w:drawing>
              <wp:anchor distT="0" distB="0" distL="114300" distR="114300" simplePos="0" relativeHeight="251894784" behindDoc="0" locked="0" layoutInCell="1" allowOverlap="1">
                <wp:simplePos x="0" y="0"/>
                <wp:positionH relativeFrom="column">
                  <wp:posOffset>2638425</wp:posOffset>
                </wp:positionH>
                <wp:positionV relativeFrom="paragraph">
                  <wp:posOffset>19050</wp:posOffset>
                </wp:positionV>
                <wp:extent cx="504825" cy="381000"/>
                <wp:effectExtent l="0" t="0" r="0" b="0"/>
                <wp:wrapNone/>
                <wp:docPr id="594" name="文本框 594"/>
                <wp:cNvGraphicFramePr/>
                <a:graphic xmlns:a="http://schemas.openxmlformats.org/drawingml/2006/main">
                  <a:graphicData uri="http://schemas.microsoft.com/office/word/2010/wordprocessingShape">
                    <wps:wsp>
                      <wps:cNvSpPr txBox="1"/>
                      <wps:spPr>
                        <a:xfrm>
                          <a:off x="0" y="0"/>
                          <a:ext cx="504825" cy="381000"/>
                        </a:xfrm>
                        <a:prstGeom prst="rect">
                          <a:avLst/>
                        </a:prstGeom>
                        <a:noFill/>
                        <a:ln>
                          <a:noFill/>
                        </a:ln>
                      </wps:spPr>
                      <wps:txbx>
                        <w:txbxContent>
                          <w:p>
                            <w:r>
                              <w:rPr>
                                <w:rFonts w:hint="eastAsia"/>
                              </w:rPr>
                              <w:t>较大</w:t>
                            </w:r>
                          </w:p>
                        </w:txbxContent>
                      </wps:txbx>
                      <wps:bodyPr upright="1"/>
                    </wps:wsp>
                  </a:graphicData>
                </a:graphic>
              </wp:anchor>
            </w:drawing>
          </mc:Choice>
          <mc:Fallback>
            <w:pict>
              <v:shape id="_x0000_s1026" o:spid="_x0000_s1026" o:spt="202" type="#_x0000_t202" style="position:absolute;left:0pt;margin-left:207.75pt;margin-top:1.5pt;height:30pt;width:39.75pt;z-index:251894784;mso-width-relative:page;mso-height-relative:page;" filled="f" stroked="f" coordsize="21600,21600" o:gfxdata="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11YYjVAAAACAEAAA8AAAAAAAAAAQAgAAAAIgAAAGRycy9kb3du&#10;cmV2LnhtbFBLAQIUABQAAAAIAIdO4kD+Q8ngkAEAAAMDAAAOAAAAAAAAAAEAIAAAACQBAABkcnMv&#10;ZTJvRG9jLnhtbFBLBQYAAAAABgAGAFkBAAAmBQAAAAA=&#10;">
                <v:fill on="f" focussize="0,0"/>
                <v:stroke on="f"/>
                <v:imagedata o:title=""/>
                <o:lock v:ext="edit" aspectratio="f"/>
                <v:textbox>
                  <w:txbxContent>
                    <w:p>
                      <w:r>
                        <w:rPr>
                          <w:rFonts w:hint="eastAsia"/>
                        </w:rPr>
                        <w:t>较大</w:t>
                      </w:r>
                    </w:p>
                  </w:txbxContent>
                </v:textbox>
              </v:shape>
            </w:pict>
          </mc:Fallback>
        </mc:AlternateContent>
      </w:r>
      <w:r>
        <w:rPr>
          <w:rFonts w:hint="eastAsia"/>
          <w:b/>
          <w:sz w:val="24"/>
          <w:szCs w:val="24"/>
        </w:rPr>
        <mc:AlternateContent>
          <mc:Choice Requires="wps">
            <w:drawing>
              <wp:anchor distT="0" distB="0" distL="114300" distR="114300" simplePos="0" relativeHeight="251892736" behindDoc="0" locked="0" layoutInCell="1" allowOverlap="1">
                <wp:simplePos x="0" y="0"/>
                <wp:positionH relativeFrom="column">
                  <wp:posOffset>1009650</wp:posOffset>
                </wp:positionH>
                <wp:positionV relativeFrom="paragraph">
                  <wp:posOffset>161925</wp:posOffset>
                </wp:positionV>
                <wp:extent cx="1495425" cy="504825"/>
                <wp:effectExtent l="5080" t="5080" r="4445" b="4445"/>
                <wp:wrapNone/>
                <wp:docPr id="597" name="文本框 597"/>
                <wp:cNvGraphicFramePr/>
                <a:graphic xmlns:a="http://schemas.openxmlformats.org/drawingml/2006/main">
                  <a:graphicData uri="http://schemas.microsoft.com/office/word/2010/wordprocessingShape">
                    <wps:wsp>
                      <wps:cNvSpPr txBox="1"/>
                      <wps:spPr>
                        <a:xfrm>
                          <a:off x="0" y="0"/>
                          <a:ext cx="149542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事件等级判读</w:t>
                            </w:r>
                          </w:p>
                        </w:txbxContent>
                      </wps:txbx>
                      <wps:bodyPr upright="1"/>
                    </wps:wsp>
                  </a:graphicData>
                </a:graphic>
              </wp:anchor>
            </w:drawing>
          </mc:Choice>
          <mc:Fallback>
            <w:pict>
              <v:shape id="_x0000_s1026" o:spid="_x0000_s1026" o:spt="202" type="#_x0000_t202" style="position:absolute;left:0pt;margin-left:79.5pt;margin-top:12.75pt;height:39.75pt;width:117.75pt;z-index:251892736;mso-width-relative:page;mso-height-relative:page;" fillcolor="#FFFFFF" filled="t" stroked="t" coordsize="21600,21600" o:gfxdata="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Pw2BNkAAAAKAQAADwAAAAAAAAABACAAAAAiAAAAZHJzL2Rvd25yZXYueG1sUEsBAhQA&#10;FAAAAAgAh07iQJH+oK7xAQAA7AMAAA4AAAAAAAAAAQAgAAAAKAEAAGRycy9lMm9Eb2MueG1sUEsF&#10;BgAAAAAGAAYAWQEAAIsFAAAAAA==&#10;">
                <v:fill on="t" focussize="0,0"/>
                <v:stroke color="#000000" joinstyle="miter"/>
                <v:imagedata o:title=""/>
                <o:lock v:ext="edit" aspectratio="f"/>
                <v:textbox>
                  <w:txbxContent>
                    <w:p>
                      <w:pPr>
                        <w:rPr>
                          <w:sz w:val="24"/>
                          <w:szCs w:val="24"/>
                        </w:rPr>
                      </w:pPr>
                      <w:r>
                        <w:rPr>
                          <w:rFonts w:hint="eastAsia"/>
                          <w:sz w:val="24"/>
                          <w:szCs w:val="24"/>
                        </w:rPr>
                        <w:t>事件等级判读</w:t>
                      </w:r>
                    </w:p>
                  </w:txbxContent>
                </v:textbox>
              </v:shape>
            </w:pict>
          </mc:Fallback>
        </mc:AlternateContent>
      </w:r>
    </w:p>
    <w:p>
      <w:pPr>
        <w:spacing w:line="360" w:lineRule="auto"/>
        <w:rPr>
          <w:rFonts w:hint="eastAsia"/>
          <w:b/>
          <w:sz w:val="24"/>
          <w:szCs w:val="24"/>
        </w:rPr>
      </w:pPr>
      <w:r>
        <w:rPr>
          <w:rFonts w:hint="eastAsia"/>
          <w:b/>
          <w:sz w:val="24"/>
          <w:szCs w:val="24"/>
        </w:rPr>
        <mc:AlternateContent>
          <mc:Choice Requires="wps">
            <w:drawing>
              <wp:anchor distT="0" distB="0" distL="114300" distR="114300" simplePos="0" relativeHeight="251899904" behindDoc="0" locked="0" layoutInCell="1" allowOverlap="1">
                <wp:simplePos x="0" y="0"/>
                <wp:positionH relativeFrom="column">
                  <wp:posOffset>1676400</wp:posOffset>
                </wp:positionH>
                <wp:positionV relativeFrom="paragraph">
                  <wp:posOffset>289560</wp:posOffset>
                </wp:positionV>
                <wp:extent cx="635" cy="295275"/>
                <wp:effectExtent l="37465" t="0" r="38100" b="9525"/>
                <wp:wrapNone/>
                <wp:docPr id="586" name="直接箭头连接符 586"/>
                <wp:cNvGraphicFramePr/>
                <a:graphic xmlns:a="http://schemas.openxmlformats.org/drawingml/2006/main">
                  <a:graphicData uri="http://schemas.microsoft.com/office/word/2010/wordprocessingShape">
                    <wps:wsp>
                      <wps:cNvCnPr/>
                      <wps:spPr>
                        <a:xfrm>
                          <a:off x="0" y="0"/>
                          <a:ext cx="635"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32pt;margin-top:22.8pt;height:23.25pt;width:0.05pt;z-index:251899904;mso-width-relative:page;mso-height-relative:page;" filled="f" stroked="t" coordsize="21600,21600" o:gfxdata="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5u&#10;Fk7ZAAAACQEAAA8AAAAAAAAAAQAgAAAAIgAAAGRycy9kb3ducmV2LnhtbFBLAQIUABQAAAAIAIdO&#10;4kAHpGSF6QEAAKcDAAAOAAAAAAAAAAEAIAAAACgBAABkcnMvZTJvRG9jLnhtbFBLBQYAAAAABgAG&#10;AFkBAACDBQAAAAA=&#10;">
                <v:fill on="f" focussize="0,0"/>
                <v:stroke color="#000000" joinstyle="round" endarrow="block"/>
                <v:imagedata o:title=""/>
                <o:lock v:ext="edit" aspectratio="f"/>
              </v:shape>
            </w:pict>
          </mc:Fallback>
        </mc:AlternateContent>
      </w:r>
      <w:r>
        <w:rPr>
          <w:rFonts w:hint="eastAsia"/>
          <w:b/>
          <w:sz w:val="24"/>
          <w:szCs w:val="24"/>
        </w:rPr>
        <mc:AlternateContent>
          <mc:Choice Requires="wps">
            <w:drawing>
              <wp:anchor distT="0" distB="0" distL="114300" distR="114300" simplePos="0" relativeHeight="251893760" behindDoc="0" locked="0" layoutInCell="1" allowOverlap="1">
                <wp:simplePos x="0" y="0"/>
                <wp:positionH relativeFrom="column">
                  <wp:posOffset>2505075</wp:posOffset>
                </wp:positionH>
                <wp:positionV relativeFrom="paragraph">
                  <wp:posOffset>3810</wp:posOffset>
                </wp:positionV>
                <wp:extent cx="800100" cy="0"/>
                <wp:effectExtent l="0" t="38100" r="0" b="38100"/>
                <wp:wrapNone/>
                <wp:docPr id="588" name="直接箭头连接符 588"/>
                <wp:cNvGraphicFramePr/>
                <a:graphic xmlns:a="http://schemas.openxmlformats.org/drawingml/2006/main">
                  <a:graphicData uri="http://schemas.microsoft.com/office/word/2010/wordprocessingShape">
                    <wps:wsp>
                      <wps:cNvCnPr/>
                      <wps:spPr>
                        <a:xfrm>
                          <a:off x="0" y="0"/>
                          <a:ext cx="8001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7.25pt;margin-top:0.3pt;height:0pt;width:63pt;z-index:251893760;mso-width-relative:page;mso-height-relative:page;" filled="f" stroked="t" coordsize="21600,21600" o:gfxdata="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WOKUu1QAA&#10;AAUBAAAPAAAAAAAAAAEAIAAAACIAAABkcnMvZG93bnJldi54bWxQSwECFAAUAAAACACHTuJAWyfE&#10;4ugBAAClAwAADgAAAAAAAAABACAAAAAkAQAAZHJzL2Uyb0RvYy54bWxQSwUGAAAAAAYABgBZAQAA&#10;fgUAAAAA&#10;">
                <v:fill on="f" focussize="0,0"/>
                <v:stroke color="#000000" joinstyle="round" endarrow="block"/>
                <v:imagedata o:title=""/>
                <o:lock v:ext="edit" aspectratio="f"/>
              </v:shape>
            </w:pict>
          </mc:Fallback>
        </mc:AlternateContent>
      </w:r>
    </w:p>
    <w:p>
      <w:pPr>
        <w:spacing w:line="360" w:lineRule="auto"/>
        <w:rPr>
          <w:rFonts w:hint="eastAsia"/>
          <w:b/>
          <w:sz w:val="24"/>
          <w:szCs w:val="24"/>
        </w:rPr>
      </w:pPr>
      <w:r>
        <w:rPr>
          <w:rFonts w:hint="eastAsia"/>
          <w:b/>
          <w:sz w:val="24"/>
          <w:szCs w:val="24"/>
        </w:rPr>
        <mc:AlternateContent>
          <mc:Choice Requires="wps">
            <w:drawing>
              <wp:anchor distT="0" distB="0" distL="114300" distR="114300" simplePos="0" relativeHeight="251900928" behindDoc="0" locked="0" layoutInCell="1" allowOverlap="1">
                <wp:simplePos x="0" y="0"/>
                <wp:positionH relativeFrom="column">
                  <wp:posOffset>1009650</wp:posOffset>
                </wp:positionH>
                <wp:positionV relativeFrom="paragraph">
                  <wp:posOffset>188595</wp:posOffset>
                </wp:positionV>
                <wp:extent cx="1495425" cy="504825"/>
                <wp:effectExtent l="5080" t="5080" r="4445" b="4445"/>
                <wp:wrapNone/>
                <wp:docPr id="569" name="文本框 569"/>
                <wp:cNvGraphicFramePr/>
                <a:graphic xmlns:a="http://schemas.openxmlformats.org/drawingml/2006/main">
                  <a:graphicData uri="http://schemas.microsoft.com/office/word/2010/wordprocessingShape">
                    <wps:wsp>
                      <wps:cNvSpPr txBox="1"/>
                      <wps:spPr>
                        <a:xfrm>
                          <a:off x="0" y="0"/>
                          <a:ext cx="149542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应急指挥部</w:t>
                            </w:r>
                          </w:p>
                        </w:txbxContent>
                      </wps:txbx>
                      <wps:bodyPr upright="1"/>
                    </wps:wsp>
                  </a:graphicData>
                </a:graphic>
              </wp:anchor>
            </w:drawing>
          </mc:Choice>
          <mc:Fallback>
            <w:pict>
              <v:shape id="_x0000_s1026" o:spid="_x0000_s1026" o:spt="202" type="#_x0000_t202" style="position:absolute;left:0pt;margin-left:79.5pt;margin-top:14.85pt;height:39.75pt;width:117.75pt;z-index:251900928;mso-width-relative:page;mso-height-relative:page;" fillcolor="#FFFFFF" filled="t" stroked="t" coordsize="21600,21600" o:gfxdata="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g6PSV2AAAAAoBAAAPAAAAAAAAAAEAIAAAACIAAABkcnMvZG93bnJldi54bWxQSwECFAAU&#10;AAAACACHTuJAZwcM7fEBAADsAwAADgAAAAAAAAABACAAAAAnAQAAZHJzL2Uyb0RvYy54bWxQSwUG&#10;AAAAAAYABgBZAQAAigUAAAAA&#10;">
                <v:fill on="t" focussize="0,0"/>
                <v:stroke color="#000000" joinstyle="miter"/>
                <v:imagedata o:title=""/>
                <o:lock v:ext="edit" aspectratio="f"/>
                <v:textbox>
                  <w:txbxContent>
                    <w:p>
                      <w:pPr>
                        <w:rPr>
                          <w:sz w:val="24"/>
                          <w:szCs w:val="24"/>
                        </w:rPr>
                      </w:pPr>
                      <w:r>
                        <w:rPr>
                          <w:rFonts w:hint="eastAsia"/>
                          <w:sz w:val="24"/>
                          <w:szCs w:val="24"/>
                        </w:rPr>
                        <w:t>应急指挥部</w:t>
                      </w:r>
                    </w:p>
                  </w:txbxContent>
                </v:textbox>
              </v:shape>
            </w:pict>
          </mc:Fallback>
        </mc:AlternateContent>
      </w:r>
    </w:p>
    <w:p>
      <w:pPr>
        <w:spacing w:line="360" w:lineRule="auto"/>
        <w:rPr>
          <w:rFonts w:hint="eastAsia"/>
          <w:b/>
          <w:sz w:val="24"/>
          <w:szCs w:val="24"/>
        </w:rPr>
      </w:pPr>
      <w:r>
        <w:rPr>
          <w:rFonts w:hint="eastAsia"/>
          <w:b/>
          <w:sz w:val="24"/>
          <w:szCs w:val="24"/>
        </w:rPr>
        <mc:AlternateContent>
          <mc:Choice Requires="wps">
            <w:drawing>
              <wp:anchor distT="0" distB="0" distL="114300" distR="114300" simplePos="0" relativeHeight="251901952" behindDoc="0" locked="0" layoutInCell="1" allowOverlap="1">
                <wp:simplePos x="0" y="0"/>
                <wp:positionH relativeFrom="column">
                  <wp:posOffset>1676400</wp:posOffset>
                </wp:positionH>
                <wp:positionV relativeFrom="paragraph">
                  <wp:posOffset>297180</wp:posOffset>
                </wp:positionV>
                <wp:extent cx="635" cy="295275"/>
                <wp:effectExtent l="37465" t="0" r="38100" b="9525"/>
                <wp:wrapNone/>
                <wp:docPr id="580" name="直接箭头连接符 580"/>
                <wp:cNvGraphicFramePr/>
                <a:graphic xmlns:a="http://schemas.openxmlformats.org/drawingml/2006/main">
                  <a:graphicData uri="http://schemas.microsoft.com/office/word/2010/wordprocessingShape">
                    <wps:wsp>
                      <wps:cNvCnPr/>
                      <wps:spPr>
                        <a:xfrm>
                          <a:off x="0" y="0"/>
                          <a:ext cx="635"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32pt;margin-top:23.4pt;height:23.25pt;width:0.05pt;z-index:251901952;mso-width-relative:page;mso-height-relative:page;" filled="f" stroked="t" coordsize="21600,21600" o:gfxdata="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sq&#10;xLzZAAAACQEAAA8AAAAAAAAAAQAgAAAAIgAAAGRycy9kb3ducmV2LnhtbFBLAQIUABQAAAAIAIdO&#10;4kCvWDb76QEAAKcDAAAOAAAAAAAAAAEAIAAAACgBAABkcnMvZTJvRG9jLnhtbFBLBQYAAAAABgAG&#10;AFkBAACDBQAAAAA=&#10;">
                <v:fill on="f" focussize="0,0"/>
                <v:stroke color="#000000" joinstyle="round" endarrow="block"/>
                <v:imagedata o:title=""/>
                <o:lock v:ext="edit" aspectratio="f"/>
              </v:shape>
            </w:pict>
          </mc:Fallback>
        </mc:AlternateContent>
      </w:r>
    </w:p>
    <w:p>
      <w:pPr>
        <w:spacing w:line="360" w:lineRule="auto"/>
        <w:rPr>
          <w:rFonts w:hint="eastAsia"/>
          <w:b/>
          <w:sz w:val="24"/>
          <w:szCs w:val="24"/>
        </w:rPr>
      </w:pPr>
      <w:r>
        <w:rPr>
          <w:rFonts w:hint="eastAsia"/>
          <w:b/>
          <w:sz w:val="24"/>
          <w:szCs w:val="24"/>
        </w:rPr>
        <mc:AlternateContent>
          <mc:Choice Requires="wps">
            <w:drawing>
              <wp:anchor distT="0" distB="0" distL="114300" distR="114300" simplePos="0" relativeHeight="251902976" behindDoc="0" locked="0" layoutInCell="1" allowOverlap="1">
                <wp:simplePos x="0" y="0"/>
                <wp:positionH relativeFrom="column">
                  <wp:posOffset>1009650</wp:posOffset>
                </wp:positionH>
                <wp:positionV relativeFrom="paragraph">
                  <wp:posOffset>196215</wp:posOffset>
                </wp:positionV>
                <wp:extent cx="1495425" cy="398145"/>
                <wp:effectExtent l="5080" t="4445" r="4445" b="16510"/>
                <wp:wrapNone/>
                <wp:docPr id="568" name="文本框 568"/>
                <wp:cNvGraphicFramePr/>
                <a:graphic xmlns:a="http://schemas.openxmlformats.org/drawingml/2006/main">
                  <a:graphicData uri="http://schemas.microsoft.com/office/word/2010/wordprocessingShape">
                    <wps:wsp>
                      <wps:cNvSpPr txBox="1"/>
                      <wps:spPr>
                        <a:xfrm>
                          <a:off x="0" y="0"/>
                          <a:ext cx="1495425" cy="398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事件等级判断</w:t>
                            </w:r>
                          </w:p>
                        </w:txbxContent>
                      </wps:txbx>
                      <wps:bodyPr upright="1"/>
                    </wps:wsp>
                  </a:graphicData>
                </a:graphic>
              </wp:anchor>
            </w:drawing>
          </mc:Choice>
          <mc:Fallback>
            <w:pict>
              <v:shape id="_x0000_s1026" o:spid="_x0000_s1026" o:spt="202" type="#_x0000_t202" style="position:absolute;left:0pt;margin-left:79.5pt;margin-top:15.45pt;height:31.35pt;width:117.75pt;z-index:251902976;mso-width-relative:page;mso-height-relative:page;" fillcolor="#FFFFFF" filled="t" stroked="t" coordsize="21600,21600" o:gfxdata="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9vuQfYAAAACQEAAA8AAAAAAAAAAQAgAAAAIgAAAGRycy9kb3ducmV2LnhtbFBLAQIU&#10;ABQAAAAIAIdO4kCZGEgi8wEAAOwDAAAOAAAAAAAAAAEAIAAAACcBAABkcnMvZTJvRG9jLnhtbFBL&#10;BQYAAAAABgAGAFkBAACMBQAAAAA=&#10;">
                <v:fill on="t" focussize="0,0"/>
                <v:stroke color="#000000" joinstyle="miter"/>
                <v:imagedata o:title=""/>
                <o:lock v:ext="edit" aspectratio="f"/>
                <v:textbox>
                  <w:txbxContent>
                    <w:p>
                      <w:pPr>
                        <w:rPr>
                          <w:sz w:val="24"/>
                          <w:szCs w:val="24"/>
                        </w:rPr>
                      </w:pPr>
                      <w:r>
                        <w:rPr>
                          <w:rFonts w:hint="eastAsia"/>
                          <w:sz w:val="24"/>
                          <w:szCs w:val="24"/>
                        </w:rPr>
                        <w:t>事件等级判断</w:t>
                      </w:r>
                    </w:p>
                  </w:txbxContent>
                </v:textbox>
              </v:shape>
            </w:pict>
          </mc:Fallback>
        </mc:AlternateContent>
      </w:r>
    </w:p>
    <w:p>
      <w:pPr>
        <w:spacing w:line="360" w:lineRule="auto"/>
        <w:rPr>
          <w:rFonts w:hint="eastAsia"/>
          <w:b/>
          <w:sz w:val="24"/>
          <w:szCs w:val="24"/>
        </w:rPr>
      </w:pPr>
      <w:r>
        <w:rPr>
          <w:rFonts w:hint="eastAsia"/>
          <w:b/>
          <w:sz w:val="24"/>
          <w:szCs w:val="24"/>
        </w:rPr>
        <mc:AlternateContent>
          <mc:Choice Requires="wps">
            <w:drawing>
              <wp:anchor distT="0" distB="0" distL="114300" distR="114300" simplePos="0" relativeHeight="251906048" behindDoc="0" locked="0" layoutInCell="1" allowOverlap="1">
                <wp:simplePos x="0" y="0"/>
                <wp:positionH relativeFrom="column">
                  <wp:posOffset>1600200</wp:posOffset>
                </wp:positionH>
                <wp:positionV relativeFrom="paragraph">
                  <wp:posOffset>198120</wp:posOffset>
                </wp:positionV>
                <wp:extent cx="428625" cy="295275"/>
                <wp:effectExtent l="0" t="0" r="0" b="0"/>
                <wp:wrapNone/>
                <wp:docPr id="576" name="文本框 576"/>
                <wp:cNvGraphicFramePr/>
                <a:graphic xmlns:a="http://schemas.openxmlformats.org/drawingml/2006/main">
                  <a:graphicData uri="http://schemas.microsoft.com/office/word/2010/wordprocessingShape">
                    <wps:wsp>
                      <wps:cNvSpPr txBox="1"/>
                      <wps:spPr>
                        <a:xfrm>
                          <a:off x="0" y="0"/>
                          <a:ext cx="428625" cy="295275"/>
                        </a:xfrm>
                        <a:prstGeom prst="rect">
                          <a:avLst/>
                        </a:prstGeom>
                        <a:noFill/>
                        <a:ln>
                          <a:noFill/>
                        </a:ln>
                      </wps:spPr>
                      <wps:txbx>
                        <w:txbxContent>
                          <w:p>
                            <w:r>
                              <w:rPr>
                                <w:rFonts w:hint="eastAsia"/>
                              </w:rPr>
                              <w:t>I、</w:t>
                            </w:r>
                            <w:r>
                              <w:fldChar w:fldCharType="begin"/>
                            </w:r>
                            <w:r>
                              <w:instrText xml:space="preserve"> </w:instrText>
                            </w:r>
                            <w:r>
                              <w:rPr>
                                <w:rFonts w:hint="eastAsia"/>
                              </w:rPr>
                              <w:instrText xml:space="preserve">= 2 \* ROMAN</w:instrText>
                            </w:r>
                            <w:r>
                              <w:instrText xml:space="preserve"> </w:instrText>
                            </w:r>
                            <w:r>
                              <w:fldChar w:fldCharType="separate"/>
                            </w:r>
                            <w:r>
                              <w:t>II</w:t>
                            </w:r>
                            <w:r>
                              <w:fldChar w:fldCharType="end"/>
                            </w:r>
                            <w:r>
                              <w:rPr>
                                <w:rFonts w:hint="eastAsia"/>
                              </w:rPr>
                              <w:t>级</w:t>
                            </w:r>
                          </w:p>
                        </w:txbxContent>
                      </wps:txbx>
                      <wps:bodyPr upright="1"/>
                    </wps:wsp>
                  </a:graphicData>
                </a:graphic>
              </wp:anchor>
            </w:drawing>
          </mc:Choice>
          <mc:Fallback>
            <w:pict>
              <v:shape id="_x0000_s1026" o:spid="_x0000_s1026" o:spt="202" type="#_x0000_t202" style="position:absolute;left:0pt;margin-left:126pt;margin-top:15.6pt;height:23.25pt;width:33.75pt;z-index:251906048;mso-width-relative:page;mso-height-relative:page;" filled="f" stroked="f" coordsize="21600,21600" o:gfxdata="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6RKb9gAAAAJAQAADwAAAAAAAAABACAAAAAiAAAAZHJzL2Rv&#10;d25yZXYueG1sUEsBAhQAFAAAAAgAh07iQL17LDGPAQAAAwMAAA4AAAAAAAAAAQAgAAAAJwEAAGRy&#10;cy9lMm9Eb2MueG1sUEsFBgAAAAAGAAYAWQEAACgFAAAAAA==&#10;">
                <v:fill on="f" focussize="0,0"/>
                <v:stroke on="f"/>
                <v:imagedata o:title=""/>
                <o:lock v:ext="edit" aspectratio="f"/>
                <v:textbox>
                  <w:txbxContent>
                    <w:p>
                      <w:r>
                        <w:rPr>
                          <w:rFonts w:hint="eastAsia"/>
                        </w:rPr>
                        <w:t>I、</w:t>
                      </w:r>
                      <w:r>
                        <w:fldChar w:fldCharType="begin"/>
                      </w:r>
                      <w:r>
                        <w:instrText xml:space="preserve"> </w:instrText>
                      </w:r>
                      <w:r>
                        <w:rPr>
                          <w:rFonts w:hint="eastAsia"/>
                        </w:rPr>
                        <w:instrText xml:space="preserve">= 2 \* ROMAN</w:instrText>
                      </w:r>
                      <w:r>
                        <w:instrText xml:space="preserve"> </w:instrText>
                      </w:r>
                      <w:r>
                        <w:fldChar w:fldCharType="separate"/>
                      </w:r>
                      <w:r>
                        <w:t>II</w:t>
                      </w:r>
                      <w:r>
                        <w:fldChar w:fldCharType="end"/>
                      </w:r>
                      <w:r>
                        <w:rPr>
                          <w:rFonts w:hint="eastAsia"/>
                        </w:rPr>
                        <w:t>级</w:t>
                      </w:r>
                    </w:p>
                  </w:txbxContent>
                </v:textbox>
              </v:shape>
            </w:pict>
          </mc:Fallback>
        </mc:AlternateContent>
      </w:r>
      <w:r>
        <w:rPr>
          <w:rFonts w:hint="eastAsia"/>
          <w:b/>
          <w:sz w:val="24"/>
          <w:szCs w:val="24"/>
        </w:rPr>
        <mc:AlternateContent>
          <mc:Choice Requires="wps">
            <w:drawing>
              <wp:anchor distT="0" distB="0" distL="114300" distR="114300" simplePos="0" relativeHeight="251904000" behindDoc="0" locked="0" layoutInCell="1" allowOverlap="1">
                <wp:simplePos x="0" y="0"/>
                <wp:positionH relativeFrom="column">
                  <wp:posOffset>1685925</wp:posOffset>
                </wp:positionH>
                <wp:positionV relativeFrom="paragraph">
                  <wp:posOffset>304800</wp:posOffset>
                </wp:positionV>
                <wp:extent cx="635" cy="295275"/>
                <wp:effectExtent l="37465" t="0" r="38100" b="9525"/>
                <wp:wrapNone/>
                <wp:docPr id="571" name="直接箭头连接符 571"/>
                <wp:cNvGraphicFramePr/>
                <a:graphic xmlns:a="http://schemas.openxmlformats.org/drawingml/2006/main">
                  <a:graphicData uri="http://schemas.microsoft.com/office/word/2010/wordprocessingShape">
                    <wps:wsp>
                      <wps:cNvCnPr/>
                      <wps:spPr>
                        <a:xfrm>
                          <a:off x="0" y="0"/>
                          <a:ext cx="635"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32.75pt;margin-top:24pt;height:23.25pt;width:0.05pt;z-index:251904000;mso-width-relative:page;mso-height-relative:page;" filled="f" stroked="t" coordsize="21600,21600" o:gfxdata="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2&#10;r+Yq2QAAAAkBAAAPAAAAAAAAAAEAIAAAACIAAABkcnMvZG93bnJldi54bWxQSwECFAAUAAAACACH&#10;TuJA/cWA6eoBAACnAwAADgAAAAAAAAABACAAAAAoAQAAZHJzL2Uyb0RvYy54bWxQSwUGAAAAAAYA&#10;BgBZAQAAhAUAAAAA&#10;">
                <v:fill on="f" focussize="0,0"/>
                <v:stroke color="#000000" joinstyle="round" endarrow="block"/>
                <v:imagedata o:title=""/>
                <o:lock v:ext="edit" aspectratio="f"/>
              </v:shape>
            </w:pict>
          </mc:Fallback>
        </mc:AlternateContent>
      </w:r>
    </w:p>
    <w:p>
      <w:pPr>
        <w:spacing w:line="360" w:lineRule="auto"/>
        <w:rPr>
          <w:rFonts w:hint="eastAsia"/>
          <w:b/>
          <w:sz w:val="24"/>
          <w:szCs w:val="24"/>
        </w:rPr>
      </w:pPr>
      <w:r>
        <w:rPr>
          <w:rFonts w:hint="eastAsia"/>
          <w:b/>
          <w:sz w:val="24"/>
          <w:szCs w:val="24"/>
        </w:rPr>
        <mc:AlternateContent>
          <mc:Choice Requires="wps">
            <w:drawing>
              <wp:anchor distT="0" distB="0" distL="114300" distR="114300" simplePos="0" relativeHeight="251905024" behindDoc="0" locked="0" layoutInCell="1" allowOverlap="1">
                <wp:simplePos x="0" y="0"/>
                <wp:positionH relativeFrom="column">
                  <wp:posOffset>1028700</wp:posOffset>
                </wp:positionH>
                <wp:positionV relativeFrom="paragraph">
                  <wp:posOffset>198120</wp:posOffset>
                </wp:positionV>
                <wp:extent cx="1495425" cy="411480"/>
                <wp:effectExtent l="5080" t="5080" r="4445" b="21590"/>
                <wp:wrapNone/>
                <wp:docPr id="589" name="文本框 589"/>
                <wp:cNvGraphicFramePr/>
                <a:graphic xmlns:a="http://schemas.openxmlformats.org/drawingml/2006/main">
                  <a:graphicData uri="http://schemas.microsoft.com/office/word/2010/wordprocessingShape">
                    <wps:wsp>
                      <wps:cNvSpPr txBox="1"/>
                      <wps:spPr>
                        <a:xfrm>
                          <a:off x="0" y="0"/>
                          <a:ext cx="1495425" cy="411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60" w:firstLineChars="150"/>
                              <w:rPr>
                                <w:sz w:val="24"/>
                                <w:szCs w:val="24"/>
                              </w:rPr>
                            </w:pPr>
                            <w:r>
                              <w:rPr>
                                <w:rFonts w:hint="eastAsia"/>
                                <w:sz w:val="24"/>
                                <w:szCs w:val="24"/>
                              </w:rPr>
                              <w:t>政府部门</w:t>
                            </w:r>
                          </w:p>
                        </w:txbxContent>
                      </wps:txbx>
                      <wps:bodyPr upright="1"/>
                    </wps:wsp>
                  </a:graphicData>
                </a:graphic>
              </wp:anchor>
            </w:drawing>
          </mc:Choice>
          <mc:Fallback>
            <w:pict>
              <v:shape id="_x0000_s1026" o:spid="_x0000_s1026" o:spt="202" type="#_x0000_t202" style="position:absolute;left:0pt;margin-left:81pt;margin-top:15.6pt;height:32.4pt;width:117.75pt;z-index:251905024;mso-width-relative:page;mso-height-relative:page;" fillcolor="#FFFFFF" filled="t" stroked="t" coordsize="21600,21600" o:gfxdata="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c7faE2AAAAAkBAAAPAAAAAAAAAAEAIAAAACIAAABkcnMvZG93bnJldi54bWxQSwEC&#10;FAAUAAAACACHTuJAleOsK/QBAADsAwAADgAAAAAAAAABACAAAAAnAQAAZHJzL2Uyb0RvYy54bWxQ&#10;SwUGAAAAAAYABgBZAQAAjQUAAAAA&#10;">
                <v:fill on="t" focussize="0,0"/>
                <v:stroke color="#000000" joinstyle="miter"/>
                <v:imagedata o:title=""/>
                <o:lock v:ext="edit" aspectratio="f"/>
                <v:textbox>
                  <w:txbxContent>
                    <w:p>
                      <w:pPr>
                        <w:ind w:firstLine="360" w:firstLineChars="150"/>
                        <w:rPr>
                          <w:sz w:val="24"/>
                          <w:szCs w:val="24"/>
                        </w:rPr>
                      </w:pPr>
                      <w:r>
                        <w:rPr>
                          <w:rFonts w:hint="eastAsia"/>
                          <w:sz w:val="24"/>
                          <w:szCs w:val="24"/>
                        </w:rPr>
                        <w:t>政府部门</w:t>
                      </w:r>
                    </w:p>
                  </w:txbxContent>
                </v:textbox>
              </v:shape>
            </w:pict>
          </mc:Fallback>
        </mc:AlternateContent>
      </w:r>
      <w:r>
        <w:rPr>
          <w:rFonts w:hint="eastAsia"/>
          <w:b/>
          <w:sz w:val="24"/>
          <w:szCs w:val="24"/>
        </w:rPr>
        <mc:AlternateContent>
          <mc:Choice Requires="wps">
            <w:drawing>
              <wp:anchor distT="0" distB="0" distL="114300" distR="114300" simplePos="0" relativeHeight="251910144" behindDoc="0" locked="0" layoutInCell="1" allowOverlap="1">
                <wp:simplePos x="0" y="0"/>
                <wp:positionH relativeFrom="column">
                  <wp:posOffset>3324225</wp:posOffset>
                </wp:positionH>
                <wp:positionV relativeFrom="paragraph">
                  <wp:posOffset>137160</wp:posOffset>
                </wp:positionV>
                <wp:extent cx="590550" cy="1924050"/>
                <wp:effectExtent l="4445" t="4445" r="14605" b="14605"/>
                <wp:wrapNone/>
                <wp:docPr id="590" name="文本框 590"/>
                <wp:cNvGraphicFramePr/>
                <a:graphic xmlns:a="http://schemas.openxmlformats.org/drawingml/2006/main">
                  <a:graphicData uri="http://schemas.microsoft.com/office/word/2010/wordprocessingShape">
                    <wps:wsp>
                      <wps:cNvSpPr txBox="1"/>
                      <wps:spPr>
                        <a:xfrm>
                          <a:off x="0" y="0"/>
                          <a:ext cx="590550" cy="19240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根据情况针对敏感区域发布相应级别预 警</w:t>
                            </w:r>
                          </w:p>
                        </w:txbxContent>
                      </wps:txbx>
                      <wps:bodyPr upright="1"/>
                    </wps:wsp>
                  </a:graphicData>
                </a:graphic>
              </wp:anchor>
            </w:drawing>
          </mc:Choice>
          <mc:Fallback>
            <w:pict>
              <v:shape id="_x0000_s1026" o:spid="_x0000_s1026" o:spt="202" type="#_x0000_t202" style="position:absolute;left:0pt;margin-left:261.75pt;margin-top:10.8pt;height:151.5pt;width:46.5pt;z-index:251910144;mso-width-relative:page;mso-height-relative:page;" fillcolor="#FFFFFF" filled="t" stroked="t" coordsize="21600,21600" o:gfxdata="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7AcDjZAAAACgEAAA8AAAAAAAAAAQAgAAAAIgAAAGRycy9kb3ducmV2LnhtbFBLAQIUABQA&#10;AAAIAIdO4kCSFCwm7wEAAOwDAAAOAAAAAAAAAAEAIAAAACgBAABkcnMvZTJvRG9jLnhtbFBLBQYA&#10;AAAABgAGAFkBAACJBQAAAAA=&#10;">
                <v:fill on="t" focussize="0,0"/>
                <v:stroke color="#000000" joinstyle="miter"/>
                <v:imagedata o:title=""/>
                <o:lock v:ext="edit" aspectratio="f"/>
                <v:textbox>
                  <w:txbxContent>
                    <w:p>
                      <w:r>
                        <w:rPr>
                          <w:rFonts w:hint="eastAsia"/>
                        </w:rPr>
                        <w:t>根据情况针对敏感区域发布相应级别预 警</w:t>
                      </w:r>
                    </w:p>
                  </w:txbxContent>
                </v:textbox>
              </v:shape>
            </w:pict>
          </mc:Fallback>
        </mc:AlternateContent>
      </w:r>
    </w:p>
    <w:p>
      <w:pPr>
        <w:spacing w:line="360" w:lineRule="auto"/>
        <w:rPr>
          <w:rFonts w:hint="eastAsia"/>
          <w:b/>
          <w:sz w:val="24"/>
          <w:szCs w:val="24"/>
        </w:rPr>
      </w:pPr>
      <w:r>
        <w:rPr>
          <w:rFonts w:hint="eastAsia"/>
          <w:b/>
          <w:sz w:val="24"/>
          <w:szCs w:val="24"/>
        </w:rPr>
        <mc:AlternateContent>
          <mc:Choice Requires="wps">
            <w:drawing>
              <wp:anchor distT="0" distB="0" distL="114300" distR="114300" simplePos="0" relativeHeight="251913216" behindDoc="0" locked="0" layoutInCell="1" allowOverlap="1">
                <wp:simplePos x="0" y="0"/>
                <wp:positionH relativeFrom="column">
                  <wp:posOffset>4695825</wp:posOffset>
                </wp:positionH>
                <wp:positionV relativeFrom="paragraph">
                  <wp:posOffset>217170</wp:posOffset>
                </wp:positionV>
                <wp:extent cx="381000" cy="1066800"/>
                <wp:effectExtent l="4445" t="5080" r="14605" b="13970"/>
                <wp:wrapNone/>
                <wp:docPr id="579" name="文本框 579"/>
                <wp:cNvGraphicFramePr/>
                <a:graphic xmlns:a="http://schemas.openxmlformats.org/drawingml/2006/main">
                  <a:graphicData uri="http://schemas.microsoft.com/office/word/2010/wordprocessingShape">
                    <wps:wsp>
                      <wps:cNvSpPr txBox="1"/>
                      <wps:spPr>
                        <a:xfrm>
                          <a:off x="0" y="0"/>
                          <a:ext cx="381000"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预</w:t>
                            </w:r>
                          </w:p>
                          <w:p>
                            <w:pPr>
                              <w:rPr>
                                <w:rFonts w:hint="eastAsia"/>
                              </w:rPr>
                            </w:pPr>
                            <w:r>
                              <w:rPr>
                                <w:rFonts w:hint="eastAsia"/>
                              </w:rPr>
                              <w:t>警</w:t>
                            </w:r>
                          </w:p>
                          <w:p>
                            <w:pPr>
                              <w:rPr>
                                <w:rFonts w:hint="eastAsia"/>
                              </w:rPr>
                            </w:pPr>
                            <w:r>
                              <w:rPr>
                                <w:rFonts w:hint="eastAsia"/>
                              </w:rPr>
                              <w:t>解</w:t>
                            </w:r>
                          </w:p>
                          <w:p>
                            <w:r>
                              <w:rPr>
                                <w:rFonts w:hint="eastAsia"/>
                              </w:rPr>
                              <w:t>除</w:t>
                            </w:r>
                          </w:p>
                        </w:txbxContent>
                      </wps:txbx>
                      <wps:bodyPr upright="1"/>
                    </wps:wsp>
                  </a:graphicData>
                </a:graphic>
              </wp:anchor>
            </w:drawing>
          </mc:Choice>
          <mc:Fallback>
            <w:pict>
              <v:shape id="_x0000_s1026" o:spid="_x0000_s1026" o:spt="202" type="#_x0000_t202" style="position:absolute;left:0pt;margin-left:369.75pt;margin-top:17.1pt;height:84pt;width:30pt;z-index:251913216;mso-width-relative:page;mso-height-relative:page;" fillcolor="#FFFFFF" filled="t" stroked="t" coordsize="21600,21600" o:gfxdata="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VnOZ/ZAAAACgEAAA8AAAAAAAAAAQAgAAAAIgAAAGRycy9kb3ducmV2LnhtbFBL&#10;AQIUABQAAAAIAIdO4kC9B3mG9QEAAOwDAAAOAAAAAAAAAAEAIAAAACgBAABkcnMvZTJvRG9jLnht&#10;bFBLBQYAAAAABgAGAFkBAACPBQAAAAA=&#10;">
                <v:fill on="t" focussize="0,0"/>
                <v:stroke color="#000000" joinstyle="miter"/>
                <v:imagedata o:title=""/>
                <o:lock v:ext="edit" aspectratio="f"/>
                <v:textbox>
                  <w:txbxContent>
                    <w:p>
                      <w:pPr>
                        <w:rPr>
                          <w:rFonts w:hint="eastAsia"/>
                        </w:rPr>
                      </w:pPr>
                      <w:r>
                        <w:rPr>
                          <w:rFonts w:hint="eastAsia"/>
                        </w:rPr>
                        <w:t>预</w:t>
                      </w:r>
                    </w:p>
                    <w:p>
                      <w:pPr>
                        <w:rPr>
                          <w:rFonts w:hint="eastAsia"/>
                        </w:rPr>
                      </w:pPr>
                      <w:r>
                        <w:rPr>
                          <w:rFonts w:hint="eastAsia"/>
                        </w:rPr>
                        <w:t>警</w:t>
                      </w:r>
                    </w:p>
                    <w:p>
                      <w:pPr>
                        <w:rPr>
                          <w:rFonts w:hint="eastAsia"/>
                        </w:rPr>
                      </w:pPr>
                      <w:r>
                        <w:rPr>
                          <w:rFonts w:hint="eastAsia"/>
                        </w:rPr>
                        <w:t>解</w:t>
                      </w:r>
                    </w:p>
                    <w:p>
                      <w:r>
                        <w:rPr>
                          <w:rFonts w:hint="eastAsia"/>
                        </w:rPr>
                        <w:t>除</w:t>
                      </w:r>
                    </w:p>
                  </w:txbxContent>
                </v:textbox>
              </v:shape>
            </w:pict>
          </mc:Fallback>
        </mc:AlternateContent>
      </w:r>
      <w:r>
        <w:rPr>
          <w:rFonts w:hint="eastAsia"/>
          <w:b/>
          <w:sz w:val="24"/>
          <w:szCs w:val="24"/>
        </w:rPr>
        <mc:AlternateContent>
          <mc:Choice Requires="wps">
            <w:drawing>
              <wp:anchor distT="0" distB="0" distL="114300" distR="114300" simplePos="0" relativeHeight="251912192" behindDoc="0" locked="0" layoutInCell="1" allowOverlap="1">
                <wp:simplePos x="0" y="0"/>
                <wp:positionH relativeFrom="column">
                  <wp:posOffset>4000500</wp:posOffset>
                </wp:positionH>
                <wp:positionV relativeFrom="paragraph">
                  <wp:posOffset>217170</wp:posOffset>
                </wp:positionV>
                <wp:extent cx="504825" cy="600075"/>
                <wp:effectExtent l="0" t="0" r="0" b="0"/>
                <wp:wrapNone/>
                <wp:docPr id="592" name="文本框 592"/>
                <wp:cNvGraphicFramePr/>
                <a:graphic xmlns:a="http://schemas.openxmlformats.org/drawingml/2006/main">
                  <a:graphicData uri="http://schemas.microsoft.com/office/word/2010/wordprocessingShape">
                    <wps:wsp>
                      <wps:cNvSpPr txBox="1"/>
                      <wps:spPr>
                        <a:xfrm>
                          <a:off x="0" y="0"/>
                          <a:ext cx="504825" cy="600075"/>
                        </a:xfrm>
                        <a:prstGeom prst="rect">
                          <a:avLst/>
                        </a:prstGeom>
                        <a:noFill/>
                        <a:ln>
                          <a:noFill/>
                        </a:ln>
                      </wps:spPr>
                      <wps:txbx>
                        <w:txbxContent>
                          <w:p>
                            <w:r>
                              <w:rPr>
                                <w:rFonts w:hint="eastAsia"/>
                              </w:rPr>
                              <w:t>事件平息</w:t>
                            </w:r>
                          </w:p>
                        </w:txbxContent>
                      </wps:txbx>
                      <wps:bodyPr upright="1"/>
                    </wps:wsp>
                  </a:graphicData>
                </a:graphic>
              </wp:anchor>
            </w:drawing>
          </mc:Choice>
          <mc:Fallback>
            <w:pict>
              <v:shape id="_x0000_s1026" o:spid="_x0000_s1026" o:spt="202" type="#_x0000_t202" style="position:absolute;left:0pt;margin-left:315pt;margin-top:17.1pt;height:47.25pt;width:39.75pt;z-index:251912192;mso-width-relative:page;mso-height-relative:page;" filled="f" stroked="f" coordsize="21600,21600" o:gfxdata="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HbPk1wAAAAoBAAAPAAAAAAAAAAEAIAAAACIAAABkcnMvZG93&#10;bnJldi54bWxQSwECFAAUAAAACACHTuJAYz5qC48BAAADAwAADgAAAAAAAAABACAAAAAmAQAAZHJz&#10;L2Uyb0RvYy54bWxQSwUGAAAAAAYABgBZAQAAJwUAAAAA&#10;">
                <v:fill on="f" focussize="0,0"/>
                <v:stroke on="f"/>
                <v:imagedata o:title=""/>
                <o:lock v:ext="edit" aspectratio="f"/>
                <v:textbox>
                  <w:txbxContent>
                    <w:p>
                      <w:r>
                        <w:rPr>
                          <w:rFonts w:hint="eastAsia"/>
                        </w:rPr>
                        <w:t>事件平息</w:t>
                      </w:r>
                    </w:p>
                  </w:txbxContent>
                </v:textbox>
              </v:shape>
            </w:pict>
          </mc:Fallback>
        </mc:AlternateContent>
      </w:r>
      <w:r>
        <w:rPr>
          <w:rFonts w:hint="eastAsia"/>
          <w:b/>
          <w:sz w:val="24"/>
          <w:szCs w:val="24"/>
        </w:rPr>
        <mc:AlternateContent>
          <mc:Choice Requires="wps">
            <w:drawing>
              <wp:anchor distT="0" distB="0" distL="114300" distR="114300" simplePos="0" relativeHeight="251907072" behindDoc="0" locked="0" layoutInCell="1" allowOverlap="1">
                <wp:simplePos x="0" y="0"/>
                <wp:positionH relativeFrom="column">
                  <wp:posOffset>1676400</wp:posOffset>
                </wp:positionH>
                <wp:positionV relativeFrom="paragraph">
                  <wp:posOffset>312420</wp:posOffset>
                </wp:positionV>
                <wp:extent cx="635" cy="295275"/>
                <wp:effectExtent l="37465" t="0" r="38100" b="9525"/>
                <wp:wrapNone/>
                <wp:docPr id="593" name="直接箭头连接符 593"/>
                <wp:cNvGraphicFramePr/>
                <a:graphic xmlns:a="http://schemas.openxmlformats.org/drawingml/2006/main">
                  <a:graphicData uri="http://schemas.microsoft.com/office/word/2010/wordprocessingShape">
                    <wps:wsp>
                      <wps:cNvCnPr/>
                      <wps:spPr>
                        <a:xfrm>
                          <a:off x="0" y="0"/>
                          <a:ext cx="635"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32pt;margin-top:24.6pt;height:23.25pt;width:0.05pt;z-index:251907072;mso-width-relative:page;mso-height-relative:page;" filled="f" stroked="t" coordsize="21600,21600" o:gfxdata="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GAruNoAAAAJAQAADwAAAAAAAAABACAAAAAiAAAAZHJzL2Rvd25yZXYueG1sUEsBAhQAFAAAAAgA&#10;h07iQLWw2FbqAQAApwMAAA4AAAAAAAAAAQAgAAAAKQEAAGRycy9lMm9Eb2MueG1sUEsFBgAAAAAG&#10;AAYAWQEAAIUFAAAAAA==&#10;">
                <v:fill on="f" focussize="0,0"/>
                <v:stroke color="#000000" joinstyle="round" endarrow="block"/>
                <v:imagedata o:title=""/>
                <o:lock v:ext="edit" aspectratio="f"/>
              </v:shape>
            </w:pict>
          </mc:Fallback>
        </mc:AlternateContent>
      </w:r>
    </w:p>
    <w:p>
      <w:pPr>
        <w:spacing w:line="360" w:lineRule="auto"/>
        <w:rPr>
          <w:rFonts w:hint="eastAsia"/>
          <w:b/>
          <w:sz w:val="24"/>
          <w:szCs w:val="24"/>
        </w:rPr>
      </w:pPr>
      <w:r>
        <w:rPr>
          <w:rFonts w:hint="eastAsia"/>
          <w:b/>
          <w:sz w:val="24"/>
          <w:szCs w:val="24"/>
        </w:rPr>
        <mc:AlternateContent>
          <mc:Choice Requires="wps">
            <w:drawing>
              <wp:anchor distT="0" distB="0" distL="114300" distR="114300" simplePos="0" relativeHeight="251916288" behindDoc="0" locked="0" layoutInCell="1" allowOverlap="1">
                <wp:simplePos x="0" y="0"/>
                <wp:positionH relativeFrom="column">
                  <wp:posOffset>2600325</wp:posOffset>
                </wp:positionH>
                <wp:positionV relativeFrom="paragraph">
                  <wp:posOffset>-198120</wp:posOffset>
                </wp:positionV>
                <wp:extent cx="647700" cy="579120"/>
                <wp:effectExtent l="0" t="0" r="0" b="0"/>
                <wp:wrapNone/>
                <wp:docPr id="572" name="文本框 572"/>
                <wp:cNvGraphicFramePr/>
                <a:graphic xmlns:a="http://schemas.openxmlformats.org/drawingml/2006/main">
                  <a:graphicData uri="http://schemas.microsoft.com/office/word/2010/wordprocessingShape">
                    <wps:wsp>
                      <wps:cNvSpPr txBox="1"/>
                      <wps:spPr>
                        <a:xfrm>
                          <a:off x="0" y="0"/>
                          <a:ext cx="647700" cy="579120"/>
                        </a:xfrm>
                        <a:prstGeom prst="rect">
                          <a:avLst/>
                        </a:prstGeom>
                        <a:noFill/>
                        <a:ln>
                          <a:noFill/>
                        </a:ln>
                      </wps:spPr>
                      <wps:txbx>
                        <w:txbxContent>
                          <w:p>
                            <w:pPr>
                              <w:rPr>
                                <w:rFonts w:hint="eastAsia"/>
                              </w:rPr>
                            </w:pPr>
                            <w:r>
                              <w:rPr>
                                <w:rFonts w:hint="eastAsia"/>
                              </w:rPr>
                              <w:t>重大、特大</w:t>
                            </w:r>
                          </w:p>
                        </w:txbxContent>
                      </wps:txbx>
                      <wps:bodyPr upright="1"/>
                    </wps:wsp>
                  </a:graphicData>
                </a:graphic>
              </wp:anchor>
            </w:drawing>
          </mc:Choice>
          <mc:Fallback>
            <w:pict>
              <v:shape id="_x0000_s1026" o:spid="_x0000_s1026" o:spt="202" type="#_x0000_t202" style="position:absolute;left:0pt;margin-left:204.75pt;margin-top:-15.6pt;height:45.6pt;width:51pt;z-index:251916288;mso-width-relative:page;mso-height-relative:page;" filled="f" stroked="f" coordsize="21600,21600" o:gfxdata="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rVTf51wAAAAoBAAAPAAAAAAAAAAEAIAAAACIAAABkcnMvZG93&#10;bnJldi54bWxQSwECFAAUAAAACACHTuJAKOo42Y8BAAADAwAADgAAAAAAAAABACAAAAAmAQAAZHJz&#10;L2Uyb0RvYy54bWxQSwUGAAAAAAYABgBZAQAAJwUAAAAA&#10;">
                <v:fill on="f" focussize="0,0"/>
                <v:stroke on="f"/>
                <v:imagedata o:title=""/>
                <o:lock v:ext="edit" aspectratio="f"/>
                <v:textbox>
                  <w:txbxContent>
                    <w:p>
                      <w:pPr>
                        <w:rPr>
                          <w:rFonts w:hint="eastAsia"/>
                        </w:rPr>
                      </w:pPr>
                      <w:r>
                        <w:rPr>
                          <w:rFonts w:hint="eastAsia"/>
                        </w:rPr>
                        <w:t>重大、特大</w:t>
                      </w:r>
                    </w:p>
                  </w:txbxContent>
                </v:textbox>
              </v:shape>
            </w:pict>
          </mc:Fallback>
        </mc:AlternateContent>
      </w:r>
      <w:r>
        <w:rPr>
          <w:rFonts w:hint="eastAsia"/>
          <w:b/>
          <w:sz w:val="24"/>
          <w:szCs w:val="24"/>
        </w:rPr>
        <mc:AlternateContent>
          <mc:Choice Requires="wps">
            <w:drawing>
              <wp:anchor distT="0" distB="0" distL="114300" distR="114300" simplePos="0" relativeHeight="251908096" behindDoc="0" locked="0" layoutInCell="1" allowOverlap="1">
                <wp:simplePos x="0" y="0"/>
                <wp:positionH relativeFrom="column">
                  <wp:posOffset>1028700</wp:posOffset>
                </wp:positionH>
                <wp:positionV relativeFrom="paragraph">
                  <wp:posOffset>198120</wp:posOffset>
                </wp:positionV>
                <wp:extent cx="1495425" cy="504825"/>
                <wp:effectExtent l="5080" t="5080" r="4445" b="4445"/>
                <wp:wrapNone/>
                <wp:docPr id="573" name="文本框 573"/>
                <wp:cNvGraphicFramePr/>
                <a:graphic xmlns:a="http://schemas.openxmlformats.org/drawingml/2006/main">
                  <a:graphicData uri="http://schemas.microsoft.com/office/word/2010/wordprocessingShape">
                    <wps:wsp>
                      <wps:cNvSpPr txBox="1"/>
                      <wps:spPr>
                        <a:xfrm>
                          <a:off x="0" y="0"/>
                          <a:ext cx="149542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60" w:firstLineChars="150"/>
                              <w:rPr>
                                <w:sz w:val="24"/>
                                <w:szCs w:val="24"/>
                              </w:rPr>
                            </w:pPr>
                            <w:r>
                              <w:rPr>
                                <w:rFonts w:hint="eastAsia"/>
                                <w:sz w:val="24"/>
                                <w:szCs w:val="24"/>
                              </w:rPr>
                              <w:t>事件等级判断</w:t>
                            </w:r>
                          </w:p>
                        </w:txbxContent>
                      </wps:txbx>
                      <wps:bodyPr upright="1"/>
                    </wps:wsp>
                  </a:graphicData>
                </a:graphic>
              </wp:anchor>
            </w:drawing>
          </mc:Choice>
          <mc:Fallback>
            <w:pict>
              <v:shape id="_x0000_s1026" o:spid="_x0000_s1026" o:spt="202" type="#_x0000_t202" style="position:absolute;left:0pt;margin-left:81pt;margin-top:15.6pt;height:39.75pt;width:117.75pt;z-index:251908096;mso-width-relative:page;mso-height-relative:page;" fillcolor="#FFFFFF" filled="t" stroked="t" coordsize="21600,21600" o:gfxdata="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sSQN2AAAAAoBAAAPAAAAAAAAAAEAIAAAACIAAABkcnMvZG93bnJldi54bWxQSwECFAAU&#10;AAAACACHTuJAyaaC5vEBAADsAwAADgAAAAAAAAABACAAAAAnAQAAZHJzL2Uyb0RvYy54bWxQSwUG&#10;AAAAAAYABgBZAQAAigUAAAAA&#10;">
                <v:fill on="t" focussize="0,0"/>
                <v:stroke color="#000000" joinstyle="miter"/>
                <v:imagedata o:title=""/>
                <o:lock v:ext="edit" aspectratio="f"/>
                <v:textbox>
                  <w:txbxContent>
                    <w:p>
                      <w:pPr>
                        <w:ind w:firstLine="360" w:firstLineChars="150"/>
                        <w:rPr>
                          <w:sz w:val="24"/>
                          <w:szCs w:val="24"/>
                        </w:rPr>
                      </w:pPr>
                      <w:r>
                        <w:rPr>
                          <w:rFonts w:hint="eastAsia"/>
                          <w:sz w:val="24"/>
                          <w:szCs w:val="24"/>
                        </w:rPr>
                        <w:t>事件等级判断</w:t>
                      </w:r>
                    </w:p>
                  </w:txbxContent>
                </v:textbox>
              </v:shape>
            </w:pict>
          </mc:Fallback>
        </mc:AlternateContent>
      </w:r>
    </w:p>
    <w:p>
      <w:pPr>
        <w:spacing w:line="360" w:lineRule="auto"/>
        <w:rPr>
          <w:rFonts w:hint="eastAsia"/>
          <w:b/>
          <w:sz w:val="24"/>
          <w:szCs w:val="24"/>
        </w:rPr>
      </w:pPr>
      <w:r>
        <w:rPr>
          <w:rFonts w:hint="eastAsia"/>
          <w:b/>
          <w:sz w:val="24"/>
          <w:szCs w:val="24"/>
        </w:rPr>
        <mc:AlternateContent>
          <mc:Choice Requires="wps">
            <w:drawing>
              <wp:anchor distT="0" distB="0" distL="114300" distR="114300" simplePos="0" relativeHeight="251911168" behindDoc="0" locked="0" layoutInCell="1" allowOverlap="1">
                <wp:simplePos x="0" y="0"/>
                <wp:positionH relativeFrom="column">
                  <wp:posOffset>3914775</wp:posOffset>
                </wp:positionH>
                <wp:positionV relativeFrom="paragraph">
                  <wp:posOffset>24765</wp:posOffset>
                </wp:positionV>
                <wp:extent cx="781050" cy="0"/>
                <wp:effectExtent l="0" t="38100" r="0" b="38100"/>
                <wp:wrapNone/>
                <wp:docPr id="575" name="直接箭头连接符 575"/>
                <wp:cNvGraphicFramePr/>
                <a:graphic xmlns:a="http://schemas.openxmlformats.org/drawingml/2006/main">
                  <a:graphicData uri="http://schemas.microsoft.com/office/word/2010/wordprocessingShape">
                    <wps:wsp>
                      <wps:cNvCnPr/>
                      <wps:spPr>
                        <a:xfrm>
                          <a:off x="0" y="0"/>
                          <a:ext cx="7810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08.25pt;margin-top:1.95pt;height:0pt;width:61.5pt;z-index:251911168;mso-width-relative:page;mso-height-relative:page;" filled="f" stroked="t" coordsize="21600,21600" o:gfxdata="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B96dLV&#10;AAAABwEAAA8AAAAAAAAAAQAgAAAAIgAAAGRycy9kb3ducmV2LnhtbFBLAQIUABQAAAAIAIdO4kAt&#10;1lXP6gEAAKUDAAAOAAAAAAAAAAEAIAAAACQBAABkcnMvZTJvRG9jLnhtbFBLBQYAAAAABgAGAFkB&#10;AACABQAAAAA=&#10;">
                <v:fill on="f" focussize="0,0"/>
                <v:stroke color="#000000" joinstyle="round" endarrow="block"/>
                <v:imagedata o:title=""/>
                <o:lock v:ext="edit" aspectratio="f"/>
              </v:shape>
            </w:pict>
          </mc:Fallback>
        </mc:AlternateContent>
      </w:r>
      <w:r>
        <w:rPr>
          <w:rFonts w:hint="eastAsia"/>
          <w:b/>
          <w:sz w:val="24"/>
          <w:szCs w:val="24"/>
        </w:rPr>
        <mc:AlternateContent>
          <mc:Choice Requires="wps">
            <w:drawing>
              <wp:anchor distT="0" distB="0" distL="114300" distR="114300" simplePos="0" relativeHeight="251909120" behindDoc="0" locked="0" layoutInCell="1" allowOverlap="1">
                <wp:simplePos x="0" y="0"/>
                <wp:positionH relativeFrom="column">
                  <wp:posOffset>2505075</wp:posOffset>
                </wp:positionH>
                <wp:positionV relativeFrom="paragraph">
                  <wp:posOffset>24765</wp:posOffset>
                </wp:positionV>
                <wp:extent cx="800100" cy="0"/>
                <wp:effectExtent l="0" t="38100" r="0" b="38100"/>
                <wp:wrapNone/>
                <wp:docPr id="577" name="直接箭头连接符 577"/>
                <wp:cNvGraphicFramePr/>
                <a:graphic xmlns:a="http://schemas.openxmlformats.org/drawingml/2006/main">
                  <a:graphicData uri="http://schemas.microsoft.com/office/word/2010/wordprocessingShape">
                    <wps:wsp>
                      <wps:cNvCnPr/>
                      <wps:spPr>
                        <a:xfrm>
                          <a:off x="0" y="0"/>
                          <a:ext cx="8001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7.25pt;margin-top:1.95pt;height:0pt;width:63pt;z-index:251909120;mso-width-relative:page;mso-height-relative:page;" filled="f" stroked="t" coordsize="21600,21600" o:gfxdata="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lQX/dUA&#10;AAAHAQAADwAAAAAAAAABACAAAAAiAAAAZHJzL2Rvd25yZXYueG1sUEsBAhQAFAAAAAgAh07iQDO0&#10;Dw7pAQAApQMAAA4AAAAAAAAAAQAgAAAAJAEAAGRycy9lMm9Eb2MueG1sUEsFBgAAAAAGAAYAWQEA&#10;AH8FAAAAAA==&#10;">
                <v:fill on="f" focussize="0,0"/>
                <v:stroke color="#000000" joinstyle="round" endarrow="block"/>
                <v:imagedata o:title=""/>
                <o:lock v:ext="edit" aspectratio="f"/>
              </v:shape>
            </w:pict>
          </mc:Fallback>
        </mc:AlternateContent>
      </w:r>
    </w:p>
    <w:p>
      <w:pPr>
        <w:spacing w:line="360" w:lineRule="auto"/>
        <w:rPr>
          <w:rFonts w:hint="eastAsia"/>
          <w:b/>
          <w:sz w:val="24"/>
          <w:szCs w:val="24"/>
        </w:rPr>
      </w:pPr>
    </w:p>
    <w:p>
      <w:pPr>
        <w:spacing w:line="360" w:lineRule="auto"/>
        <w:rPr>
          <w:rFonts w:hint="eastAsia"/>
          <w:b/>
          <w:sz w:val="24"/>
          <w:szCs w:val="24"/>
        </w:rPr>
      </w:pPr>
    </w:p>
    <w:p>
      <w:pPr>
        <w:spacing w:line="360" w:lineRule="auto"/>
        <w:ind w:firstLine="1646" w:firstLineChars="686"/>
        <w:rPr>
          <w:rFonts w:hint="eastAsia"/>
          <w:b/>
          <w:sz w:val="24"/>
          <w:szCs w:val="24"/>
        </w:rPr>
      </w:pPr>
      <w:r>
        <w:rPr>
          <w:rFonts w:hint="eastAsia"/>
          <w:b/>
          <w:sz w:val="24"/>
          <w:szCs w:val="24"/>
        </w:rPr>
        <w:t>图5.2—1   预警行为图</w:t>
      </w:r>
    </w:p>
    <w:p>
      <w:pPr>
        <w:pStyle w:val="3"/>
        <w:rPr>
          <w:rFonts w:hint="eastAsia"/>
        </w:rPr>
      </w:pPr>
      <w:bookmarkStart w:id="670" w:name="_Toc338230956"/>
      <w:bookmarkStart w:id="671" w:name="_Toc338228602"/>
      <w:bookmarkStart w:id="672" w:name="_Toc461048114"/>
      <w:r>
        <w:rPr>
          <w:rFonts w:hint="eastAsia"/>
        </w:rPr>
        <w:t>5.3信息报告与通报</w:t>
      </w:r>
      <w:bookmarkEnd w:id="670"/>
      <w:bookmarkEnd w:id="671"/>
      <w:bookmarkEnd w:id="672"/>
    </w:p>
    <w:p>
      <w:pPr>
        <w:spacing w:line="360" w:lineRule="auto"/>
        <w:rPr>
          <w:rFonts w:hint="eastAsia"/>
          <w:b/>
          <w:sz w:val="24"/>
          <w:szCs w:val="24"/>
        </w:rPr>
      </w:pPr>
      <w:r>
        <w:rPr>
          <w:rFonts w:hint="eastAsia"/>
          <w:b/>
          <w:sz w:val="24"/>
          <w:szCs w:val="24"/>
        </w:rPr>
        <w:t>5.3.1 内部报告程序</w:t>
      </w:r>
    </w:p>
    <w:p>
      <w:pPr>
        <w:spacing w:line="360" w:lineRule="auto"/>
        <w:rPr>
          <w:rFonts w:hint="eastAsia"/>
          <w:sz w:val="24"/>
          <w:szCs w:val="24"/>
        </w:rPr>
      </w:pPr>
      <w:r>
        <w:rPr>
          <w:rFonts w:hint="eastAsia"/>
          <w:sz w:val="24"/>
          <w:szCs w:val="24"/>
        </w:rPr>
        <w:t xml:space="preserve">    发生火灾、泄漏事故一经发现及时报警，对于抑制事故事态的发展具有极其重要的作用。下列情况之一，必须立即报警：</w:t>
      </w:r>
    </w:p>
    <w:p>
      <w:pPr>
        <w:spacing w:line="360" w:lineRule="auto"/>
        <w:ind w:firstLine="480" w:firstLineChars="200"/>
        <w:rPr>
          <w:rFonts w:hint="eastAsia"/>
          <w:sz w:val="24"/>
          <w:szCs w:val="24"/>
        </w:rPr>
      </w:pPr>
      <w:r>
        <w:rPr>
          <w:rFonts w:hint="eastAsia"/>
          <w:sz w:val="24"/>
          <w:szCs w:val="24"/>
        </w:rPr>
        <w:t>（1）企业内的任何人一旦发现火灾、泄漏事故；</w:t>
      </w:r>
    </w:p>
    <w:p>
      <w:pPr>
        <w:spacing w:line="360" w:lineRule="auto"/>
        <w:ind w:firstLine="480" w:firstLineChars="200"/>
        <w:rPr>
          <w:rFonts w:hint="eastAsia"/>
          <w:sz w:val="24"/>
          <w:szCs w:val="24"/>
        </w:rPr>
      </w:pPr>
      <w:r>
        <w:rPr>
          <w:rFonts w:hint="eastAsia"/>
          <w:sz w:val="24"/>
          <w:szCs w:val="24"/>
        </w:rPr>
        <w:t>（2）企业监控系统一旦发现火灾、泄漏事故；</w:t>
      </w:r>
    </w:p>
    <w:p>
      <w:pPr>
        <w:spacing w:line="360" w:lineRule="auto"/>
        <w:ind w:firstLine="480" w:firstLineChars="200"/>
        <w:rPr>
          <w:rFonts w:hint="eastAsia"/>
          <w:sz w:val="24"/>
          <w:szCs w:val="24"/>
        </w:rPr>
      </w:pPr>
      <w:r>
        <w:rPr>
          <w:rFonts w:hint="eastAsia"/>
          <w:sz w:val="24"/>
          <w:szCs w:val="24"/>
        </w:rPr>
        <w:t>（3）操作人员发现有发生火灾、泄漏的可能，采取措施后未能抑制泄漏、火灾事故的发生时。</w:t>
      </w:r>
    </w:p>
    <w:p>
      <w:pPr>
        <w:spacing w:line="360" w:lineRule="auto"/>
        <w:ind w:firstLine="480" w:firstLineChars="200"/>
        <w:rPr>
          <w:rFonts w:hint="eastAsia"/>
          <w:sz w:val="24"/>
          <w:szCs w:val="24"/>
        </w:rPr>
      </w:pPr>
      <w:r>
        <w:rPr>
          <w:rFonts w:hint="eastAsia"/>
          <w:sz w:val="24"/>
          <w:szCs w:val="24"/>
        </w:rPr>
        <w:t>报警方式采用现场报警系统或就进利用119报警，一旦发现事故，应立即向应急指挥中心报警，并及时启动应急救援工作，展开前期救援抢险，为减轻事故损失赢得时间。</w:t>
      </w:r>
    </w:p>
    <w:p>
      <w:pPr>
        <w:spacing w:line="360" w:lineRule="auto"/>
        <w:rPr>
          <w:rFonts w:hint="eastAsia"/>
          <w:b/>
          <w:sz w:val="24"/>
          <w:szCs w:val="24"/>
        </w:rPr>
      </w:pPr>
      <w:r>
        <w:rPr>
          <w:rFonts w:hint="eastAsia"/>
          <w:b/>
          <w:sz w:val="24"/>
          <w:szCs w:val="24"/>
        </w:rPr>
        <w:t>5.3.2 外部报告时限要求及程序</w:t>
      </w:r>
    </w:p>
    <w:p>
      <w:pPr>
        <w:spacing w:line="360" w:lineRule="auto"/>
        <w:ind w:firstLine="480" w:firstLineChars="200"/>
        <w:rPr>
          <w:rFonts w:hint="eastAsia"/>
          <w:sz w:val="24"/>
          <w:szCs w:val="24"/>
        </w:rPr>
      </w:pPr>
      <w:r>
        <w:rPr>
          <w:rFonts w:hint="eastAsia"/>
          <w:sz w:val="24"/>
          <w:szCs w:val="24"/>
        </w:rPr>
        <w:t>企业作为发生突发环境事故的责任单位，一旦发生突发性环境污染事故，由企业内的应急指挥部通过电话向周边单位发送警报信息，并组织人员撤离或疏散，随时保持电话联系。紧急情况下，可直接向区政府报告。</w:t>
      </w:r>
    </w:p>
    <w:p>
      <w:pPr>
        <w:spacing w:line="360" w:lineRule="auto"/>
        <w:rPr>
          <w:rFonts w:hint="eastAsia"/>
          <w:b/>
          <w:sz w:val="24"/>
          <w:szCs w:val="24"/>
        </w:rPr>
      </w:pPr>
      <w:r>
        <w:rPr>
          <w:rFonts w:hint="eastAsia"/>
          <w:b/>
          <w:sz w:val="24"/>
          <w:szCs w:val="24"/>
        </w:rPr>
        <w:t>5.3.3 报告内容</w:t>
      </w:r>
    </w:p>
    <w:p>
      <w:pPr>
        <w:spacing w:line="360" w:lineRule="auto"/>
        <w:ind w:firstLine="480" w:firstLineChars="200"/>
        <w:rPr>
          <w:rFonts w:hint="eastAsia"/>
          <w:sz w:val="24"/>
          <w:szCs w:val="24"/>
        </w:rPr>
      </w:pPr>
      <w:r>
        <w:rPr>
          <w:rFonts w:hint="eastAsia"/>
          <w:sz w:val="24"/>
          <w:szCs w:val="24"/>
        </w:rPr>
        <w:t>（1）事故发生的时间、地点、位置、类型（火灾、爆炸、泄漏等）</w:t>
      </w:r>
    </w:p>
    <w:p>
      <w:pPr>
        <w:spacing w:line="360" w:lineRule="auto"/>
        <w:ind w:firstLine="480" w:firstLineChars="200"/>
        <w:rPr>
          <w:rFonts w:hint="eastAsia"/>
          <w:sz w:val="24"/>
          <w:szCs w:val="24"/>
        </w:rPr>
      </w:pPr>
      <w:r>
        <w:rPr>
          <w:rFonts w:hint="eastAsia"/>
          <w:sz w:val="24"/>
          <w:szCs w:val="24"/>
        </w:rPr>
        <w:t>（2）排放污染物的种类、数量</w:t>
      </w:r>
    </w:p>
    <w:p>
      <w:pPr>
        <w:spacing w:line="360" w:lineRule="auto"/>
        <w:ind w:firstLine="480" w:firstLineChars="200"/>
        <w:rPr>
          <w:rFonts w:hint="eastAsia"/>
          <w:sz w:val="24"/>
          <w:szCs w:val="24"/>
        </w:rPr>
      </w:pPr>
      <w:r>
        <w:rPr>
          <w:rFonts w:hint="eastAsia"/>
          <w:sz w:val="24"/>
          <w:szCs w:val="24"/>
        </w:rPr>
        <w:t>（3）直接人员伤亡和财产经济损失</w:t>
      </w:r>
    </w:p>
    <w:p>
      <w:pPr>
        <w:spacing w:line="360" w:lineRule="auto"/>
        <w:ind w:firstLine="480" w:firstLineChars="200"/>
        <w:rPr>
          <w:rFonts w:hint="eastAsia"/>
          <w:sz w:val="24"/>
          <w:szCs w:val="24"/>
        </w:rPr>
      </w:pPr>
      <w:r>
        <w:rPr>
          <w:rFonts w:hint="eastAsia"/>
          <w:sz w:val="24"/>
          <w:szCs w:val="24"/>
        </w:rPr>
        <w:t>（4）已采取的应急措施，污染的范围，潜在的危害程度，转化方式、趋向</w:t>
      </w:r>
    </w:p>
    <w:p>
      <w:pPr>
        <w:spacing w:line="360" w:lineRule="auto"/>
        <w:ind w:firstLine="480" w:firstLineChars="200"/>
        <w:rPr>
          <w:rFonts w:hint="eastAsia"/>
          <w:sz w:val="24"/>
          <w:szCs w:val="24"/>
        </w:rPr>
      </w:pPr>
      <w:r>
        <w:rPr>
          <w:rFonts w:hint="eastAsia"/>
          <w:sz w:val="24"/>
          <w:szCs w:val="24"/>
        </w:rPr>
        <w:t>（5）可能受影响区域及采取的措施建议</w:t>
      </w:r>
    </w:p>
    <w:p>
      <w:pPr>
        <w:spacing w:line="360" w:lineRule="auto"/>
        <w:rPr>
          <w:rFonts w:hint="eastAsia"/>
          <w:b/>
          <w:sz w:val="24"/>
          <w:szCs w:val="24"/>
        </w:rPr>
      </w:pPr>
      <w:r>
        <w:rPr>
          <w:rFonts w:hint="eastAsia"/>
          <w:b/>
          <w:sz w:val="24"/>
          <w:szCs w:val="24"/>
        </w:rPr>
        <w:t>5.3.4报警、通讯联络方式</w:t>
      </w:r>
    </w:p>
    <w:p>
      <w:pPr>
        <w:spacing w:line="360" w:lineRule="auto"/>
        <w:ind w:firstLine="480" w:firstLineChars="200"/>
        <w:rPr>
          <w:rFonts w:hint="eastAsia" w:ascii="宋体" w:hAnsi="宋体"/>
          <w:sz w:val="24"/>
          <w:szCs w:val="24"/>
        </w:rPr>
      </w:pPr>
      <w:r>
        <w:rPr>
          <w:rFonts w:ascii="宋体" w:hAnsi="宋体"/>
          <w:sz w:val="24"/>
          <w:szCs w:val="24"/>
        </w:rPr>
        <w:t>（1）装配数量充足的内线和外线电话、无线电和其它通讯设备</w:t>
      </w:r>
      <w:r>
        <w:rPr>
          <w:rFonts w:hint="eastAsia" w:ascii="宋体" w:hAnsi="宋体"/>
          <w:sz w:val="24"/>
          <w:szCs w:val="24"/>
        </w:rPr>
        <w:t>（手持扩音器、广播系统）</w:t>
      </w:r>
      <w:r>
        <w:rPr>
          <w:rFonts w:ascii="宋体" w:hAnsi="宋体"/>
          <w:sz w:val="24"/>
          <w:szCs w:val="24"/>
        </w:rPr>
        <w:t>以及24小时有效的报警装置，并设昼夜值班室；</w:t>
      </w:r>
    </w:p>
    <w:p>
      <w:pPr>
        <w:spacing w:line="360" w:lineRule="auto"/>
        <w:ind w:firstLine="480" w:firstLineChars="200"/>
        <w:rPr>
          <w:rFonts w:hint="eastAsia" w:ascii="宋体" w:hAnsi="宋体"/>
          <w:sz w:val="24"/>
          <w:szCs w:val="24"/>
        </w:rPr>
      </w:pPr>
      <w:r>
        <w:rPr>
          <w:rFonts w:hint="eastAsia" w:ascii="宋体" w:hAnsi="宋体"/>
          <w:sz w:val="24"/>
          <w:szCs w:val="24"/>
        </w:rPr>
        <w:t>火警电话：119</w:t>
      </w:r>
    </w:p>
    <w:p>
      <w:pPr>
        <w:spacing w:line="360" w:lineRule="auto"/>
        <w:ind w:firstLine="480" w:firstLineChars="200"/>
        <w:rPr>
          <w:rFonts w:hint="eastAsia" w:ascii="宋体" w:hAnsi="宋体"/>
          <w:sz w:val="24"/>
          <w:szCs w:val="24"/>
        </w:rPr>
      </w:pPr>
      <w:r>
        <w:rPr>
          <w:rFonts w:hint="eastAsia" w:ascii="宋体" w:hAnsi="宋体"/>
          <w:sz w:val="24"/>
          <w:szCs w:val="24"/>
        </w:rPr>
        <w:t>医疗急救电话：120</w:t>
      </w:r>
    </w:p>
    <w:p>
      <w:pPr>
        <w:spacing w:line="360" w:lineRule="auto"/>
        <w:ind w:firstLine="480" w:firstLineChars="200"/>
        <w:rPr>
          <w:rFonts w:hint="eastAsia" w:ascii="宋体" w:hAnsi="宋体"/>
          <w:sz w:val="24"/>
          <w:szCs w:val="24"/>
        </w:rPr>
      </w:pPr>
      <w:r>
        <w:rPr>
          <w:rFonts w:ascii="宋体" w:hAnsi="宋体"/>
          <w:sz w:val="24"/>
          <w:szCs w:val="24"/>
        </w:rPr>
        <w:t>（2）指挥中心所有组成人员的通讯联络方式，并确保通讯24小时畅通；</w:t>
      </w:r>
    </w:p>
    <w:p>
      <w:pPr>
        <w:spacing w:line="360" w:lineRule="auto"/>
        <w:ind w:firstLine="480" w:firstLineChars="200"/>
        <w:rPr>
          <w:rFonts w:hint="eastAsia" w:ascii="宋体" w:hAnsi="宋体"/>
          <w:sz w:val="24"/>
          <w:szCs w:val="24"/>
        </w:rPr>
      </w:pPr>
      <w:r>
        <w:rPr>
          <w:rFonts w:ascii="宋体" w:hAnsi="宋体"/>
          <w:sz w:val="24"/>
          <w:szCs w:val="24"/>
        </w:rPr>
        <w:t>（3）企业</w:t>
      </w:r>
      <w:r>
        <w:rPr>
          <w:rFonts w:hint="eastAsia" w:ascii="宋体" w:hAnsi="宋体"/>
          <w:sz w:val="24"/>
          <w:szCs w:val="24"/>
        </w:rPr>
        <w:t>内</w:t>
      </w:r>
      <w:r>
        <w:rPr>
          <w:rFonts w:ascii="宋体" w:hAnsi="宋体"/>
          <w:sz w:val="24"/>
          <w:szCs w:val="24"/>
        </w:rPr>
        <w:t>关键岗位人员的地址和联系方式；地方政府和应急服务机构的地址和联系方式。</w:t>
      </w:r>
    </w:p>
    <w:p>
      <w:pPr>
        <w:spacing w:line="360" w:lineRule="auto"/>
        <w:ind w:firstLine="480" w:firstLineChars="200"/>
        <w:rPr>
          <w:rFonts w:hint="eastAsia"/>
          <w:sz w:val="24"/>
          <w:szCs w:val="24"/>
        </w:rPr>
      </w:pPr>
      <w:r>
        <w:rPr>
          <w:rFonts w:hint="eastAsia" w:ascii="宋体" w:hAnsi="宋体"/>
          <w:sz w:val="24"/>
          <w:szCs w:val="24"/>
        </w:rPr>
        <w:t>（4）若电话号码发生变更，需及时向应急指挥办公室报告，应急指挥办公室需及时向个成员和部门发布变更通知；应急指挥中心及企业负责人联系方式见附件。</w:t>
      </w:r>
    </w:p>
    <w:p>
      <w:pPr>
        <w:pStyle w:val="3"/>
        <w:rPr>
          <w:rFonts w:hint="eastAsia"/>
        </w:rPr>
      </w:pPr>
      <w:bookmarkStart w:id="673" w:name="_Toc461048115"/>
      <w:r>
        <w:rPr>
          <w:rFonts w:hint="eastAsia"/>
        </w:rPr>
        <w:t>5.4 应急准备措施</w:t>
      </w:r>
      <w:bookmarkEnd w:id="673"/>
    </w:p>
    <w:p>
      <w:pPr>
        <w:spacing w:line="360" w:lineRule="auto"/>
        <w:ind w:firstLine="480"/>
        <w:rPr>
          <w:rFonts w:hint="eastAsia"/>
          <w:sz w:val="24"/>
          <w:szCs w:val="24"/>
        </w:rPr>
      </w:pPr>
      <w:r>
        <w:rPr>
          <w:rFonts w:hint="eastAsia"/>
          <w:sz w:val="24"/>
          <w:szCs w:val="24"/>
        </w:rPr>
        <w:t>应急救援指挥部接到可能导致灾难事故的信息后，应按照分级响应的原则及时研究确定应对方案，并通知有关部门、单位采取有效措施预防事故发生；当应急救援指挥部认为事故较大，有超出本级处置能力时，要及时向沙坪坝区环境保护局和重庆市环境保护局报告。</w:t>
      </w:r>
    </w:p>
    <w:p>
      <w:pPr>
        <w:spacing w:line="360" w:lineRule="auto"/>
        <w:ind w:firstLine="480"/>
        <w:rPr>
          <w:rFonts w:hint="eastAsia"/>
          <w:sz w:val="24"/>
          <w:szCs w:val="24"/>
        </w:rPr>
      </w:pPr>
      <w:r>
        <w:rPr>
          <w:rFonts w:hint="eastAsia"/>
          <w:sz w:val="24"/>
          <w:szCs w:val="24"/>
        </w:rPr>
        <w:t>进入预警状态后，应当采取以下措施：</w:t>
      </w:r>
    </w:p>
    <w:p>
      <w:pPr>
        <w:spacing w:line="360" w:lineRule="auto"/>
        <w:ind w:firstLine="480"/>
        <w:rPr>
          <w:rFonts w:hint="eastAsia"/>
          <w:sz w:val="24"/>
          <w:szCs w:val="24"/>
        </w:rPr>
      </w:pPr>
      <w:r>
        <w:rPr>
          <w:rFonts w:hint="eastAsia"/>
          <w:sz w:val="24"/>
          <w:szCs w:val="24"/>
        </w:rPr>
        <w:t>（1）立即启动应急预案</w:t>
      </w:r>
    </w:p>
    <w:p>
      <w:pPr>
        <w:spacing w:line="360" w:lineRule="auto"/>
        <w:ind w:firstLine="480"/>
        <w:rPr>
          <w:rFonts w:hint="eastAsia"/>
          <w:sz w:val="24"/>
          <w:szCs w:val="24"/>
        </w:rPr>
      </w:pPr>
      <w:r>
        <w:rPr>
          <w:rFonts w:hint="eastAsia"/>
          <w:sz w:val="24"/>
          <w:szCs w:val="24"/>
        </w:rPr>
        <w:t>（2）发布相应级别对应颜色的预警公告</w:t>
      </w:r>
    </w:p>
    <w:p>
      <w:pPr>
        <w:spacing w:line="360" w:lineRule="auto"/>
        <w:ind w:firstLine="480"/>
        <w:rPr>
          <w:rFonts w:hint="eastAsia"/>
          <w:sz w:val="24"/>
          <w:szCs w:val="24"/>
        </w:rPr>
      </w:pPr>
      <w:r>
        <w:rPr>
          <w:rFonts w:hint="eastAsia"/>
          <w:sz w:val="24"/>
          <w:szCs w:val="24"/>
        </w:rPr>
        <w:t>（3）转移、撤离或者疏散可能受到危害的人员，并进行妥善安置</w:t>
      </w:r>
    </w:p>
    <w:p>
      <w:pPr>
        <w:spacing w:line="360" w:lineRule="auto"/>
        <w:ind w:firstLine="480"/>
        <w:rPr>
          <w:rFonts w:hint="eastAsia"/>
          <w:sz w:val="24"/>
          <w:szCs w:val="24"/>
        </w:rPr>
      </w:pPr>
      <w:r>
        <w:rPr>
          <w:rFonts w:hint="eastAsia"/>
          <w:sz w:val="24"/>
          <w:szCs w:val="24"/>
        </w:rPr>
        <w:t>（4）指令各环境应急救援队伍进入应急状态，环境监测部门立即开展应急监测，随时掌握并报告事态进展情况</w:t>
      </w:r>
    </w:p>
    <w:p>
      <w:pPr>
        <w:spacing w:line="360" w:lineRule="auto"/>
        <w:ind w:firstLine="480"/>
        <w:rPr>
          <w:rFonts w:hint="eastAsia"/>
          <w:sz w:val="24"/>
          <w:szCs w:val="24"/>
        </w:rPr>
      </w:pPr>
      <w:r>
        <w:rPr>
          <w:rFonts w:hint="eastAsia"/>
          <w:sz w:val="24"/>
          <w:szCs w:val="24"/>
        </w:rPr>
        <w:t>（5）针对突发事件可能造成的危害，封闭、隔离或者限制使用的有关场所，终止可能导致危害扩大的行为和活动</w:t>
      </w:r>
    </w:p>
    <w:p>
      <w:pPr>
        <w:spacing w:line="360" w:lineRule="auto"/>
        <w:ind w:firstLine="480" w:firstLineChars="200"/>
        <w:rPr>
          <w:rFonts w:hint="eastAsia"/>
          <w:sz w:val="24"/>
          <w:szCs w:val="24"/>
        </w:rPr>
      </w:pPr>
      <w:r>
        <w:rPr>
          <w:rFonts w:hint="eastAsia"/>
          <w:sz w:val="24"/>
          <w:szCs w:val="24"/>
        </w:rPr>
        <w:t>（6）调集环境应急所需的物资和设备，确保应急保障工作</w:t>
      </w:r>
    </w:p>
    <w:p>
      <w:pPr>
        <w:pStyle w:val="3"/>
        <w:rPr>
          <w:rFonts w:hint="eastAsia"/>
        </w:rPr>
      </w:pPr>
      <w:bookmarkStart w:id="674" w:name="_Toc338230957"/>
      <w:bookmarkStart w:id="675" w:name="_Toc461048116"/>
      <w:bookmarkStart w:id="676" w:name="_Toc338228603"/>
      <w:r>
        <w:rPr>
          <w:rFonts w:hint="eastAsia"/>
        </w:rPr>
        <w:t>5.5 事件分类</w:t>
      </w:r>
      <w:bookmarkEnd w:id="674"/>
      <w:bookmarkEnd w:id="675"/>
      <w:bookmarkEnd w:id="676"/>
    </w:p>
    <w:p>
      <w:pPr>
        <w:spacing w:line="360" w:lineRule="auto"/>
        <w:rPr>
          <w:rFonts w:hint="eastAsia"/>
          <w:b/>
          <w:sz w:val="24"/>
          <w:szCs w:val="24"/>
        </w:rPr>
      </w:pPr>
      <w:r>
        <w:rPr>
          <w:rFonts w:hint="eastAsia"/>
          <w:b/>
          <w:sz w:val="24"/>
          <w:szCs w:val="24"/>
        </w:rPr>
        <w:t>5.5.1 企业类事件</w:t>
      </w:r>
    </w:p>
    <w:p>
      <w:pPr>
        <w:spacing w:line="360" w:lineRule="auto"/>
        <w:rPr>
          <w:rFonts w:hint="eastAsia"/>
          <w:sz w:val="24"/>
          <w:szCs w:val="24"/>
        </w:rPr>
      </w:pPr>
      <w:r>
        <w:rPr>
          <w:rFonts w:hint="eastAsia"/>
          <w:b/>
          <w:sz w:val="24"/>
          <w:szCs w:val="24"/>
        </w:rPr>
        <w:t xml:space="preserve">   </w:t>
      </w:r>
      <w:r>
        <w:rPr>
          <w:rFonts w:hint="eastAsia"/>
          <w:sz w:val="24"/>
          <w:szCs w:val="24"/>
        </w:rPr>
        <w:t xml:space="preserve"> 发生少量环境风险物质泄漏、燃烧，对本企业人员、设施造成局部伤害和毁坏，对企业外不构成威胁危害的事故。企业类事件救援以企业自救为主，视情节请求园区救援支持，但事件单位必须向应急救援指挥部报警并向有关部门报告事故发生及自救处理情况。</w:t>
      </w:r>
    </w:p>
    <w:p>
      <w:pPr>
        <w:spacing w:line="360" w:lineRule="auto"/>
        <w:rPr>
          <w:rFonts w:hint="eastAsia"/>
          <w:b/>
          <w:sz w:val="24"/>
          <w:szCs w:val="24"/>
        </w:rPr>
      </w:pPr>
      <w:r>
        <w:rPr>
          <w:rFonts w:hint="eastAsia"/>
          <w:b/>
          <w:sz w:val="24"/>
          <w:szCs w:val="24"/>
        </w:rPr>
        <w:t>5.5.2区域类事件</w:t>
      </w:r>
    </w:p>
    <w:p>
      <w:pPr>
        <w:spacing w:line="360" w:lineRule="auto"/>
        <w:rPr>
          <w:rFonts w:hint="eastAsia"/>
          <w:sz w:val="24"/>
          <w:szCs w:val="24"/>
        </w:rPr>
      </w:pPr>
      <w:r>
        <w:rPr>
          <w:rFonts w:hint="eastAsia"/>
          <w:b/>
          <w:sz w:val="24"/>
          <w:szCs w:val="24"/>
        </w:rPr>
        <w:t xml:space="preserve">    </w:t>
      </w:r>
      <w:r>
        <w:rPr>
          <w:rFonts w:hint="eastAsia"/>
          <w:sz w:val="24"/>
          <w:szCs w:val="24"/>
        </w:rPr>
        <w:t>发生较大范围的环境风险物质泄漏、燃烧、爆炸事故，造成运输沿线人员受伤、中毒或较大财产损失，对周边地区社会造成危害的威胁的事件。本级事件由应急救援指挥部迅速组织自救，同时，要立即向应急指挥部请求救援，必要时可向市应急指挥部请求救援。</w:t>
      </w:r>
    </w:p>
    <w:p>
      <w:pPr>
        <w:pStyle w:val="3"/>
        <w:rPr>
          <w:rFonts w:hint="eastAsia"/>
        </w:rPr>
      </w:pPr>
      <w:bookmarkStart w:id="677" w:name="_Toc338228604"/>
      <w:bookmarkStart w:id="678" w:name="_Toc461048117"/>
      <w:bookmarkStart w:id="679" w:name="_Toc338230958"/>
      <w:r>
        <w:rPr>
          <w:rFonts w:hint="eastAsia"/>
        </w:rPr>
        <w:t>5.6 前期处置</w:t>
      </w:r>
      <w:bookmarkEnd w:id="677"/>
      <w:bookmarkEnd w:id="678"/>
      <w:bookmarkEnd w:id="679"/>
    </w:p>
    <w:p>
      <w:pPr>
        <w:spacing w:line="360" w:lineRule="auto"/>
        <w:ind w:firstLine="480" w:firstLineChars="200"/>
        <w:rPr>
          <w:rFonts w:hint="eastAsia"/>
          <w:sz w:val="24"/>
          <w:szCs w:val="24"/>
        </w:rPr>
      </w:pPr>
      <w:r>
        <w:rPr>
          <w:rFonts w:hint="eastAsia"/>
          <w:sz w:val="24"/>
          <w:szCs w:val="24"/>
        </w:rPr>
        <w:t>1、启动应急预案</w:t>
      </w:r>
    </w:p>
    <w:p>
      <w:pPr>
        <w:spacing w:line="360" w:lineRule="auto"/>
        <w:rPr>
          <w:rFonts w:hint="eastAsia"/>
          <w:sz w:val="24"/>
          <w:szCs w:val="24"/>
        </w:rPr>
      </w:pPr>
      <w:r>
        <w:rPr>
          <w:rFonts w:hint="eastAsia"/>
          <w:sz w:val="24"/>
          <w:szCs w:val="24"/>
        </w:rPr>
        <w:t xml:space="preserve">    接到环境突发事故报告后，经应急指挥部决定，启动应急预案，由公司办公室通知各成员单位及专家组赶赴事故现场。</w:t>
      </w:r>
    </w:p>
    <w:p>
      <w:pPr>
        <w:spacing w:line="360" w:lineRule="auto"/>
        <w:ind w:firstLine="480" w:firstLineChars="200"/>
        <w:rPr>
          <w:rFonts w:hint="eastAsia"/>
          <w:sz w:val="24"/>
          <w:szCs w:val="24"/>
        </w:rPr>
      </w:pPr>
      <w:r>
        <w:rPr>
          <w:rFonts w:hint="eastAsia"/>
          <w:sz w:val="24"/>
          <w:szCs w:val="24"/>
        </w:rPr>
        <w:t>2、设立现场指挥部</w:t>
      </w:r>
    </w:p>
    <w:p>
      <w:pPr>
        <w:spacing w:line="360" w:lineRule="auto"/>
        <w:ind w:firstLine="480" w:firstLineChars="200"/>
        <w:rPr>
          <w:rFonts w:hint="eastAsia"/>
          <w:sz w:val="24"/>
          <w:szCs w:val="24"/>
        </w:rPr>
      </w:pPr>
      <w:r>
        <w:rPr>
          <w:rFonts w:hint="eastAsia"/>
          <w:sz w:val="24"/>
          <w:szCs w:val="24"/>
        </w:rPr>
        <w:t>应急救援指挥部在事故现场设置现场指挥部以统一指挥、协调现场的救援工作。事故现场负责人立即向现场指挥部汇报情况，各救援专业组达到现场后向现场指挥部报到，以了解情况接受任务，并在靠近现场后部的地方设点，并随时与指挥部联系。</w:t>
      </w:r>
    </w:p>
    <w:p>
      <w:pPr>
        <w:spacing w:line="360" w:lineRule="auto"/>
        <w:ind w:firstLine="480" w:firstLineChars="200"/>
        <w:rPr>
          <w:rFonts w:hint="eastAsia"/>
          <w:sz w:val="24"/>
          <w:szCs w:val="24"/>
        </w:rPr>
      </w:pPr>
      <w:r>
        <w:rPr>
          <w:rFonts w:hint="eastAsia"/>
          <w:sz w:val="24"/>
          <w:szCs w:val="24"/>
        </w:rPr>
        <w:t>3、设置标志</w:t>
      </w:r>
    </w:p>
    <w:p>
      <w:pPr>
        <w:spacing w:line="360" w:lineRule="auto"/>
        <w:ind w:firstLine="480"/>
        <w:rPr>
          <w:rFonts w:hint="eastAsia"/>
          <w:sz w:val="24"/>
          <w:szCs w:val="24"/>
        </w:rPr>
      </w:pPr>
      <w:r>
        <w:rPr>
          <w:rFonts w:hint="eastAsia"/>
          <w:sz w:val="24"/>
          <w:szCs w:val="24"/>
        </w:rPr>
        <w:t>现场指挥部、现场医疗急救点均应设置醒目的标志，以便于识别。并应设置风速、风向仪器，以便掌握现场风速、风向。</w:t>
      </w:r>
    </w:p>
    <w:p>
      <w:pPr>
        <w:spacing w:line="360" w:lineRule="auto"/>
        <w:ind w:firstLine="480" w:firstLineChars="200"/>
        <w:rPr>
          <w:rFonts w:hint="eastAsia"/>
          <w:sz w:val="24"/>
          <w:szCs w:val="24"/>
        </w:rPr>
      </w:pPr>
      <w:r>
        <w:rPr>
          <w:rFonts w:hint="eastAsia"/>
          <w:sz w:val="24"/>
          <w:szCs w:val="24"/>
        </w:rPr>
        <w:t>4、各专业救援队伍在现场指挥部的指挥下，要尽快按照应急救援预案规定的职责分工，迅速开展工作。</w:t>
      </w:r>
    </w:p>
    <w:p>
      <w:pPr>
        <w:spacing w:line="360" w:lineRule="auto"/>
        <w:rPr>
          <w:rFonts w:hint="eastAsia"/>
          <w:sz w:val="24"/>
          <w:szCs w:val="24"/>
        </w:rPr>
        <w:sectPr>
          <w:pgSz w:w="11906" w:h="16838"/>
          <w:pgMar w:top="1247" w:right="1531" w:bottom="1247" w:left="1531" w:header="851" w:footer="992" w:gutter="0"/>
          <w:cols w:space="720" w:num="1"/>
          <w:docGrid w:type="linesAndChars" w:linePitch="312" w:charSpace="0"/>
        </w:sectPr>
      </w:pPr>
      <w:r>
        <w:rPr>
          <w:rFonts w:hint="eastAsia"/>
          <w:sz w:val="24"/>
          <w:szCs w:val="24"/>
        </w:rPr>
        <w:t xml:space="preserve">    </w:t>
      </w:r>
    </w:p>
    <w:p>
      <w:pPr>
        <w:pStyle w:val="2"/>
        <w:rPr>
          <w:rFonts w:hint="eastAsia"/>
        </w:rPr>
      </w:pPr>
      <w:bookmarkStart w:id="680" w:name="_Toc338228605"/>
      <w:bookmarkStart w:id="681" w:name="_Toc461048118"/>
      <w:bookmarkStart w:id="682" w:name="_Toc338230959"/>
      <w:r>
        <w:rPr>
          <w:rFonts w:hint="eastAsia"/>
        </w:rPr>
        <w:t>6应急响应</w:t>
      </w:r>
      <w:bookmarkEnd w:id="680"/>
      <w:bookmarkEnd w:id="681"/>
      <w:bookmarkEnd w:id="682"/>
    </w:p>
    <w:p>
      <w:pPr>
        <w:pStyle w:val="3"/>
      </w:pPr>
      <w:bookmarkStart w:id="683" w:name="_Toc338228606"/>
      <w:bookmarkStart w:id="684" w:name="_Toc461048119"/>
      <w:bookmarkStart w:id="685" w:name="_Toc317175186"/>
      <w:bookmarkStart w:id="686" w:name="_Toc338230960"/>
      <w:r>
        <w:rPr>
          <w:rFonts w:hint="eastAsia"/>
        </w:rPr>
        <w:t>6</w:t>
      </w:r>
      <w:r>
        <w:t>.1应急响应和应急指挥原则</w:t>
      </w:r>
      <w:bookmarkEnd w:id="683"/>
      <w:bookmarkEnd w:id="684"/>
      <w:bookmarkEnd w:id="685"/>
      <w:bookmarkEnd w:id="686"/>
    </w:p>
    <w:p>
      <w:pPr>
        <w:spacing w:line="360" w:lineRule="auto"/>
        <w:ind w:firstLine="480" w:firstLineChars="200"/>
        <w:rPr>
          <w:rFonts w:ascii="Times New Roman" w:hAnsi="Times New Roman"/>
          <w:sz w:val="24"/>
          <w:szCs w:val="24"/>
        </w:rPr>
      </w:pPr>
      <w:r>
        <w:rPr>
          <w:rFonts w:hAnsi="宋体"/>
          <w:sz w:val="24"/>
          <w:szCs w:val="24"/>
        </w:rPr>
        <w:t>针对突发环境事件危害程度、影响范围、</w:t>
      </w:r>
      <w:r>
        <w:rPr>
          <w:rFonts w:hint="eastAsia" w:hAnsi="宋体"/>
          <w:sz w:val="24"/>
          <w:szCs w:val="24"/>
        </w:rPr>
        <w:t>企业</w:t>
      </w:r>
      <w:r>
        <w:rPr>
          <w:rFonts w:hAnsi="宋体"/>
          <w:sz w:val="24"/>
          <w:szCs w:val="24"/>
        </w:rPr>
        <w:t>控制事态的能力以及可以调动的应急资源，将突发环境事件应急行动分为不同的等级。按照分级响应的原则，确定不同级别的现场负责人，指挥调度应急救援工作和开展事件应急响应。</w:t>
      </w:r>
      <w:r>
        <w:rPr>
          <w:rFonts w:ascii="Times New Roman" w:hAnsi="宋体"/>
          <w:sz w:val="24"/>
          <w:szCs w:val="24"/>
        </w:rPr>
        <w:t>按突发环境事故灾难的可控性、严重程度和影响范围，</w:t>
      </w:r>
      <w:r>
        <w:rPr>
          <w:rFonts w:hint="eastAsia" w:ascii="Times New Roman" w:hAnsi="宋体"/>
          <w:sz w:val="24"/>
          <w:szCs w:val="24"/>
        </w:rPr>
        <w:t>企业</w:t>
      </w:r>
      <w:r>
        <w:rPr>
          <w:rFonts w:ascii="Times New Roman" w:hAnsi="宋体"/>
          <w:sz w:val="24"/>
          <w:szCs w:val="24"/>
        </w:rPr>
        <w:t>将突发环境事件的应急响应分</w:t>
      </w:r>
      <w:r>
        <w:rPr>
          <w:rFonts w:hint="eastAsia" w:ascii="Times New Roman" w:hAnsi="宋体"/>
          <w:sz w:val="24"/>
          <w:szCs w:val="24"/>
        </w:rPr>
        <w:t>四</w:t>
      </w:r>
      <w:r>
        <w:rPr>
          <w:rFonts w:ascii="Times New Roman" w:hAnsi="宋体"/>
          <w:sz w:val="24"/>
          <w:szCs w:val="24"/>
        </w:rPr>
        <w:t>级，响应级别由高到低分别为Ⅰ级响应、Ⅱ级响应、Ⅲ级响应</w:t>
      </w:r>
      <w:r>
        <w:rPr>
          <w:rFonts w:hint="eastAsia" w:ascii="Times New Roman" w:hAnsi="宋体"/>
          <w:sz w:val="24"/>
          <w:szCs w:val="24"/>
        </w:rPr>
        <w:t>、</w:t>
      </w:r>
      <w:r>
        <w:rPr>
          <w:rFonts w:hint="eastAsia" w:ascii="宋体" w:hAnsi="宋体"/>
          <w:sz w:val="24"/>
          <w:szCs w:val="24"/>
        </w:rPr>
        <w:t>IV</w:t>
      </w:r>
      <w:r>
        <w:rPr>
          <w:rFonts w:ascii="Times New Roman" w:hAnsi="宋体"/>
          <w:sz w:val="24"/>
          <w:szCs w:val="24"/>
        </w:rPr>
        <w:t>级响应。</w:t>
      </w:r>
    </w:p>
    <w:p>
      <w:pPr>
        <w:spacing w:line="360" w:lineRule="auto"/>
        <w:ind w:firstLine="480" w:firstLineChars="200"/>
        <w:rPr>
          <w:rFonts w:ascii="Times New Roman" w:hAnsi="Times New Roman"/>
          <w:sz w:val="24"/>
          <w:szCs w:val="24"/>
        </w:rPr>
      </w:pPr>
      <w:r>
        <w:rPr>
          <w:rFonts w:ascii="Times New Roman" w:hAnsi="宋体"/>
          <w:sz w:val="24"/>
          <w:szCs w:val="24"/>
        </w:rPr>
        <w:t>Ⅰ级响应：当</w:t>
      </w:r>
      <w:r>
        <w:rPr>
          <w:rFonts w:hint="eastAsia" w:ascii="Times New Roman" w:hAnsi="宋体"/>
          <w:sz w:val="24"/>
          <w:szCs w:val="24"/>
        </w:rPr>
        <w:t>企业</w:t>
      </w:r>
      <w:r>
        <w:rPr>
          <w:rFonts w:ascii="Times New Roman" w:hAnsi="宋体"/>
          <w:sz w:val="24"/>
          <w:szCs w:val="24"/>
        </w:rPr>
        <w:t>发生特大突发环境污染事件，</w:t>
      </w:r>
      <w:r>
        <w:rPr>
          <w:rFonts w:hint="eastAsia" w:ascii="Times New Roman" w:hAnsi="宋体"/>
          <w:sz w:val="24"/>
          <w:szCs w:val="24"/>
        </w:rPr>
        <w:t>影响范围超出了企业范围，</w:t>
      </w:r>
      <w:r>
        <w:rPr>
          <w:rFonts w:ascii="Times New Roman" w:hAnsi="宋体"/>
          <w:sz w:val="24"/>
          <w:szCs w:val="24"/>
        </w:rPr>
        <w:t>污染事故发展到超出</w:t>
      </w:r>
      <w:r>
        <w:rPr>
          <w:rFonts w:hint="eastAsia" w:ascii="Times New Roman" w:hAnsi="宋体"/>
          <w:sz w:val="24"/>
          <w:szCs w:val="24"/>
        </w:rPr>
        <w:t>企业</w:t>
      </w:r>
      <w:r>
        <w:rPr>
          <w:rFonts w:ascii="Times New Roman" w:hAnsi="宋体"/>
          <w:sz w:val="24"/>
          <w:szCs w:val="24"/>
        </w:rPr>
        <w:t>应急响应能力，扩大到难以独立控制时启动。事故发生后</w:t>
      </w:r>
      <w:r>
        <w:rPr>
          <w:rFonts w:hint="eastAsia" w:ascii="Times New Roman" w:hAnsi="宋体"/>
          <w:sz w:val="24"/>
          <w:szCs w:val="24"/>
        </w:rPr>
        <w:t>企业</w:t>
      </w:r>
      <w:r>
        <w:rPr>
          <w:rFonts w:ascii="Times New Roman" w:hAnsi="宋体"/>
          <w:sz w:val="24"/>
          <w:szCs w:val="24"/>
        </w:rPr>
        <w:t>应急指挥部应及时报告重庆市</w:t>
      </w:r>
      <w:r>
        <w:rPr>
          <w:rFonts w:hint="eastAsia" w:ascii="Times New Roman" w:hAnsi="宋体"/>
          <w:sz w:val="24"/>
          <w:szCs w:val="24"/>
        </w:rPr>
        <w:t>沙坪坝区</w:t>
      </w:r>
      <w:r>
        <w:rPr>
          <w:rFonts w:ascii="Times New Roman" w:hAnsi="宋体"/>
          <w:sz w:val="24"/>
          <w:szCs w:val="24"/>
        </w:rPr>
        <w:t>应急指挥部、</w:t>
      </w:r>
      <w:r>
        <w:rPr>
          <w:rFonts w:hint="eastAsia" w:ascii="Times New Roman" w:hAnsi="宋体"/>
          <w:sz w:val="24"/>
          <w:szCs w:val="24"/>
        </w:rPr>
        <w:t>沙坪坝区</w:t>
      </w:r>
      <w:r>
        <w:rPr>
          <w:rFonts w:ascii="Times New Roman" w:hAnsi="宋体"/>
          <w:sz w:val="24"/>
          <w:szCs w:val="24"/>
        </w:rPr>
        <w:t>环保主管部门，请求支援，由</w:t>
      </w:r>
      <w:r>
        <w:rPr>
          <w:rFonts w:hint="eastAsia" w:ascii="Times New Roman" w:hAnsi="宋体"/>
          <w:sz w:val="24"/>
          <w:szCs w:val="24"/>
        </w:rPr>
        <w:t>沙坪坝区</w:t>
      </w:r>
      <w:r>
        <w:rPr>
          <w:rFonts w:ascii="Times New Roman" w:hAnsi="宋体"/>
          <w:sz w:val="24"/>
          <w:szCs w:val="24"/>
        </w:rPr>
        <w:t>应急指挥部启动相应的应急预案。同时</w:t>
      </w:r>
      <w:r>
        <w:rPr>
          <w:rFonts w:hint="eastAsia" w:ascii="Times New Roman" w:hAnsi="宋体"/>
          <w:sz w:val="24"/>
          <w:szCs w:val="24"/>
        </w:rPr>
        <w:t>企业</w:t>
      </w:r>
      <w:r>
        <w:rPr>
          <w:rFonts w:ascii="Times New Roman" w:hAnsi="宋体"/>
          <w:sz w:val="24"/>
          <w:szCs w:val="24"/>
        </w:rPr>
        <w:t>应急指挥部应根据情况向</w:t>
      </w:r>
      <w:r>
        <w:rPr>
          <w:rFonts w:hint="eastAsia" w:ascii="Times New Roman" w:hAnsi="宋体"/>
          <w:sz w:val="24"/>
          <w:szCs w:val="24"/>
        </w:rPr>
        <w:t>企业</w:t>
      </w:r>
      <w:r>
        <w:rPr>
          <w:rFonts w:ascii="Times New Roman" w:hAnsi="宋体"/>
          <w:sz w:val="24"/>
          <w:szCs w:val="24"/>
        </w:rPr>
        <w:t>及周边群众发布紧急通告，组织撤离。</w:t>
      </w:r>
    </w:p>
    <w:p>
      <w:pPr>
        <w:spacing w:line="360" w:lineRule="auto"/>
        <w:ind w:firstLine="480" w:firstLineChars="200"/>
        <w:rPr>
          <w:rFonts w:ascii="Times New Roman" w:hAnsi="Times New Roman"/>
          <w:sz w:val="24"/>
          <w:szCs w:val="24"/>
        </w:rPr>
      </w:pPr>
      <w:r>
        <w:rPr>
          <w:rFonts w:ascii="Times New Roman" w:hAnsi="宋体"/>
          <w:sz w:val="24"/>
          <w:szCs w:val="24"/>
        </w:rPr>
        <w:t>Ⅱ级响应：当</w:t>
      </w:r>
      <w:r>
        <w:rPr>
          <w:rFonts w:hint="eastAsia" w:ascii="Times New Roman" w:hAnsi="宋体"/>
          <w:sz w:val="24"/>
          <w:szCs w:val="24"/>
        </w:rPr>
        <w:t>企业内</w:t>
      </w:r>
      <w:r>
        <w:rPr>
          <w:rFonts w:ascii="Times New Roman" w:hAnsi="宋体"/>
          <w:sz w:val="24"/>
          <w:szCs w:val="24"/>
        </w:rPr>
        <w:t>发生重大突发环境事件</w:t>
      </w:r>
      <w:r>
        <w:rPr>
          <w:rFonts w:hint="eastAsia" w:ascii="Times New Roman" w:hAnsi="宋体"/>
          <w:sz w:val="24"/>
          <w:szCs w:val="24"/>
        </w:rPr>
        <w:t>，影响范围超出企业范围时启动</w:t>
      </w:r>
      <w:r>
        <w:rPr>
          <w:rFonts w:ascii="Times New Roman" w:hAnsi="宋体"/>
          <w:sz w:val="24"/>
          <w:szCs w:val="24"/>
        </w:rPr>
        <w:t>。事故发生后</w:t>
      </w:r>
      <w:r>
        <w:rPr>
          <w:rFonts w:hint="eastAsia" w:ascii="Times New Roman" w:hAnsi="宋体"/>
          <w:sz w:val="24"/>
          <w:szCs w:val="24"/>
        </w:rPr>
        <w:t>企业</w:t>
      </w:r>
      <w:r>
        <w:rPr>
          <w:rFonts w:ascii="Times New Roman" w:hAnsi="宋体"/>
          <w:sz w:val="24"/>
          <w:szCs w:val="24"/>
        </w:rPr>
        <w:t>应急指挥部应及时报告重庆市</w:t>
      </w:r>
      <w:r>
        <w:rPr>
          <w:rFonts w:hint="eastAsia" w:ascii="Times New Roman" w:hAnsi="宋体"/>
          <w:sz w:val="24"/>
          <w:szCs w:val="24"/>
        </w:rPr>
        <w:t>沙坪坝区</w:t>
      </w:r>
      <w:r>
        <w:rPr>
          <w:rFonts w:ascii="Times New Roman" w:hAnsi="宋体"/>
          <w:sz w:val="24"/>
          <w:szCs w:val="24"/>
        </w:rPr>
        <w:t>应急指挥部、</w:t>
      </w:r>
      <w:r>
        <w:rPr>
          <w:rFonts w:hint="eastAsia" w:ascii="Times New Roman" w:hAnsi="宋体"/>
          <w:sz w:val="24"/>
          <w:szCs w:val="24"/>
        </w:rPr>
        <w:t>沙坪坝区</w:t>
      </w:r>
      <w:r>
        <w:rPr>
          <w:rFonts w:ascii="Times New Roman" w:hAnsi="宋体"/>
          <w:sz w:val="24"/>
          <w:szCs w:val="24"/>
        </w:rPr>
        <w:t>环保主管部门，请求支援，由</w:t>
      </w:r>
      <w:r>
        <w:rPr>
          <w:rFonts w:hint="eastAsia" w:ascii="Times New Roman" w:hAnsi="宋体"/>
          <w:sz w:val="24"/>
          <w:szCs w:val="24"/>
        </w:rPr>
        <w:t>沙坪坝区</w:t>
      </w:r>
      <w:r>
        <w:rPr>
          <w:rFonts w:ascii="Times New Roman" w:hAnsi="宋体"/>
          <w:sz w:val="24"/>
          <w:szCs w:val="24"/>
        </w:rPr>
        <w:t>应急指挥部启动相应的应急预案。同时</w:t>
      </w:r>
      <w:r>
        <w:rPr>
          <w:rFonts w:hint="eastAsia" w:ascii="Times New Roman" w:hAnsi="宋体"/>
          <w:sz w:val="24"/>
          <w:szCs w:val="24"/>
        </w:rPr>
        <w:t>企业</w:t>
      </w:r>
      <w:r>
        <w:rPr>
          <w:rFonts w:ascii="Times New Roman" w:hAnsi="宋体"/>
          <w:sz w:val="24"/>
          <w:szCs w:val="24"/>
        </w:rPr>
        <w:t>应急指挥部应根据情况向</w:t>
      </w:r>
      <w:r>
        <w:rPr>
          <w:rFonts w:hint="eastAsia" w:ascii="Times New Roman" w:hAnsi="宋体"/>
          <w:sz w:val="24"/>
          <w:szCs w:val="24"/>
        </w:rPr>
        <w:t>企业</w:t>
      </w:r>
      <w:r>
        <w:rPr>
          <w:rFonts w:ascii="Times New Roman" w:hAnsi="宋体"/>
          <w:sz w:val="24"/>
          <w:szCs w:val="24"/>
        </w:rPr>
        <w:t>及周边群众发布紧急通告，组织撤离。</w:t>
      </w:r>
    </w:p>
    <w:p>
      <w:pPr>
        <w:spacing w:line="360" w:lineRule="auto"/>
        <w:ind w:firstLine="480" w:firstLineChars="200"/>
        <w:rPr>
          <w:rFonts w:hint="eastAsia" w:ascii="Times New Roman" w:hAnsi="宋体"/>
          <w:sz w:val="24"/>
          <w:szCs w:val="24"/>
        </w:rPr>
      </w:pPr>
      <w:r>
        <w:rPr>
          <w:rFonts w:ascii="Times New Roman" w:hAnsi="宋体"/>
          <w:sz w:val="24"/>
          <w:szCs w:val="24"/>
        </w:rPr>
        <w:t>Ⅲ级响应：当</w:t>
      </w:r>
      <w:r>
        <w:rPr>
          <w:rFonts w:hint="eastAsia" w:ascii="Times New Roman" w:hAnsi="宋体"/>
          <w:sz w:val="24"/>
          <w:szCs w:val="24"/>
        </w:rPr>
        <w:t>企业</w:t>
      </w:r>
      <w:r>
        <w:rPr>
          <w:rFonts w:ascii="Times New Roman" w:hAnsi="宋体"/>
          <w:sz w:val="24"/>
          <w:szCs w:val="24"/>
        </w:rPr>
        <w:t>发生</w:t>
      </w:r>
      <w:r>
        <w:rPr>
          <w:rFonts w:hint="eastAsia" w:ascii="Times New Roman" w:hAnsi="宋体"/>
          <w:sz w:val="24"/>
          <w:szCs w:val="24"/>
        </w:rPr>
        <w:t>较大</w:t>
      </w:r>
      <w:r>
        <w:rPr>
          <w:rFonts w:ascii="Times New Roman" w:hAnsi="宋体"/>
          <w:sz w:val="24"/>
          <w:szCs w:val="24"/>
        </w:rPr>
        <w:t>突发环境事件</w:t>
      </w:r>
      <w:r>
        <w:rPr>
          <w:rFonts w:hint="eastAsia" w:ascii="Times New Roman" w:hAnsi="宋体"/>
          <w:sz w:val="24"/>
          <w:szCs w:val="24"/>
        </w:rPr>
        <w:t>，影响范围在企业内，未影响到周边地区</w:t>
      </w:r>
      <w:r>
        <w:rPr>
          <w:rFonts w:ascii="Times New Roman" w:hAnsi="宋体"/>
          <w:sz w:val="24"/>
          <w:szCs w:val="24"/>
        </w:rPr>
        <w:t>时启动。由</w:t>
      </w:r>
      <w:r>
        <w:rPr>
          <w:rFonts w:hint="eastAsia" w:ascii="Times New Roman" w:hAnsi="宋体"/>
          <w:sz w:val="24"/>
          <w:szCs w:val="24"/>
        </w:rPr>
        <w:t>企业</w:t>
      </w:r>
      <w:r>
        <w:rPr>
          <w:rFonts w:ascii="Times New Roman" w:hAnsi="宋体"/>
          <w:sz w:val="24"/>
          <w:szCs w:val="24"/>
        </w:rPr>
        <w:t>应急指挥部启动相应的应急预案，进行应急处理。</w:t>
      </w:r>
    </w:p>
    <w:p>
      <w:pPr>
        <w:spacing w:line="360" w:lineRule="auto"/>
        <w:ind w:firstLine="480" w:firstLineChars="200"/>
        <w:rPr>
          <w:rFonts w:hint="eastAsia" w:ascii="Times New Roman" w:hAnsi="Times New Roman"/>
          <w:sz w:val="24"/>
          <w:szCs w:val="24"/>
        </w:rPr>
      </w:pPr>
      <w:r>
        <w:rPr>
          <w:rFonts w:hint="eastAsia" w:ascii="宋体" w:hAnsi="宋体"/>
          <w:sz w:val="24"/>
          <w:szCs w:val="24"/>
        </w:rPr>
        <w:t>IV</w:t>
      </w:r>
      <w:r>
        <w:rPr>
          <w:rFonts w:ascii="Times New Roman" w:hAnsi="宋体"/>
          <w:sz w:val="24"/>
          <w:szCs w:val="24"/>
        </w:rPr>
        <w:t>级响应：当</w:t>
      </w:r>
      <w:r>
        <w:rPr>
          <w:rFonts w:hint="eastAsia" w:ascii="Times New Roman" w:hAnsi="宋体"/>
          <w:sz w:val="24"/>
          <w:szCs w:val="24"/>
        </w:rPr>
        <w:t>企业内</w:t>
      </w:r>
      <w:r>
        <w:rPr>
          <w:rFonts w:ascii="Times New Roman" w:hAnsi="宋体"/>
          <w:sz w:val="24"/>
          <w:szCs w:val="24"/>
        </w:rPr>
        <w:t>发生</w:t>
      </w:r>
      <w:r>
        <w:rPr>
          <w:rFonts w:hint="eastAsia" w:ascii="Times New Roman" w:hAnsi="宋体"/>
          <w:sz w:val="24"/>
          <w:szCs w:val="24"/>
        </w:rPr>
        <w:t>一般</w:t>
      </w:r>
      <w:r>
        <w:rPr>
          <w:rFonts w:ascii="Times New Roman" w:hAnsi="宋体"/>
          <w:sz w:val="24"/>
          <w:szCs w:val="24"/>
        </w:rPr>
        <w:t>突发环境事件</w:t>
      </w:r>
      <w:r>
        <w:rPr>
          <w:rFonts w:hint="eastAsia" w:ascii="Times New Roman" w:hAnsi="宋体"/>
          <w:sz w:val="24"/>
          <w:szCs w:val="24"/>
        </w:rPr>
        <w:t>，事故出现在装置区域，影响局部地区</w:t>
      </w:r>
      <w:r>
        <w:rPr>
          <w:rFonts w:ascii="Times New Roman" w:hAnsi="宋体"/>
          <w:sz w:val="24"/>
          <w:szCs w:val="24"/>
        </w:rPr>
        <w:t>时启动。由</w:t>
      </w:r>
      <w:r>
        <w:rPr>
          <w:rFonts w:hint="eastAsia" w:ascii="Times New Roman" w:hAnsi="宋体"/>
          <w:sz w:val="24"/>
          <w:szCs w:val="24"/>
        </w:rPr>
        <w:t>事件发生现场第一负责人任指挥</w:t>
      </w:r>
      <w:r>
        <w:rPr>
          <w:rFonts w:ascii="Times New Roman" w:hAnsi="宋体"/>
          <w:sz w:val="24"/>
          <w:szCs w:val="24"/>
        </w:rPr>
        <w:t>，</w:t>
      </w:r>
      <w:r>
        <w:rPr>
          <w:rFonts w:hint="eastAsia" w:ascii="Times New Roman" w:hAnsi="宋体"/>
          <w:sz w:val="24"/>
          <w:szCs w:val="24"/>
        </w:rPr>
        <w:t>对突发事件现场</w:t>
      </w:r>
      <w:r>
        <w:rPr>
          <w:rFonts w:ascii="Times New Roman" w:hAnsi="宋体"/>
          <w:sz w:val="24"/>
          <w:szCs w:val="24"/>
        </w:rPr>
        <w:t>进行应急处理。</w:t>
      </w:r>
    </w:p>
    <w:p>
      <w:pPr>
        <w:spacing w:line="360" w:lineRule="auto"/>
        <w:ind w:firstLine="480" w:firstLineChars="200"/>
        <w:rPr>
          <w:rFonts w:hint="eastAsia" w:ascii="Times New Roman" w:hAnsi="宋体"/>
          <w:sz w:val="24"/>
          <w:szCs w:val="24"/>
        </w:rPr>
      </w:pPr>
      <w:r>
        <w:rPr>
          <w:rFonts w:ascii="Times New Roman" w:hAnsi="宋体"/>
          <w:sz w:val="24"/>
          <w:szCs w:val="24"/>
        </w:rPr>
        <w:t>各级应急救援指挥部应自动无条件服从上一级应急救援指挥中心统一指挥和调配，协调一致，做好应急救援工作。</w:t>
      </w:r>
    </w:p>
    <w:p>
      <w:pPr>
        <w:pStyle w:val="3"/>
        <w:rPr>
          <w:rFonts w:hint="eastAsia"/>
        </w:rPr>
      </w:pPr>
      <w:bookmarkStart w:id="687" w:name="_Toc338230961"/>
      <w:bookmarkStart w:id="688" w:name="_Toc461048120"/>
      <w:bookmarkStart w:id="689" w:name="_Toc338228607"/>
      <w:r>
        <w:rPr>
          <w:rFonts w:hint="eastAsia"/>
        </w:rPr>
        <w:t>6.2分级响应机制</w:t>
      </w:r>
      <w:bookmarkEnd w:id="687"/>
      <w:bookmarkEnd w:id="688"/>
      <w:bookmarkEnd w:id="689"/>
    </w:p>
    <w:p>
      <w:pPr>
        <w:spacing w:line="360" w:lineRule="auto"/>
        <w:rPr>
          <w:rFonts w:hint="eastAsia"/>
          <w:b/>
          <w:sz w:val="24"/>
          <w:szCs w:val="24"/>
        </w:rPr>
      </w:pPr>
    </w:p>
    <w:p>
      <w:pPr>
        <w:spacing w:line="360" w:lineRule="auto"/>
        <w:rPr>
          <w:rFonts w:hint="eastAsia"/>
          <w:b/>
          <w:sz w:val="24"/>
          <w:szCs w:val="24"/>
        </w:rPr>
      </w:pPr>
    </w:p>
    <w:p>
      <w:pPr>
        <w:spacing w:line="360" w:lineRule="auto"/>
        <w:rPr>
          <w:rFonts w:hint="eastAsia"/>
          <w:b/>
          <w:sz w:val="24"/>
          <w:szCs w:val="24"/>
        </w:rPr>
      </w:pPr>
    </w:p>
    <w:p>
      <w:pPr>
        <w:spacing w:line="360" w:lineRule="auto"/>
        <w:rPr>
          <w:rFonts w:hint="eastAsia"/>
          <w:b/>
          <w:sz w:val="24"/>
          <w:szCs w:val="24"/>
        </w:rPr>
      </w:pPr>
    </w:p>
    <w:p>
      <w:pPr>
        <w:spacing w:line="360" w:lineRule="auto"/>
        <w:rPr>
          <w:rFonts w:hint="eastAsia"/>
          <w:b/>
          <w:sz w:val="24"/>
          <w:szCs w:val="24"/>
        </w:rPr>
      </w:pPr>
    </w:p>
    <w:p>
      <w:pPr>
        <w:spacing w:line="360" w:lineRule="auto"/>
        <w:rPr>
          <w:rFonts w:hint="eastAsia"/>
          <w:b/>
          <w:sz w:val="24"/>
          <w:szCs w:val="24"/>
        </w:rPr>
      </w:pPr>
    </w:p>
    <w:p>
      <w:pPr>
        <w:spacing w:line="360" w:lineRule="auto"/>
        <w:ind w:firstLine="480" w:firstLineChars="200"/>
        <w:rPr>
          <w:rFonts w:hint="eastAsia" w:ascii="Times New Roman" w:hAnsi="Times New Roman"/>
          <w:sz w:val="24"/>
          <w:szCs w:val="24"/>
        </w:rPr>
      </w:pPr>
      <w:r>
        <w:rPr>
          <w:rFonts w:hint="eastAsia"/>
          <w:sz w:val="24"/>
          <w:szCs w:val="24"/>
        </w:rPr>
        <mc:AlternateContent>
          <mc:Choice Requires="wpg">
            <w:drawing>
              <wp:anchor distT="0" distB="0" distL="114300" distR="114300" simplePos="0" relativeHeight="251920384" behindDoc="0" locked="0" layoutInCell="1" allowOverlap="1">
                <wp:simplePos x="0" y="0"/>
                <wp:positionH relativeFrom="column">
                  <wp:posOffset>3800475</wp:posOffset>
                </wp:positionH>
                <wp:positionV relativeFrom="paragraph">
                  <wp:posOffset>198120</wp:posOffset>
                </wp:positionV>
                <wp:extent cx="1866900" cy="1743075"/>
                <wp:effectExtent l="0" t="4445" r="20955" b="5080"/>
                <wp:wrapNone/>
                <wp:docPr id="424" name="组合 424"/>
                <wp:cNvGraphicFramePr/>
                <a:graphic xmlns:a="http://schemas.openxmlformats.org/drawingml/2006/main">
                  <a:graphicData uri="http://schemas.microsoft.com/office/word/2010/wordprocessingGroup">
                    <wpg:wgp>
                      <wpg:cNvGrpSpPr/>
                      <wpg:grpSpPr>
                        <a:xfrm>
                          <a:off x="0" y="0"/>
                          <a:ext cx="1866900" cy="1743075"/>
                          <a:chOff x="0" y="0"/>
                          <a:chExt cx="2940" cy="2745"/>
                        </a:xfrm>
                      </wpg:grpSpPr>
                      <wps:wsp>
                        <wps:cNvPr id="420" name="文本框 420"/>
                        <wps:cNvSpPr txBox="1"/>
                        <wps:spPr>
                          <a:xfrm>
                            <a:off x="1245" y="0"/>
                            <a:ext cx="1695" cy="67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事件升级为较大</w:t>
                              </w:r>
                            </w:p>
                          </w:txbxContent>
                        </wps:txbx>
                        <wps:bodyPr upright="1"/>
                      </wps:wsp>
                      <wps:wsp>
                        <wps:cNvPr id="421" name="文本框 421"/>
                        <wps:cNvSpPr txBox="1"/>
                        <wps:spPr>
                          <a:xfrm>
                            <a:off x="1245" y="1080"/>
                            <a:ext cx="1695" cy="67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事件升级为重大</w:t>
                              </w:r>
                            </w:p>
                          </w:txbxContent>
                        </wps:txbx>
                        <wps:bodyPr upright="1"/>
                      </wps:wsp>
                      <wps:wsp>
                        <wps:cNvPr id="422" name="文本框 422"/>
                        <wps:cNvSpPr txBox="1"/>
                        <wps:spPr>
                          <a:xfrm>
                            <a:off x="0" y="2010"/>
                            <a:ext cx="1530" cy="510"/>
                          </a:xfrm>
                          <a:prstGeom prst="rect">
                            <a:avLst/>
                          </a:prstGeom>
                          <a:noFill/>
                          <a:ln>
                            <a:noFill/>
                          </a:ln>
                        </wps:spPr>
                        <wps:txbx>
                          <w:txbxContent>
                            <w:p>
                              <w:pPr>
                                <w:ind w:firstLine="210" w:firstLineChars="100"/>
                              </w:pPr>
                              <w:r>
                                <w:rPr>
                                  <w:rFonts w:hint="eastAsia"/>
                                </w:rPr>
                                <w:t>无法控制</w:t>
                              </w:r>
                            </w:p>
                          </w:txbxContent>
                        </wps:txbx>
                        <wps:bodyPr upright="1"/>
                      </wps:wsp>
                      <wps:wsp>
                        <wps:cNvPr id="423" name="文本框 423"/>
                        <wps:cNvSpPr txBox="1"/>
                        <wps:spPr>
                          <a:xfrm>
                            <a:off x="1245" y="2070"/>
                            <a:ext cx="1695" cy="67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事件升级为特大</w:t>
                              </w:r>
                            </w:p>
                          </w:txbxContent>
                        </wps:txbx>
                        <wps:bodyPr upright="1"/>
                      </wps:wsp>
                    </wpg:wgp>
                  </a:graphicData>
                </a:graphic>
              </wp:anchor>
            </w:drawing>
          </mc:Choice>
          <mc:Fallback>
            <w:pict>
              <v:group id="_x0000_s1026" o:spid="_x0000_s1026" o:spt="203" style="position:absolute;left:0pt;margin-left:299.25pt;margin-top:15.6pt;height:137.25pt;width:147pt;z-index:251920384;mso-width-relative:page;mso-height-relative:page;" coordsize="2940,2745" o:gfxdata="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FNyrxfaAAAA&#10;CgEAAA8AAAAAAAAAAQAgAAAAIgAAAGRycy9kb3ducmV2LnhtbFBLAQIUABQAAAAIAIdO4kDYfyUQ&#10;xgIAAEELAAAOAAAAAAAAAAEAIAAAACkBAABkcnMvZTJvRG9jLnhtbFBLBQYAAAAABgAGAFkBAABh&#10;BgAAAAA=&#10;">
                <o:lock v:ext="edit" aspectratio="f"/>
                <v:shape id="_x0000_s1026" o:spid="_x0000_s1026" o:spt="202" type="#_x0000_t202" style="position:absolute;left:1245;top:0;height:675;width:1695;" fillcolor="#FFFFFF" filled="t" stroked="t" coordsize="21600,21600" o:gfxdata="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VcRP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r>
                          <w:rPr>
                            <w:rFonts w:hint="eastAsia"/>
                          </w:rPr>
                          <w:t>事件升级为较大</w:t>
                        </w:r>
                      </w:p>
                    </w:txbxContent>
                  </v:textbox>
                </v:shape>
                <v:shape id="_x0000_s1026" o:spid="_x0000_s1026" o:spt="202" type="#_x0000_t202" style="position:absolute;left:1245;top:1080;height:675;width:1695;" fillcolor="#FFFFFF" filled="t" stroked="t" coordsize="21600,21600" o:gfxdata="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GWH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r>
                          <w:rPr>
                            <w:rFonts w:hint="eastAsia"/>
                          </w:rPr>
                          <w:t>事件升级为重大</w:t>
                        </w:r>
                      </w:p>
                    </w:txbxContent>
                  </v:textbox>
                </v:shape>
                <v:shape id="_x0000_s1026" o:spid="_x0000_s1026" o:spt="202" type="#_x0000_t202" style="position:absolute;left:0;top:2010;height:510;width:1530;" filled="f" stroked="f" coordsize="21600,21600" o:gfxdata="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vcZ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firstLine="210" w:firstLineChars="100"/>
                        </w:pPr>
                        <w:r>
                          <w:rPr>
                            <w:rFonts w:hint="eastAsia"/>
                          </w:rPr>
                          <w:t>无法控制</w:t>
                        </w:r>
                      </w:p>
                    </w:txbxContent>
                  </v:textbox>
                </v:shape>
                <v:shape id="_x0000_s1026" o:spid="_x0000_s1026" o:spt="202" type="#_x0000_t202" style="position:absolute;left:1245;top:2070;height:675;width:1695;" fillcolor="#FFFFFF" filled="t" stroked="t" coordsize="21600,21600" o:gfxdata="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daO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事件升级为特大</w:t>
                        </w:r>
                      </w:p>
                    </w:txbxContent>
                  </v:textbox>
                </v:shape>
              </v:group>
            </w:pict>
          </mc:Fallback>
        </mc:AlternateContent>
      </w:r>
      <w:r>
        <w:rPr>
          <w:rFonts w:hint="eastAsia"/>
          <w:sz w:val="24"/>
          <w:szCs w:val="24"/>
        </w:rPr>
        <mc:AlternateContent>
          <mc:Choice Requires="wpg">
            <w:drawing>
              <wp:anchor distT="0" distB="0" distL="114300" distR="114300" simplePos="0" relativeHeight="251922432" behindDoc="0" locked="0" layoutInCell="1" allowOverlap="1">
                <wp:simplePos x="0" y="0"/>
                <wp:positionH relativeFrom="column">
                  <wp:posOffset>133350</wp:posOffset>
                </wp:positionH>
                <wp:positionV relativeFrom="paragraph">
                  <wp:posOffset>93980</wp:posOffset>
                </wp:positionV>
                <wp:extent cx="4867275" cy="2705100"/>
                <wp:effectExtent l="4445" t="4445" r="0" b="14605"/>
                <wp:wrapNone/>
                <wp:docPr id="419" name="组合 419"/>
                <wp:cNvGraphicFramePr/>
                <a:graphic xmlns:a="http://schemas.openxmlformats.org/drawingml/2006/main">
                  <a:graphicData uri="http://schemas.microsoft.com/office/word/2010/wordprocessingGroup">
                    <wpg:wgp>
                      <wpg:cNvGrpSpPr/>
                      <wpg:grpSpPr>
                        <a:xfrm>
                          <a:off x="0" y="0"/>
                          <a:ext cx="4867275" cy="2705100"/>
                          <a:chOff x="0" y="0"/>
                          <a:chExt cx="7230" cy="4260"/>
                        </a:xfrm>
                      </wpg:grpSpPr>
                      <wps:wsp>
                        <wps:cNvPr id="382" name="文本框 382"/>
                        <wps:cNvSpPr txBox="1"/>
                        <wps:spPr>
                          <a:xfrm>
                            <a:off x="5700" y="1245"/>
                            <a:ext cx="1530" cy="510"/>
                          </a:xfrm>
                          <a:prstGeom prst="rect">
                            <a:avLst/>
                          </a:prstGeom>
                          <a:noFill/>
                          <a:ln>
                            <a:noFill/>
                          </a:ln>
                        </wps:spPr>
                        <wps:txbx>
                          <w:txbxContent>
                            <w:p>
                              <w:r>
                                <w:rPr>
                                  <w:rFonts w:hint="eastAsia"/>
                                </w:rPr>
                                <w:t>无法控制</w:t>
                              </w:r>
                            </w:p>
                          </w:txbxContent>
                        </wps:txbx>
                        <wps:bodyPr upright="1"/>
                      </wps:wsp>
                      <wpg:grpSp>
                        <wpg:cNvPr id="418" name="组合 418"/>
                        <wpg:cNvGrpSpPr/>
                        <wpg:grpSpPr>
                          <a:xfrm>
                            <a:off x="0" y="0"/>
                            <a:ext cx="7230" cy="4260"/>
                            <a:chOff x="0" y="0"/>
                            <a:chExt cx="7230" cy="4260"/>
                          </a:xfrm>
                        </wpg:grpSpPr>
                        <wps:wsp>
                          <wps:cNvPr id="383" name="文本框 383"/>
                          <wps:cNvSpPr txBox="1"/>
                          <wps:spPr>
                            <a:xfrm>
                              <a:off x="5700" y="0"/>
                              <a:ext cx="1530" cy="510"/>
                            </a:xfrm>
                            <a:prstGeom prst="rect">
                              <a:avLst/>
                            </a:prstGeom>
                            <a:noFill/>
                            <a:ln>
                              <a:noFill/>
                            </a:ln>
                          </wps:spPr>
                          <wps:txbx>
                            <w:txbxContent>
                              <w:p>
                                <w:r>
                                  <w:rPr>
                                    <w:rFonts w:hint="eastAsia"/>
                                  </w:rPr>
                                  <w:t>无法控制</w:t>
                                </w:r>
                              </w:p>
                            </w:txbxContent>
                          </wps:txbx>
                          <wps:bodyPr upright="1"/>
                        </wps:wsp>
                        <wpg:grpSp>
                          <wpg:cNvPr id="417" name="组合 417"/>
                          <wpg:cNvGrpSpPr/>
                          <wpg:grpSpPr>
                            <a:xfrm>
                              <a:off x="0" y="0"/>
                              <a:ext cx="5835" cy="4260"/>
                              <a:chOff x="0" y="0"/>
                              <a:chExt cx="5835" cy="4260"/>
                            </a:xfrm>
                          </wpg:grpSpPr>
                          <wps:wsp>
                            <wps:cNvPr id="384" name="文本框 384"/>
                            <wps:cNvSpPr txBox="1"/>
                            <wps:spPr>
                              <a:xfrm>
                                <a:off x="4350" y="0"/>
                                <a:ext cx="1350" cy="9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现场应急措施</w:t>
                                  </w:r>
                                </w:p>
                              </w:txbxContent>
                            </wps:txbx>
                            <wps:bodyPr upright="1"/>
                          </wps:wsp>
                          <wps:wsp>
                            <wps:cNvPr id="385" name="文本框 385"/>
                            <wps:cNvSpPr txBox="1"/>
                            <wps:spPr>
                              <a:xfrm>
                                <a:off x="4485" y="1110"/>
                                <a:ext cx="1350" cy="9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较大环境事件预案</w:t>
                                  </w:r>
                                </w:p>
                              </w:txbxContent>
                            </wps:txbx>
                            <wps:bodyPr upright="1"/>
                          </wps:wsp>
                          <wps:wsp>
                            <wps:cNvPr id="386" name="文本框 386"/>
                            <wps:cNvSpPr txBox="1"/>
                            <wps:spPr>
                              <a:xfrm>
                                <a:off x="4485" y="2190"/>
                                <a:ext cx="1350" cy="9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重大环境事件预案</w:t>
                                  </w:r>
                                </w:p>
                              </w:txbxContent>
                            </wps:txbx>
                            <wps:bodyPr upright="1"/>
                          </wps:wsp>
                          <wpg:grpSp>
                            <wpg:cNvPr id="415" name="组合 415"/>
                            <wpg:cNvGrpSpPr/>
                            <wpg:grpSpPr>
                              <a:xfrm>
                                <a:off x="0" y="0"/>
                                <a:ext cx="5159" cy="3960"/>
                                <a:chOff x="0" y="0"/>
                                <a:chExt cx="5159" cy="3960"/>
                              </a:xfrm>
                            </wpg:grpSpPr>
                            <wpg:grpSp>
                              <wpg:cNvPr id="413" name="组合 413"/>
                              <wpg:cNvGrpSpPr/>
                              <wpg:grpSpPr>
                                <a:xfrm>
                                  <a:off x="0" y="0"/>
                                  <a:ext cx="5159" cy="3660"/>
                                  <a:chOff x="0" y="0"/>
                                  <a:chExt cx="5159" cy="3660"/>
                                </a:xfrm>
                              </wpg:grpSpPr>
                              <wpg:grpSp>
                                <wpg:cNvPr id="411" name="组合 411"/>
                                <wpg:cNvGrpSpPr/>
                                <wpg:grpSpPr>
                                  <a:xfrm>
                                    <a:off x="0" y="0"/>
                                    <a:ext cx="4605" cy="3660"/>
                                    <a:chOff x="0" y="0"/>
                                    <a:chExt cx="4605" cy="3660"/>
                                  </a:xfrm>
                                </wpg:grpSpPr>
                                <wps:wsp>
                                  <wps:cNvPr id="387" name="文本框 387"/>
                                  <wps:cNvSpPr txBox="1"/>
                                  <wps:spPr>
                                    <a:xfrm>
                                      <a:off x="2955" y="2400"/>
                                      <a:ext cx="1530" cy="510"/>
                                    </a:xfrm>
                                    <a:prstGeom prst="rect">
                                      <a:avLst/>
                                    </a:prstGeom>
                                    <a:noFill/>
                                    <a:ln>
                                      <a:noFill/>
                                    </a:ln>
                                  </wps:spPr>
                                  <wps:txbx>
                                    <w:txbxContent>
                                      <w:p>
                                        <w:r>
                                          <w:rPr>
                                            <w:rFonts w:hint="eastAsia"/>
                                          </w:rPr>
                                          <w:t>指挥长指挥</w:t>
                                        </w:r>
                                      </w:p>
                                    </w:txbxContent>
                                  </wps:txbx>
                                  <wps:bodyPr upright="1"/>
                                </wps:wsp>
                                <wpg:grpSp>
                                  <wpg:cNvPr id="410" name="组合 410"/>
                                  <wpg:cNvGrpSpPr/>
                                  <wpg:grpSpPr>
                                    <a:xfrm>
                                      <a:off x="0" y="0"/>
                                      <a:ext cx="4605" cy="3660"/>
                                      <a:chOff x="0" y="0"/>
                                      <a:chExt cx="4605" cy="3660"/>
                                    </a:xfrm>
                                  </wpg:grpSpPr>
                                  <wps:wsp>
                                    <wps:cNvPr id="388" name="文本框 388"/>
                                    <wps:cNvSpPr txBox="1"/>
                                    <wps:spPr>
                                      <a:xfrm>
                                        <a:off x="2955" y="2025"/>
                                        <a:ext cx="1530" cy="510"/>
                                      </a:xfrm>
                                      <a:prstGeom prst="rect">
                                        <a:avLst/>
                                      </a:prstGeom>
                                      <a:noFill/>
                                      <a:ln>
                                        <a:noFill/>
                                      </a:ln>
                                    </wps:spPr>
                                    <wps:txbx>
                                      <w:txbxContent>
                                        <w:p>
                                          <w:r>
                                            <w:rPr>
                                              <w:rFonts w:hint="eastAsia"/>
                                            </w:rPr>
                                            <w:t>沙坪坝区指挥部指挥</w:t>
                                          </w:r>
                                        </w:p>
                                      </w:txbxContent>
                                    </wps:txbx>
                                    <wps:bodyPr upright="1"/>
                                  </wps:wsp>
                                  <wpg:grpSp>
                                    <wpg:cNvPr id="409" name="组合 409"/>
                                    <wpg:cNvGrpSpPr/>
                                    <wpg:grpSpPr>
                                      <a:xfrm>
                                        <a:off x="0" y="0"/>
                                        <a:ext cx="4605" cy="3660"/>
                                        <a:chOff x="0" y="0"/>
                                        <a:chExt cx="4605" cy="3660"/>
                                      </a:xfrm>
                                    </wpg:grpSpPr>
                                    <wps:wsp>
                                      <wps:cNvPr id="389" name="文本框 389"/>
                                      <wps:cNvSpPr txBox="1"/>
                                      <wps:spPr>
                                        <a:xfrm>
                                          <a:off x="2955" y="1485"/>
                                          <a:ext cx="1650" cy="510"/>
                                        </a:xfrm>
                                        <a:prstGeom prst="rect">
                                          <a:avLst/>
                                        </a:prstGeom>
                                        <a:noFill/>
                                        <a:ln>
                                          <a:noFill/>
                                        </a:ln>
                                      </wps:spPr>
                                      <wps:txbx>
                                        <w:txbxContent>
                                          <w:p>
                                            <w:r>
                                              <w:rPr>
                                                <w:rFonts w:hint="eastAsia"/>
                                              </w:rPr>
                                              <w:t>总指挥</w:t>
                                            </w:r>
                                          </w:p>
                                        </w:txbxContent>
                                      </wps:txbx>
                                      <wps:bodyPr upright="1"/>
                                    </wps:wsp>
                                    <wpg:grpSp>
                                      <wpg:cNvPr id="408" name="组合 408"/>
                                      <wpg:cNvGrpSpPr/>
                                      <wpg:grpSpPr>
                                        <a:xfrm>
                                          <a:off x="0" y="0"/>
                                          <a:ext cx="4485" cy="3660"/>
                                          <a:chOff x="0" y="0"/>
                                          <a:chExt cx="4485" cy="3660"/>
                                        </a:xfrm>
                                      </wpg:grpSpPr>
                                      <wps:wsp>
                                        <wps:cNvPr id="390" name="文本框 390"/>
                                        <wps:cNvSpPr txBox="1"/>
                                        <wps:spPr>
                                          <a:xfrm>
                                            <a:off x="2955" y="1110"/>
                                            <a:ext cx="1530" cy="510"/>
                                          </a:xfrm>
                                          <a:prstGeom prst="rect">
                                            <a:avLst/>
                                          </a:prstGeom>
                                          <a:noFill/>
                                          <a:ln>
                                            <a:noFill/>
                                          </a:ln>
                                        </wps:spPr>
                                        <wps:txbx>
                                          <w:txbxContent>
                                            <w:p>
                                              <w:r>
                                                <w:rPr>
                                                  <w:rFonts w:hint="eastAsia"/>
                                                </w:rPr>
                                                <w:t>企业指挥部</w:t>
                                              </w:r>
                                            </w:p>
                                          </w:txbxContent>
                                        </wps:txbx>
                                        <wps:bodyPr upright="1"/>
                                      </wps:wsp>
                                      <wpg:grpSp>
                                        <wpg:cNvPr id="407" name="组合 407"/>
                                        <wpg:cNvGrpSpPr/>
                                        <wpg:grpSpPr>
                                          <a:xfrm>
                                            <a:off x="0" y="0"/>
                                            <a:ext cx="4485" cy="3660"/>
                                            <a:chOff x="0" y="0"/>
                                            <a:chExt cx="4485" cy="3660"/>
                                          </a:xfrm>
                                        </wpg:grpSpPr>
                                        <wps:wsp>
                                          <wps:cNvPr id="391" name="直接箭头连接符 391"/>
                                          <wps:cNvCnPr/>
                                          <wps:spPr>
                                            <a:xfrm>
                                              <a:off x="3090" y="510"/>
                                              <a:ext cx="1035" cy="0"/>
                                            </a:xfrm>
                                            <a:prstGeom prst="straightConnector1">
                                              <a:avLst/>
                                            </a:prstGeom>
                                            <a:ln w="9525" cap="flat" cmpd="sng">
                                              <a:solidFill>
                                                <a:srgbClr val="000000"/>
                                              </a:solidFill>
                                              <a:prstDash val="solid"/>
                                              <a:headEnd type="none" w="med" len="med"/>
                                              <a:tailEnd type="triangle" w="med" len="med"/>
                                            </a:ln>
                                          </wps:spPr>
                                          <wps:bodyPr/>
                                        </wps:wsp>
                                        <wpg:grpSp>
                                          <wpg:cNvPr id="406" name="组合 406"/>
                                          <wpg:cNvGrpSpPr/>
                                          <wpg:grpSpPr>
                                            <a:xfrm>
                                              <a:off x="0" y="0"/>
                                              <a:ext cx="4485" cy="3660"/>
                                              <a:chOff x="0" y="0"/>
                                              <a:chExt cx="4485" cy="3660"/>
                                            </a:xfrm>
                                          </wpg:grpSpPr>
                                          <wps:wsp>
                                            <wps:cNvPr id="392" name="文本框 392"/>
                                            <wps:cNvSpPr txBox="1"/>
                                            <wps:spPr>
                                              <a:xfrm>
                                                <a:off x="2955" y="600"/>
                                                <a:ext cx="1395" cy="510"/>
                                              </a:xfrm>
                                              <a:prstGeom prst="rect">
                                                <a:avLst/>
                                              </a:prstGeom>
                                              <a:noFill/>
                                              <a:ln>
                                                <a:noFill/>
                                              </a:ln>
                                            </wps:spPr>
                                            <wps:txbx>
                                              <w:txbxContent>
                                                <w:p>
                                                  <w:r>
                                                    <w:rPr>
                                                      <w:rFonts w:hint="eastAsia"/>
                                                    </w:rPr>
                                                    <w:t>任指挥</w:t>
                                                  </w:r>
                                                </w:p>
                                              </w:txbxContent>
                                            </wps:txbx>
                                            <wps:bodyPr upright="1"/>
                                          </wps:wsp>
                                          <wpg:grpSp>
                                            <wpg:cNvPr id="405" name="组合 405"/>
                                            <wpg:cNvGrpSpPr/>
                                            <wpg:grpSpPr>
                                              <a:xfrm>
                                                <a:off x="0" y="0"/>
                                                <a:ext cx="4485" cy="3660"/>
                                                <a:chOff x="0" y="0"/>
                                                <a:chExt cx="4485" cy="3660"/>
                                              </a:xfrm>
                                            </wpg:grpSpPr>
                                            <wps:wsp>
                                              <wps:cNvPr id="393" name="文本框 393"/>
                                              <wps:cNvSpPr txBox="1"/>
                                              <wps:spPr>
                                                <a:xfrm>
                                                  <a:off x="2955" y="0"/>
                                                  <a:ext cx="1530" cy="510"/>
                                                </a:xfrm>
                                                <a:prstGeom prst="rect">
                                                  <a:avLst/>
                                                </a:prstGeom>
                                                <a:noFill/>
                                                <a:ln>
                                                  <a:noFill/>
                                                </a:ln>
                                              </wps:spPr>
                                              <wps:txbx>
                                                <w:txbxContent>
                                                  <w:p>
                                                    <w:r>
                                                      <w:rPr>
                                                        <w:rFonts w:hint="eastAsia"/>
                                                      </w:rPr>
                                                      <w:t>现场负责人</w:t>
                                                    </w:r>
                                                  </w:p>
                                                </w:txbxContent>
                                              </wps:txbx>
                                              <wps:bodyPr upright="1"/>
                                            </wps:wsp>
                                            <wpg:grpSp>
                                              <wpg:cNvPr id="404" name="组合 404"/>
                                              <wpg:cNvGrpSpPr/>
                                              <wpg:grpSpPr>
                                                <a:xfrm>
                                                  <a:off x="0" y="165"/>
                                                  <a:ext cx="3090" cy="3495"/>
                                                  <a:chOff x="0" y="0"/>
                                                  <a:chExt cx="3090" cy="3495"/>
                                                </a:xfrm>
                                              </wpg:grpSpPr>
                                              <wps:wsp>
                                                <wps:cNvPr id="394" name="文本框 394"/>
                                                <wps:cNvSpPr txBox="1"/>
                                                <wps:spPr>
                                                  <a:xfrm>
                                                    <a:off x="1410" y="0"/>
                                                    <a:ext cx="1680" cy="55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一般环境事件</w:t>
                                                      </w:r>
                                                    </w:p>
                                                  </w:txbxContent>
                                                </wps:txbx>
                                                <wps:bodyPr upright="1"/>
                                              </wps:wsp>
                                              <wps:wsp>
                                                <wps:cNvPr id="395" name="文本框 395"/>
                                                <wps:cNvSpPr txBox="1"/>
                                                <wps:spPr>
                                                  <a:xfrm>
                                                    <a:off x="1395" y="1080"/>
                                                    <a:ext cx="1680" cy="55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较大环境事件</w:t>
                                                      </w:r>
                                                    </w:p>
                                                  </w:txbxContent>
                                                </wps:txbx>
                                                <wps:bodyPr upright="1"/>
                                              </wps:wsp>
                                              <wps:wsp>
                                                <wps:cNvPr id="396" name="文本框 396"/>
                                                <wps:cNvSpPr txBox="1"/>
                                                <wps:spPr>
                                                  <a:xfrm>
                                                    <a:off x="1410" y="2010"/>
                                                    <a:ext cx="1680" cy="55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重大环境事件</w:t>
                                                      </w:r>
                                                    </w:p>
                                                  </w:txbxContent>
                                                </wps:txbx>
                                                <wps:bodyPr upright="1"/>
                                              </wps:wsp>
                                              <wpg:grpSp>
                                                <wpg:cNvPr id="402" name="组合 402"/>
                                                <wpg:cNvGrpSpPr/>
                                                <wpg:grpSpPr>
                                                  <a:xfrm>
                                                    <a:off x="0" y="150"/>
                                                    <a:ext cx="1410" cy="3030"/>
                                                    <a:chOff x="0" y="0"/>
                                                    <a:chExt cx="1410" cy="3030"/>
                                                  </a:xfrm>
                                                </wpg:grpSpPr>
                                                <wps:wsp>
                                                  <wps:cNvPr id="397" name="文本框 397"/>
                                                  <wps:cNvSpPr txBox="1"/>
                                                  <wps:spPr>
                                                    <a:xfrm>
                                                      <a:off x="0" y="195"/>
                                                      <a:ext cx="555" cy="229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事件影响判断</w:t>
                                                        </w:r>
                                                      </w:p>
                                                    </w:txbxContent>
                                                  </wps:txbx>
                                                  <wps:bodyPr upright="1"/>
                                                </wps:wsp>
                                                <wps:wsp>
                                                  <wps:cNvPr id="398" name="直接箭头连接符 398"/>
                                                  <wps:cNvCnPr/>
                                                  <wps:spPr>
                                                    <a:xfrm flipV="1">
                                                      <a:off x="555" y="0"/>
                                                      <a:ext cx="855" cy="405"/>
                                                    </a:xfrm>
                                                    <a:prstGeom prst="straightConnector1">
                                                      <a:avLst/>
                                                    </a:prstGeom>
                                                    <a:ln w="9525" cap="flat" cmpd="sng">
                                                      <a:solidFill>
                                                        <a:srgbClr val="000000"/>
                                                      </a:solidFill>
                                                      <a:prstDash val="solid"/>
                                                      <a:headEnd type="none" w="med" len="med"/>
                                                      <a:tailEnd type="triangle" w="med" len="med"/>
                                                    </a:ln>
                                                  </wps:spPr>
                                                  <wps:bodyPr/>
                                                </wps:wsp>
                                                <wps:wsp>
                                                  <wps:cNvPr id="399" name="直接箭头连接符 399"/>
                                                  <wps:cNvCnPr/>
                                                  <wps:spPr>
                                                    <a:xfrm>
                                                      <a:off x="540" y="1170"/>
                                                      <a:ext cx="855" cy="0"/>
                                                    </a:xfrm>
                                                    <a:prstGeom prst="straightConnector1">
                                                      <a:avLst/>
                                                    </a:prstGeom>
                                                    <a:ln w="9525" cap="flat" cmpd="sng">
                                                      <a:solidFill>
                                                        <a:srgbClr val="000000"/>
                                                      </a:solidFill>
                                                      <a:prstDash val="solid"/>
                                                      <a:headEnd type="none" w="med" len="med"/>
                                                      <a:tailEnd type="triangle" w="med" len="med"/>
                                                    </a:ln>
                                                  </wps:spPr>
                                                  <wps:bodyPr/>
                                                </wps:wsp>
                                                <wps:wsp>
                                                  <wps:cNvPr id="400" name="直接箭头连接符 400"/>
                                                  <wps:cNvCnPr/>
                                                  <wps:spPr>
                                                    <a:xfrm>
                                                      <a:off x="555" y="1680"/>
                                                      <a:ext cx="855" cy="405"/>
                                                    </a:xfrm>
                                                    <a:prstGeom prst="straightConnector1">
                                                      <a:avLst/>
                                                    </a:prstGeom>
                                                    <a:ln w="9525" cap="flat" cmpd="sng">
                                                      <a:solidFill>
                                                        <a:srgbClr val="000000"/>
                                                      </a:solidFill>
                                                      <a:prstDash val="solid"/>
                                                      <a:headEnd type="none" w="med" len="med"/>
                                                      <a:tailEnd type="triangle" w="med" len="med"/>
                                                    </a:ln>
                                                  </wps:spPr>
                                                  <wps:bodyPr/>
                                                </wps:wsp>
                                                <wps:wsp>
                                                  <wps:cNvPr id="401" name="直接箭头连接符 401"/>
                                                  <wps:cNvCnPr/>
                                                  <wps:spPr>
                                                    <a:xfrm>
                                                      <a:off x="555" y="2220"/>
                                                      <a:ext cx="840" cy="810"/>
                                                    </a:xfrm>
                                                    <a:prstGeom prst="straightConnector1">
                                                      <a:avLst/>
                                                    </a:prstGeom>
                                                    <a:ln w="9525" cap="flat" cmpd="sng">
                                                      <a:solidFill>
                                                        <a:srgbClr val="000000"/>
                                                      </a:solidFill>
                                                      <a:prstDash val="solid"/>
                                                      <a:headEnd type="none" w="med" len="med"/>
                                                      <a:tailEnd type="triangle" w="med" len="med"/>
                                                    </a:ln>
                                                  </wps:spPr>
                                                  <wps:bodyPr/>
                                                </wps:wsp>
                                              </wpg:grpSp>
                                              <wps:wsp>
                                                <wps:cNvPr id="403" name="文本框 403"/>
                                                <wps:cNvSpPr txBox="1"/>
                                                <wps:spPr>
                                                  <a:xfrm>
                                                    <a:off x="1395" y="2940"/>
                                                    <a:ext cx="1680" cy="55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特大环境事件</w:t>
                                                      </w:r>
                                                    </w:p>
                                                  </w:txbxContent>
                                                </wps:txbx>
                                                <wps:bodyPr upright="1"/>
                                              </wps:wsp>
                                            </wpg:grpSp>
                                          </wpg:grpSp>
                                        </wpg:grpSp>
                                      </wpg:grpSp>
                                    </wpg:grpSp>
                                  </wpg:grpSp>
                                </wpg:grpSp>
                              </wpg:grpSp>
                              <wps:wsp>
                                <wps:cNvPr id="412" name="文本框 412"/>
                                <wps:cNvSpPr txBox="1"/>
                                <wps:spPr>
                                  <a:xfrm>
                                    <a:off x="3075" y="3105"/>
                                    <a:ext cx="2084" cy="510"/>
                                  </a:xfrm>
                                  <a:prstGeom prst="rect">
                                    <a:avLst/>
                                  </a:prstGeom>
                                  <a:noFill/>
                                  <a:ln>
                                    <a:noFill/>
                                  </a:ln>
                                </wps:spPr>
                                <wps:txbx>
                                  <w:txbxContent>
                                    <w:p>
                                      <w:r>
                                        <w:rPr>
                                          <w:rFonts w:hint="eastAsia"/>
                                        </w:rPr>
                                        <w:t>沙坪坝区指挥部</w:t>
                                      </w:r>
                                    </w:p>
                                  </w:txbxContent>
                                </wps:txbx>
                                <wps:bodyPr upright="1"/>
                              </wps:wsp>
                            </wpg:grpSp>
                            <wps:wsp>
                              <wps:cNvPr id="414" name="文本框 414"/>
                              <wps:cNvSpPr txBox="1"/>
                              <wps:spPr>
                                <a:xfrm>
                                  <a:off x="3075" y="3450"/>
                                  <a:ext cx="1530" cy="510"/>
                                </a:xfrm>
                                <a:prstGeom prst="rect">
                                  <a:avLst/>
                                </a:prstGeom>
                                <a:noFill/>
                                <a:ln>
                                  <a:noFill/>
                                </a:ln>
                              </wps:spPr>
                              <wps:txbx>
                                <w:txbxContent>
                                  <w:p>
                                    <w:r>
                                      <w:rPr>
                                        <w:rFonts w:hint="eastAsia"/>
                                      </w:rPr>
                                      <w:t>指挥长指挥</w:t>
                                    </w:r>
                                  </w:p>
                                </w:txbxContent>
                              </wps:txbx>
                              <wps:bodyPr upright="1"/>
                            </wps:wsp>
                          </wpg:grpSp>
                          <wps:wsp>
                            <wps:cNvPr id="416" name="文本框 416"/>
                            <wps:cNvSpPr txBox="1"/>
                            <wps:spPr>
                              <a:xfrm>
                                <a:off x="4485" y="3345"/>
                                <a:ext cx="1350" cy="9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特大环境事件预案</w:t>
                                  </w:r>
                                </w:p>
                              </w:txbxContent>
                            </wps:txbx>
                            <wps:bodyPr upright="1"/>
                          </wps:wsp>
                        </wpg:grpSp>
                      </wpg:grpSp>
                    </wpg:wgp>
                  </a:graphicData>
                </a:graphic>
              </wp:anchor>
            </w:drawing>
          </mc:Choice>
          <mc:Fallback>
            <w:pict>
              <v:group id="_x0000_s1026" o:spid="_x0000_s1026" o:spt="203" style="position:absolute;left:0pt;margin-left:10.5pt;margin-top:7.4pt;height:213pt;width:383.25pt;z-index:251922432;mso-width-relative:page;mso-height-relative:page;" coordsize="7230,4260" o:gfxdata="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">
                <o:lock v:ext="edit" aspectratio="f"/>
                <v:shape id="_x0000_s1026" o:spid="_x0000_s1026" o:spt="202" type="#_x0000_t202" style="position:absolute;left:5700;top:1245;height:510;width:1530;" filled="f" stroked="f" coordsize="21600,21600" o:gfxdata="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dOO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无法控制</w:t>
                        </w:r>
                      </w:p>
                    </w:txbxContent>
                  </v:textbox>
                </v:shape>
                <v:group id="_x0000_s1026" o:spid="_x0000_s1026" o:spt="203" style="position:absolute;left:0;top:0;height:4260;width:7230;" coordsize="7230,4260" o:gfxdata="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bW6SO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5700;top:0;height:510;width:1530;" filled="f" stroked="f" coordsize="21600,21600" o:gfxdata="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vro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无法控制</w:t>
                          </w:r>
                        </w:p>
                      </w:txbxContent>
                    </v:textbox>
                  </v:shape>
                  <v:group id="_x0000_s1026" o:spid="_x0000_s1026" o:spt="203" style="position:absolute;left:0;top:0;height:4260;width:5835;" coordsize="5835,4260" o:gfxdata="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xDD8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4350;top:0;height:915;width:1350;" fillcolor="#FFFFFF" filled="t" stroked="t" coordsize="21600,21600" o:gfxdata="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iUB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现场应急措施</w:t>
                            </w:r>
                          </w:p>
                        </w:txbxContent>
                      </v:textbox>
                    </v:shape>
                    <v:shape id="_x0000_s1026" o:spid="_x0000_s1026" o:spt="202" type="#_x0000_t202" style="position:absolute;left:4485;top:1110;height:915;width:1350;" fillcolor="#FFFFFF" filled="t" stroked="t" coordsize="21600,21600" o:gfxdata="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1i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较大环境事件预案</w:t>
                            </w:r>
                          </w:p>
                        </w:txbxContent>
                      </v:textbox>
                    </v:shape>
                    <v:shape id="_x0000_s1026" o:spid="_x0000_s1026" o:spt="202" type="#_x0000_t202" style="position:absolute;left:4485;top:2190;height:915;width:1350;" fillcolor="#FFFFFF" filled="t" stroked="t" coordsize="21600,21600" o:gfxdata="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8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重大环境事件预案</w:t>
                            </w:r>
                          </w:p>
                        </w:txbxContent>
                      </v:textbox>
                    </v:shape>
                    <v:group id="_x0000_s1026" o:spid="_x0000_s1026" o:spt="203" style="position:absolute;left:0;top:0;height:3960;width:5159;" coordsize="5159,3960" o:gfxdata="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WgsQ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3660;width:5159;" coordsize="5159,3660" o:gfxdata="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b/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3660;width:4605;" coordsize="4605,3660" o:gfxdata="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hDRO+AAAA3A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2955;top:2400;height:510;width:1530;" filled="f" stroked="f" coordsize="21600,21600" o:gfxdata="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8O2i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指挥长指挥</w:t>
                                  </w:r>
                                </w:p>
                              </w:txbxContent>
                            </v:textbox>
                          </v:shape>
                          <v:group id="_x0000_s1026" o:spid="_x0000_s1026" o:spt="203" style="position:absolute;left:0;top:0;height:3660;width:4605;" coordsize="4605,3660" o:gfxdata="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LaiI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2955;top:2025;height:510;width:1530;" filled="f" stroked="f" coordsize="21600,21600" o:gfxdata="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b3nQ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r>
                                      <w:rPr>
                                        <w:rFonts w:hint="eastAsia"/>
                                      </w:rPr>
                                      <w:t>沙坪坝区指挥部指挥</w:t>
                                    </w:r>
                                  </w:p>
                                </w:txbxContent>
                              </v:textbox>
                            </v:shape>
                            <v:group id="_x0000_s1026" o:spid="_x0000_s1026" o:spt="203" style="position:absolute;left:0;top:0;height:3660;width:4605;" coordsize="4605,3660" o:gfxdata="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zpfI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2955;top:1485;height:510;width:1650;" filled="f" stroked="f" coordsize="21600,21600" o:gfxdata="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PcS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总指挥</w:t>
                                      </w:r>
                                    </w:p>
                                  </w:txbxContent>
                                </v:textbox>
                              </v:shape>
                              <v:group id="_x0000_s1026" o:spid="_x0000_s1026" o:spt="203" style="position:absolute;left:0;top:0;height:3660;width:4485;" coordsize="4485,3660" o:gfxdata="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6CMlO7AAAA3A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2955;top:1110;height:510;width:1530;" filled="f" stroked="f" coordsize="21600,21600" o:gfxdata="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wOML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r>
                                          <w:rPr>
                                            <w:rFonts w:hint="eastAsia"/>
                                          </w:rPr>
                                          <w:t>企业指挥部</w:t>
                                        </w:r>
                                      </w:p>
                                    </w:txbxContent>
                                  </v:textbox>
                                </v:shape>
                                <v:group id="_x0000_s1026" o:spid="_x0000_s1026" o:spt="203" style="position:absolute;left:0;top:0;height:3660;width:4485;" coordsize="4485,3660" o:gfxdata="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HaYh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3090;top:510;height:0;width:1035;" filled="f" stroked="t" coordsize="21600,21600" o:gfxdata="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l/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id="_x0000_s1026" o:spid="_x0000_s1026" o:spt="203" style="position:absolute;left:0;top:0;height:3660;width:4485;" coordsize="4485,3660" o:gfxdata="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UQO6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2955;top:600;height:510;width:1395;" filled="f" stroked="f" coordsize="21600,21600" o:gfxdata="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F7Y5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任指挥</w:t>
                                            </w:r>
                                          </w:p>
                                        </w:txbxContent>
                                      </v:textbox>
                                    </v:shape>
                                    <v:group id="_x0000_s1026" o:spid="_x0000_s1026" o:spt="203" style="position:absolute;left:0;top:0;height:3660;width:4485;" coordsize="4485,3660" o:gfxdata="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g53N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2955;top:0;height:510;width:1530;" filled="f" stroked="f" coordsize="21600,21600" o:gfxdata="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J9f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现场负责人</w:t>
                                              </w:r>
                                            </w:p>
                                          </w:txbxContent>
                                        </v:textbox>
                                      </v:shape>
                                      <v:group id="_x0000_s1026" o:spid="_x0000_s1026" o:spt="203" style="position:absolute;left:0;top:165;height:3495;width:3090;" coordsize="3090,3495" o:gfxdata="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zzhW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1410;top:0;height:555;width:1680;" fillcolor="#FFFFFF" filled="t" stroked="t" coordsize="21600,21600" o:gfxdata="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7xs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一般环境事件</w:t>
                                                </w:r>
                                              </w:p>
                                            </w:txbxContent>
                                          </v:textbox>
                                        </v:shape>
                                        <v:shape id="_x0000_s1026" o:spid="_x0000_s1026" o:spt="202" type="#_x0000_t202" style="position:absolute;left:1395;top:1080;height:555;width:1680;" fillcolor="#FFFFFF" filled="t" stroked="t" coordsize="21600,21600" o:gfxdata="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3Y1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较大环境事件</w:t>
                                                </w:r>
                                              </w:p>
                                            </w:txbxContent>
                                          </v:textbox>
                                        </v:shape>
                                        <v:shape id="_x0000_s1026" o:spid="_x0000_s1026" o:spt="202" type="#_x0000_t202" style="position:absolute;left:1410;top:2010;height:555;width:1680;" fillcolor="#FFFFFF" filled="t" stroked="t" coordsize="21600,21600" o:gfxdata="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l/S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重大环境事件</w:t>
                                                </w:r>
                                              </w:p>
                                            </w:txbxContent>
                                          </v:textbox>
                                        </v:shape>
                                        <v:group id="_x0000_s1026" o:spid="_x0000_s1026" o:spt="203" style="position:absolute;left:0;top:150;height:3030;width:1410;" coordsize="1410,3030" o:gfxdata="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gW5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0;top:195;height:2295;width:555;" fillcolor="#FFFFFF" filled="t" stroked="t" coordsize="21600,21600" o:gfxdata="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lYu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事件影响判断</w:t>
                                                  </w:r>
                                                </w:p>
                                              </w:txbxContent>
                                            </v:textbox>
                                          </v:shape>
                                          <v:shape id="_x0000_s1026" o:spid="_x0000_s1026" o:spt="32" type="#_x0000_t32" style="position:absolute;left:555;top:0;flip:y;height:405;width:855;" filled="f" stroked="t" coordsize="21600,21600" o:gfxdata="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G8p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540;top:1170;height:0;width:855;" filled="f" stroked="t" coordsize="21600,21600" o:gfxdata="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Im/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555;top:1680;height:405;width:855;" filled="f" stroked="t" coordsize="21600,21600" o:gfxdata="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Sao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555;top:2220;height:810;width:840;" filled="f" stroked="t" coordsize="21600,21600" o:gfxdata="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ezx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shape id="_x0000_s1026" o:spid="_x0000_s1026" o:spt="202" type="#_x0000_t202" style="position:absolute;left:1395;top:2940;height:555;width:1680;" fillcolor="#FFFFFF" filled="t" stroked="t" coordsize="21600,21600" o:gfxdata="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IG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特大环境事件</w:t>
                                                </w:r>
                                              </w:p>
                                            </w:txbxContent>
                                          </v:textbox>
                                        </v:shape>
                                      </v:group>
                                    </v:group>
                                  </v:group>
                                </v:group>
                              </v:group>
                            </v:group>
                          </v:group>
                        </v:group>
                        <v:shape id="_x0000_s1026" o:spid="_x0000_s1026" o:spt="202" type="#_x0000_t202" style="position:absolute;left:3075;top:3105;height:510;width:2084;" filled="f" stroked="f" coordsize="21600,21600" o:gfxdata="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JxbY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沙坪坝区指挥部</w:t>
                                </w:r>
                              </w:p>
                            </w:txbxContent>
                          </v:textbox>
                        </v:shape>
                      </v:group>
                      <v:shape id="_x0000_s1026" o:spid="_x0000_s1026" o:spt="202" type="#_x0000_t202" style="position:absolute;left:3075;top:3450;height:510;width:1530;" filled="f" stroked="f" coordsize="21600,21600" o:gfxdata="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gis3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指挥长指挥</w:t>
                              </w:r>
                            </w:p>
                          </w:txbxContent>
                        </v:textbox>
                      </v:shape>
                    </v:group>
                    <v:shape id="_x0000_s1026" o:spid="_x0000_s1026" o:spt="202" type="#_x0000_t202" style="position:absolute;left:4485;top:3345;height:915;width:1350;" fillcolor="#FFFFFF" filled="t" stroked="t" coordsize="21600,21600" o:gfxdata="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cMx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特大环境事件预案</w:t>
                            </w:r>
                          </w:p>
                        </w:txbxContent>
                      </v:textbox>
                    </v:shape>
                  </v:group>
                </v:group>
              </v:group>
            </w:pict>
          </mc:Fallback>
        </mc:AlternateContent>
      </w:r>
    </w:p>
    <w:p>
      <w:pPr>
        <w:spacing w:line="360" w:lineRule="auto"/>
        <w:ind w:firstLine="480" w:firstLineChars="200"/>
        <w:rPr>
          <w:rFonts w:hint="eastAsia" w:ascii="Times New Roman" w:hAnsi="Times New Roman"/>
          <w:sz w:val="24"/>
          <w:szCs w:val="24"/>
        </w:rPr>
      </w:pPr>
      <w:r>
        <w:rPr>
          <w:rFonts w:hint="eastAsia" w:ascii="Times New Roman" w:hAnsi="Times New Roman"/>
          <w:sz w:val="24"/>
          <w:szCs w:val="24"/>
        </w:rPr>
        <mc:AlternateContent>
          <mc:Choice Requires="wps">
            <w:drawing>
              <wp:anchor distT="0" distB="0" distL="114300" distR="114300" simplePos="0" relativeHeight="251918336" behindDoc="0" locked="0" layoutInCell="1" allowOverlap="1">
                <wp:simplePos x="0" y="0"/>
                <wp:positionH relativeFrom="column">
                  <wp:posOffset>3752850</wp:posOffset>
                </wp:positionH>
                <wp:positionV relativeFrom="paragraph">
                  <wp:posOffset>120650</wp:posOffset>
                </wp:positionV>
                <wp:extent cx="657225" cy="0"/>
                <wp:effectExtent l="0" t="38100" r="9525" b="38100"/>
                <wp:wrapNone/>
                <wp:docPr id="598" name="直接箭头连接符 598"/>
                <wp:cNvGraphicFramePr/>
                <a:graphic xmlns:a="http://schemas.openxmlformats.org/drawingml/2006/main">
                  <a:graphicData uri="http://schemas.microsoft.com/office/word/2010/wordprocessingShape">
                    <wps:wsp>
                      <wps:cNvCnPr/>
                      <wps:spPr>
                        <a:xfrm>
                          <a:off x="0" y="0"/>
                          <a:ext cx="6572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95.5pt;margin-top:9.5pt;height:0pt;width:51.75pt;z-index:251918336;mso-width-relative:page;mso-height-relative:page;" filled="f" stroked="t" coordsize="21600,21600" o:gfxdata="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frh&#10;htgAAAAJAQAADwAAAAAAAAABACAAAAAiAAAAZHJzL2Rvd25yZXYueG1sUEsBAhQAFAAAAAgAh07i&#10;QNIGltjpAQAApQMAAA4AAAAAAAAAAQAgAAAAJwEAAGRycy9lMm9Eb2MueG1sUEsFBgAAAAAGAAYA&#10;WQEAAIIFAAAAAA==&#10;">
                <v:fill on="f" focussize="0,0"/>
                <v:stroke color="#000000" joinstyle="round" endarrow="block"/>
                <v:imagedata o:title=""/>
                <o:lock v:ext="edit" aspectratio="f"/>
              </v:shape>
            </w:pict>
          </mc:Fallback>
        </mc:AlternateContent>
      </w:r>
    </w:p>
    <w:p>
      <w:pPr>
        <w:spacing w:line="360" w:lineRule="auto"/>
        <w:ind w:firstLine="480" w:firstLineChars="200"/>
        <w:rPr>
          <w:rFonts w:hint="eastAsia" w:ascii="Times New Roman" w:hAnsi="Times New Roman"/>
          <w:sz w:val="24"/>
          <w:szCs w:val="24"/>
        </w:rPr>
      </w:pPr>
    </w:p>
    <w:p>
      <w:pPr>
        <w:spacing w:line="360" w:lineRule="auto"/>
        <w:ind w:firstLine="480" w:firstLineChars="200"/>
        <w:rPr>
          <w:rFonts w:hint="eastAsia" w:ascii="Times New Roman" w:hAnsi="Times New Roman"/>
          <w:sz w:val="24"/>
          <w:szCs w:val="24"/>
        </w:rPr>
      </w:pPr>
      <w:r>
        <w:rPr>
          <w:rFonts w:hint="eastAsia"/>
          <w:b/>
          <w:sz w:val="24"/>
          <w:szCs w:val="24"/>
        </w:rPr>
        <mc:AlternateContent>
          <mc:Choice Requires="wps">
            <w:drawing>
              <wp:anchor distT="0" distB="0" distL="114300" distR="114300" simplePos="0" relativeHeight="251915264" behindDoc="0" locked="0" layoutInCell="1" allowOverlap="1">
                <wp:simplePos x="0" y="0"/>
                <wp:positionH relativeFrom="column">
                  <wp:posOffset>3838575</wp:posOffset>
                </wp:positionH>
                <wp:positionV relativeFrom="paragraph">
                  <wp:posOffset>231140</wp:posOffset>
                </wp:positionV>
                <wp:extent cx="704850" cy="0"/>
                <wp:effectExtent l="0" t="38100" r="0" b="38100"/>
                <wp:wrapNone/>
                <wp:docPr id="599" name="直接箭头连接符 599"/>
                <wp:cNvGraphicFramePr/>
                <a:graphic xmlns:a="http://schemas.openxmlformats.org/drawingml/2006/main">
                  <a:graphicData uri="http://schemas.microsoft.com/office/word/2010/wordprocessingShape">
                    <wps:wsp>
                      <wps:cNvCnPr/>
                      <wps:spPr>
                        <a:xfrm>
                          <a:off x="0" y="0"/>
                          <a:ext cx="7048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02.25pt;margin-top:18.2pt;height:0pt;width:55.5pt;z-index:251915264;mso-width-relative:page;mso-height-relative:page;" filled="f" stroked="t" coordsize="21600,21600" o:gfxdata="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gw&#10;RjrYAAAACQEAAA8AAAAAAAAAAQAgAAAAIgAAAGRycy9kb3ducmV2LnhtbFBLAQIUABQAAAAIAIdO&#10;4kACSSYV6gEAAKUDAAAOAAAAAAAAAAEAIAAAACcBAABkcnMvZTJvRG9jLnhtbFBLBQYAAAAABgAG&#10;AFkBAACDBQAAAAA=&#10;">
                <v:fill on="f" focussize="0,0"/>
                <v:stroke color="#000000" joinstyle="round" endarrow="block"/>
                <v:imagedata o:title=""/>
                <o:lock v:ext="edit" aspectratio="f"/>
              </v:shape>
            </w:pict>
          </mc:Fallback>
        </mc:AlternateContent>
      </w:r>
      <w:r>
        <w:rPr>
          <w:rFonts w:hint="eastAsia"/>
          <w:b/>
          <w:sz w:val="24"/>
          <w:szCs w:val="24"/>
        </w:rPr>
        <mc:AlternateContent>
          <mc:Choice Requires="wps">
            <w:drawing>
              <wp:anchor distT="0" distB="0" distL="114300" distR="114300" simplePos="0" relativeHeight="251914240" behindDoc="0" locked="0" layoutInCell="1" allowOverlap="1">
                <wp:simplePos x="0" y="0"/>
                <wp:positionH relativeFrom="column">
                  <wp:posOffset>2095500</wp:posOffset>
                </wp:positionH>
                <wp:positionV relativeFrom="paragraph">
                  <wp:posOffset>145415</wp:posOffset>
                </wp:positionV>
                <wp:extent cx="657225" cy="0"/>
                <wp:effectExtent l="0" t="38100" r="9525" b="38100"/>
                <wp:wrapNone/>
                <wp:docPr id="600" name="直接箭头连接符 600"/>
                <wp:cNvGraphicFramePr/>
                <a:graphic xmlns:a="http://schemas.openxmlformats.org/drawingml/2006/main">
                  <a:graphicData uri="http://schemas.microsoft.com/office/word/2010/wordprocessingShape">
                    <wps:wsp>
                      <wps:cNvCnPr/>
                      <wps:spPr>
                        <a:xfrm>
                          <a:off x="0" y="0"/>
                          <a:ext cx="6572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65pt;margin-top:11.45pt;height:0pt;width:51.75pt;z-index:251914240;mso-width-relative:page;mso-height-relative:page;" filled="f" stroked="t" coordsize="21600,21600" o:gfxdata="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znm&#10;k9kAAAAJAQAADwAAAAAAAAABACAAAAAiAAAAZHJzL2Rvd25yZXYueG1sUEsBAhQAFAAAAAgAh07i&#10;QNcbkCToAQAApQMAAA4AAAAAAAAAAQAgAAAAKAEAAGRycy9lMm9Eb2MueG1sUEsFBgAAAAAGAAYA&#10;WQEAAIIFAAAAAA==&#10;">
                <v:fill on="f" focussize="0,0"/>
                <v:stroke color="#000000" joinstyle="round" endarrow="block"/>
                <v:imagedata o:title=""/>
                <o:lock v:ext="edit" aspectratio="f"/>
              </v:shape>
            </w:pict>
          </mc:Fallback>
        </mc:AlternateContent>
      </w:r>
    </w:p>
    <w:p>
      <w:pPr>
        <w:spacing w:line="360" w:lineRule="auto"/>
        <w:ind w:firstLine="480" w:firstLineChars="200"/>
        <w:jc w:val="center"/>
        <w:rPr>
          <w:rFonts w:hint="eastAsia" w:ascii="Times New Roman" w:hAnsi="Times New Roman"/>
          <w:sz w:val="24"/>
          <w:szCs w:val="24"/>
        </w:rPr>
      </w:pPr>
    </w:p>
    <w:p>
      <w:pPr>
        <w:spacing w:line="360" w:lineRule="auto"/>
        <w:ind w:firstLine="480" w:firstLineChars="200"/>
        <w:rPr>
          <w:rFonts w:hint="eastAsia" w:ascii="Times New Roman" w:hAnsi="Times New Roman"/>
          <w:sz w:val="24"/>
          <w:szCs w:val="24"/>
        </w:rPr>
      </w:pPr>
      <w:r>
        <w:rPr>
          <w:rFonts w:hint="eastAsia" w:ascii="Times New Roman" w:hAnsi="Times New Roman"/>
          <w:sz w:val="24"/>
          <w:szCs w:val="24"/>
        </w:rPr>
        <mc:AlternateContent>
          <mc:Choice Requires="wps">
            <w:drawing>
              <wp:anchor distT="0" distB="0" distL="114300" distR="114300" simplePos="0" relativeHeight="251919360" behindDoc="0" locked="0" layoutInCell="1" allowOverlap="1">
                <wp:simplePos x="0" y="0"/>
                <wp:positionH relativeFrom="column">
                  <wp:posOffset>3752850</wp:posOffset>
                </wp:positionH>
                <wp:positionV relativeFrom="paragraph">
                  <wp:posOffset>217805</wp:posOffset>
                </wp:positionV>
                <wp:extent cx="704850" cy="0"/>
                <wp:effectExtent l="0" t="38100" r="0" b="38100"/>
                <wp:wrapNone/>
                <wp:docPr id="601" name="直接箭头连接符 601"/>
                <wp:cNvGraphicFramePr/>
                <a:graphic xmlns:a="http://schemas.openxmlformats.org/drawingml/2006/main">
                  <a:graphicData uri="http://schemas.microsoft.com/office/word/2010/wordprocessingShape">
                    <wps:wsp>
                      <wps:cNvCnPr/>
                      <wps:spPr>
                        <a:xfrm>
                          <a:off x="0" y="0"/>
                          <a:ext cx="7048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95.5pt;margin-top:17.15pt;height:0pt;width:55.5pt;z-index:251919360;mso-width-relative:page;mso-height-relative:page;" filled="f" stroked="t" coordsize="21600,21600" o:gfxdata="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Z&#10;kG0a2QAAAAkBAAAPAAAAAAAAAAEAIAAAACIAAABkcnMvZG93bnJldi54bWxQSwECFAAUAAAACACH&#10;TuJAB1Qg6eoBAAClAwAADgAAAAAAAAABACAAAAAoAQAAZHJzL2Uyb0RvYy54bWxQSwUGAAAAAAYA&#10;BgBZAQAAhAUAAAAA&#10;">
                <v:fill on="f" focussize="0,0"/>
                <v:stroke color="#000000" joinstyle="round" endarrow="block"/>
                <v:imagedata o:title=""/>
                <o:lock v:ext="edit" aspectratio="f"/>
              </v:shape>
            </w:pict>
          </mc:Fallback>
        </mc:AlternateContent>
      </w:r>
      <w:r>
        <w:rPr>
          <w:rFonts w:hint="eastAsia" w:ascii="Times New Roman" w:hAnsi="Times New Roman"/>
          <w:sz w:val="24"/>
          <w:szCs w:val="24"/>
        </w:rPr>
        <mc:AlternateContent>
          <mc:Choice Requires="wps">
            <w:drawing>
              <wp:anchor distT="0" distB="0" distL="114300" distR="114300" simplePos="0" relativeHeight="251917312" behindDoc="0" locked="0" layoutInCell="1" allowOverlap="1">
                <wp:simplePos x="0" y="0"/>
                <wp:positionH relativeFrom="column">
                  <wp:posOffset>2190750</wp:posOffset>
                </wp:positionH>
                <wp:positionV relativeFrom="paragraph">
                  <wp:posOffset>132080</wp:posOffset>
                </wp:positionV>
                <wp:extent cx="704850" cy="0"/>
                <wp:effectExtent l="0" t="38100" r="0" b="38100"/>
                <wp:wrapNone/>
                <wp:docPr id="603" name="直接箭头连接符 603"/>
                <wp:cNvGraphicFramePr/>
                <a:graphic xmlns:a="http://schemas.openxmlformats.org/drawingml/2006/main">
                  <a:graphicData uri="http://schemas.microsoft.com/office/word/2010/wordprocessingShape">
                    <wps:wsp>
                      <wps:cNvCnPr/>
                      <wps:spPr>
                        <a:xfrm>
                          <a:off x="0" y="0"/>
                          <a:ext cx="7048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72.5pt;margin-top:10.4pt;height:0pt;width:55.5pt;z-index:251917312;mso-width-relative:page;mso-height-relative:page;" filled="f" stroked="t" coordsize="21600,21600" o:gfxdata="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7d&#10;tbzYAAAACQEAAA8AAAAAAAAAAQAgAAAAIgAAAGRycy9kb3ducmV2LnhtbFBLAQIUABQAAAAIAIdO&#10;4kB/odW36gEAAKUDAAAOAAAAAAAAAAEAIAAAACcBAABkcnMvZTJvRG9jLnhtbFBLBQYAAAAABgAG&#10;AFkBAACDBQAAAAA=&#10;">
                <v:fill on="f" focussize="0,0"/>
                <v:stroke color="#000000" joinstyle="round" endarrow="block"/>
                <v:imagedata o:title=""/>
                <o:lock v:ext="edit" aspectratio="f"/>
              </v:shape>
            </w:pict>
          </mc:Fallback>
        </mc:AlternateContent>
      </w:r>
    </w:p>
    <w:p>
      <w:pPr>
        <w:spacing w:line="360" w:lineRule="auto"/>
        <w:ind w:firstLine="480" w:firstLineChars="200"/>
        <w:rPr>
          <w:rFonts w:hint="eastAsia" w:ascii="Times New Roman" w:hAnsi="Times New Roman"/>
          <w:sz w:val="24"/>
          <w:szCs w:val="24"/>
        </w:rPr>
      </w:pPr>
    </w:p>
    <w:p>
      <w:pPr>
        <w:spacing w:line="360" w:lineRule="auto"/>
        <w:ind w:firstLine="480" w:firstLineChars="200"/>
        <w:rPr>
          <w:rFonts w:hint="eastAsia" w:ascii="Times New Roman" w:hAnsi="Times New Roman"/>
          <w:sz w:val="24"/>
          <w:szCs w:val="24"/>
        </w:rPr>
      </w:pPr>
      <w:r>
        <w:rPr>
          <w:rFonts w:hint="eastAsia" w:ascii="Times New Roman" w:hAnsi="Times New Roman"/>
          <w:sz w:val="24"/>
          <w:szCs w:val="24"/>
        </w:rPr>
        <mc:AlternateContent>
          <mc:Choice Requires="wps">
            <w:drawing>
              <wp:anchor distT="0" distB="0" distL="114300" distR="114300" simplePos="0" relativeHeight="251921408" behindDoc="0" locked="0" layoutInCell="1" allowOverlap="1">
                <wp:simplePos x="0" y="0"/>
                <wp:positionH relativeFrom="column">
                  <wp:posOffset>2085975</wp:posOffset>
                </wp:positionH>
                <wp:positionV relativeFrom="paragraph">
                  <wp:posOffset>204470</wp:posOffset>
                </wp:positionV>
                <wp:extent cx="742315" cy="0"/>
                <wp:effectExtent l="0" t="38100" r="635" b="38100"/>
                <wp:wrapNone/>
                <wp:docPr id="602" name="直接箭头连接符 602"/>
                <wp:cNvGraphicFramePr/>
                <a:graphic xmlns:a="http://schemas.openxmlformats.org/drawingml/2006/main">
                  <a:graphicData uri="http://schemas.microsoft.com/office/word/2010/wordprocessingShape">
                    <wps:wsp>
                      <wps:cNvCnPr/>
                      <wps:spPr>
                        <a:xfrm>
                          <a:off x="0" y="0"/>
                          <a:ext cx="74231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64.25pt;margin-top:16.1pt;height:0pt;width:58.45pt;z-index:251921408;mso-width-relative:page;mso-height-relative:page;" filled="f" stroked="t" coordsize="21600,21600" o:gfxdata="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8Z&#10;8kfZAAAACQEAAA8AAAAAAAAAAQAgAAAAIgAAAGRycy9kb3ducmV2LnhtbFBLAQIUABQAAAAIAIdO&#10;4kDu2Mlr6QEAAKUDAAAOAAAAAAAAAAEAIAAAACgBAABkcnMvZTJvRG9jLnhtbFBLBQYAAAAABgAG&#10;AFkBAACDBQAAAAA=&#10;">
                <v:fill on="f" focussize="0,0"/>
                <v:stroke color="#000000" joinstyle="round" endarrow="block"/>
                <v:imagedata o:title=""/>
                <o:lock v:ext="edit" aspectratio="f"/>
              </v:shape>
            </w:pict>
          </mc:Fallback>
        </mc:AlternateContent>
      </w:r>
    </w:p>
    <w:p>
      <w:pPr>
        <w:spacing w:line="360" w:lineRule="auto"/>
        <w:ind w:firstLine="480" w:firstLineChars="200"/>
        <w:rPr>
          <w:rFonts w:hint="eastAsia" w:ascii="Times New Roman" w:hAnsi="Times New Roman"/>
          <w:sz w:val="24"/>
          <w:szCs w:val="24"/>
        </w:rPr>
      </w:pPr>
    </w:p>
    <w:p>
      <w:pPr>
        <w:pStyle w:val="3"/>
        <w:rPr>
          <w:rFonts w:hint="eastAsia"/>
        </w:rPr>
      </w:pPr>
      <w:bookmarkStart w:id="690" w:name="_Toc461048121"/>
      <w:bookmarkStart w:id="691" w:name="_Toc338228608"/>
      <w:bookmarkStart w:id="692" w:name="_Toc338230962"/>
      <w:r>
        <w:rPr>
          <w:rFonts w:hint="eastAsia"/>
        </w:rPr>
        <w:t>6.3环境事件应急响应</w:t>
      </w:r>
      <w:bookmarkEnd w:id="690"/>
      <w:bookmarkEnd w:id="691"/>
      <w:bookmarkEnd w:id="692"/>
    </w:p>
    <w:p>
      <w:pPr>
        <w:spacing w:line="360" w:lineRule="auto"/>
        <w:rPr>
          <w:rFonts w:hint="eastAsia"/>
          <w:b/>
          <w:sz w:val="24"/>
          <w:szCs w:val="24"/>
        </w:rPr>
      </w:pPr>
      <w:r>
        <w:rPr>
          <w:rFonts w:hint="eastAsia"/>
          <w:b/>
          <w:sz w:val="24"/>
          <w:szCs w:val="24"/>
        </w:rPr>
        <w:t>6.3.1 启动条件</w:t>
      </w:r>
    </w:p>
    <w:tbl>
      <w:tblPr>
        <w:tblStyle w:val="21"/>
        <w:tblW w:w="850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708"/>
        <w:gridCol w:w="4774"/>
        <w:gridCol w:w="896"/>
        <w:gridCol w:w="14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Align w:val="top"/>
          </w:tcPr>
          <w:p>
            <w:pPr>
              <w:jc w:val="center"/>
              <w:rPr>
                <w:rFonts w:hint="eastAsia" w:ascii="Times New Roman" w:hAnsi="Times New Roman"/>
                <w:spacing w:val="-10"/>
                <w:szCs w:val="21"/>
              </w:rPr>
            </w:pPr>
            <w:r>
              <w:rPr>
                <w:rFonts w:hint="eastAsia" w:ascii="Times New Roman" w:hAnsi="Times New Roman"/>
                <w:spacing w:val="-10"/>
                <w:szCs w:val="21"/>
              </w:rPr>
              <w:t>事件等级</w:t>
            </w:r>
          </w:p>
        </w:tc>
        <w:tc>
          <w:tcPr>
            <w:tcW w:w="708" w:type="dxa"/>
            <w:vAlign w:val="top"/>
          </w:tcPr>
          <w:p>
            <w:pPr>
              <w:jc w:val="center"/>
              <w:rPr>
                <w:rFonts w:hint="eastAsia" w:ascii="Times New Roman" w:hAnsi="Times New Roman"/>
                <w:szCs w:val="21"/>
              </w:rPr>
            </w:pPr>
            <w:r>
              <w:rPr>
                <w:rFonts w:hint="eastAsia" w:ascii="Times New Roman" w:hAnsi="Times New Roman"/>
                <w:szCs w:val="21"/>
              </w:rPr>
              <w:t>响应级别</w:t>
            </w:r>
          </w:p>
        </w:tc>
        <w:tc>
          <w:tcPr>
            <w:tcW w:w="4774" w:type="dxa"/>
            <w:vAlign w:val="top"/>
          </w:tcPr>
          <w:p>
            <w:pPr>
              <w:rPr>
                <w:rFonts w:hint="eastAsia" w:ascii="Times New Roman" w:hAnsi="Times New Roman"/>
                <w:szCs w:val="21"/>
              </w:rPr>
            </w:pPr>
            <w:r>
              <w:rPr>
                <w:rFonts w:hint="eastAsia" w:ascii="Times New Roman" w:hAnsi="Times New Roman"/>
                <w:szCs w:val="21"/>
              </w:rPr>
              <w:t>响应条件（满足任何一条即可）</w:t>
            </w:r>
          </w:p>
        </w:tc>
        <w:tc>
          <w:tcPr>
            <w:tcW w:w="896" w:type="dxa"/>
            <w:vAlign w:val="top"/>
          </w:tcPr>
          <w:p>
            <w:pPr>
              <w:rPr>
                <w:rFonts w:hint="eastAsia" w:ascii="Times New Roman" w:hAnsi="Times New Roman"/>
                <w:szCs w:val="21"/>
              </w:rPr>
            </w:pPr>
            <w:r>
              <w:rPr>
                <w:rFonts w:hint="eastAsia" w:ascii="Times New Roman" w:hAnsi="Times New Roman"/>
                <w:szCs w:val="21"/>
              </w:rPr>
              <w:t>负责人</w:t>
            </w:r>
          </w:p>
        </w:tc>
        <w:tc>
          <w:tcPr>
            <w:tcW w:w="1418" w:type="dxa"/>
            <w:vAlign w:val="center"/>
          </w:tcPr>
          <w:p>
            <w:pPr>
              <w:jc w:val="center"/>
              <w:rPr>
                <w:rFonts w:hint="eastAsia" w:ascii="Times New Roman" w:hAnsi="Times New Roman"/>
                <w:szCs w:val="21"/>
              </w:rPr>
            </w:pPr>
            <w:r>
              <w:rPr>
                <w:rFonts w:hint="eastAsia" w:ascii="Times New Roman" w:hAnsi="Times New Roman"/>
                <w:szCs w:val="21"/>
              </w:rPr>
              <w:t>响应行动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Align w:val="center"/>
          </w:tcPr>
          <w:p>
            <w:pPr>
              <w:jc w:val="center"/>
              <w:rPr>
                <w:rFonts w:hint="eastAsia" w:ascii="Times New Roman" w:hAnsi="Times New Roman"/>
                <w:szCs w:val="21"/>
              </w:rPr>
            </w:pPr>
            <w:r>
              <w:rPr>
                <w:rFonts w:hint="eastAsia" w:ascii="Times New Roman" w:hAnsi="Times New Roman"/>
                <w:szCs w:val="21"/>
              </w:rPr>
              <w:t>一般环境事件</w:t>
            </w:r>
          </w:p>
        </w:tc>
        <w:tc>
          <w:tcPr>
            <w:tcW w:w="708" w:type="dxa"/>
            <w:vAlign w:val="center"/>
          </w:tcPr>
          <w:p>
            <w:pPr>
              <w:jc w:val="center"/>
              <w:rPr>
                <w:rFonts w:hint="eastAsia" w:ascii="Times New Roman" w:hAnsi="Times New Roman"/>
                <w:szCs w:val="21"/>
              </w:rPr>
            </w:pPr>
            <w:r>
              <w:rPr>
                <w:rFonts w:hint="eastAsia" w:ascii="Times New Roman" w:hAnsi="Times New Roman"/>
                <w:szCs w:val="21"/>
              </w:rPr>
              <w:t>IV级</w:t>
            </w:r>
          </w:p>
        </w:tc>
        <w:tc>
          <w:tcPr>
            <w:tcW w:w="4774" w:type="dxa"/>
            <w:vAlign w:val="center"/>
          </w:tcPr>
          <w:p>
            <w:pPr>
              <w:numPr>
                <w:ilvl w:val="0"/>
                <w:numId w:val="7"/>
              </w:numPr>
              <w:ind w:left="0" w:firstLine="0"/>
              <w:rPr>
                <w:rFonts w:hint="eastAsia" w:ascii="Times New Roman" w:hAnsi="Times New Roman"/>
                <w:szCs w:val="21"/>
              </w:rPr>
            </w:pPr>
            <w:r>
              <w:rPr>
                <w:rFonts w:hint="eastAsia" w:ascii="Times New Roman" w:hAnsi="Times New Roman"/>
                <w:szCs w:val="21"/>
              </w:rPr>
              <w:t>化学品泄露或翻洒，未造成生产中断；</w:t>
            </w:r>
            <w:r>
              <w:rPr>
                <w:rFonts w:ascii="Times New Roman" w:hAnsi="Times New Roman"/>
                <w:szCs w:val="21"/>
              </w:rPr>
              <w:t>泄漏液体未溢流出车间或库房；</w:t>
            </w:r>
          </w:p>
          <w:p>
            <w:pPr>
              <w:numPr>
                <w:ilvl w:val="0"/>
                <w:numId w:val="7"/>
              </w:numPr>
              <w:ind w:left="0" w:firstLine="0"/>
              <w:rPr>
                <w:rFonts w:hint="eastAsia" w:ascii="Times New Roman" w:hAnsi="Times New Roman"/>
                <w:szCs w:val="21"/>
              </w:rPr>
            </w:pPr>
            <w:r>
              <w:rPr>
                <w:rFonts w:ascii="Times New Roman" w:hAnsi="Times New Roman"/>
                <w:szCs w:val="21"/>
              </w:rPr>
              <w:t>因火灾产生的消防废水，以及危险化学品、物料、成品泄漏产生的废液未流出事故发生所在区域的；</w:t>
            </w:r>
          </w:p>
        </w:tc>
        <w:tc>
          <w:tcPr>
            <w:tcW w:w="896" w:type="dxa"/>
            <w:vAlign w:val="center"/>
          </w:tcPr>
          <w:p>
            <w:pPr>
              <w:jc w:val="center"/>
              <w:rPr>
                <w:rFonts w:hint="eastAsia" w:ascii="Times New Roman" w:hAnsi="Times New Roman"/>
                <w:szCs w:val="21"/>
              </w:rPr>
            </w:pPr>
            <w:r>
              <w:rPr>
                <w:rFonts w:hint="eastAsia"/>
                <w:color w:val="000000"/>
                <w:kern w:val="0"/>
                <w:szCs w:val="21"/>
              </w:rPr>
              <w:t>肖泽江</w:t>
            </w:r>
          </w:p>
        </w:tc>
        <w:tc>
          <w:tcPr>
            <w:tcW w:w="1418" w:type="dxa"/>
            <w:vAlign w:val="center"/>
          </w:tcPr>
          <w:p>
            <w:pPr>
              <w:jc w:val="center"/>
              <w:rPr>
                <w:rFonts w:hint="eastAsia" w:ascii="Times New Roman" w:hAnsi="Times New Roman"/>
                <w:szCs w:val="21"/>
              </w:rPr>
            </w:pPr>
            <w:r>
              <w:rPr>
                <w:rFonts w:hint="eastAsia" w:ascii="Times New Roman" w:hAnsi="Times New Roman"/>
                <w:szCs w:val="21"/>
              </w:rPr>
              <w:t>调动现场应急人员并执行现场应急预案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Align w:val="center"/>
          </w:tcPr>
          <w:p>
            <w:pPr>
              <w:jc w:val="center"/>
              <w:rPr>
                <w:rFonts w:hint="eastAsia" w:ascii="Times New Roman" w:hAnsi="Times New Roman"/>
                <w:szCs w:val="21"/>
              </w:rPr>
            </w:pPr>
            <w:r>
              <w:rPr>
                <w:rFonts w:hint="eastAsia" w:ascii="Times New Roman" w:hAnsi="Times New Roman"/>
                <w:szCs w:val="21"/>
              </w:rPr>
              <w:t>较大环境事件</w:t>
            </w:r>
          </w:p>
        </w:tc>
        <w:tc>
          <w:tcPr>
            <w:tcW w:w="708" w:type="dxa"/>
            <w:vAlign w:val="center"/>
          </w:tcPr>
          <w:p>
            <w:pPr>
              <w:jc w:val="center"/>
              <w:rPr>
                <w:rFonts w:hint="eastAsia" w:ascii="Times New Roman" w:hAnsi="Times New Roman"/>
                <w:szCs w:val="21"/>
              </w:rPr>
            </w:pPr>
            <w:r>
              <w:rPr>
                <w:rFonts w:hint="eastAsia" w:ascii="Times New Roman" w:hAnsi="Times New Roman"/>
                <w:szCs w:val="21"/>
              </w:rPr>
              <w:t>III级</w:t>
            </w:r>
          </w:p>
        </w:tc>
        <w:tc>
          <w:tcPr>
            <w:tcW w:w="4774" w:type="dxa"/>
            <w:vAlign w:val="top"/>
          </w:tcPr>
          <w:p>
            <w:pPr>
              <w:numPr>
                <w:ilvl w:val="0"/>
                <w:numId w:val="8"/>
              </w:numPr>
              <w:ind w:left="0" w:firstLine="0"/>
              <w:rPr>
                <w:rFonts w:hint="eastAsia" w:ascii="Times New Roman" w:hAnsi="Times New Roman"/>
                <w:szCs w:val="21"/>
              </w:rPr>
            </w:pPr>
            <w:r>
              <w:rPr>
                <w:rFonts w:hint="eastAsia" w:ascii="Times New Roman" w:hAnsi="Times New Roman"/>
                <w:szCs w:val="21"/>
              </w:rPr>
              <w:t>冒烟起火且初判可在短时间（5min）内控制；单一装置、设备起火，或小面积（2</w:t>
            </w:r>
            <w:r>
              <w:rPr>
                <w:rFonts w:ascii="Times New Roman" w:hAnsi="Times New Roman"/>
                <w:szCs w:val="21"/>
              </w:rPr>
              <w:t>㎡</w:t>
            </w:r>
            <w:r>
              <w:rPr>
                <w:rFonts w:hint="eastAsia" w:ascii="Times New Roman" w:hAnsi="Times New Roman"/>
                <w:szCs w:val="21"/>
              </w:rPr>
              <w:t>）局部区域起火，火势尚未蔓延或扩散，且产生的烟和热在员工未穿防护服的情况下，短时间（5min）内可以忍受；</w:t>
            </w:r>
          </w:p>
          <w:p>
            <w:pPr>
              <w:numPr>
                <w:ilvl w:val="0"/>
                <w:numId w:val="8"/>
              </w:numPr>
              <w:ind w:left="0" w:firstLine="0"/>
              <w:rPr>
                <w:rFonts w:hint="eastAsia" w:ascii="Times New Roman" w:hAnsi="Times New Roman"/>
                <w:szCs w:val="21"/>
              </w:rPr>
            </w:pPr>
            <w:r>
              <w:rPr>
                <w:rFonts w:hint="eastAsia" w:ascii="Times New Roman" w:hAnsi="Times New Roman"/>
                <w:szCs w:val="21"/>
              </w:rPr>
              <w:t>非易燃化学品大量泄漏，现场人员无法继续工作的；强烈异味导致人员无法忍受的；化学品泄漏或翻洒且无法正常生产的</w:t>
            </w:r>
          </w:p>
        </w:tc>
        <w:tc>
          <w:tcPr>
            <w:tcW w:w="896" w:type="dxa"/>
            <w:vAlign w:val="center"/>
          </w:tcPr>
          <w:p>
            <w:pPr>
              <w:jc w:val="center"/>
              <w:rPr>
                <w:rFonts w:hint="eastAsia" w:ascii="Times New Roman" w:hAnsi="Times New Roman"/>
                <w:szCs w:val="21"/>
              </w:rPr>
            </w:pPr>
            <w:r>
              <w:rPr>
                <w:rFonts w:hint="eastAsia"/>
                <w:color w:val="000000"/>
                <w:kern w:val="0"/>
                <w:szCs w:val="21"/>
              </w:rPr>
              <w:t>张安俊</w:t>
            </w:r>
          </w:p>
        </w:tc>
        <w:tc>
          <w:tcPr>
            <w:tcW w:w="1418" w:type="dxa"/>
            <w:vAlign w:val="center"/>
          </w:tcPr>
          <w:p>
            <w:pPr>
              <w:jc w:val="center"/>
              <w:rPr>
                <w:rFonts w:hint="eastAsia" w:ascii="Times New Roman" w:hAnsi="Times New Roman"/>
                <w:szCs w:val="21"/>
              </w:rPr>
            </w:pPr>
            <w:r>
              <w:rPr>
                <w:rFonts w:hint="eastAsia" w:ascii="Times New Roman" w:hAnsi="Times New Roman"/>
                <w:szCs w:val="21"/>
              </w:rPr>
              <w:t>调动III级响应需要的应急人员及资源，执行III级应急预案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Align w:val="center"/>
          </w:tcPr>
          <w:p>
            <w:pPr>
              <w:jc w:val="center"/>
              <w:rPr>
                <w:rFonts w:hint="eastAsia" w:ascii="Times New Roman" w:hAnsi="Times New Roman"/>
                <w:szCs w:val="21"/>
              </w:rPr>
            </w:pPr>
            <w:r>
              <w:rPr>
                <w:rFonts w:hint="eastAsia" w:ascii="Times New Roman" w:hAnsi="Times New Roman"/>
                <w:szCs w:val="21"/>
              </w:rPr>
              <w:t>重大环境事件</w:t>
            </w:r>
          </w:p>
        </w:tc>
        <w:tc>
          <w:tcPr>
            <w:tcW w:w="708" w:type="dxa"/>
            <w:vAlign w:val="center"/>
          </w:tcPr>
          <w:p>
            <w:pPr>
              <w:jc w:val="center"/>
              <w:rPr>
                <w:rFonts w:hint="eastAsia" w:ascii="Times New Roman" w:hAnsi="Times New Roman"/>
                <w:szCs w:val="21"/>
              </w:rPr>
            </w:pPr>
            <w:r>
              <w:rPr>
                <w:rFonts w:hint="eastAsia" w:ascii="Times New Roman" w:hAnsi="Times New Roman"/>
                <w:szCs w:val="21"/>
              </w:rPr>
              <w:t>II级</w:t>
            </w:r>
          </w:p>
        </w:tc>
        <w:tc>
          <w:tcPr>
            <w:tcW w:w="4774" w:type="dxa"/>
            <w:vAlign w:val="top"/>
          </w:tcPr>
          <w:p>
            <w:pPr>
              <w:rPr>
                <w:rFonts w:hint="eastAsia" w:ascii="Times New Roman" w:hAnsi="Times New Roman"/>
                <w:szCs w:val="21"/>
              </w:rPr>
            </w:pPr>
            <w:r>
              <w:rPr>
                <w:rFonts w:hint="eastAsia" w:ascii="Times New Roman" w:hAnsi="Times New Roman"/>
                <w:szCs w:val="21"/>
              </w:rPr>
              <w:t>1、两个以上装置、设备起火或大面积（2</w:t>
            </w:r>
            <w:r>
              <w:rPr>
                <w:rFonts w:ascii="Times New Roman" w:hAnsi="Times New Roman"/>
                <w:szCs w:val="21"/>
              </w:rPr>
              <w:t>㎡</w:t>
            </w:r>
            <w:r>
              <w:rPr>
                <w:rFonts w:hint="eastAsia" w:ascii="Times New Roman" w:hAnsi="Times New Roman"/>
                <w:szCs w:val="21"/>
              </w:rPr>
              <w:t>）起火，火势正蔓延扩散，但所产生的烟和热，救援人员在穿着防护服的情况下可以安全进入救援现场的；III级状态下处置10min后仍未得到有效控制的；因火灾造成1人以上受伤且需外送医院救治的</w:t>
            </w:r>
          </w:p>
          <w:p>
            <w:pPr>
              <w:rPr>
                <w:rFonts w:hint="eastAsia" w:ascii="Times New Roman" w:hAnsi="Times New Roman"/>
                <w:szCs w:val="21"/>
              </w:rPr>
            </w:pPr>
            <w:r>
              <w:rPr>
                <w:rFonts w:hint="eastAsia" w:ascii="Times New Roman" w:hAnsi="Times New Roman"/>
                <w:szCs w:val="21"/>
              </w:rPr>
              <w:t>2、易燃性化学品大量泄漏的；因化学品泄漏造成1人以上受伤且需外送医院救治的</w:t>
            </w:r>
          </w:p>
        </w:tc>
        <w:tc>
          <w:tcPr>
            <w:tcW w:w="896" w:type="dxa"/>
            <w:vAlign w:val="center"/>
          </w:tcPr>
          <w:p>
            <w:pPr>
              <w:jc w:val="center"/>
              <w:rPr>
                <w:rFonts w:hint="eastAsia" w:ascii="Times New Roman" w:hAnsi="Times New Roman"/>
                <w:szCs w:val="21"/>
              </w:rPr>
            </w:pPr>
            <w:r>
              <w:rPr>
                <w:rFonts w:hint="eastAsia" w:ascii="Times New Roman" w:hAnsi="Times New Roman"/>
                <w:szCs w:val="21"/>
              </w:rPr>
              <w:t>上级政府部门</w:t>
            </w:r>
          </w:p>
        </w:tc>
        <w:tc>
          <w:tcPr>
            <w:tcW w:w="1418" w:type="dxa"/>
            <w:vAlign w:val="center"/>
          </w:tcPr>
          <w:p>
            <w:pPr>
              <w:jc w:val="center"/>
              <w:rPr>
                <w:rFonts w:hint="eastAsia" w:ascii="Times New Roman" w:hAnsi="Times New Roman"/>
                <w:szCs w:val="21"/>
              </w:rPr>
            </w:pPr>
            <w:r>
              <w:rPr>
                <w:rFonts w:hint="eastAsia" w:ascii="Times New Roman" w:hAnsi="Times New Roman"/>
                <w:szCs w:val="21"/>
              </w:rPr>
              <w:t>及时上报沙坪坝区政府，积极配合上级政府应急预案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09" w:type="dxa"/>
            <w:vAlign w:val="center"/>
          </w:tcPr>
          <w:p>
            <w:pPr>
              <w:jc w:val="center"/>
              <w:rPr>
                <w:rFonts w:hint="eastAsia" w:ascii="Times New Roman" w:hAnsi="Times New Roman"/>
                <w:szCs w:val="21"/>
              </w:rPr>
            </w:pPr>
            <w:r>
              <w:rPr>
                <w:rFonts w:hint="eastAsia" w:ascii="Times New Roman" w:hAnsi="Times New Roman"/>
                <w:szCs w:val="21"/>
              </w:rPr>
              <w:t>特大环境事件</w:t>
            </w:r>
          </w:p>
        </w:tc>
        <w:tc>
          <w:tcPr>
            <w:tcW w:w="708" w:type="dxa"/>
            <w:vAlign w:val="center"/>
          </w:tcPr>
          <w:p>
            <w:pPr>
              <w:jc w:val="center"/>
              <w:rPr>
                <w:rFonts w:hint="eastAsia" w:ascii="Times New Roman" w:hAnsi="Times New Roman"/>
                <w:szCs w:val="21"/>
              </w:rPr>
            </w:pPr>
            <w:r>
              <w:rPr>
                <w:rFonts w:hint="eastAsia" w:ascii="Times New Roman" w:hAnsi="Times New Roman"/>
                <w:szCs w:val="21"/>
              </w:rPr>
              <w:t>I级</w:t>
            </w:r>
          </w:p>
        </w:tc>
        <w:tc>
          <w:tcPr>
            <w:tcW w:w="4774" w:type="dxa"/>
            <w:vAlign w:val="top"/>
          </w:tcPr>
          <w:p>
            <w:pPr>
              <w:rPr>
                <w:rFonts w:hint="eastAsia" w:ascii="Times New Roman" w:hAnsi="Times New Roman"/>
                <w:szCs w:val="21"/>
              </w:rPr>
            </w:pPr>
            <w:r>
              <w:rPr>
                <w:rFonts w:hint="eastAsia" w:ascii="Times New Roman" w:hAnsi="Times New Roman"/>
                <w:szCs w:val="21"/>
              </w:rPr>
              <w:t>1、大面积起火且火势已蔓延扩散，所产生的烟和热在救援人员穿着防护服的情况下进入救援现场有困难或有危险的；II级状况下处置15min后仍未得到有效控制的；因火灾造成3人以上受伤且需外送医院救治的；造成人员死亡的</w:t>
            </w:r>
          </w:p>
          <w:p>
            <w:pPr>
              <w:rPr>
                <w:rFonts w:hint="eastAsia" w:ascii="Times New Roman" w:hAnsi="Times New Roman"/>
                <w:szCs w:val="21"/>
              </w:rPr>
            </w:pPr>
            <w:r>
              <w:rPr>
                <w:rFonts w:hint="eastAsia" w:ascii="Times New Roman" w:hAnsi="Times New Roman"/>
                <w:szCs w:val="21"/>
              </w:rPr>
              <w:t>2、因化学品泄漏造成1人以上送医院进行救治的；因化学品泄漏造成3人以上受伤且需外送医院救治的；造成人员死亡的</w:t>
            </w:r>
          </w:p>
        </w:tc>
        <w:tc>
          <w:tcPr>
            <w:tcW w:w="896" w:type="dxa"/>
            <w:vAlign w:val="center"/>
          </w:tcPr>
          <w:p>
            <w:pPr>
              <w:jc w:val="center"/>
              <w:rPr>
                <w:rFonts w:hint="eastAsia" w:ascii="Times New Roman" w:hAnsi="Times New Roman"/>
                <w:szCs w:val="21"/>
              </w:rPr>
            </w:pPr>
            <w:r>
              <w:rPr>
                <w:rFonts w:hint="eastAsia" w:ascii="Times New Roman" w:hAnsi="Times New Roman"/>
                <w:szCs w:val="21"/>
              </w:rPr>
              <w:t>上级政府部门</w:t>
            </w:r>
          </w:p>
        </w:tc>
        <w:tc>
          <w:tcPr>
            <w:tcW w:w="1418" w:type="dxa"/>
            <w:vAlign w:val="center"/>
          </w:tcPr>
          <w:p>
            <w:pPr>
              <w:jc w:val="center"/>
              <w:rPr>
                <w:rFonts w:hint="eastAsia" w:ascii="Times New Roman" w:hAnsi="Times New Roman"/>
                <w:szCs w:val="21"/>
              </w:rPr>
            </w:pPr>
            <w:r>
              <w:rPr>
                <w:rFonts w:hint="eastAsia" w:ascii="Times New Roman" w:hAnsi="Times New Roman"/>
                <w:szCs w:val="21"/>
              </w:rPr>
              <w:t>及时上报沙坪坝区政府，积极配合上级政府应急预案</w:t>
            </w:r>
          </w:p>
        </w:tc>
      </w:tr>
    </w:tbl>
    <w:p>
      <w:pPr>
        <w:spacing w:line="360" w:lineRule="auto"/>
        <w:rPr>
          <w:rFonts w:hint="eastAsia"/>
          <w:b/>
          <w:sz w:val="24"/>
          <w:szCs w:val="24"/>
        </w:rPr>
      </w:pPr>
      <w:r>
        <w:rPr>
          <w:rFonts w:hint="eastAsia"/>
          <w:b/>
          <w:sz w:val="24"/>
          <w:szCs w:val="24"/>
        </w:rPr>
        <w:t>6.3.2响应程序</w:t>
      </w:r>
    </w:p>
    <w:p>
      <w:pPr>
        <w:spacing w:line="360" w:lineRule="auto"/>
        <w:ind w:firstLine="480" w:firstLineChars="200"/>
        <w:rPr>
          <w:rFonts w:hint="eastAsia"/>
          <w:sz w:val="24"/>
          <w:szCs w:val="24"/>
        </w:rPr>
      </w:pPr>
      <w:r>
        <w:rPr>
          <w:rFonts w:hint="eastAsia"/>
          <w:sz w:val="24"/>
          <w:szCs w:val="24"/>
        </w:rPr>
        <w:t>1、准备阶段</w:t>
      </w:r>
    </w:p>
    <w:p>
      <w:pPr>
        <w:spacing w:line="360" w:lineRule="auto"/>
        <w:ind w:firstLine="480" w:firstLineChars="200"/>
        <w:rPr>
          <w:rFonts w:hint="eastAsia"/>
          <w:sz w:val="24"/>
          <w:szCs w:val="24"/>
        </w:rPr>
      </w:pPr>
      <w:r>
        <w:rPr>
          <w:sz w:val="24"/>
          <w:szCs w:val="24"/>
        </w:rPr>
        <w:fldChar w:fldCharType="begin"/>
      </w:r>
      <w:r>
        <w:rPr>
          <w:sz w:val="24"/>
          <w:szCs w:val="24"/>
        </w:rPr>
        <w:instrText xml:space="preserve"> </w:instrText>
      </w:r>
      <w:r>
        <w:rPr>
          <w:rFonts w:hint="eastAsia"/>
          <w:sz w:val="24"/>
          <w:szCs w:val="24"/>
        </w:rPr>
        <w:instrText xml:space="preserve">= 1 \* GB3</w:instrText>
      </w:r>
      <w:r>
        <w:rPr>
          <w:sz w:val="24"/>
          <w:szCs w:val="24"/>
        </w:rPr>
        <w:instrText xml:space="preserve"> </w:instrText>
      </w:r>
      <w:r>
        <w:rPr>
          <w:sz w:val="24"/>
          <w:szCs w:val="24"/>
        </w:rPr>
        <w:fldChar w:fldCharType="separate"/>
      </w:r>
      <w:r>
        <w:rPr>
          <w:rFonts w:hint="eastAsia"/>
          <w:sz w:val="24"/>
          <w:szCs w:val="24"/>
        </w:rPr>
        <w:t>①</w:t>
      </w:r>
      <w:r>
        <w:rPr>
          <w:sz w:val="24"/>
          <w:szCs w:val="24"/>
        </w:rPr>
        <w:fldChar w:fldCharType="end"/>
      </w:r>
      <w:r>
        <w:rPr>
          <w:rFonts w:hint="eastAsia"/>
          <w:sz w:val="24"/>
          <w:szCs w:val="24"/>
        </w:rPr>
        <w:t>立即向上级应急指挥部报告事故情况；成立现场指挥部，收集事故有关信息，密切关注、及时掌握事态发展情况。</w:t>
      </w:r>
    </w:p>
    <w:p>
      <w:pPr>
        <w:spacing w:line="360" w:lineRule="auto"/>
        <w:ind w:firstLine="480" w:firstLineChars="200"/>
        <w:rPr>
          <w:rFonts w:hint="eastAsia"/>
          <w:sz w:val="24"/>
          <w:szCs w:val="24"/>
        </w:rPr>
      </w:pPr>
      <w:r>
        <w:rPr>
          <w:sz w:val="24"/>
          <w:szCs w:val="24"/>
        </w:rPr>
        <w:fldChar w:fldCharType="begin"/>
      </w:r>
      <w:r>
        <w:rPr>
          <w:sz w:val="24"/>
          <w:szCs w:val="24"/>
        </w:rPr>
        <w:instrText xml:space="preserve"> </w:instrText>
      </w:r>
      <w:r>
        <w:rPr>
          <w:rFonts w:hint="eastAsia"/>
          <w:sz w:val="24"/>
          <w:szCs w:val="24"/>
        </w:rPr>
        <w:instrText xml:space="preserve">= 2 \* GB3</w:instrText>
      </w:r>
      <w:r>
        <w:rPr>
          <w:sz w:val="24"/>
          <w:szCs w:val="24"/>
        </w:rPr>
        <w:instrText xml:space="preserve"> </w:instrText>
      </w:r>
      <w:r>
        <w:rPr>
          <w:sz w:val="24"/>
          <w:szCs w:val="24"/>
        </w:rPr>
        <w:fldChar w:fldCharType="separate"/>
      </w:r>
      <w:r>
        <w:rPr>
          <w:rFonts w:hint="eastAsia"/>
          <w:sz w:val="24"/>
          <w:szCs w:val="24"/>
        </w:rPr>
        <w:t>②</w:t>
      </w:r>
      <w:r>
        <w:rPr>
          <w:sz w:val="24"/>
          <w:szCs w:val="24"/>
        </w:rPr>
        <w:fldChar w:fldCharType="end"/>
      </w:r>
      <w:r>
        <w:rPr>
          <w:rFonts w:hint="eastAsia"/>
          <w:sz w:val="24"/>
          <w:szCs w:val="24"/>
        </w:rPr>
        <w:t>召集应急救援专业队伍到现场做好应急准备。</w:t>
      </w:r>
    </w:p>
    <w:p>
      <w:pPr>
        <w:spacing w:line="360" w:lineRule="auto"/>
        <w:ind w:firstLine="480" w:firstLineChars="200"/>
        <w:rPr>
          <w:rFonts w:hint="eastAsia"/>
          <w:sz w:val="24"/>
          <w:szCs w:val="24"/>
        </w:rPr>
      </w:pPr>
      <w:r>
        <w:rPr>
          <w:sz w:val="24"/>
          <w:szCs w:val="24"/>
        </w:rPr>
        <w:fldChar w:fldCharType="begin"/>
      </w:r>
      <w:r>
        <w:rPr>
          <w:sz w:val="24"/>
          <w:szCs w:val="24"/>
        </w:rPr>
        <w:instrText xml:space="preserve"> </w:instrText>
      </w:r>
      <w:r>
        <w:rPr>
          <w:rFonts w:hint="eastAsia"/>
          <w:sz w:val="24"/>
          <w:szCs w:val="24"/>
        </w:rPr>
        <w:instrText xml:space="preserve">= 3 \* GB3</w:instrText>
      </w:r>
      <w:r>
        <w:rPr>
          <w:sz w:val="24"/>
          <w:szCs w:val="24"/>
        </w:rPr>
        <w:instrText xml:space="preserve"> </w:instrText>
      </w:r>
      <w:r>
        <w:rPr>
          <w:sz w:val="24"/>
          <w:szCs w:val="24"/>
        </w:rPr>
        <w:fldChar w:fldCharType="separate"/>
      </w:r>
      <w:r>
        <w:rPr>
          <w:rFonts w:hint="eastAsia"/>
          <w:sz w:val="24"/>
          <w:szCs w:val="24"/>
        </w:rPr>
        <w:t>③</w:t>
      </w:r>
      <w:r>
        <w:rPr>
          <w:sz w:val="24"/>
          <w:szCs w:val="24"/>
        </w:rPr>
        <w:fldChar w:fldCharType="end"/>
      </w:r>
      <w:r>
        <w:rPr>
          <w:rFonts w:hint="eastAsia"/>
          <w:sz w:val="24"/>
          <w:szCs w:val="24"/>
        </w:rPr>
        <w:t>提供相关的预案、专家、队伍、装备、物资等信息，组织专家会商救援方案。</w:t>
      </w:r>
    </w:p>
    <w:p>
      <w:pPr>
        <w:spacing w:line="360" w:lineRule="auto"/>
        <w:ind w:firstLine="480" w:firstLineChars="200"/>
        <w:rPr>
          <w:rFonts w:hint="eastAsia"/>
          <w:sz w:val="24"/>
          <w:szCs w:val="24"/>
        </w:rPr>
      </w:pPr>
      <w:r>
        <w:rPr>
          <w:rFonts w:hint="eastAsia"/>
          <w:sz w:val="24"/>
          <w:szCs w:val="24"/>
        </w:rPr>
        <w:t>2、启动阶段</w:t>
      </w:r>
    </w:p>
    <w:p>
      <w:pPr>
        <w:spacing w:line="360" w:lineRule="auto"/>
        <w:ind w:firstLine="480" w:firstLineChars="200"/>
        <w:rPr>
          <w:rFonts w:hint="eastAsia"/>
          <w:sz w:val="24"/>
          <w:szCs w:val="24"/>
        </w:rPr>
      </w:pPr>
      <w:r>
        <w:rPr>
          <w:sz w:val="24"/>
          <w:szCs w:val="24"/>
        </w:rPr>
        <w:fldChar w:fldCharType="begin"/>
      </w:r>
      <w:r>
        <w:rPr>
          <w:sz w:val="24"/>
          <w:szCs w:val="24"/>
        </w:rPr>
        <w:instrText xml:space="preserve"> </w:instrText>
      </w:r>
      <w:r>
        <w:rPr>
          <w:rFonts w:hint="eastAsia"/>
          <w:sz w:val="24"/>
          <w:szCs w:val="24"/>
        </w:rPr>
        <w:instrText xml:space="preserve">= 1 \* GB3</w:instrText>
      </w:r>
      <w:r>
        <w:rPr>
          <w:sz w:val="24"/>
          <w:szCs w:val="24"/>
        </w:rPr>
        <w:instrText xml:space="preserve"> </w:instrText>
      </w:r>
      <w:r>
        <w:rPr>
          <w:sz w:val="24"/>
          <w:szCs w:val="24"/>
        </w:rPr>
        <w:fldChar w:fldCharType="separate"/>
      </w:r>
      <w:r>
        <w:rPr>
          <w:rFonts w:hint="eastAsia"/>
          <w:sz w:val="24"/>
          <w:szCs w:val="24"/>
        </w:rPr>
        <w:t>①</w:t>
      </w:r>
      <w:r>
        <w:rPr>
          <w:sz w:val="24"/>
          <w:szCs w:val="24"/>
        </w:rPr>
        <w:fldChar w:fldCharType="end"/>
      </w:r>
      <w:r>
        <w:rPr>
          <w:rFonts w:hint="eastAsia"/>
          <w:sz w:val="24"/>
          <w:szCs w:val="24"/>
        </w:rPr>
        <w:t>通知应急救援专业队伍，收集事故有关信息，从现场采集事故相关化学品基本数据与信息。</w:t>
      </w:r>
    </w:p>
    <w:p>
      <w:pPr>
        <w:spacing w:line="360" w:lineRule="auto"/>
        <w:ind w:firstLine="480" w:firstLineChars="200"/>
        <w:rPr>
          <w:rFonts w:hint="eastAsia"/>
          <w:sz w:val="24"/>
          <w:szCs w:val="24"/>
        </w:rPr>
      </w:pPr>
      <w:r>
        <w:rPr>
          <w:sz w:val="24"/>
          <w:szCs w:val="24"/>
        </w:rPr>
        <w:fldChar w:fldCharType="begin"/>
      </w:r>
      <w:r>
        <w:rPr>
          <w:sz w:val="24"/>
          <w:szCs w:val="24"/>
        </w:rPr>
        <w:instrText xml:space="preserve"> </w:instrText>
      </w:r>
      <w:r>
        <w:rPr>
          <w:rFonts w:hint="eastAsia"/>
          <w:sz w:val="24"/>
          <w:szCs w:val="24"/>
        </w:rPr>
        <w:instrText xml:space="preserve">= 2 \* GB3</w:instrText>
      </w:r>
      <w:r>
        <w:rPr>
          <w:sz w:val="24"/>
          <w:szCs w:val="24"/>
        </w:rPr>
        <w:instrText xml:space="preserve"> </w:instrText>
      </w:r>
      <w:r>
        <w:rPr>
          <w:sz w:val="24"/>
          <w:szCs w:val="24"/>
        </w:rPr>
        <w:fldChar w:fldCharType="separate"/>
      </w:r>
      <w:r>
        <w:rPr>
          <w:rFonts w:hint="eastAsia"/>
          <w:sz w:val="24"/>
          <w:szCs w:val="24"/>
        </w:rPr>
        <w:t>②</w:t>
      </w:r>
      <w:r>
        <w:rPr>
          <w:sz w:val="24"/>
          <w:szCs w:val="24"/>
        </w:rPr>
        <w:fldChar w:fldCharType="end"/>
      </w:r>
      <w:r>
        <w:rPr>
          <w:rFonts w:hint="eastAsia"/>
          <w:sz w:val="24"/>
          <w:szCs w:val="24"/>
        </w:rPr>
        <w:t>及时向上级政府政府报告事故控制状况。</w:t>
      </w:r>
    </w:p>
    <w:p>
      <w:pPr>
        <w:spacing w:line="360" w:lineRule="auto"/>
        <w:ind w:firstLine="480" w:firstLineChars="200"/>
        <w:rPr>
          <w:rFonts w:hint="eastAsia"/>
          <w:sz w:val="24"/>
          <w:szCs w:val="24"/>
        </w:rPr>
      </w:pPr>
      <w:r>
        <w:rPr>
          <w:sz w:val="24"/>
          <w:szCs w:val="24"/>
        </w:rPr>
        <w:fldChar w:fldCharType="begin"/>
      </w:r>
      <w:r>
        <w:rPr>
          <w:sz w:val="24"/>
          <w:szCs w:val="24"/>
        </w:rPr>
        <w:instrText xml:space="preserve"> </w:instrText>
      </w:r>
      <w:r>
        <w:rPr>
          <w:rFonts w:hint="eastAsia"/>
          <w:sz w:val="24"/>
          <w:szCs w:val="24"/>
        </w:rPr>
        <w:instrText xml:space="preserve">= 3 \* GB3</w:instrText>
      </w:r>
      <w:r>
        <w:rPr>
          <w:sz w:val="24"/>
          <w:szCs w:val="24"/>
        </w:rPr>
        <w:instrText xml:space="preserve"> </w:instrText>
      </w:r>
      <w:r>
        <w:rPr>
          <w:sz w:val="24"/>
          <w:szCs w:val="24"/>
        </w:rPr>
        <w:fldChar w:fldCharType="separate"/>
      </w:r>
      <w:r>
        <w:rPr>
          <w:rFonts w:hint="eastAsia"/>
          <w:sz w:val="24"/>
          <w:szCs w:val="24"/>
        </w:rPr>
        <w:t>③</w:t>
      </w:r>
      <w:r>
        <w:rPr>
          <w:sz w:val="24"/>
          <w:szCs w:val="24"/>
        </w:rPr>
        <w:fldChar w:fldCharType="end"/>
      </w:r>
      <w:r>
        <w:rPr>
          <w:rFonts w:hint="eastAsia"/>
          <w:sz w:val="24"/>
          <w:szCs w:val="24"/>
        </w:rPr>
        <w:t>组织专家咨询，提出事故救援协调指挥方案，提供有关的预案、专家、队伍、装备、物资等信息。</w:t>
      </w:r>
    </w:p>
    <w:p>
      <w:pPr>
        <w:spacing w:line="360" w:lineRule="auto"/>
        <w:ind w:left="359" w:leftChars="171" w:firstLine="120" w:firstLineChars="50"/>
        <w:rPr>
          <w:rFonts w:hint="eastAsia"/>
          <w:sz w:val="24"/>
          <w:szCs w:val="24"/>
        </w:rPr>
      </w:pPr>
      <w:r>
        <w:rPr>
          <w:sz w:val="24"/>
          <w:szCs w:val="24"/>
        </w:rPr>
        <w:fldChar w:fldCharType="begin"/>
      </w:r>
      <w:r>
        <w:rPr>
          <w:sz w:val="24"/>
          <w:szCs w:val="24"/>
        </w:rPr>
        <w:instrText xml:space="preserve"> </w:instrText>
      </w:r>
      <w:r>
        <w:rPr>
          <w:rFonts w:hint="eastAsia"/>
          <w:sz w:val="24"/>
          <w:szCs w:val="24"/>
        </w:rPr>
        <w:instrText xml:space="preserve">= 4 \* GB3</w:instrText>
      </w:r>
      <w:r>
        <w:rPr>
          <w:sz w:val="24"/>
          <w:szCs w:val="24"/>
        </w:rPr>
        <w:instrText xml:space="preserve"> </w:instrText>
      </w:r>
      <w:r>
        <w:rPr>
          <w:sz w:val="24"/>
          <w:szCs w:val="24"/>
        </w:rPr>
        <w:fldChar w:fldCharType="separate"/>
      </w:r>
      <w:r>
        <w:rPr>
          <w:rFonts w:hint="eastAsia"/>
          <w:sz w:val="24"/>
          <w:szCs w:val="24"/>
        </w:rPr>
        <w:t>④</w:t>
      </w:r>
      <w:r>
        <w:rPr>
          <w:sz w:val="24"/>
          <w:szCs w:val="24"/>
        </w:rPr>
        <w:fldChar w:fldCharType="end"/>
      </w:r>
      <w:r>
        <w:rPr>
          <w:rFonts w:hint="eastAsia"/>
          <w:sz w:val="24"/>
          <w:szCs w:val="24"/>
        </w:rPr>
        <w:t>派有关领导赶赴现场进行指导协调、协助指挥</w:t>
      </w:r>
    </w:p>
    <w:p>
      <w:pPr>
        <w:spacing w:line="360" w:lineRule="auto"/>
        <w:ind w:left="359" w:leftChars="171" w:firstLine="120" w:firstLineChars="50"/>
        <w:rPr>
          <w:rFonts w:hint="eastAsia"/>
          <w:sz w:val="24"/>
          <w:szCs w:val="24"/>
        </w:rPr>
      </w:pPr>
      <w:r>
        <w:rPr>
          <w:sz w:val="24"/>
          <w:szCs w:val="24"/>
        </w:rPr>
        <w:fldChar w:fldCharType="begin"/>
      </w:r>
      <w:r>
        <w:rPr>
          <w:sz w:val="24"/>
          <w:szCs w:val="24"/>
        </w:rPr>
        <w:instrText xml:space="preserve"> </w:instrText>
      </w:r>
      <w:r>
        <w:rPr>
          <w:rFonts w:hint="eastAsia"/>
          <w:sz w:val="24"/>
          <w:szCs w:val="24"/>
        </w:rPr>
        <w:instrText xml:space="preserve">= 5 \* GB3</w:instrText>
      </w:r>
      <w:r>
        <w:rPr>
          <w:sz w:val="24"/>
          <w:szCs w:val="24"/>
        </w:rPr>
        <w:instrText xml:space="preserve"> </w:instrText>
      </w:r>
      <w:r>
        <w:rPr>
          <w:sz w:val="24"/>
          <w:szCs w:val="24"/>
        </w:rPr>
        <w:fldChar w:fldCharType="separate"/>
      </w:r>
      <w:r>
        <w:rPr>
          <w:rFonts w:hint="eastAsia"/>
          <w:sz w:val="24"/>
          <w:szCs w:val="24"/>
        </w:rPr>
        <w:t>⑤</w:t>
      </w:r>
      <w:r>
        <w:rPr>
          <w:sz w:val="24"/>
          <w:szCs w:val="24"/>
        </w:rPr>
        <w:fldChar w:fldCharType="end"/>
      </w:r>
      <w:r>
        <w:rPr>
          <w:rFonts w:hint="eastAsia"/>
          <w:sz w:val="24"/>
          <w:szCs w:val="24"/>
        </w:rPr>
        <w:t>调动有关队伍，专家组参加现场救援工作，调动有关装备、物资支援现场救援。</w:t>
      </w:r>
    </w:p>
    <w:p>
      <w:pPr>
        <w:spacing w:line="360" w:lineRule="auto"/>
        <w:ind w:left="359" w:leftChars="171" w:firstLine="120" w:firstLineChars="50"/>
        <w:rPr>
          <w:rFonts w:hint="eastAsia"/>
          <w:sz w:val="24"/>
          <w:szCs w:val="24"/>
        </w:rPr>
      </w:pPr>
      <w:r>
        <w:rPr>
          <w:sz w:val="24"/>
          <w:szCs w:val="24"/>
        </w:rPr>
        <w:fldChar w:fldCharType="begin"/>
      </w:r>
      <w:r>
        <w:rPr>
          <w:sz w:val="24"/>
          <w:szCs w:val="24"/>
        </w:rPr>
        <w:instrText xml:space="preserve"> </w:instrText>
      </w:r>
      <w:r>
        <w:rPr>
          <w:rFonts w:hint="eastAsia"/>
          <w:sz w:val="24"/>
          <w:szCs w:val="24"/>
        </w:rPr>
        <w:instrText xml:space="preserve">= 6 \* GB3</w:instrText>
      </w:r>
      <w:r>
        <w:rPr>
          <w:sz w:val="24"/>
          <w:szCs w:val="24"/>
        </w:rPr>
        <w:instrText xml:space="preserve"> </w:instrText>
      </w:r>
      <w:r>
        <w:rPr>
          <w:sz w:val="24"/>
          <w:szCs w:val="24"/>
        </w:rPr>
        <w:fldChar w:fldCharType="separate"/>
      </w:r>
      <w:r>
        <w:rPr>
          <w:rFonts w:hint="eastAsia"/>
          <w:sz w:val="24"/>
          <w:szCs w:val="24"/>
        </w:rPr>
        <w:t>⑥</w:t>
      </w:r>
      <w:r>
        <w:rPr>
          <w:sz w:val="24"/>
          <w:szCs w:val="24"/>
        </w:rPr>
        <w:fldChar w:fldCharType="end"/>
      </w:r>
      <w:r>
        <w:rPr>
          <w:rFonts w:hint="eastAsia"/>
          <w:sz w:val="24"/>
          <w:szCs w:val="24"/>
        </w:rPr>
        <w:t>及时向公众及媒体发布事故应急救援信息，掌握公众反映及舆论动态，回复有关质询。</w:t>
      </w:r>
    </w:p>
    <w:p>
      <w:pPr>
        <w:spacing w:line="360" w:lineRule="auto"/>
        <w:ind w:left="359" w:leftChars="171" w:firstLine="120" w:firstLineChars="50"/>
        <w:rPr>
          <w:rFonts w:hint="eastAsia"/>
          <w:sz w:val="24"/>
          <w:szCs w:val="24"/>
        </w:rPr>
      </w:pPr>
    </w:p>
    <w:p>
      <w:pPr>
        <w:spacing w:line="360" w:lineRule="auto"/>
        <w:ind w:left="359" w:leftChars="171" w:firstLine="120" w:firstLineChars="50"/>
        <w:rPr>
          <w:rFonts w:hint="eastAsia"/>
          <w:sz w:val="24"/>
          <w:szCs w:val="24"/>
        </w:rPr>
      </w:pPr>
    </w:p>
    <w:p>
      <w:pPr>
        <w:spacing w:line="360" w:lineRule="auto"/>
        <w:ind w:left="359" w:leftChars="171" w:firstLine="120" w:firstLineChars="50"/>
        <w:rPr>
          <w:rFonts w:hint="eastAsia"/>
          <w:sz w:val="24"/>
          <w:szCs w:val="24"/>
        </w:rPr>
      </w:pPr>
    </w:p>
    <w:p>
      <w:pPr>
        <w:spacing w:line="360" w:lineRule="auto"/>
        <w:ind w:left="359" w:leftChars="171" w:firstLine="120" w:firstLineChars="50"/>
        <w:rPr>
          <w:rFonts w:hint="eastAsia"/>
          <w:sz w:val="24"/>
          <w:szCs w:val="24"/>
        </w:rPr>
      </w:pPr>
    </w:p>
    <w:p>
      <w:pPr>
        <w:spacing w:line="360" w:lineRule="auto"/>
        <w:ind w:left="359" w:leftChars="171" w:firstLine="120" w:firstLineChars="50"/>
        <w:rPr>
          <w:rFonts w:hint="eastAsia"/>
          <w:sz w:val="24"/>
          <w:szCs w:val="24"/>
        </w:rPr>
      </w:pPr>
    </w:p>
    <w:p>
      <w:pPr>
        <w:spacing w:line="360" w:lineRule="auto"/>
        <w:ind w:left="359" w:leftChars="171" w:firstLine="120" w:firstLineChars="50"/>
        <w:rPr>
          <w:rFonts w:hint="eastAsia"/>
          <w:sz w:val="24"/>
          <w:szCs w:val="24"/>
        </w:rPr>
      </w:pPr>
    </w:p>
    <w:p>
      <w:pPr>
        <w:spacing w:line="360" w:lineRule="auto"/>
        <w:ind w:left="359" w:leftChars="171" w:firstLine="120" w:firstLineChars="50"/>
        <w:rPr>
          <w:rFonts w:hint="eastAsia"/>
          <w:sz w:val="24"/>
          <w:szCs w:val="24"/>
        </w:rPr>
      </w:pPr>
    </w:p>
    <w:p>
      <w:pPr>
        <w:spacing w:line="360" w:lineRule="auto"/>
        <w:ind w:left="359" w:leftChars="171" w:firstLine="120" w:firstLineChars="50"/>
        <w:rPr>
          <w:rFonts w:hint="eastAsia"/>
          <w:sz w:val="24"/>
          <w:szCs w:val="24"/>
        </w:rPr>
      </w:pPr>
    </w:p>
    <w:p>
      <w:pPr>
        <w:spacing w:line="360" w:lineRule="auto"/>
        <w:ind w:left="359" w:leftChars="171" w:firstLine="120" w:firstLineChars="50"/>
        <w:rPr>
          <w:rFonts w:hint="eastAsia"/>
          <w:sz w:val="24"/>
          <w:szCs w:val="24"/>
        </w:rPr>
      </w:pPr>
    </w:p>
    <w:p>
      <w:pPr>
        <w:spacing w:line="360" w:lineRule="auto"/>
        <w:ind w:left="359" w:leftChars="171" w:firstLine="120" w:firstLineChars="50"/>
        <w:rPr>
          <w:rFonts w:hint="eastAsia"/>
          <w:sz w:val="24"/>
          <w:szCs w:val="24"/>
        </w:rPr>
      </w:pPr>
    </w:p>
    <w:p>
      <w:pPr>
        <w:spacing w:line="360" w:lineRule="auto"/>
        <w:ind w:left="359" w:leftChars="171" w:firstLine="120" w:firstLineChars="50"/>
        <w:rPr>
          <w:rFonts w:hint="eastAsia"/>
          <w:sz w:val="24"/>
          <w:szCs w:val="24"/>
        </w:rPr>
      </w:pPr>
    </w:p>
    <w:p>
      <w:pPr>
        <w:spacing w:line="360" w:lineRule="auto"/>
        <w:rPr>
          <w:rFonts w:hint="eastAsia"/>
          <w:sz w:val="24"/>
          <w:szCs w:val="24"/>
        </w:rPr>
      </w:pPr>
    </w:p>
    <w:p>
      <w:pPr>
        <w:pStyle w:val="2"/>
        <w:rPr>
          <w:rFonts w:hint="eastAsia"/>
        </w:rPr>
      </w:pPr>
      <w:bookmarkStart w:id="693" w:name="_Toc338230963"/>
      <w:bookmarkStart w:id="694" w:name="_Toc461048122"/>
      <w:bookmarkStart w:id="695" w:name="_Toc338228609"/>
      <w:r>
        <w:rPr>
          <w:rFonts w:hint="eastAsia"/>
        </w:rPr>
        <w:t>7应急措施</w:t>
      </w:r>
      <w:bookmarkEnd w:id="693"/>
      <w:bookmarkEnd w:id="694"/>
      <w:bookmarkEnd w:id="695"/>
    </w:p>
    <w:p>
      <w:pPr>
        <w:pStyle w:val="3"/>
      </w:pPr>
      <w:bookmarkStart w:id="696" w:name="_Toc461048123"/>
      <w:bookmarkStart w:id="697" w:name="_Toc338228610"/>
      <w:bookmarkStart w:id="698" w:name="_Toc338230964"/>
      <w:r>
        <w:rPr>
          <w:rFonts w:hint="eastAsia"/>
        </w:rPr>
        <w:t>7</w:t>
      </w:r>
      <w:r>
        <w:t>.1</w:t>
      </w:r>
      <w:r>
        <w:rPr>
          <w:rFonts w:hint="eastAsia"/>
        </w:rPr>
        <w:t>事故应急措施</w:t>
      </w:r>
      <w:bookmarkEnd w:id="696"/>
    </w:p>
    <w:bookmarkEnd w:id="697"/>
    <w:bookmarkEnd w:id="698"/>
    <w:p>
      <w:pPr>
        <w:pStyle w:val="4"/>
        <w:rPr>
          <w:rFonts w:hint="eastAsia" w:ascii="Times New Roman" w:hAnsi="Times New Roman" w:eastAsia="仿宋"/>
          <w:bCs w:val="0"/>
          <w:kern w:val="0"/>
          <w:szCs w:val="24"/>
        </w:rPr>
      </w:pPr>
      <w:r>
        <w:rPr>
          <w:rFonts w:hint="eastAsia"/>
          <w:bCs w:val="0"/>
          <w:szCs w:val="24"/>
        </w:rPr>
        <w:t>7.1.1火灾、爆炸事故处置措施</w:t>
      </w:r>
    </w:p>
    <w:p>
      <w:pPr>
        <w:spacing w:line="360" w:lineRule="auto"/>
        <w:ind w:firstLine="480"/>
        <w:rPr>
          <w:rFonts w:hint="eastAsia" w:ascii="Times New Roman" w:hAnsi="Times New Roman"/>
          <w:sz w:val="24"/>
          <w:szCs w:val="24"/>
        </w:rPr>
      </w:pPr>
      <w:r>
        <w:rPr>
          <w:rFonts w:hint="eastAsia" w:ascii="Times New Roman" w:hAnsi="Times New Roman"/>
          <w:sz w:val="24"/>
          <w:szCs w:val="24"/>
        </w:rPr>
        <w:t>企业火灾爆炸事故引发原因主要是可燃液体物料泄漏，根据事故的性质和级别启动相应的应急预案，指挥调配所需的应急队伍和应急物资。并在事故发生现场采取相应的应急处置措施。</w:t>
      </w:r>
    </w:p>
    <w:tbl>
      <w:tblPr>
        <w:tblStyle w:val="21"/>
        <w:tblW w:w="850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6"/>
        <w:gridCol w:w="1490"/>
        <w:gridCol w:w="62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0" w:hRule="atLeast"/>
          <w:jc w:val="center"/>
        </w:trPr>
        <w:tc>
          <w:tcPr>
            <w:tcW w:w="736" w:type="dxa"/>
            <w:vAlign w:val="center"/>
          </w:tcPr>
          <w:p>
            <w:pPr>
              <w:spacing w:line="440" w:lineRule="exact"/>
              <w:jc w:val="center"/>
              <w:rPr>
                <w:rFonts w:hint="eastAsia" w:ascii="Times New Roman" w:hAnsi="Times New Roman"/>
                <w:sz w:val="24"/>
                <w:szCs w:val="24"/>
              </w:rPr>
            </w:pPr>
            <w:r>
              <w:rPr>
                <w:rFonts w:hint="eastAsia" w:ascii="Times New Roman" w:hAnsi="Times New Roman"/>
                <w:sz w:val="24"/>
                <w:szCs w:val="24"/>
              </w:rPr>
              <w:t>序号</w:t>
            </w:r>
          </w:p>
        </w:tc>
        <w:tc>
          <w:tcPr>
            <w:tcW w:w="1490" w:type="dxa"/>
            <w:vAlign w:val="center"/>
          </w:tcPr>
          <w:p>
            <w:pPr>
              <w:spacing w:line="440" w:lineRule="exact"/>
              <w:jc w:val="center"/>
              <w:rPr>
                <w:rFonts w:hint="eastAsia" w:ascii="Times New Roman" w:hAnsi="Times New Roman"/>
                <w:sz w:val="24"/>
                <w:szCs w:val="24"/>
              </w:rPr>
            </w:pPr>
            <w:r>
              <w:rPr>
                <w:rFonts w:hint="eastAsia" w:ascii="Times New Roman" w:hAnsi="Times New Roman"/>
                <w:sz w:val="24"/>
                <w:szCs w:val="24"/>
              </w:rPr>
              <w:t>事故类型</w:t>
            </w:r>
          </w:p>
        </w:tc>
        <w:tc>
          <w:tcPr>
            <w:tcW w:w="6279" w:type="dxa"/>
            <w:vAlign w:val="top"/>
          </w:tcPr>
          <w:p>
            <w:pPr>
              <w:spacing w:line="440" w:lineRule="exact"/>
              <w:rPr>
                <w:rFonts w:hint="eastAsia" w:ascii="Times New Roman" w:hAnsi="Times New Roman"/>
                <w:sz w:val="24"/>
                <w:szCs w:val="24"/>
              </w:rPr>
            </w:pPr>
            <w:r>
              <w:rPr>
                <w:rFonts w:hint="eastAsia" w:ascii="Times New Roman" w:hAnsi="Times New Roman"/>
                <w:sz w:val="24"/>
                <w:szCs w:val="24"/>
              </w:rPr>
              <w:t>现场应急处置措施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11" w:hRule="atLeast"/>
          <w:jc w:val="center"/>
        </w:trPr>
        <w:tc>
          <w:tcPr>
            <w:tcW w:w="736" w:type="dxa"/>
            <w:vAlign w:val="center"/>
          </w:tcPr>
          <w:p>
            <w:pPr>
              <w:jc w:val="center"/>
              <w:rPr>
                <w:rFonts w:hint="eastAsia" w:ascii="宋体" w:hAnsi="宋体"/>
                <w:szCs w:val="21"/>
              </w:rPr>
            </w:pPr>
            <w:r>
              <w:rPr>
                <w:rFonts w:hint="eastAsia" w:ascii="宋体" w:hAnsi="宋体"/>
                <w:szCs w:val="21"/>
              </w:rPr>
              <w:t>1</w:t>
            </w:r>
          </w:p>
        </w:tc>
        <w:tc>
          <w:tcPr>
            <w:tcW w:w="1490" w:type="dxa"/>
            <w:vAlign w:val="center"/>
          </w:tcPr>
          <w:p>
            <w:pPr>
              <w:jc w:val="center"/>
              <w:rPr>
                <w:rFonts w:hint="eastAsia" w:ascii="宋体" w:hAnsi="宋体"/>
                <w:szCs w:val="21"/>
              </w:rPr>
            </w:pPr>
            <w:r>
              <w:rPr>
                <w:rFonts w:hint="eastAsia" w:ascii="宋体" w:hAnsi="宋体"/>
                <w:szCs w:val="21"/>
              </w:rPr>
              <w:t>火灾、爆炸事故</w:t>
            </w:r>
          </w:p>
        </w:tc>
        <w:tc>
          <w:tcPr>
            <w:tcW w:w="6279" w:type="dxa"/>
            <w:vAlign w:val="top"/>
          </w:tcPr>
          <w:p>
            <w:pPr>
              <w:numPr>
                <w:ilvl w:val="0"/>
                <w:numId w:val="9"/>
              </w:numPr>
              <w:rPr>
                <w:rFonts w:hint="eastAsia" w:ascii="Times New Roman" w:hAnsi="Times New Roman"/>
                <w:szCs w:val="21"/>
              </w:rPr>
            </w:pPr>
            <w:r>
              <w:rPr>
                <w:rFonts w:ascii="Arial" w:hAnsi="Arial" w:cs="Arial"/>
                <w:szCs w:val="21"/>
                <w:shd w:val="clear" w:color="auto" w:fill="FFFFFF"/>
              </w:rPr>
              <w:t>迅速撤离泄漏污染区人员至安全区，并进行隔离，严格限制出入。切断火源。</w:t>
            </w:r>
          </w:p>
          <w:p>
            <w:pPr>
              <w:numPr>
                <w:ilvl w:val="0"/>
                <w:numId w:val="9"/>
              </w:numPr>
              <w:rPr>
                <w:rFonts w:hint="eastAsia" w:ascii="Times New Roman" w:hAnsi="Times New Roman"/>
                <w:szCs w:val="21"/>
              </w:rPr>
            </w:pPr>
            <w:r>
              <w:rPr>
                <w:rFonts w:hint="eastAsia" w:ascii="Times New Roman" w:hAnsi="Times New Roman"/>
                <w:szCs w:val="21"/>
              </w:rPr>
              <w:t>关闭阀门，切断物料来源和各种加热源；</w:t>
            </w:r>
          </w:p>
          <w:p>
            <w:pPr>
              <w:numPr>
                <w:ilvl w:val="0"/>
                <w:numId w:val="9"/>
              </w:numPr>
              <w:rPr>
                <w:rFonts w:hint="eastAsia" w:ascii="Times New Roman" w:hAnsi="Times New Roman"/>
                <w:szCs w:val="21"/>
              </w:rPr>
            </w:pPr>
            <w:r>
              <w:rPr>
                <w:rFonts w:hint="eastAsia" w:ascii="Times New Roman" w:hAnsi="Times New Roman"/>
                <w:szCs w:val="21"/>
              </w:rPr>
              <w:t>开启冷却水，进行冷却和有效的隔离；</w:t>
            </w:r>
          </w:p>
          <w:p>
            <w:pPr>
              <w:numPr>
                <w:ilvl w:val="0"/>
                <w:numId w:val="9"/>
              </w:numPr>
              <w:rPr>
                <w:rFonts w:hint="eastAsia" w:ascii="Times New Roman" w:hAnsi="Times New Roman"/>
                <w:szCs w:val="21"/>
              </w:rPr>
            </w:pPr>
            <w:r>
              <w:rPr>
                <w:rFonts w:hint="eastAsia" w:ascii="Times New Roman" w:hAnsi="Times New Roman"/>
                <w:szCs w:val="21"/>
              </w:rPr>
              <w:t>关闭机械通风装置，防止风助火势或沿通风管道蔓延；以有效的控制火势，有利于灭火。</w:t>
            </w:r>
          </w:p>
          <w:p>
            <w:pPr>
              <w:numPr>
                <w:ilvl w:val="0"/>
                <w:numId w:val="9"/>
              </w:numPr>
              <w:rPr>
                <w:rFonts w:hint="eastAsia" w:ascii="Times New Roman" w:hAnsi="Times New Roman"/>
                <w:szCs w:val="21"/>
              </w:rPr>
            </w:pPr>
            <w:r>
              <w:rPr>
                <w:rFonts w:hint="eastAsia" w:ascii="Times New Roman" w:hAnsi="Times New Roman"/>
                <w:szCs w:val="21"/>
              </w:rPr>
              <w:t>果断作出是否需要全装置或局部工段停止的决定；</w:t>
            </w:r>
          </w:p>
          <w:p>
            <w:pPr>
              <w:numPr>
                <w:ilvl w:val="0"/>
                <w:numId w:val="9"/>
              </w:numPr>
              <w:rPr>
                <w:rFonts w:hint="eastAsia" w:ascii="Times New Roman" w:hAnsi="Times New Roman"/>
                <w:szCs w:val="21"/>
              </w:rPr>
            </w:pPr>
            <w:r>
              <w:rPr>
                <w:rFonts w:hint="eastAsia" w:ascii="Times New Roman" w:hAnsi="Times New Roman"/>
                <w:szCs w:val="21"/>
              </w:rPr>
              <w:t>利用装置内的消防设施及灭火器材进行灭火。</w:t>
            </w:r>
          </w:p>
          <w:p>
            <w:pPr>
              <w:numPr>
                <w:ilvl w:val="0"/>
                <w:numId w:val="9"/>
              </w:numPr>
              <w:rPr>
                <w:rFonts w:hint="eastAsia" w:ascii="Times New Roman" w:hAnsi="Times New Roman"/>
                <w:szCs w:val="21"/>
              </w:rPr>
            </w:pPr>
            <w:r>
              <w:rPr>
                <w:rFonts w:hint="eastAsia" w:ascii="Times New Roman" w:hAnsi="Times New Roman"/>
                <w:szCs w:val="21"/>
              </w:rPr>
              <w:t>保护重要设备，转移危险物资。</w:t>
            </w:r>
          </w:p>
          <w:p>
            <w:pPr>
              <w:numPr>
                <w:ilvl w:val="0"/>
                <w:numId w:val="9"/>
              </w:numPr>
              <w:rPr>
                <w:rFonts w:hint="eastAsia" w:ascii="Times New Roman" w:hAnsi="Times New Roman"/>
                <w:szCs w:val="21"/>
              </w:rPr>
            </w:pPr>
            <w:r>
              <w:rPr>
                <w:rFonts w:ascii="Arial" w:hAnsi="Arial" w:cs="Arial"/>
                <w:szCs w:val="21"/>
                <w:shd w:val="clear" w:color="auto" w:fill="FFFFFF"/>
              </w:rPr>
              <w:t>应急处理人员戴自给正压式呼吸器，穿防静电工作服。尽可能切断泄漏源。防止流入下水道、排洪沟等限制性空间。</w:t>
            </w:r>
          </w:p>
        </w:tc>
      </w:tr>
    </w:tbl>
    <w:p>
      <w:pPr>
        <w:pStyle w:val="4"/>
        <w:rPr>
          <w:rFonts w:hint="eastAsia" w:ascii="Times New Roman" w:hAnsi="Times New Roman" w:eastAsia="仿宋"/>
          <w:bCs w:val="0"/>
          <w:kern w:val="0"/>
          <w:szCs w:val="24"/>
        </w:rPr>
      </w:pPr>
      <w:r>
        <w:rPr>
          <w:rFonts w:hint="eastAsia"/>
          <w:bCs w:val="0"/>
          <w:szCs w:val="24"/>
        </w:rPr>
        <w:t>7.1.2化学品泄漏处置措施</w:t>
      </w:r>
    </w:p>
    <w:p>
      <w:pPr>
        <w:spacing w:line="360" w:lineRule="auto"/>
        <w:ind w:firstLine="480" w:firstLineChars="200"/>
        <w:rPr>
          <w:rFonts w:hint="eastAsia" w:ascii="Times New Roman" w:hAnsi="Times New Roman"/>
          <w:sz w:val="24"/>
          <w:szCs w:val="24"/>
        </w:rPr>
      </w:pPr>
      <w:r>
        <w:rPr>
          <w:rFonts w:hint="eastAsia" w:ascii="Times New Roman" w:hAnsi="Times New Roman"/>
          <w:sz w:val="24"/>
          <w:szCs w:val="24"/>
        </w:rPr>
        <w:t>化学品泄漏事故包括化学品的喷溅、泄漏和蒸汽泄漏事故。对于化学品泄漏事故，事故指挥人员应明确以下信息：泄漏的化学品种类；蒸汽云下风向环境情况；泄漏源位置；泄漏是否可控；泄漏过程描述；点火源是否在扩散通道上；泄漏后果；估计控制时间；是否存在蒸汽云及其位置；蒸汽云是否可燃；确定是否扩大应急。</w:t>
      </w:r>
    </w:p>
    <w:p>
      <w:pPr>
        <w:spacing w:line="360" w:lineRule="auto"/>
        <w:ind w:firstLine="480" w:firstLineChars="200"/>
        <w:rPr>
          <w:rFonts w:hint="eastAsia" w:ascii="Times New Roman" w:hAnsi="Times New Roman"/>
          <w:sz w:val="24"/>
          <w:szCs w:val="24"/>
        </w:rPr>
      </w:pPr>
      <w:r>
        <w:rPr>
          <w:rFonts w:hint="eastAsia" w:ascii="Times New Roman" w:hAnsi="Times New Roman"/>
          <w:sz w:val="24"/>
          <w:szCs w:val="24"/>
        </w:rPr>
        <w:t>化学品泄漏事故可采取如下措施：</w:t>
      </w:r>
    </w:p>
    <w:tbl>
      <w:tblPr>
        <w:tblStyle w:val="21"/>
        <w:tblW w:w="850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6"/>
        <w:gridCol w:w="1490"/>
        <w:gridCol w:w="62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0" w:hRule="atLeast"/>
          <w:jc w:val="center"/>
        </w:trPr>
        <w:tc>
          <w:tcPr>
            <w:tcW w:w="736" w:type="dxa"/>
            <w:vAlign w:val="center"/>
          </w:tcPr>
          <w:p>
            <w:pPr>
              <w:jc w:val="center"/>
              <w:rPr>
                <w:rFonts w:hint="eastAsia" w:ascii="Times New Roman" w:hAnsi="Times New Roman"/>
                <w:sz w:val="24"/>
                <w:szCs w:val="24"/>
              </w:rPr>
            </w:pPr>
            <w:r>
              <w:rPr>
                <w:rFonts w:hint="eastAsia" w:ascii="Times New Roman" w:hAnsi="Times New Roman"/>
                <w:sz w:val="24"/>
                <w:szCs w:val="24"/>
              </w:rPr>
              <w:t>序号</w:t>
            </w:r>
          </w:p>
        </w:tc>
        <w:tc>
          <w:tcPr>
            <w:tcW w:w="1490" w:type="dxa"/>
            <w:vAlign w:val="center"/>
          </w:tcPr>
          <w:p>
            <w:pPr>
              <w:jc w:val="center"/>
              <w:rPr>
                <w:rFonts w:hint="eastAsia" w:ascii="Times New Roman" w:hAnsi="Times New Roman"/>
                <w:sz w:val="24"/>
                <w:szCs w:val="24"/>
              </w:rPr>
            </w:pPr>
            <w:r>
              <w:rPr>
                <w:rFonts w:hint="eastAsia" w:ascii="Times New Roman" w:hAnsi="Times New Roman"/>
                <w:sz w:val="24"/>
                <w:szCs w:val="24"/>
              </w:rPr>
              <w:t>事故类型</w:t>
            </w:r>
          </w:p>
        </w:tc>
        <w:tc>
          <w:tcPr>
            <w:tcW w:w="6279" w:type="dxa"/>
            <w:vAlign w:val="top"/>
          </w:tcPr>
          <w:p>
            <w:pPr>
              <w:rPr>
                <w:rFonts w:hint="eastAsia" w:ascii="Times New Roman" w:hAnsi="Times New Roman"/>
                <w:sz w:val="24"/>
                <w:szCs w:val="24"/>
              </w:rPr>
            </w:pPr>
            <w:r>
              <w:rPr>
                <w:rFonts w:hint="eastAsia" w:ascii="Times New Roman" w:hAnsi="Times New Roman"/>
                <w:sz w:val="24"/>
                <w:szCs w:val="24"/>
              </w:rPr>
              <w:t>现场应急处置措施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11" w:hRule="atLeast"/>
          <w:jc w:val="center"/>
        </w:trPr>
        <w:tc>
          <w:tcPr>
            <w:tcW w:w="736" w:type="dxa"/>
            <w:vAlign w:val="center"/>
          </w:tcPr>
          <w:p>
            <w:pPr>
              <w:jc w:val="center"/>
              <w:rPr>
                <w:rFonts w:hint="eastAsia" w:ascii="宋体" w:hAnsi="宋体"/>
                <w:szCs w:val="21"/>
              </w:rPr>
            </w:pPr>
            <w:r>
              <w:rPr>
                <w:rFonts w:hint="eastAsia" w:ascii="宋体" w:hAnsi="宋体"/>
                <w:szCs w:val="21"/>
              </w:rPr>
              <w:t>1</w:t>
            </w:r>
          </w:p>
        </w:tc>
        <w:tc>
          <w:tcPr>
            <w:tcW w:w="1490" w:type="dxa"/>
            <w:vAlign w:val="center"/>
          </w:tcPr>
          <w:p>
            <w:pPr>
              <w:jc w:val="center"/>
              <w:rPr>
                <w:rFonts w:hint="eastAsia" w:ascii="宋体" w:hAnsi="宋体"/>
                <w:szCs w:val="21"/>
              </w:rPr>
            </w:pPr>
            <w:r>
              <w:rPr>
                <w:rFonts w:hint="eastAsia" w:ascii="宋体" w:hAnsi="宋体"/>
                <w:szCs w:val="21"/>
              </w:rPr>
              <w:t>氨水泄漏</w:t>
            </w:r>
          </w:p>
        </w:tc>
        <w:tc>
          <w:tcPr>
            <w:tcW w:w="6279" w:type="dxa"/>
            <w:vAlign w:val="top"/>
          </w:tcPr>
          <w:p>
            <w:pPr>
              <w:pStyle w:val="38"/>
              <w:shd w:val="clear" w:color="auto" w:fill="FFFFFF"/>
              <w:spacing w:before="0" w:beforeAutospacing="0" w:after="0" w:afterAutospacing="0"/>
              <w:rPr>
                <w:rFonts w:ascii="Times New Roman" w:hAnsi="Times New Roman" w:cs="Times New Roman"/>
                <w:color w:val="000000"/>
                <w:sz w:val="21"/>
                <w:szCs w:val="21"/>
              </w:rPr>
            </w:pPr>
            <w:r>
              <w:rPr>
                <w:rFonts w:ascii="Times New Roman" w:hAnsi="Times New Roman" w:cs="Times New Roman"/>
                <w:spacing w:val="8"/>
                <w:sz w:val="21"/>
                <w:szCs w:val="21"/>
              </w:rPr>
              <w:t>1.</w:t>
            </w:r>
            <w:r>
              <w:rPr>
                <w:rFonts w:ascii="Times New Roman" w:hAnsi="Times New Roman" w:cs="Times New Roman"/>
                <w:color w:val="000000"/>
                <w:sz w:val="21"/>
                <w:szCs w:val="21"/>
              </w:rPr>
              <w:t xml:space="preserve"> </w:t>
            </w:r>
            <w:r>
              <w:rPr>
                <w:rFonts w:ascii="Times New Roman" w:cs="Times New Roman"/>
                <w:color w:val="000000"/>
                <w:sz w:val="21"/>
                <w:szCs w:val="21"/>
              </w:rPr>
              <w:t>事故岗位发现</w:t>
            </w:r>
            <w:r>
              <w:rPr>
                <w:rFonts w:hint="eastAsia" w:ascii="Times New Roman" w:cs="Times New Roman"/>
                <w:color w:val="000000"/>
                <w:sz w:val="21"/>
                <w:szCs w:val="21"/>
              </w:rPr>
              <w:t>氨水</w:t>
            </w:r>
            <w:r>
              <w:rPr>
                <w:rFonts w:ascii="Times New Roman" w:cs="Times New Roman"/>
                <w:color w:val="000000"/>
                <w:sz w:val="21"/>
                <w:szCs w:val="21"/>
              </w:rPr>
              <w:t>泄漏，应迅速查明事故发生的泄漏部位和原因，及时关闭主要阀门，切断</w:t>
            </w:r>
            <w:r>
              <w:rPr>
                <w:rFonts w:hint="eastAsia" w:ascii="Times New Roman" w:cs="Times New Roman"/>
                <w:color w:val="000000"/>
                <w:sz w:val="21"/>
                <w:szCs w:val="21"/>
              </w:rPr>
              <w:t>氨水</w:t>
            </w:r>
            <w:r>
              <w:rPr>
                <w:rFonts w:ascii="Times New Roman" w:cs="Times New Roman"/>
                <w:color w:val="000000"/>
                <w:sz w:val="21"/>
                <w:szCs w:val="21"/>
              </w:rPr>
              <w:t>外泄通道，用抹布包扎漏点进行自救并汇报当班班长。若泄漏部位自己不能控制的，应向上级报告并启动车间救援小组，提出堵漏或抢修的具体措施，努力降低事故影响</w:t>
            </w:r>
            <w:r>
              <w:rPr>
                <w:rFonts w:hint="eastAsia" w:ascii="Times New Roman" w:cs="Times New Roman"/>
                <w:color w:val="000000"/>
                <w:sz w:val="21"/>
                <w:szCs w:val="21"/>
              </w:rPr>
              <w:t>。</w:t>
            </w:r>
          </w:p>
          <w:p>
            <w:pPr>
              <w:rPr>
                <w:rFonts w:hint="eastAsia" w:ascii="宋体" w:hAnsi="宋体"/>
                <w:spacing w:val="8"/>
              </w:rPr>
            </w:pPr>
            <w:r>
              <w:rPr>
                <w:rFonts w:hint="eastAsia" w:ascii="宋体" w:hAnsi="宋体"/>
                <w:spacing w:val="8"/>
              </w:rPr>
              <w:t>2.隔离泄漏污染区，周围设警告标志，限制出入。应急处理人员应当带好防毒面具，穿防酸工作服，并配备防酸手套和防酸工作靴，到裂痕处查看情况，确定裂痕严重程度。通知工艺管理人员立即联系生产科，协调将储罐中的氨水运走。将储罐倒空后，进行注水处理。</w:t>
            </w:r>
          </w:p>
          <w:p>
            <w:pPr>
              <w:rPr>
                <w:rFonts w:hint="eastAsia" w:ascii="Times New Roman" w:hAnsi="Times New Roman"/>
                <w:szCs w:val="21"/>
              </w:rPr>
            </w:pPr>
            <w:r>
              <w:rPr>
                <w:rFonts w:hint="eastAsia" w:ascii="宋体" w:hAnsi="宋体"/>
                <w:spacing w:val="8"/>
              </w:rPr>
              <w:t>3.用砂土、干燥石灰或苏打灰混合，也可以用大量水冲洗，但不可形成直流冲击，以免喷溅。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11" w:hRule="atLeast"/>
          <w:jc w:val="center"/>
        </w:trPr>
        <w:tc>
          <w:tcPr>
            <w:tcW w:w="736" w:type="dxa"/>
            <w:vAlign w:val="center"/>
          </w:tcPr>
          <w:p>
            <w:pPr>
              <w:jc w:val="center"/>
              <w:rPr>
                <w:rFonts w:hint="eastAsia" w:ascii="宋体" w:hAnsi="宋体"/>
                <w:szCs w:val="21"/>
              </w:rPr>
            </w:pPr>
            <w:r>
              <w:rPr>
                <w:rFonts w:hint="eastAsia" w:ascii="宋体" w:hAnsi="宋体"/>
                <w:szCs w:val="21"/>
              </w:rPr>
              <w:t>2</w:t>
            </w:r>
          </w:p>
        </w:tc>
        <w:tc>
          <w:tcPr>
            <w:tcW w:w="1490" w:type="dxa"/>
            <w:vAlign w:val="center"/>
          </w:tcPr>
          <w:p>
            <w:pPr>
              <w:jc w:val="center"/>
              <w:rPr>
                <w:rFonts w:ascii="Times New Roman" w:hAnsi="Times New Roman"/>
                <w:szCs w:val="21"/>
              </w:rPr>
            </w:pPr>
            <w:r>
              <w:rPr>
                <w:rFonts w:ascii="Times New Roman" w:hAnsi="宋体"/>
                <w:szCs w:val="21"/>
              </w:rPr>
              <w:t>柴油泄漏</w:t>
            </w:r>
          </w:p>
        </w:tc>
        <w:tc>
          <w:tcPr>
            <w:tcW w:w="6279" w:type="dxa"/>
            <w:vAlign w:val="top"/>
          </w:tcPr>
          <w:p>
            <w:pPr>
              <w:pStyle w:val="38"/>
              <w:shd w:val="clear" w:color="auto" w:fill="FFFFFF"/>
              <w:spacing w:before="0" w:beforeAutospacing="0" w:after="0" w:afterAutospacing="0"/>
              <w:rPr>
                <w:rFonts w:ascii="Times New Roman" w:hAnsi="Times New Roman" w:cs="Times New Roman"/>
                <w:color w:val="000000"/>
                <w:sz w:val="21"/>
                <w:szCs w:val="21"/>
              </w:rPr>
            </w:pPr>
            <w:r>
              <w:rPr>
                <w:rFonts w:ascii="Times New Roman" w:hAnsi="Times New Roman" w:cs="Times New Roman"/>
                <w:spacing w:val="8"/>
                <w:sz w:val="21"/>
                <w:szCs w:val="21"/>
              </w:rPr>
              <w:t>1.</w:t>
            </w:r>
            <w:r>
              <w:rPr>
                <w:rFonts w:ascii="Times New Roman" w:hAnsi="Times New Roman" w:cs="Times New Roman"/>
                <w:color w:val="000000"/>
                <w:sz w:val="21"/>
                <w:szCs w:val="21"/>
              </w:rPr>
              <w:t xml:space="preserve"> </w:t>
            </w:r>
            <w:r>
              <w:rPr>
                <w:rFonts w:ascii="Times New Roman" w:cs="Times New Roman"/>
                <w:color w:val="000000"/>
                <w:sz w:val="21"/>
                <w:szCs w:val="21"/>
              </w:rPr>
              <w:t>事故岗位发现柴油泄漏，应迅速查明事故发生的泄漏部位和原因，及时关闭主要阀门，切断柴油外泄通道，用抹布包扎漏点进行自救并汇报当班班长。若泄漏部位自己不能控制的，应向上级报告并启动车间救援小组，提出堵漏或抢修的具体措施，努力降低事故影响</w:t>
            </w:r>
            <w:r>
              <w:rPr>
                <w:rFonts w:hint="eastAsia" w:ascii="Times New Roman" w:cs="Times New Roman"/>
                <w:color w:val="000000"/>
                <w:sz w:val="21"/>
                <w:szCs w:val="21"/>
              </w:rPr>
              <w:t>。</w:t>
            </w:r>
          </w:p>
          <w:p>
            <w:pPr>
              <w:rPr>
                <w:rFonts w:ascii="Times New Roman" w:hAnsi="Times New Roman"/>
                <w:spacing w:val="8"/>
                <w:szCs w:val="21"/>
              </w:rPr>
            </w:pPr>
            <w:r>
              <w:rPr>
                <w:rFonts w:hint="eastAsia" w:ascii="Times New Roman" w:hAnsi="宋体"/>
                <w:spacing w:val="8"/>
                <w:szCs w:val="21"/>
              </w:rPr>
              <w:t>2、</w:t>
            </w:r>
            <w:r>
              <w:rPr>
                <w:rFonts w:ascii="Times New Roman" w:hAnsi="宋体"/>
                <w:spacing w:val="8"/>
                <w:szCs w:val="21"/>
              </w:rPr>
              <w:t>隔离泄漏污染区，周围设警告标志，限制出入。应急处理人员应当带好工作服、手套和工作靴，到裂痕处查看情况，确定裂痕严重程度。通知工艺管理人员立即联系生产科，协调将储罐中的柴油运走。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11" w:hRule="atLeast"/>
          <w:jc w:val="center"/>
        </w:trPr>
        <w:tc>
          <w:tcPr>
            <w:tcW w:w="736" w:type="dxa"/>
            <w:vAlign w:val="center"/>
          </w:tcPr>
          <w:p>
            <w:pPr>
              <w:jc w:val="center"/>
              <w:rPr>
                <w:rFonts w:hint="eastAsia" w:ascii="宋体" w:hAnsi="宋体"/>
                <w:szCs w:val="21"/>
              </w:rPr>
            </w:pPr>
            <w:r>
              <w:rPr>
                <w:rFonts w:hint="eastAsia" w:ascii="宋体" w:hAnsi="宋体"/>
                <w:szCs w:val="21"/>
              </w:rPr>
              <w:t>3</w:t>
            </w:r>
          </w:p>
        </w:tc>
        <w:tc>
          <w:tcPr>
            <w:tcW w:w="1490" w:type="dxa"/>
            <w:vAlign w:val="center"/>
          </w:tcPr>
          <w:p>
            <w:pPr>
              <w:jc w:val="center"/>
              <w:rPr>
                <w:rFonts w:hint="eastAsia" w:ascii="宋体" w:hAnsi="宋体"/>
                <w:szCs w:val="21"/>
              </w:rPr>
            </w:pPr>
            <w:r>
              <w:rPr>
                <w:rFonts w:hint="eastAsia" w:ascii="宋体" w:hAnsi="宋体"/>
                <w:szCs w:val="21"/>
              </w:rPr>
              <w:t>润滑油泄漏</w:t>
            </w:r>
          </w:p>
        </w:tc>
        <w:tc>
          <w:tcPr>
            <w:tcW w:w="6279" w:type="dxa"/>
            <w:vAlign w:val="center"/>
          </w:tcPr>
          <w:p>
            <w:pPr>
              <w:jc w:val="left"/>
              <w:rPr>
                <w:rFonts w:hint="eastAsia" w:ascii="宋体" w:hAnsi="宋体"/>
                <w:spacing w:val="8"/>
              </w:rPr>
            </w:pPr>
            <w:r>
              <w:rPr>
                <w:rFonts w:hint="eastAsia" w:ascii="宋体" w:hAnsi="宋体"/>
                <w:spacing w:val="8"/>
              </w:rPr>
              <w:t>1.用消防沙吸附遗留的润滑油。</w:t>
            </w:r>
          </w:p>
        </w:tc>
      </w:tr>
    </w:tbl>
    <w:p>
      <w:pPr>
        <w:spacing w:line="360" w:lineRule="auto"/>
        <w:rPr>
          <w:rFonts w:hint="eastAsia" w:ascii="Times New Roman" w:hAnsi="Times New Roman"/>
          <w:b/>
          <w:sz w:val="24"/>
          <w:szCs w:val="24"/>
        </w:rPr>
      </w:pPr>
      <w:r>
        <w:rPr>
          <w:rFonts w:hint="eastAsia" w:ascii="Times New Roman" w:hAnsi="Times New Roman"/>
          <w:b/>
          <w:sz w:val="24"/>
          <w:szCs w:val="24"/>
        </w:rPr>
        <w:t>7.1.3事故废水和消防废水处理</w:t>
      </w:r>
    </w:p>
    <w:tbl>
      <w:tblPr>
        <w:tblStyle w:val="21"/>
        <w:tblW w:w="8505" w:type="dxa"/>
        <w:jc w:val="center"/>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736"/>
        <w:gridCol w:w="1490"/>
        <w:gridCol w:w="6279"/>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440" w:hRule="atLeast"/>
          <w:jc w:val="center"/>
        </w:trPr>
        <w:tc>
          <w:tcPr>
            <w:tcW w:w="736" w:type="dxa"/>
            <w:vAlign w:val="center"/>
          </w:tcPr>
          <w:p>
            <w:pPr>
              <w:spacing w:line="440" w:lineRule="exact"/>
              <w:jc w:val="center"/>
              <w:rPr>
                <w:rFonts w:hint="eastAsia" w:ascii="Times New Roman" w:hAnsi="Times New Roman"/>
                <w:sz w:val="24"/>
                <w:szCs w:val="24"/>
              </w:rPr>
            </w:pPr>
            <w:r>
              <w:rPr>
                <w:rFonts w:hint="eastAsia" w:ascii="Times New Roman" w:hAnsi="Times New Roman"/>
                <w:sz w:val="24"/>
                <w:szCs w:val="24"/>
              </w:rPr>
              <w:t>序号</w:t>
            </w:r>
          </w:p>
        </w:tc>
        <w:tc>
          <w:tcPr>
            <w:tcW w:w="1490" w:type="dxa"/>
            <w:vAlign w:val="center"/>
          </w:tcPr>
          <w:p>
            <w:pPr>
              <w:spacing w:line="440" w:lineRule="exact"/>
              <w:jc w:val="center"/>
              <w:rPr>
                <w:rFonts w:hint="eastAsia" w:ascii="Times New Roman" w:hAnsi="Times New Roman"/>
                <w:sz w:val="24"/>
                <w:szCs w:val="24"/>
              </w:rPr>
            </w:pPr>
            <w:r>
              <w:rPr>
                <w:rFonts w:hint="eastAsia" w:ascii="Times New Roman" w:hAnsi="Times New Roman"/>
                <w:sz w:val="24"/>
                <w:szCs w:val="24"/>
              </w:rPr>
              <w:t>事故类型</w:t>
            </w:r>
          </w:p>
        </w:tc>
        <w:tc>
          <w:tcPr>
            <w:tcW w:w="6279" w:type="dxa"/>
            <w:vAlign w:val="top"/>
          </w:tcPr>
          <w:p>
            <w:pPr>
              <w:spacing w:line="440" w:lineRule="exact"/>
              <w:rPr>
                <w:rFonts w:hint="eastAsia" w:ascii="Times New Roman" w:hAnsi="Times New Roman"/>
                <w:sz w:val="24"/>
                <w:szCs w:val="24"/>
              </w:rPr>
            </w:pPr>
            <w:r>
              <w:rPr>
                <w:rFonts w:hint="eastAsia" w:ascii="Times New Roman" w:hAnsi="Times New Roman"/>
                <w:sz w:val="24"/>
                <w:szCs w:val="24"/>
              </w:rPr>
              <w:t>现场应急处置措施</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611" w:hRule="atLeast"/>
          <w:jc w:val="center"/>
        </w:trPr>
        <w:tc>
          <w:tcPr>
            <w:tcW w:w="736" w:type="dxa"/>
            <w:vAlign w:val="center"/>
          </w:tcPr>
          <w:p>
            <w:pPr>
              <w:jc w:val="center"/>
              <w:rPr>
                <w:rFonts w:hint="eastAsia" w:ascii="宋体" w:hAnsi="宋体"/>
                <w:szCs w:val="21"/>
              </w:rPr>
            </w:pPr>
            <w:r>
              <w:rPr>
                <w:rFonts w:hint="eastAsia" w:ascii="宋体" w:hAnsi="宋体"/>
                <w:szCs w:val="21"/>
              </w:rPr>
              <w:t>1</w:t>
            </w:r>
          </w:p>
        </w:tc>
        <w:tc>
          <w:tcPr>
            <w:tcW w:w="1490" w:type="dxa"/>
            <w:vAlign w:val="center"/>
          </w:tcPr>
          <w:p>
            <w:pPr>
              <w:jc w:val="center"/>
              <w:rPr>
                <w:rFonts w:hint="eastAsia" w:ascii="宋体" w:hAnsi="宋体"/>
                <w:szCs w:val="21"/>
              </w:rPr>
            </w:pPr>
            <w:r>
              <w:rPr>
                <w:rFonts w:hint="eastAsia" w:ascii="宋体" w:hAnsi="宋体"/>
                <w:szCs w:val="21"/>
              </w:rPr>
              <w:t>消防废水、事故废水</w:t>
            </w:r>
          </w:p>
        </w:tc>
        <w:tc>
          <w:tcPr>
            <w:tcW w:w="6279" w:type="dxa"/>
            <w:vAlign w:val="top"/>
          </w:tcPr>
          <w:p>
            <w:pPr>
              <w:numPr>
                <w:ilvl w:val="0"/>
                <w:numId w:val="10"/>
              </w:numPr>
              <w:rPr>
                <w:rFonts w:hint="eastAsia" w:ascii="Times New Roman" w:hAnsi="Times New Roman"/>
                <w:szCs w:val="21"/>
              </w:rPr>
            </w:pPr>
            <w:r>
              <w:rPr>
                <w:rFonts w:hint="eastAsia" w:ascii="Times New Roman" w:hAnsi="Times New Roman"/>
                <w:szCs w:val="21"/>
              </w:rPr>
              <w:t>采用沙袋设临时导流、围堰（无围堰）。</w:t>
            </w:r>
          </w:p>
          <w:p>
            <w:pPr>
              <w:numPr>
                <w:ilvl w:val="0"/>
                <w:numId w:val="10"/>
              </w:numPr>
              <w:rPr>
                <w:rFonts w:hint="eastAsia" w:ascii="Times New Roman" w:hAnsi="Times New Roman"/>
                <w:szCs w:val="21"/>
              </w:rPr>
            </w:pPr>
            <w:r>
              <w:rPr>
                <w:rFonts w:hint="eastAsia" w:ascii="Times New Roman" w:hAnsi="Times New Roman"/>
                <w:szCs w:val="21"/>
              </w:rPr>
              <w:t>事故废水经收集后排入事故收集池，及时通知罐车，外运处置。</w:t>
            </w:r>
          </w:p>
        </w:tc>
      </w:tr>
    </w:tbl>
    <w:p>
      <w:pPr>
        <w:pStyle w:val="3"/>
        <w:rPr>
          <w:rFonts w:hint="eastAsia"/>
        </w:rPr>
      </w:pPr>
      <w:bookmarkStart w:id="699" w:name="_Toc338230966"/>
      <w:bookmarkStart w:id="700" w:name="_Toc338228612"/>
      <w:bookmarkStart w:id="701" w:name="_Toc461048124"/>
      <w:r>
        <w:rPr>
          <w:rFonts w:hint="eastAsia"/>
        </w:rPr>
        <w:t>7.2人员疏散方案</w:t>
      </w:r>
      <w:bookmarkEnd w:id="699"/>
      <w:bookmarkEnd w:id="700"/>
      <w:bookmarkEnd w:id="701"/>
    </w:p>
    <w:p>
      <w:pPr>
        <w:spacing w:line="360" w:lineRule="auto"/>
        <w:ind w:firstLine="480" w:firstLineChars="200"/>
        <w:rPr>
          <w:rFonts w:hint="eastAsia" w:ascii="Times New Roman" w:hAnsi="Times New Roman"/>
          <w:sz w:val="24"/>
          <w:szCs w:val="24"/>
        </w:rPr>
      </w:pPr>
      <w:r>
        <w:rPr>
          <w:rFonts w:hint="eastAsia" w:ascii="Times New Roman" w:hAnsi="Times New Roman"/>
          <w:sz w:val="24"/>
          <w:szCs w:val="24"/>
        </w:rPr>
        <w:t>听到各区域需要疏散人员警报时，区域内的人员在指挥部现场人员带领下迅速、有效撤离危险区域，并到指定地点结合，从而避免人员伤亡。装置负责人在撤离前，利用最短时间，关闭该区域内可能会引起更大事故的电源和管道阀门等。</w:t>
      </w:r>
    </w:p>
    <w:p>
      <w:pPr>
        <w:spacing w:line="360" w:lineRule="auto"/>
        <w:rPr>
          <w:rFonts w:hint="eastAsia" w:ascii="Times New Roman" w:hAnsi="Times New Roman"/>
          <w:b/>
          <w:sz w:val="24"/>
          <w:szCs w:val="24"/>
        </w:rPr>
      </w:pPr>
      <w:r>
        <w:rPr>
          <w:rFonts w:hint="eastAsia" w:ascii="Times New Roman" w:hAnsi="Times New Roman"/>
          <w:b/>
          <w:sz w:val="24"/>
          <w:szCs w:val="24"/>
        </w:rPr>
        <w:t>7.2.1 事故现场人员的撤离</w:t>
      </w:r>
    </w:p>
    <w:p>
      <w:pPr>
        <w:spacing w:line="360" w:lineRule="auto"/>
        <w:ind w:firstLine="480" w:firstLineChars="200"/>
        <w:rPr>
          <w:rFonts w:hint="eastAsia" w:ascii="Times New Roman" w:hAnsi="Times New Roman"/>
          <w:sz w:val="24"/>
          <w:szCs w:val="24"/>
        </w:rPr>
      </w:pPr>
      <w:r>
        <w:rPr>
          <w:rFonts w:hint="eastAsia" w:ascii="Times New Roman" w:hAnsi="Times New Roman"/>
          <w:sz w:val="24"/>
          <w:szCs w:val="24"/>
        </w:rPr>
        <w:t>指挥部现场人员有秩序的疏散到上风口安全地带，疏散顺序从最危险地段人员开始，相互兼顾照应，并根据当时的风向指明集合地点。人员在安全地点集合，班组长负责清点本班人数，并向指挥部或值班班长报告人员情况。发现缺员，应报告所缺员工的姓名和事故前所处位置，立即派人进入灾区寻找失踪人员，提供急救。</w:t>
      </w:r>
    </w:p>
    <w:p>
      <w:pPr>
        <w:spacing w:line="360" w:lineRule="auto"/>
        <w:rPr>
          <w:rFonts w:hint="eastAsia" w:ascii="Times New Roman" w:hAnsi="Times New Roman"/>
          <w:b/>
          <w:sz w:val="24"/>
          <w:szCs w:val="24"/>
        </w:rPr>
      </w:pPr>
      <w:r>
        <w:rPr>
          <w:rFonts w:hint="eastAsia" w:ascii="Times New Roman" w:hAnsi="Times New Roman"/>
          <w:b/>
          <w:sz w:val="24"/>
          <w:szCs w:val="24"/>
        </w:rPr>
        <w:t>7.2.2 抢救人员在撤离前、撤离后的报告</w:t>
      </w:r>
    </w:p>
    <w:p>
      <w:pPr>
        <w:spacing w:line="360" w:lineRule="auto"/>
        <w:ind w:firstLine="480" w:firstLineChars="200"/>
        <w:rPr>
          <w:rFonts w:hint="eastAsia" w:ascii="Times New Roman" w:hAnsi="Times New Roman"/>
          <w:sz w:val="24"/>
          <w:szCs w:val="24"/>
        </w:rPr>
      </w:pPr>
      <w:r>
        <w:rPr>
          <w:rFonts w:hint="eastAsia" w:ascii="Times New Roman" w:hAnsi="Times New Roman"/>
          <w:sz w:val="24"/>
          <w:szCs w:val="24"/>
        </w:rPr>
        <w:t>负责抢险和救护的人员在接指挥部通知后，立即带上救护和防护装备赶赴现场，等候指令，听从指挥。由组长（或者副组长分工），分批进入事发点进行抢修或救护。在进入事故点前，组长必须向指挥部报告每批参加抢险（或救护）人员数量和名单并登记。</w:t>
      </w:r>
    </w:p>
    <w:p>
      <w:pPr>
        <w:spacing w:line="360" w:lineRule="auto"/>
        <w:ind w:firstLine="570"/>
        <w:rPr>
          <w:rFonts w:hint="eastAsia" w:ascii="Times New Roman" w:hAnsi="Times New Roman"/>
          <w:sz w:val="24"/>
          <w:szCs w:val="24"/>
        </w:rPr>
      </w:pPr>
      <w:r>
        <w:rPr>
          <w:rFonts w:hint="eastAsia" w:ascii="Times New Roman" w:hAnsi="Times New Roman"/>
          <w:sz w:val="24"/>
          <w:szCs w:val="24"/>
        </w:rPr>
        <w:t>抢险（或救护）组完成任务后，组长向指挥部报告任务执行情况以及其抢险（或救护）人员安全状况，申请下达撤离命令，指挥部根据事故控制情况，及时作出撤离或继续抢险（或救护）的决定，组长若接撤离命令后，带领抢险（或救护人员）撤离事故点至安全地带，清点人员，向指挥部报告。</w:t>
      </w:r>
    </w:p>
    <w:p>
      <w:pPr>
        <w:spacing w:line="360" w:lineRule="auto"/>
        <w:rPr>
          <w:rFonts w:hint="eastAsia" w:ascii="Times New Roman" w:hAnsi="Times New Roman"/>
          <w:b/>
          <w:sz w:val="24"/>
          <w:szCs w:val="24"/>
        </w:rPr>
      </w:pPr>
      <w:r>
        <w:rPr>
          <w:rFonts w:hint="eastAsia" w:ascii="Times New Roman" w:hAnsi="Times New Roman"/>
          <w:b/>
          <w:sz w:val="24"/>
          <w:szCs w:val="24"/>
        </w:rPr>
        <w:t>7.2.3周边区域的单位、社区人员疏散的方式、方法</w:t>
      </w:r>
    </w:p>
    <w:p>
      <w:pPr>
        <w:spacing w:line="360" w:lineRule="auto"/>
        <w:ind w:firstLine="480" w:firstLineChars="200"/>
        <w:rPr>
          <w:rFonts w:hint="eastAsia" w:ascii="Times New Roman" w:hAnsi="Times New Roman"/>
          <w:sz w:val="24"/>
          <w:szCs w:val="24"/>
        </w:rPr>
      </w:pPr>
      <w:r>
        <w:rPr>
          <w:rFonts w:hint="eastAsia" w:ascii="Times New Roman" w:hAnsi="Times New Roman"/>
          <w:sz w:val="24"/>
          <w:szCs w:val="24"/>
        </w:rPr>
        <w:t>当事故危及周边单位、社区时，由指挥部人员向政府以及周边单位书面发送警报。事态严重紧急时，通过指挥部直接联系政府以及周边单位负责人，由总指挥部亲自向政府或负责人发布消息，提出要求组织撤离疏散或者请求援助。在发布消息时，必须发布事态的缓急程度，提出撤离的具体方法、方式和路线。撤离方式有步行和车辆运输两种，撤离方法中应明确应采取的预防措施、注意事项、撤离方向和撤离距离。撤离必须是有组织性的。</w:t>
      </w:r>
    </w:p>
    <w:p>
      <w:pPr>
        <w:spacing w:line="360" w:lineRule="auto"/>
        <w:rPr>
          <w:rFonts w:hint="eastAsia" w:ascii="Times New Roman" w:hAnsi="Times New Roman"/>
          <w:b/>
          <w:sz w:val="24"/>
          <w:szCs w:val="24"/>
        </w:rPr>
      </w:pPr>
      <w:r>
        <w:rPr>
          <w:rFonts w:hint="eastAsia" w:ascii="Times New Roman" w:hAnsi="Times New Roman"/>
          <w:b/>
          <w:sz w:val="24"/>
          <w:szCs w:val="24"/>
        </w:rPr>
        <w:t>7.2.4事故现场周边区域道路隔离或交通疏导办法</w:t>
      </w:r>
    </w:p>
    <w:p>
      <w:pPr>
        <w:spacing w:line="360" w:lineRule="auto"/>
        <w:ind w:firstLine="480" w:firstLineChars="200"/>
        <w:rPr>
          <w:rFonts w:hint="eastAsia" w:ascii="Times New Roman" w:hAnsi="Times New Roman"/>
          <w:sz w:val="24"/>
          <w:szCs w:val="24"/>
        </w:rPr>
      </w:pPr>
      <w:r>
        <w:rPr>
          <w:rFonts w:hint="eastAsia" w:ascii="Times New Roman" w:hAnsi="Times New Roman"/>
          <w:sz w:val="24"/>
          <w:szCs w:val="24"/>
        </w:rPr>
        <w:t>（1）事故中心区外的道路疏导由应急疏散组负责，在警戒区的道路口上设置“事故处理，禁止通行”字样标识。并指定专人负责指明道路绕行方向。</w:t>
      </w:r>
    </w:p>
    <w:p>
      <w:pPr>
        <w:spacing w:line="360" w:lineRule="auto"/>
        <w:ind w:firstLine="480" w:firstLineChars="200"/>
        <w:rPr>
          <w:rFonts w:hint="eastAsia" w:ascii="Times New Roman" w:hAnsi="Times New Roman"/>
          <w:sz w:val="24"/>
          <w:szCs w:val="24"/>
        </w:rPr>
      </w:pPr>
      <w:r>
        <w:rPr>
          <w:rFonts w:hint="eastAsia" w:ascii="Times New Roman" w:hAnsi="Times New Roman"/>
          <w:sz w:val="24"/>
          <w:szCs w:val="24"/>
        </w:rPr>
        <w:t>（2）事故波及区外道路由政府交通管理部门负责。禁止任何车辆和人员进入，并负责指明道路绕行方向。</w:t>
      </w:r>
    </w:p>
    <w:p>
      <w:pPr>
        <w:pStyle w:val="3"/>
        <w:rPr>
          <w:rFonts w:hint="eastAsia"/>
        </w:rPr>
      </w:pPr>
      <w:bookmarkStart w:id="702" w:name="_Toc461048125"/>
      <w:bookmarkStart w:id="703" w:name="_Toc338230967"/>
      <w:bookmarkStart w:id="704" w:name="_Toc338228613"/>
      <w:r>
        <w:rPr>
          <w:rFonts w:hint="eastAsia"/>
        </w:rPr>
        <w:t>7.3事故现场隔离区的划定、方法</w:t>
      </w:r>
      <w:bookmarkEnd w:id="702"/>
      <w:bookmarkEnd w:id="703"/>
      <w:bookmarkEnd w:id="704"/>
    </w:p>
    <w:p>
      <w:pPr>
        <w:spacing w:line="360" w:lineRule="auto"/>
        <w:ind w:firstLine="570"/>
        <w:rPr>
          <w:rFonts w:hint="eastAsia" w:ascii="Times New Roman" w:hAnsi="Times New Roman"/>
          <w:sz w:val="24"/>
          <w:szCs w:val="24"/>
        </w:rPr>
      </w:pPr>
      <w:r>
        <w:rPr>
          <w:rFonts w:hint="eastAsia" w:ascii="Times New Roman" w:hAnsi="Times New Roman"/>
          <w:sz w:val="24"/>
          <w:szCs w:val="24"/>
        </w:rPr>
        <w:t>为防止无关人员误入现场造成伤害，按危险区的设定，建立警戒区域，划定事故现场隔离区范围。</w:t>
      </w:r>
    </w:p>
    <w:p>
      <w:pPr>
        <w:spacing w:line="360" w:lineRule="auto"/>
        <w:rPr>
          <w:rFonts w:hint="eastAsia" w:ascii="Times New Roman" w:hAnsi="Times New Roman"/>
          <w:sz w:val="24"/>
          <w:szCs w:val="24"/>
        </w:rPr>
      </w:pPr>
      <w:r>
        <w:rPr>
          <w:rFonts w:hint="eastAsia" w:ascii="Times New Roman" w:hAnsi="Times New Roman"/>
          <w:sz w:val="24"/>
          <w:szCs w:val="24"/>
        </w:rPr>
        <w:t>（1）警戒区域的边界应设警示标志并有专人警戒。</w:t>
      </w:r>
    </w:p>
    <w:p>
      <w:pPr>
        <w:spacing w:line="360" w:lineRule="auto"/>
        <w:ind w:firstLine="360" w:firstLineChars="150"/>
        <w:rPr>
          <w:rFonts w:hint="eastAsia" w:ascii="Times New Roman" w:hAnsi="Times New Roman"/>
          <w:sz w:val="24"/>
          <w:szCs w:val="24"/>
        </w:rPr>
      </w:pPr>
      <w:r>
        <w:rPr>
          <w:rFonts w:hint="eastAsia" w:ascii="Times New Roman" w:hAnsi="Times New Roman"/>
          <w:sz w:val="24"/>
          <w:szCs w:val="24"/>
        </w:rPr>
        <w:t>（2）除消防、应急处理人员以及必须坚持岗位人员外，其他人员禁止进入警戒区。</w:t>
      </w:r>
    </w:p>
    <w:p>
      <w:pPr>
        <w:spacing w:line="360" w:lineRule="auto"/>
        <w:ind w:firstLine="360" w:firstLineChars="150"/>
        <w:rPr>
          <w:rFonts w:hint="eastAsia" w:ascii="Times New Roman" w:hAnsi="Times New Roman"/>
          <w:sz w:val="24"/>
          <w:szCs w:val="24"/>
        </w:rPr>
      </w:pPr>
      <w:r>
        <w:rPr>
          <w:rFonts w:hint="eastAsia" w:ascii="Times New Roman" w:hAnsi="Times New Roman"/>
          <w:sz w:val="24"/>
          <w:szCs w:val="24"/>
        </w:rPr>
        <w:t xml:space="preserve"> （3）注意事故区风向，尤其是下风向周围环境，对事故区厂外道路要实施临时戒严措施。</w:t>
      </w:r>
    </w:p>
    <w:p>
      <w:pPr>
        <w:spacing w:line="360" w:lineRule="auto"/>
        <w:ind w:firstLine="570"/>
        <w:rPr>
          <w:rFonts w:hint="eastAsia" w:ascii="Times New Roman" w:hAnsi="Times New Roman"/>
          <w:sz w:val="24"/>
          <w:szCs w:val="24"/>
        </w:rPr>
      </w:pPr>
      <w:r>
        <w:rPr>
          <w:rFonts w:hint="eastAsia" w:ascii="Times New Roman" w:hAnsi="Times New Roman"/>
          <w:sz w:val="24"/>
          <w:szCs w:val="24"/>
        </w:rPr>
        <w:t xml:space="preserve"> （4）戒严区内严禁火种，迅速控制泄漏扩散区域方向可能产生明火的地点，控制室关严门窗，扑灭火种。限制车辆通行。</w:t>
      </w:r>
    </w:p>
    <w:p>
      <w:pPr>
        <w:spacing w:line="360" w:lineRule="auto"/>
        <w:ind w:firstLine="570"/>
        <w:rPr>
          <w:rFonts w:hint="eastAsia" w:ascii="Times New Roman" w:hAnsi="Times New Roman"/>
          <w:sz w:val="24"/>
          <w:szCs w:val="24"/>
        </w:rPr>
      </w:pPr>
      <w:r>
        <w:rPr>
          <w:rFonts w:hint="eastAsia" w:ascii="Times New Roman" w:hAnsi="Times New Roman"/>
          <w:sz w:val="24"/>
          <w:szCs w:val="24"/>
        </w:rPr>
        <w:t xml:space="preserve"> （5）泄漏的危险物质可能扩散到周边区域，应尽快联络通知对方，说明情况，要求采取避险措施。</w:t>
      </w:r>
    </w:p>
    <w:p>
      <w:pPr>
        <w:spacing w:line="360" w:lineRule="auto"/>
        <w:ind w:firstLine="570"/>
        <w:rPr>
          <w:rFonts w:hint="eastAsia" w:ascii="Times New Roman" w:hAnsi="Times New Roman"/>
          <w:sz w:val="24"/>
          <w:szCs w:val="24"/>
        </w:rPr>
      </w:pPr>
      <w:r>
        <w:rPr>
          <w:rFonts w:hint="eastAsia" w:ascii="Times New Roman" w:hAnsi="Times New Roman"/>
          <w:sz w:val="24"/>
          <w:szCs w:val="24"/>
        </w:rPr>
        <w:t xml:space="preserve"> （6）泄漏的危险物质可能扩散到影响更大的区域，应尽快联络通知各政府职能单位，说明情况，请求协助处理。</w:t>
      </w:r>
    </w:p>
    <w:p>
      <w:pPr>
        <w:pStyle w:val="3"/>
        <w:rPr>
          <w:rFonts w:hint="eastAsia"/>
        </w:rPr>
      </w:pPr>
      <w:bookmarkStart w:id="705" w:name="_Toc338228614"/>
      <w:bookmarkStart w:id="706" w:name="_Toc338230968"/>
      <w:bookmarkStart w:id="707" w:name="_Toc461048126"/>
      <w:r>
        <w:rPr>
          <w:rFonts w:hint="eastAsia"/>
        </w:rPr>
        <w:t>7.4抢险、救援</w:t>
      </w:r>
      <w:bookmarkEnd w:id="705"/>
      <w:bookmarkEnd w:id="706"/>
      <w:bookmarkEnd w:id="707"/>
    </w:p>
    <w:p>
      <w:pPr>
        <w:spacing w:line="360" w:lineRule="auto"/>
        <w:rPr>
          <w:rFonts w:hint="eastAsia" w:ascii="Times New Roman" w:hAnsi="Times New Roman"/>
          <w:b/>
          <w:sz w:val="24"/>
          <w:szCs w:val="24"/>
        </w:rPr>
      </w:pPr>
      <w:r>
        <w:rPr>
          <w:rFonts w:hint="eastAsia" w:ascii="Times New Roman" w:hAnsi="Times New Roman"/>
          <w:b/>
          <w:sz w:val="24"/>
          <w:szCs w:val="24"/>
        </w:rPr>
        <w:t>7.4.1抢救原则</w:t>
      </w:r>
    </w:p>
    <w:p>
      <w:pPr>
        <w:spacing w:line="360" w:lineRule="auto"/>
        <w:rPr>
          <w:rFonts w:hint="eastAsia" w:ascii="Times New Roman" w:hAnsi="Times New Roman"/>
          <w:sz w:val="24"/>
          <w:szCs w:val="24"/>
        </w:rPr>
      </w:pPr>
      <w:r>
        <w:rPr>
          <w:rFonts w:hint="eastAsia" w:ascii="Times New Roman" w:hAnsi="Times New Roman"/>
          <w:sz w:val="24"/>
          <w:szCs w:val="24"/>
        </w:rPr>
        <w:t xml:space="preserve">     （1）发生伤亡事故，抢救、急救工作要分秒必争，及时、果断、正确，不得耽误、拖延。</w:t>
      </w:r>
    </w:p>
    <w:p>
      <w:pPr>
        <w:spacing w:line="360" w:lineRule="auto"/>
        <w:rPr>
          <w:rFonts w:hint="eastAsia" w:ascii="Times New Roman" w:hAnsi="Times New Roman"/>
          <w:sz w:val="24"/>
          <w:szCs w:val="24"/>
        </w:rPr>
      </w:pPr>
      <w:r>
        <w:rPr>
          <w:rFonts w:hint="eastAsia" w:ascii="Times New Roman" w:hAnsi="Times New Roman"/>
          <w:sz w:val="24"/>
          <w:szCs w:val="24"/>
        </w:rPr>
        <w:t xml:space="preserve">     （2）救护人员进入有毒气体区域必须两人以上分组进行。</w:t>
      </w:r>
    </w:p>
    <w:p>
      <w:pPr>
        <w:spacing w:line="360" w:lineRule="auto"/>
        <w:rPr>
          <w:rFonts w:hint="eastAsia" w:ascii="Times New Roman" w:hAnsi="Times New Roman"/>
          <w:sz w:val="24"/>
          <w:szCs w:val="24"/>
        </w:rPr>
      </w:pPr>
      <w:r>
        <w:rPr>
          <w:rFonts w:hint="eastAsia" w:ascii="Times New Roman" w:hAnsi="Times New Roman"/>
          <w:sz w:val="24"/>
          <w:szCs w:val="24"/>
        </w:rPr>
        <w:t xml:space="preserve">     （3）救护人员必须在确保自身安全的前提下进行救护。</w:t>
      </w:r>
    </w:p>
    <w:p>
      <w:pPr>
        <w:spacing w:line="360" w:lineRule="auto"/>
        <w:rPr>
          <w:rFonts w:hint="eastAsia" w:ascii="Times New Roman" w:hAnsi="Times New Roman"/>
          <w:sz w:val="24"/>
          <w:szCs w:val="24"/>
        </w:rPr>
      </w:pPr>
      <w:r>
        <w:rPr>
          <w:rFonts w:hint="eastAsia" w:ascii="Times New Roman" w:hAnsi="Times New Roman"/>
          <w:sz w:val="24"/>
          <w:szCs w:val="24"/>
        </w:rPr>
        <w:t xml:space="preserve">     （4）救护人员必须听从指挥，了解中毒物质及现场情况，防护器具佩戴齐全。</w:t>
      </w:r>
    </w:p>
    <w:p>
      <w:pPr>
        <w:spacing w:line="360" w:lineRule="auto"/>
        <w:rPr>
          <w:rFonts w:hint="eastAsia" w:ascii="Times New Roman" w:hAnsi="Times New Roman"/>
          <w:sz w:val="24"/>
          <w:szCs w:val="24"/>
        </w:rPr>
      </w:pPr>
      <w:r>
        <w:rPr>
          <w:rFonts w:hint="eastAsia" w:ascii="Times New Roman" w:hAnsi="Times New Roman"/>
          <w:sz w:val="24"/>
          <w:szCs w:val="24"/>
        </w:rPr>
        <w:t xml:space="preserve">     （5）迅速将伤员抬离现场，搬运方法要正确。</w:t>
      </w:r>
    </w:p>
    <w:p>
      <w:pPr>
        <w:spacing w:line="360" w:lineRule="auto"/>
        <w:rPr>
          <w:rFonts w:hint="eastAsia" w:ascii="Times New Roman" w:hAnsi="Times New Roman"/>
          <w:sz w:val="24"/>
          <w:szCs w:val="24"/>
        </w:rPr>
      </w:pPr>
      <w:r>
        <w:rPr>
          <w:rFonts w:hint="eastAsia" w:ascii="Times New Roman" w:hAnsi="Times New Roman"/>
          <w:sz w:val="24"/>
          <w:szCs w:val="24"/>
        </w:rPr>
        <w:t xml:space="preserve">     （6）搬运伤员时需遵守下列规定：</w:t>
      </w:r>
    </w:p>
    <w:p>
      <w:pPr>
        <w:spacing w:line="360" w:lineRule="auto"/>
        <w:rPr>
          <w:rFonts w:hint="eastAsia" w:ascii="Times New Roman" w:hAnsi="Times New Roman"/>
          <w:sz w:val="24"/>
          <w:szCs w:val="24"/>
        </w:rPr>
      </w:pPr>
      <w:r>
        <w:rPr>
          <w:rFonts w:hint="eastAsia" w:ascii="Times New Roman" w:hAnsi="Times New Roman"/>
          <w:sz w:val="24"/>
          <w:szCs w:val="24"/>
        </w:rPr>
        <w:t xml:space="preserve">      ①根据伤员的伤情，选择合适的搬运方法和工具，注意保护受伤部位；</w:t>
      </w:r>
    </w:p>
    <w:p>
      <w:pPr>
        <w:spacing w:line="360" w:lineRule="auto"/>
        <w:rPr>
          <w:rFonts w:hint="eastAsia" w:ascii="Times New Roman" w:hAnsi="Times New Roman"/>
          <w:sz w:val="24"/>
          <w:szCs w:val="24"/>
        </w:rPr>
      </w:pPr>
      <w:r>
        <w:rPr>
          <w:rFonts w:hint="eastAsia" w:ascii="Times New Roman" w:hAnsi="Times New Roman"/>
          <w:sz w:val="24"/>
          <w:szCs w:val="24"/>
        </w:rPr>
        <w:t xml:space="preserve">      ②呼吸已停止或呼吸微弱以及胸部、背部骨折的伤员，禁止背运，应使用担架或双人抬送。</w:t>
      </w:r>
    </w:p>
    <w:p>
      <w:pPr>
        <w:spacing w:line="360" w:lineRule="auto"/>
        <w:rPr>
          <w:rFonts w:hint="eastAsia" w:ascii="Times New Roman" w:hAnsi="Times New Roman"/>
          <w:sz w:val="24"/>
          <w:szCs w:val="24"/>
        </w:rPr>
      </w:pPr>
      <w:r>
        <w:rPr>
          <w:rFonts w:hint="eastAsia" w:ascii="Times New Roman" w:hAnsi="Times New Roman"/>
          <w:sz w:val="24"/>
          <w:szCs w:val="24"/>
        </w:rPr>
        <w:t xml:space="preserve">      ③搬运时动作要轻，不可强拉，运送要迅速及时，争取时间；</w:t>
      </w:r>
    </w:p>
    <w:p>
      <w:pPr>
        <w:spacing w:line="360" w:lineRule="auto"/>
        <w:rPr>
          <w:rFonts w:hint="eastAsia" w:ascii="Times New Roman" w:hAnsi="Times New Roman"/>
          <w:sz w:val="24"/>
          <w:szCs w:val="24"/>
        </w:rPr>
      </w:pPr>
      <w:r>
        <w:rPr>
          <w:rFonts w:hint="eastAsia" w:ascii="Times New Roman" w:hAnsi="Times New Roman"/>
          <w:sz w:val="24"/>
          <w:szCs w:val="24"/>
        </w:rPr>
        <w:t xml:space="preserve">      ④严重出血的伤员，应采取临时止血包扎措施。</w:t>
      </w:r>
    </w:p>
    <w:p>
      <w:pPr>
        <w:spacing w:line="360" w:lineRule="auto"/>
        <w:rPr>
          <w:rFonts w:hint="eastAsia" w:ascii="Times New Roman" w:hAnsi="Times New Roman"/>
          <w:sz w:val="24"/>
          <w:szCs w:val="24"/>
        </w:rPr>
      </w:pPr>
      <w:r>
        <w:rPr>
          <w:rFonts w:hint="eastAsia" w:ascii="Times New Roman" w:hAnsi="Times New Roman"/>
          <w:sz w:val="24"/>
          <w:szCs w:val="24"/>
        </w:rPr>
        <w:t xml:space="preserve">      ⑤救护在高处作业的伤员，应采取防止坠落、摔伤措施。</w:t>
      </w:r>
    </w:p>
    <w:p>
      <w:pPr>
        <w:spacing w:line="360" w:lineRule="auto"/>
        <w:rPr>
          <w:rFonts w:hint="eastAsia" w:ascii="Times New Roman" w:hAnsi="Times New Roman"/>
          <w:sz w:val="24"/>
          <w:szCs w:val="24"/>
        </w:rPr>
      </w:pPr>
      <w:r>
        <w:rPr>
          <w:rFonts w:hint="eastAsia" w:ascii="Times New Roman" w:hAnsi="Times New Roman"/>
          <w:sz w:val="24"/>
          <w:szCs w:val="24"/>
        </w:rPr>
        <w:t xml:space="preserve">      ⑥抢救触电人员必须在脱离电源后进行。</w:t>
      </w:r>
    </w:p>
    <w:p>
      <w:pPr>
        <w:spacing w:line="360" w:lineRule="auto"/>
        <w:rPr>
          <w:rFonts w:hint="eastAsia" w:ascii="Times New Roman" w:hAnsi="Times New Roman"/>
          <w:b/>
          <w:sz w:val="24"/>
          <w:szCs w:val="24"/>
        </w:rPr>
      </w:pPr>
      <w:r>
        <w:rPr>
          <w:rFonts w:hint="eastAsia" w:ascii="Times New Roman" w:hAnsi="Times New Roman"/>
          <w:b/>
          <w:sz w:val="24"/>
          <w:szCs w:val="24"/>
        </w:rPr>
        <w:t>7.4.2人员防护</w:t>
      </w:r>
    </w:p>
    <w:p>
      <w:pPr>
        <w:spacing w:line="360" w:lineRule="auto"/>
        <w:rPr>
          <w:rFonts w:hint="eastAsia" w:ascii="Times New Roman" w:hAnsi="Times New Roman"/>
          <w:sz w:val="24"/>
          <w:szCs w:val="24"/>
        </w:rPr>
      </w:pPr>
      <w:r>
        <w:rPr>
          <w:rFonts w:hint="eastAsia" w:ascii="Times New Roman" w:hAnsi="Times New Roman"/>
          <w:sz w:val="24"/>
          <w:szCs w:val="24"/>
        </w:rPr>
        <w:t xml:space="preserve">     一般泄漏的防护要求：</w:t>
      </w:r>
    </w:p>
    <w:p>
      <w:pPr>
        <w:spacing w:line="360" w:lineRule="auto"/>
        <w:rPr>
          <w:rFonts w:hint="eastAsia" w:ascii="Times New Roman" w:hAnsi="Times New Roman"/>
          <w:sz w:val="24"/>
          <w:szCs w:val="24"/>
        </w:rPr>
      </w:pPr>
      <w:r>
        <w:rPr>
          <w:rFonts w:hint="eastAsia" w:ascii="Times New Roman" w:hAnsi="Times New Roman"/>
          <w:sz w:val="24"/>
          <w:szCs w:val="24"/>
        </w:rPr>
        <w:t xml:space="preserve">     呼吸系统的防护：可能接触其蒸气或烟雾时，必须佩带防毒面具或供气式头盔。</w:t>
      </w:r>
    </w:p>
    <w:p>
      <w:pPr>
        <w:spacing w:line="360" w:lineRule="auto"/>
        <w:rPr>
          <w:rFonts w:hint="eastAsia" w:ascii="Times New Roman" w:hAnsi="Times New Roman"/>
          <w:sz w:val="24"/>
          <w:szCs w:val="24"/>
        </w:rPr>
      </w:pPr>
      <w:r>
        <w:rPr>
          <w:rFonts w:hint="eastAsia" w:ascii="Times New Roman" w:hAnsi="Times New Roman"/>
          <w:sz w:val="24"/>
          <w:szCs w:val="24"/>
        </w:rPr>
        <w:t xml:space="preserve">     眼睛防护：戴化学安全防护镜。</w:t>
      </w:r>
    </w:p>
    <w:p>
      <w:pPr>
        <w:spacing w:line="360" w:lineRule="auto"/>
        <w:rPr>
          <w:rFonts w:hint="eastAsia" w:ascii="Times New Roman" w:hAnsi="Times New Roman"/>
          <w:sz w:val="24"/>
          <w:szCs w:val="24"/>
        </w:rPr>
      </w:pPr>
      <w:r>
        <w:rPr>
          <w:rFonts w:hint="eastAsia" w:ascii="Times New Roman" w:hAnsi="Times New Roman"/>
          <w:sz w:val="24"/>
          <w:szCs w:val="24"/>
        </w:rPr>
        <w:t xml:space="preserve">     防护服：穿工作服（穿戴全身防火防毒服）。</w:t>
      </w:r>
    </w:p>
    <w:p>
      <w:pPr>
        <w:spacing w:line="360" w:lineRule="auto"/>
        <w:rPr>
          <w:rFonts w:hint="eastAsia" w:ascii="Times New Roman" w:hAnsi="Times New Roman"/>
          <w:sz w:val="24"/>
          <w:szCs w:val="24"/>
        </w:rPr>
      </w:pPr>
      <w:r>
        <w:rPr>
          <w:rFonts w:hint="eastAsia" w:ascii="Times New Roman" w:hAnsi="Times New Roman"/>
          <w:sz w:val="24"/>
          <w:szCs w:val="24"/>
        </w:rPr>
        <w:t xml:space="preserve">     手防护：戴棉质手套。</w:t>
      </w:r>
    </w:p>
    <w:p>
      <w:pPr>
        <w:spacing w:line="360" w:lineRule="auto"/>
        <w:rPr>
          <w:rFonts w:hint="eastAsia" w:ascii="Times New Roman" w:hAnsi="Times New Roman"/>
          <w:sz w:val="24"/>
          <w:szCs w:val="24"/>
        </w:rPr>
      </w:pPr>
      <w:r>
        <w:rPr>
          <w:rFonts w:hint="eastAsia" w:ascii="Times New Roman" w:hAnsi="Times New Roman"/>
          <w:sz w:val="24"/>
          <w:szCs w:val="24"/>
        </w:rPr>
        <w:t xml:space="preserve">     参加救护、救援人员必须按规定着装，佩带好个人防护器具，并注意风向，在昏暗地区救援时，应配备有照明灯具。</w:t>
      </w:r>
    </w:p>
    <w:p>
      <w:pPr>
        <w:spacing w:line="360" w:lineRule="auto"/>
        <w:rPr>
          <w:rFonts w:hint="eastAsia" w:ascii="Times New Roman" w:hAnsi="Times New Roman"/>
          <w:b/>
          <w:sz w:val="24"/>
          <w:szCs w:val="24"/>
        </w:rPr>
      </w:pPr>
      <w:r>
        <w:rPr>
          <w:rFonts w:hint="eastAsia" w:ascii="Times New Roman" w:hAnsi="Times New Roman"/>
          <w:b/>
          <w:sz w:val="24"/>
          <w:szCs w:val="24"/>
        </w:rPr>
        <w:t>7.4.3人员监护</w:t>
      </w:r>
    </w:p>
    <w:p>
      <w:pPr>
        <w:spacing w:line="360" w:lineRule="auto"/>
        <w:rPr>
          <w:rFonts w:hint="eastAsia" w:ascii="Times New Roman" w:hAnsi="Times New Roman"/>
          <w:sz w:val="24"/>
          <w:szCs w:val="24"/>
        </w:rPr>
      </w:pPr>
      <w:r>
        <w:rPr>
          <w:rFonts w:hint="eastAsia" w:ascii="Times New Roman" w:hAnsi="Times New Roman"/>
          <w:sz w:val="24"/>
          <w:szCs w:val="24"/>
        </w:rPr>
        <w:t xml:space="preserve">     参加救护、救援人员以互助监护为主，按照必须在确保自身安全的前提下进行救护的原则处理。在救援中因为不可预见的因素而导致组员受伤的，其他救援人员发现时必须向指挥部报告，并作出是否申请支援的决定，若申请支援时，由指挥部下达预备救援组进入事故现场参加救援的命令，同时将受伤人员带离危险地区。</w:t>
      </w:r>
    </w:p>
    <w:p>
      <w:pPr>
        <w:spacing w:line="360" w:lineRule="auto"/>
        <w:rPr>
          <w:rFonts w:hint="eastAsia" w:ascii="Times New Roman" w:hAnsi="Times New Roman"/>
          <w:b/>
          <w:sz w:val="24"/>
          <w:szCs w:val="24"/>
        </w:rPr>
      </w:pPr>
      <w:r>
        <w:rPr>
          <w:rFonts w:hint="eastAsia" w:ascii="Times New Roman" w:hAnsi="Times New Roman"/>
          <w:b/>
          <w:sz w:val="24"/>
          <w:szCs w:val="24"/>
        </w:rPr>
        <w:t>7.4.4现场实时监测及异常情况下抢险人员的撤离条件、方法</w:t>
      </w:r>
    </w:p>
    <w:p>
      <w:pPr>
        <w:spacing w:line="360" w:lineRule="auto"/>
        <w:rPr>
          <w:rFonts w:hint="eastAsia" w:ascii="Times New Roman" w:hAnsi="Times New Roman"/>
          <w:sz w:val="24"/>
          <w:szCs w:val="24"/>
        </w:rPr>
      </w:pPr>
      <w:r>
        <w:rPr>
          <w:rFonts w:hint="eastAsia" w:ascii="Times New Roman" w:hAnsi="Times New Roman"/>
          <w:sz w:val="24"/>
          <w:szCs w:val="24"/>
        </w:rPr>
        <w:t xml:space="preserve">    发生以下情况，应急救援、抢险人员可以先撤离事故现场再报告：</w:t>
      </w:r>
    </w:p>
    <w:p>
      <w:pPr>
        <w:spacing w:line="360" w:lineRule="auto"/>
        <w:rPr>
          <w:rFonts w:hint="eastAsia" w:ascii="Times New Roman" w:hAnsi="Times New Roman"/>
          <w:sz w:val="24"/>
          <w:szCs w:val="24"/>
        </w:rPr>
      </w:pPr>
      <w:r>
        <w:rPr>
          <w:rFonts w:hint="eastAsia" w:ascii="Times New Roman" w:hAnsi="Times New Roman"/>
          <w:sz w:val="24"/>
          <w:szCs w:val="24"/>
        </w:rPr>
        <w:t xml:space="preserve">      ①事故已经失控；</w:t>
      </w:r>
    </w:p>
    <w:p>
      <w:pPr>
        <w:spacing w:line="360" w:lineRule="auto"/>
        <w:rPr>
          <w:rFonts w:hint="eastAsia" w:ascii="Times New Roman" w:hAnsi="Times New Roman"/>
          <w:sz w:val="24"/>
          <w:szCs w:val="24"/>
        </w:rPr>
      </w:pPr>
      <w:r>
        <w:rPr>
          <w:rFonts w:hint="eastAsia" w:ascii="Times New Roman" w:hAnsi="Times New Roman"/>
          <w:sz w:val="24"/>
          <w:szCs w:val="24"/>
        </w:rPr>
        <w:t xml:space="preserve">      ②应急救援、抢险组员个体防护装备损坏，危及组员的生命安全时；</w:t>
      </w:r>
    </w:p>
    <w:p>
      <w:pPr>
        <w:spacing w:line="360" w:lineRule="auto"/>
        <w:rPr>
          <w:rFonts w:hint="eastAsia" w:ascii="Times New Roman" w:hAnsi="Times New Roman"/>
          <w:sz w:val="24"/>
          <w:szCs w:val="24"/>
        </w:rPr>
      </w:pPr>
      <w:r>
        <w:rPr>
          <w:rFonts w:hint="eastAsia" w:ascii="Times New Roman" w:hAnsi="Times New Roman"/>
          <w:sz w:val="24"/>
          <w:szCs w:val="24"/>
        </w:rPr>
        <w:t xml:space="preserve">      ③发生突然性的剧烈爆炸，危及到自身生命安全。</w:t>
      </w:r>
    </w:p>
    <w:p>
      <w:pPr>
        <w:spacing w:line="360" w:lineRule="auto"/>
        <w:rPr>
          <w:rFonts w:hint="eastAsia" w:ascii="Times New Roman" w:hAnsi="Times New Roman"/>
          <w:b/>
          <w:sz w:val="24"/>
          <w:szCs w:val="24"/>
        </w:rPr>
      </w:pPr>
      <w:r>
        <w:rPr>
          <w:rFonts w:hint="eastAsia" w:ascii="Times New Roman" w:hAnsi="Times New Roman"/>
          <w:b/>
          <w:sz w:val="24"/>
          <w:szCs w:val="24"/>
        </w:rPr>
        <w:t>7.4.5控制事故扩大的措施</w:t>
      </w:r>
    </w:p>
    <w:p>
      <w:pPr>
        <w:spacing w:line="360" w:lineRule="auto"/>
        <w:rPr>
          <w:rFonts w:hint="eastAsia" w:ascii="Times New Roman" w:hAnsi="Times New Roman"/>
          <w:sz w:val="24"/>
          <w:szCs w:val="24"/>
        </w:rPr>
      </w:pPr>
      <w:r>
        <w:rPr>
          <w:rFonts w:hint="eastAsia" w:ascii="Times New Roman" w:hAnsi="Times New Roman"/>
          <w:sz w:val="24"/>
          <w:szCs w:val="24"/>
        </w:rPr>
        <w:t xml:space="preserve">    疏散泄漏污染区人员至安全区，禁止其他无关人员进入污染区，建议应急处理人员带好面罩，穿戴全身防火防毒服。不要直接接触泄漏物，勿使泄漏物与火源接触，在确保安全的情况下，可以将发生泄漏的罐区的其他罐转移。</w:t>
      </w:r>
    </w:p>
    <w:p>
      <w:pPr>
        <w:spacing w:line="360" w:lineRule="auto"/>
        <w:rPr>
          <w:rFonts w:hint="eastAsia" w:ascii="Times New Roman" w:hAnsi="Times New Roman"/>
          <w:sz w:val="24"/>
          <w:szCs w:val="24"/>
        </w:rPr>
      </w:pPr>
      <w:r>
        <w:rPr>
          <w:rFonts w:hint="eastAsia" w:ascii="Times New Roman" w:hAnsi="Times New Roman"/>
          <w:sz w:val="24"/>
          <w:szCs w:val="24"/>
        </w:rPr>
        <w:t xml:space="preserve">    若发生冲洗污水流入地表水的情况，须立即报告当地环保部门，启动政府应急预案，对流入的地表水进行采样分析判断。</w:t>
      </w:r>
    </w:p>
    <w:p>
      <w:pPr>
        <w:pStyle w:val="2"/>
        <w:rPr>
          <w:sz w:val="24"/>
          <w:szCs w:val="24"/>
        </w:rPr>
        <w:sectPr>
          <w:pgSz w:w="11906" w:h="16838"/>
          <w:pgMar w:top="1247" w:right="1531" w:bottom="1247" w:left="1531" w:header="851" w:footer="992" w:gutter="0"/>
          <w:cols w:space="720" w:num="1"/>
          <w:docGrid w:type="linesAndChars" w:linePitch="312" w:charSpace="0"/>
        </w:sectPr>
      </w:pPr>
    </w:p>
    <w:p>
      <w:pPr>
        <w:pStyle w:val="2"/>
      </w:pPr>
      <w:bookmarkStart w:id="708" w:name="_Toc461048127"/>
      <w:bookmarkStart w:id="709" w:name="_Toc338228615"/>
      <w:bookmarkStart w:id="710" w:name="_Toc338230969"/>
      <w:r>
        <w:t>8</w:t>
      </w:r>
      <w:r>
        <w:rPr>
          <w:rFonts w:hint="eastAsia"/>
        </w:rPr>
        <w:t>应急监测</w:t>
      </w:r>
      <w:bookmarkEnd w:id="708"/>
    </w:p>
    <w:bookmarkEnd w:id="709"/>
    <w:bookmarkEnd w:id="710"/>
    <w:p>
      <w:pPr>
        <w:spacing w:line="360" w:lineRule="auto"/>
        <w:ind w:firstLine="480" w:firstLineChars="200"/>
        <w:rPr>
          <w:rFonts w:hint="eastAsia" w:ascii="Times New Roman" w:hAnsi="宋体"/>
          <w:sz w:val="24"/>
          <w:szCs w:val="24"/>
        </w:rPr>
      </w:pPr>
      <w:r>
        <w:rPr>
          <w:rFonts w:hint="eastAsia" w:hAnsi="宋体"/>
          <w:sz w:val="24"/>
          <w:szCs w:val="24"/>
        </w:rPr>
        <w:t>重庆永荣青鹏煤业有限公司未配备环境监测设备，应迅速请求重庆市环境监测中心支援。</w:t>
      </w:r>
    </w:p>
    <w:p>
      <w:pPr>
        <w:spacing w:line="360" w:lineRule="auto"/>
        <w:ind w:firstLine="480" w:firstLineChars="200"/>
        <w:rPr>
          <w:rFonts w:hint="eastAsia" w:ascii="Times New Roman" w:hAnsi="宋体"/>
          <w:sz w:val="24"/>
          <w:szCs w:val="24"/>
        </w:rPr>
      </w:pPr>
      <w:r>
        <w:rPr>
          <w:rFonts w:ascii="Times New Roman" w:hAnsi="宋体"/>
          <w:sz w:val="24"/>
          <w:szCs w:val="24"/>
        </w:rPr>
        <w:t>根据监测结果综合分析突发性环境污染事故污染变化趋势，并通过现场应急指挥部讨论的方式，预测并报告突发性环境污染事故的发展情况和污染物的变化情况，作为突发性环境污染事故应急决策的依据，采取一切降低污染物浓度</w:t>
      </w:r>
      <w:r>
        <w:rPr>
          <w:rFonts w:hint="eastAsia" w:ascii="Times New Roman" w:hAnsi="宋体"/>
          <w:sz w:val="24"/>
          <w:szCs w:val="24"/>
        </w:rPr>
        <w:t>的措施</w:t>
      </w:r>
      <w:r>
        <w:rPr>
          <w:rFonts w:ascii="Times New Roman" w:hAnsi="宋体"/>
          <w:sz w:val="24"/>
          <w:szCs w:val="24"/>
        </w:rPr>
        <w:t>直至达到国家标准。</w:t>
      </w:r>
    </w:p>
    <w:p>
      <w:pPr>
        <w:spacing w:line="360" w:lineRule="auto"/>
        <w:rPr>
          <w:rFonts w:hint="eastAsia"/>
          <w:sz w:val="24"/>
          <w:szCs w:val="24"/>
        </w:rPr>
      </w:pPr>
      <w:bookmarkStart w:id="711" w:name="_Toc317175193"/>
      <w:r>
        <w:rPr>
          <w:rFonts w:hint="eastAsia"/>
        </w:rPr>
        <w:t xml:space="preserve">   </w:t>
      </w:r>
      <w:r>
        <w:rPr>
          <w:rFonts w:hint="eastAsia"/>
          <w:sz w:val="24"/>
          <w:szCs w:val="24"/>
        </w:rPr>
        <w:t xml:space="preserve"> 及时向沙坪坝区环境保护部门汇报，应急指挥部据此开展相关应急措施，及时公开向社会发布应急监测数据。</w:t>
      </w:r>
    </w:p>
    <w:p>
      <w:pPr>
        <w:sectPr>
          <w:pgSz w:w="11906" w:h="16838"/>
          <w:pgMar w:top="1247" w:right="1531" w:bottom="1247" w:left="1531" w:header="851" w:footer="992" w:gutter="0"/>
          <w:cols w:space="720" w:num="1"/>
          <w:docGrid w:type="linesAndChars" w:linePitch="312" w:charSpace="0"/>
        </w:sectPr>
      </w:pPr>
      <w:r>
        <w:rPr>
          <w:rFonts w:hint="eastAsia"/>
        </w:rPr>
        <w:t xml:space="preserve">  </w:t>
      </w:r>
    </w:p>
    <w:p>
      <w:pPr>
        <w:pStyle w:val="2"/>
      </w:pPr>
      <w:bookmarkStart w:id="712" w:name="_Toc338230973"/>
      <w:bookmarkStart w:id="713" w:name="_Toc461048128"/>
      <w:bookmarkStart w:id="714" w:name="_Toc338228617"/>
      <w:r>
        <w:rPr>
          <w:rFonts w:hint="eastAsia"/>
        </w:rPr>
        <w:t>9</w:t>
      </w:r>
      <w:r>
        <w:t>应急终止</w:t>
      </w:r>
      <w:bookmarkEnd w:id="711"/>
      <w:bookmarkEnd w:id="712"/>
      <w:bookmarkEnd w:id="713"/>
      <w:bookmarkEnd w:id="714"/>
    </w:p>
    <w:p>
      <w:pPr>
        <w:pStyle w:val="3"/>
      </w:pPr>
      <w:bookmarkStart w:id="715" w:name="_Toc338228618"/>
      <w:bookmarkStart w:id="716" w:name="_Toc461048129"/>
      <w:bookmarkStart w:id="717" w:name="_Toc338230974"/>
      <w:bookmarkStart w:id="718" w:name="_Toc317175194"/>
      <w:r>
        <w:rPr>
          <w:rFonts w:hint="eastAsia"/>
        </w:rPr>
        <w:t>9</w:t>
      </w:r>
      <w:r>
        <w:t>.1应急终止条件</w:t>
      </w:r>
      <w:bookmarkEnd w:id="715"/>
      <w:bookmarkEnd w:id="716"/>
      <w:bookmarkEnd w:id="717"/>
      <w:bookmarkEnd w:id="718"/>
    </w:p>
    <w:p>
      <w:pPr>
        <w:spacing w:line="360" w:lineRule="auto"/>
        <w:ind w:firstLine="480" w:firstLineChars="200"/>
        <w:rPr>
          <w:rFonts w:ascii="Times New Roman" w:hAnsi="Times New Roman"/>
          <w:sz w:val="24"/>
          <w:szCs w:val="24"/>
        </w:rPr>
      </w:pPr>
      <w:r>
        <w:rPr>
          <w:rFonts w:ascii="Times New Roman" w:hAnsi="宋体"/>
          <w:sz w:val="24"/>
          <w:szCs w:val="24"/>
        </w:rPr>
        <w:t>符合下列条件，可终止应急行动：</w:t>
      </w:r>
    </w:p>
    <w:p>
      <w:pPr>
        <w:spacing w:line="360" w:lineRule="auto"/>
        <w:ind w:firstLine="480" w:firstLineChars="200"/>
        <w:rPr>
          <w:rFonts w:ascii="Times New Roman" w:hAnsi="Times New Roman"/>
          <w:sz w:val="24"/>
          <w:szCs w:val="24"/>
        </w:rPr>
      </w:pPr>
      <w:r>
        <w:rPr>
          <w:rFonts w:ascii="Times New Roman" w:hAnsi="宋体"/>
          <w:sz w:val="24"/>
          <w:szCs w:val="24"/>
        </w:rPr>
        <w:t>①污染事故得到完全控制，污染危险已经消除；</w:t>
      </w:r>
    </w:p>
    <w:p>
      <w:pPr>
        <w:spacing w:line="360" w:lineRule="auto"/>
        <w:ind w:firstLine="480" w:firstLineChars="200"/>
        <w:rPr>
          <w:rFonts w:ascii="Times New Roman" w:hAnsi="Times New Roman"/>
          <w:sz w:val="24"/>
          <w:szCs w:val="24"/>
        </w:rPr>
      </w:pPr>
      <w:r>
        <w:rPr>
          <w:rFonts w:ascii="Times New Roman" w:hAnsi="宋体"/>
          <w:sz w:val="24"/>
          <w:szCs w:val="24"/>
        </w:rPr>
        <w:t>②污染物的泄漏或释放，经监测符合相关规定；</w:t>
      </w:r>
    </w:p>
    <w:p>
      <w:pPr>
        <w:spacing w:line="360" w:lineRule="auto"/>
        <w:ind w:firstLine="480" w:firstLineChars="200"/>
        <w:rPr>
          <w:rFonts w:ascii="Times New Roman" w:hAnsi="Times New Roman"/>
          <w:sz w:val="24"/>
          <w:szCs w:val="24"/>
        </w:rPr>
      </w:pPr>
      <w:r>
        <w:rPr>
          <w:rFonts w:ascii="Times New Roman" w:hAnsi="宋体"/>
          <w:sz w:val="24"/>
          <w:szCs w:val="24"/>
        </w:rPr>
        <w:t>③事故所造成的危害已被彻底消除，无继发可能；</w:t>
      </w:r>
    </w:p>
    <w:p>
      <w:pPr>
        <w:spacing w:line="360" w:lineRule="auto"/>
        <w:ind w:firstLine="480" w:firstLineChars="200"/>
        <w:rPr>
          <w:rFonts w:ascii="Times New Roman" w:hAnsi="Times New Roman"/>
          <w:sz w:val="24"/>
          <w:szCs w:val="24"/>
        </w:rPr>
      </w:pPr>
      <w:r>
        <w:rPr>
          <w:rFonts w:ascii="Times New Roman" w:hAnsi="宋体"/>
          <w:sz w:val="24"/>
          <w:szCs w:val="24"/>
        </w:rPr>
        <w:t>④现场各专业抢险队伍对事故相关险情已处置完毕，应急行动已无继续的必要；</w:t>
      </w:r>
    </w:p>
    <w:p>
      <w:pPr>
        <w:spacing w:line="360" w:lineRule="auto"/>
        <w:ind w:firstLine="480" w:firstLineChars="200"/>
        <w:rPr>
          <w:rFonts w:ascii="Times New Roman" w:hAnsi="Times New Roman"/>
          <w:sz w:val="24"/>
          <w:szCs w:val="24"/>
        </w:rPr>
      </w:pPr>
      <w:r>
        <w:rPr>
          <w:rFonts w:ascii="Times New Roman" w:hAnsi="宋体"/>
          <w:sz w:val="24"/>
          <w:szCs w:val="24"/>
        </w:rPr>
        <w:t>⑤采取了必要的防护措施以保护员工免受再次危害，并使事件可能引起的中长期影响趋于合理且尽量低的水平。</w:t>
      </w:r>
    </w:p>
    <w:p>
      <w:pPr>
        <w:pStyle w:val="3"/>
      </w:pPr>
      <w:bookmarkStart w:id="719" w:name="_Toc461048130"/>
      <w:bookmarkStart w:id="720" w:name="_Toc338230975"/>
      <w:bookmarkStart w:id="721" w:name="_Toc338228619"/>
      <w:bookmarkStart w:id="722" w:name="_Toc317175195"/>
      <w:r>
        <w:rPr>
          <w:rFonts w:hint="eastAsia"/>
        </w:rPr>
        <w:t>9</w:t>
      </w:r>
      <w:r>
        <w:t>.2应急终止的程序</w:t>
      </w:r>
      <w:bookmarkEnd w:id="719"/>
      <w:bookmarkEnd w:id="720"/>
      <w:bookmarkEnd w:id="721"/>
      <w:bookmarkEnd w:id="722"/>
    </w:p>
    <w:p>
      <w:pPr>
        <w:spacing w:line="360" w:lineRule="auto"/>
        <w:ind w:firstLine="480" w:firstLineChars="200"/>
        <w:rPr>
          <w:rFonts w:ascii="Times New Roman" w:hAnsi="Times New Roman"/>
          <w:sz w:val="24"/>
          <w:szCs w:val="24"/>
        </w:rPr>
      </w:pPr>
      <w:r>
        <w:rPr>
          <w:rFonts w:ascii="Times New Roman" w:hAnsi="宋体"/>
          <w:sz w:val="24"/>
          <w:szCs w:val="24"/>
        </w:rPr>
        <w:t>①现场救援指挥部确认终止时机，</w:t>
      </w:r>
      <w:r>
        <w:rPr>
          <w:rFonts w:hint="eastAsia" w:ascii="Times New Roman" w:hAnsi="宋体"/>
          <w:sz w:val="24"/>
          <w:szCs w:val="24"/>
        </w:rPr>
        <w:t>或事件责任单位提出，</w:t>
      </w:r>
      <w:r>
        <w:rPr>
          <w:rFonts w:ascii="Times New Roman" w:hAnsi="宋体"/>
          <w:sz w:val="24"/>
          <w:szCs w:val="24"/>
        </w:rPr>
        <w:t>经现场救援指挥部批准；</w:t>
      </w:r>
    </w:p>
    <w:p>
      <w:pPr>
        <w:spacing w:line="360" w:lineRule="auto"/>
        <w:ind w:firstLine="480" w:firstLineChars="200"/>
        <w:rPr>
          <w:rFonts w:ascii="Times New Roman" w:hAnsi="Times New Roman"/>
          <w:sz w:val="24"/>
          <w:szCs w:val="24"/>
        </w:rPr>
      </w:pPr>
      <w:r>
        <w:rPr>
          <w:rFonts w:ascii="Times New Roman" w:hAnsi="宋体"/>
          <w:sz w:val="24"/>
          <w:szCs w:val="24"/>
        </w:rPr>
        <w:t>②现场救援指挥部向所属各专业应急救援队伍下达应急终止命令；</w:t>
      </w:r>
    </w:p>
    <w:p>
      <w:pPr>
        <w:spacing w:line="360" w:lineRule="auto"/>
        <w:ind w:firstLine="480" w:firstLineChars="200"/>
        <w:rPr>
          <w:rFonts w:ascii="Times New Roman" w:hAnsi="Times New Roman"/>
          <w:sz w:val="24"/>
          <w:szCs w:val="24"/>
        </w:rPr>
      </w:pPr>
      <w:r>
        <w:rPr>
          <w:rFonts w:ascii="Times New Roman" w:hAnsi="宋体"/>
          <w:sz w:val="24"/>
          <w:szCs w:val="24"/>
        </w:rPr>
        <w:t>③应急状态终止后，应根据有关指示和实际情况，继续进行环境监测和评价工作</w:t>
      </w:r>
    </w:p>
    <w:p>
      <w:pPr>
        <w:pStyle w:val="3"/>
      </w:pPr>
      <w:bookmarkStart w:id="723" w:name="_Toc317175196"/>
      <w:bookmarkStart w:id="724" w:name="_Toc338228620"/>
      <w:bookmarkStart w:id="725" w:name="_Toc461048131"/>
      <w:bookmarkStart w:id="726" w:name="_Toc338230976"/>
      <w:r>
        <w:rPr>
          <w:rFonts w:hint="eastAsia"/>
        </w:rPr>
        <w:t>9</w:t>
      </w:r>
      <w:r>
        <w:t>.3应急终止后的行动</w:t>
      </w:r>
      <w:bookmarkEnd w:id="723"/>
      <w:bookmarkEnd w:id="724"/>
      <w:bookmarkEnd w:id="725"/>
      <w:bookmarkEnd w:id="726"/>
    </w:p>
    <w:p>
      <w:pPr>
        <w:spacing w:line="360" w:lineRule="auto"/>
        <w:ind w:firstLine="480" w:firstLineChars="200"/>
        <w:rPr>
          <w:rFonts w:hint="eastAsia" w:ascii="Times New Roman" w:hAnsi="宋体"/>
          <w:sz w:val="24"/>
          <w:szCs w:val="24"/>
        </w:rPr>
      </w:pPr>
      <w:r>
        <w:rPr>
          <w:rFonts w:hint="eastAsia" w:ascii="Times New Roman" w:hAnsi="宋体"/>
          <w:sz w:val="24"/>
          <w:szCs w:val="24"/>
        </w:rPr>
        <w:t>①通知相关部门、周边企业、社区、社会关注区及人员事件危险已解除；</w:t>
      </w:r>
    </w:p>
    <w:p>
      <w:pPr>
        <w:spacing w:line="360" w:lineRule="auto"/>
        <w:ind w:firstLine="480" w:firstLineChars="200"/>
        <w:rPr>
          <w:rFonts w:hint="eastAsia" w:ascii="Times New Roman" w:hAnsi="宋体"/>
          <w:sz w:val="24"/>
          <w:szCs w:val="24"/>
        </w:rPr>
      </w:pPr>
      <w:r>
        <w:rPr>
          <w:rFonts w:hint="eastAsia" w:ascii="Times New Roman" w:hAnsi="宋体"/>
          <w:sz w:val="24"/>
          <w:szCs w:val="24"/>
        </w:rPr>
        <w:t>②对现场中暴露的工作人员、应急行动人员和受污染设备进行清洁净化。</w:t>
      </w:r>
    </w:p>
    <w:p>
      <w:pPr>
        <w:spacing w:line="360" w:lineRule="auto"/>
        <w:ind w:firstLine="480" w:firstLineChars="200"/>
        <w:rPr>
          <w:rFonts w:hint="eastAsia" w:ascii="Times New Roman" w:hAnsi="宋体"/>
          <w:sz w:val="24"/>
          <w:szCs w:val="24"/>
        </w:rPr>
      </w:pPr>
      <w:r>
        <w:rPr>
          <w:rFonts w:hint="eastAsia" w:ascii="Times New Roman" w:hAnsi="宋体"/>
          <w:sz w:val="24"/>
          <w:szCs w:val="24"/>
        </w:rPr>
        <w:t>③整理事件情况进行上报。</w:t>
      </w:r>
    </w:p>
    <w:p>
      <w:pPr>
        <w:spacing w:line="360" w:lineRule="auto"/>
        <w:ind w:firstLine="480" w:firstLineChars="200"/>
        <w:rPr>
          <w:rFonts w:hint="eastAsia" w:ascii="Times New Roman" w:hAnsi="宋体"/>
          <w:sz w:val="24"/>
          <w:szCs w:val="24"/>
        </w:rPr>
      </w:pPr>
      <w:r>
        <w:rPr>
          <w:rFonts w:hint="eastAsia" w:ascii="Times New Roman" w:hAnsi="宋体"/>
          <w:sz w:val="24"/>
          <w:szCs w:val="24"/>
        </w:rPr>
        <w:t>④调查事件原因、损失调查与责任认定。</w:t>
      </w:r>
    </w:p>
    <w:p>
      <w:pPr>
        <w:spacing w:line="360" w:lineRule="auto"/>
        <w:ind w:firstLine="480" w:firstLineChars="200"/>
        <w:rPr>
          <w:rFonts w:hint="eastAsia" w:ascii="Times New Roman" w:hAnsi="宋体"/>
          <w:sz w:val="24"/>
          <w:szCs w:val="24"/>
        </w:rPr>
      </w:pPr>
      <w:r>
        <w:rPr>
          <w:rFonts w:hint="eastAsia" w:ascii="Times New Roman" w:hAnsi="宋体"/>
          <w:sz w:val="24"/>
          <w:szCs w:val="24"/>
        </w:rPr>
        <w:t>⑤对应急过程进行评价。</w:t>
      </w:r>
    </w:p>
    <w:p>
      <w:pPr>
        <w:spacing w:line="360" w:lineRule="auto"/>
        <w:ind w:firstLine="480" w:firstLineChars="200"/>
        <w:rPr>
          <w:rFonts w:hint="eastAsia" w:ascii="Times New Roman" w:hAnsi="宋体"/>
          <w:sz w:val="24"/>
          <w:szCs w:val="24"/>
        </w:rPr>
      </w:pPr>
      <w:r>
        <w:rPr>
          <w:rFonts w:hint="eastAsia" w:ascii="Times New Roman" w:hAnsi="宋体"/>
          <w:sz w:val="24"/>
          <w:szCs w:val="24"/>
        </w:rPr>
        <w:t>⑥编制事件应急救援工作总结报告。</w:t>
      </w:r>
    </w:p>
    <w:p>
      <w:pPr>
        <w:spacing w:line="360" w:lineRule="auto"/>
        <w:ind w:firstLine="480" w:firstLineChars="200"/>
        <w:rPr>
          <w:rFonts w:hint="eastAsia" w:ascii="Times New Roman" w:hAnsi="宋体"/>
          <w:sz w:val="24"/>
          <w:szCs w:val="24"/>
        </w:rPr>
      </w:pPr>
      <w:r>
        <w:rPr>
          <w:rFonts w:hint="eastAsia" w:ascii="Times New Roman" w:hAnsi="宋体"/>
          <w:sz w:val="24"/>
          <w:szCs w:val="24"/>
        </w:rPr>
        <w:t>⑦针对应急过程中暴露的问题对突发环境事件应急预案进行修订。</w:t>
      </w:r>
    </w:p>
    <w:p>
      <w:pPr>
        <w:spacing w:line="360" w:lineRule="auto"/>
        <w:ind w:firstLine="480" w:firstLineChars="200"/>
        <w:rPr>
          <w:rFonts w:hint="eastAsia" w:ascii="Times New Roman" w:hAnsi="宋体"/>
          <w:sz w:val="24"/>
          <w:szCs w:val="24"/>
        </w:rPr>
      </w:pPr>
      <w:r>
        <w:rPr>
          <w:rFonts w:hint="eastAsia" w:ascii="Times New Roman" w:hAnsi="宋体"/>
          <w:sz w:val="24"/>
          <w:szCs w:val="24"/>
        </w:rPr>
        <w:t>⑧维护、保养应急仪器设备。</w:t>
      </w:r>
    </w:p>
    <w:p>
      <w:pPr>
        <w:pStyle w:val="3"/>
        <w:rPr>
          <w:sz w:val="24"/>
          <w:szCs w:val="24"/>
        </w:rPr>
        <w:sectPr>
          <w:pgSz w:w="11906" w:h="16838"/>
          <w:pgMar w:top="1247" w:right="1531" w:bottom="1247" w:left="1531" w:header="851" w:footer="992" w:gutter="0"/>
          <w:cols w:space="720" w:num="1"/>
          <w:docGrid w:type="linesAndChars" w:linePitch="312" w:charSpace="0"/>
        </w:sectPr>
      </w:pPr>
      <w:bookmarkStart w:id="727" w:name="_Toc317175197"/>
    </w:p>
    <w:p>
      <w:pPr>
        <w:pStyle w:val="2"/>
      </w:pPr>
      <w:bookmarkStart w:id="728" w:name="_Toc338228621"/>
      <w:bookmarkStart w:id="729" w:name="_Toc461048132"/>
      <w:bookmarkStart w:id="730" w:name="_Toc338230977"/>
      <w:r>
        <w:rPr>
          <w:rFonts w:hint="eastAsia"/>
        </w:rPr>
        <w:t>10</w:t>
      </w:r>
      <w:r>
        <w:t>后期处置</w:t>
      </w:r>
      <w:bookmarkEnd w:id="727"/>
      <w:bookmarkEnd w:id="728"/>
      <w:bookmarkEnd w:id="729"/>
      <w:bookmarkEnd w:id="730"/>
    </w:p>
    <w:p>
      <w:pPr>
        <w:pStyle w:val="3"/>
      </w:pPr>
      <w:bookmarkStart w:id="731" w:name="_Toc338230978"/>
      <w:bookmarkStart w:id="732" w:name="_Toc317175198"/>
      <w:bookmarkStart w:id="733" w:name="_Toc338228622"/>
      <w:bookmarkStart w:id="734" w:name="_Toc461048133"/>
      <w:r>
        <w:rPr>
          <w:rFonts w:hint="eastAsia"/>
        </w:rPr>
        <w:t>10</w:t>
      </w:r>
      <w:r>
        <w:t>.1善后处置</w:t>
      </w:r>
      <w:bookmarkEnd w:id="731"/>
      <w:bookmarkEnd w:id="732"/>
      <w:bookmarkEnd w:id="733"/>
      <w:bookmarkEnd w:id="734"/>
    </w:p>
    <w:p>
      <w:pPr>
        <w:spacing w:line="360" w:lineRule="auto"/>
        <w:ind w:firstLine="480" w:firstLineChars="200"/>
        <w:rPr>
          <w:rFonts w:hint="eastAsia" w:ascii="Times New Roman" w:hAnsi="宋体"/>
          <w:sz w:val="24"/>
          <w:szCs w:val="24"/>
        </w:rPr>
      </w:pPr>
      <w:r>
        <w:rPr>
          <w:rFonts w:hint="eastAsia" w:ascii="Times New Roman" w:hAnsi="宋体"/>
          <w:sz w:val="24"/>
          <w:szCs w:val="24"/>
        </w:rPr>
        <w:t>由善后处置组负责</w:t>
      </w:r>
      <w:r>
        <w:rPr>
          <w:rFonts w:ascii="Times New Roman" w:hAnsi="宋体"/>
          <w:sz w:val="24"/>
          <w:szCs w:val="24"/>
        </w:rPr>
        <w:t>调查受灾人员，对受灾人员进行安置及损失赔偿。组织专家对突发环境事件中长期环境影响进行评估，提出生态补偿措施和对遭受的生态环境进行恢复的建议。</w:t>
      </w:r>
      <w:r>
        <w:rPr>
          <w:rFonts w:hint="eastAsia" w:ascii="Times New Roman" w:hAnsi="宋体"/>
          <w:sz w:val="24"/>
          <w:szCs w:val="24"/>
        </w:rPr>
        <w:t>由生产处置组提出生产恢复方案，各小组积极配合，尽快恢复正常生产。</w:t>
      </w:r>
    </w:p>
    <w:p>
      <w:pPr>
        <w:spacing w:line="360" w:lineRule="auto"/>
        <w:ind w:firstLine="480" w:firstLineChars="200"/>
        <w:rPr>
          <w:rFonts w:hint="eastAsia" w:ascii="Times New Roman" w:hAnsi="宋体"/>
          <w:sz w:val="24"/>
          <w:szCs w:val="24"/>
        </w:rPr>
      </w:pPr>
      <w:r>
        <w:rPr>
          <w:rFonts w:hint="eastAsia" w:ascii="Times New Roman" w:hAnsi="宋体"/>
          <w:sz w:val="24"/>
          <w:szCs w:val="24"/>
        </w:rPr>
        <w:t>对于受污染的土壤，需剥除受污染的表土，并进行土壤修复，表土需做危废处理。</w:t>
      </w:r>
    </w:p>
    <w:p>
      <w:pPr>
        <w:spacing w:line="360" w:lineRule="auto"/>
        <w:ind w:firstLine="480" w:firstLineChars="200"/>
        <w:rPr>
          <w:rFonts w:hint="eastAsia" w:ascii="Times New Roman" w:hAnsi="宋体"/>
          <w:sz w:val="24"/>
          <w:szCs w:val="24"/>
        </w:rPr>
      </w:pPr>
      <w:r>
        <w:rPr>
          <w:rFonts w:hint="eastAsia" w:ascii="Times New Roman" w:hAnsi="宋体"/>
          <w:sz w:val="24"/>
          <w:szCs w:val="24"/>
        </w:rPr>
        <w:t>对于受污染的水体，要采取积极的净化措施。密度较小且不溶于水体的油类等物质可采取拦油浮漂，拦截、收集表层污染物等措施，将表层污染物送至专业单位进行处置；对于事故收集池中的废水，应全部处理达标后排放。</w:t>
      </w:r>
    </w:p>
    <w:p>
      <w:pPr>
        <w:spacing w:line="360" w:lineRule="auto"/>
        <w:ind w:firstLine="480" w:firstLineChars="200"/>
        <w:rPr>
          <w:rFonts w:ascii="Times New Roman" w:hAnsi="Times New Roman"/>
          <w:sz w:val="24"/>
          <w:szCs w:val="24"/>
        </w:rPr>
      </w:pPr>
      <w:r>
        <w:rPr>
          <w:rFonts w:hint="eastAsia" w:ascii="Times New Roman" w:hAnsi="宋体"/>
          <w:sz w:val="24"/>
          <w:szCs w:val="24"/>
        </w:rPr>
        <w:t>环境</w:t>
      </w:r>
      <w:r>
        <w:rPr>
          <w:rFonts w:ascii="Times New Roman" w:hAnsi="宋体"/>
          <w:sz w:val="24"/>
          <w:szCs w:val="24"/>
        </w:rPr>
        <w:t>污染事故</w:t>
      </w:r>
      <w:r>
        <w:rPr>
          <w:rFonts w:hint="eastAsia" w:ascii="Times New Roman" w:hAnsi="宋体"/>
          <w:sz w:val="24"/>
          <w:szCs w:val="24"/>
        </w:rPr>
        <w:t>发生后</w:t>
      </w:r>
      <w:r>
        <w:rPr>
          <w:rFonts w:ascii="Times New Roman" w:hAnsi="宋体"/>
          <w:sz w:val="24"/>
          <w:szCs w:val="24"/>
        </w:rPr>
        <w:t>，应及时对应急预案或事故处理中的不适宜进行修订</w:t>
      </w:r>
      <w:r>
        <w:rPr>
          <w:rFonts w:hint="eastAsia" w:ascii="Times New Roman" w:hAnsi="宋体"/>
          <w:sz w:val="24"/>
          <w:szCs w:val="24"/>
        </w:rPr>
        <w:t>，对风险源补充评估</w:t>
      </w:r>
      <w:r>
        <w:rPr>
          <w:rFonts w:ascii="Times New Roman" w:hAnsi="宋体"/>
          <w:sz w:val="24"/>
          <w:szCs w:val="24"/>
        </w:rPr>
        <w:t>。修订完善后的应急预案应及时发至相关部门。</w:t>
      </w:r>
    </w:p>
    <w:p>
      <w:pPr>
        <w:pStyle w:val="3"/>
      </w:pPr>
      <w:bookmarkStart w:id="735" w:name="_Toc461048134"/>
      <w:bookmarkStart w:id="736" w:name="_Toc338230979"/>
      <w:bookmarkStart w:id="737" w:name="_Toc338228623"/>
      <w:r>
        <w:rPr>
          <w:rFonts w:hint="eastAsia"/>
        </w:rPr>
        <w:t>10</w:t>
      </w:r>
      <w:r>
        <w:t>.2保险</w:t>
      </w:r>
      <w:bookmarkEnd w:id="735"/>
      <w:bookmarkEnd w:id="736"/>
      <w:bookmarkEnd w:id="737"/>
    </w:p>
    <w:p>
      <w:pPr>
        <w:spacing w:line="360" w:lineRule="auto"/>
        <w:ind w:firstLine="570"/>
        <w:rPr>
          <w:rFonts w:ascii="Times New Roman" w:hAnsi="Times New Roman"/>
          <w:sz w:val="24"/>
          <w:szCs w:val="24"/>
        </w:rPr>
      </w:pPr>
      <w:r>
        <w:rPr>
          <w:rFonts w:hint="eastAsia" w:ascii="Times New Roman" w:hAnsi="宋体"/>
          <w:sz w:val="24"/>
          <w:szCs w:val="24"/>
        </w:rPr>
        <w:t>企业严格按照相关法律法规要求为所有职工购买了工伤保险、医疗保险。</w:t>
      </w:r>
    </w:p>
    <w:p>
      <w:pPr>
        <w:pStyle w:val="3"/>
        <w:rPr>
          <w:sz w:val="24"/>
          <w:szCs w:val="24"/>
        </w:rPr>
        <w:sectPr>
          <w:pgSz w:w="11906" w:h="16838"/>
          <w:pgMar w:top="1247" w:right="1531" w:bottom="1247" w:left="1531" w:header="851" w:footer="992" w:gutter="0"/>
          <w:cols w:space="720" w:num="1"/>
          <w:docGrid w:type="linesAndChars" w:linePitch="312" w:charSpace="0"/>
        </w:sectPr>
      </w:pPr>
      <w:bookmarkStart w:id="738" w:name="_Toc317175204"/>
    </w:p>
    <w:p>
      <w:pPr>
        <w:pStyle w:val="2"/>
      </w:pPr>
      <w:bookmarkStart w:id="739" w:name="_Toc338228624"/>
      <w:bookmarkStart w:id="740" w:name="_Toc461048135"/>
      <w:bookmarkStart w:id="741" w:name="_Toc338230980"/>
      <w:r>
        <w:rPr>
          <w:rFonts w:hint="eastAsia"/>
        </w:rPr>
        <w:t>11</w:t>
      </w:r>
      <w:r>
        <w:t>宣传、培训与演练</w:t>
      </w:r>
      <w:bookmarkEnd w:id="738"/>
      <w:bookmarkEnd w:id="739"/>
      <w:bookmarkEnd w:id="740"/>
      <w:bookmarkEnd w:id="741"/>
    </w:p>
    <w:p>
      <w:pPr>
        <w:pStyle w:val="3"/>
        <w:rPr>
          <w:rFonts w:hint="eastAsia"/>
        </w:rPr>
      </w:pPr>
      <w:bookmarkStart w:id="742" w:name="_Toc338230981"/>
      <w:bookmarkStart w:id="743" w:name="_Toc461048136"/>
      <w:bookmarkStart w:id="744" w:name="_Toc338228625"/>
      <w:r>
        <w:rPr>
          <w:rFonts w:hint="eastAsia"/>
        </w:rPr>
        <w:t>11.1培训</w:t>
      </w:r>
      <w:bookmarkEnd w:id="742"/>
      <w:bookmarkEnd w:id="743"/>
      <w:bookmarkEnd w:id="744"/>
    </w:p>
    <w:p>
      <w:pPr>
        <w:spacing w:line="360" w:lineRule="auto"/>
        <w:ind w:firstLine="480" w:firstLineChars="200"/>
        <w:rPr>
          <w:rFonts w:hint="eastAsia" w:hAnsi="宋体"/>
          <w:sz w:val="24"/>
          <w:szCs w:val="24"/>
        </w:rPr>
      </w:pPr>
      <w:r>
        <w:rPr>
          <w:rFonts w:hint="eastAsia" w:hAnsi="宋体"/>
          <w:sz w:val="24"/>
          <w:szCs w:val="24"/>
        </w:rPr>
        <w:t>为了确保快速、有序和有效的应急反应能力，应急指挥中心相关人员应认真学习本预案内容，明确在现场救援所担负的责任和义务；对企业员工，必须开展应急培训，熟悉生产中的使用危险物的特性，可能产生的各种紧急事故及应对措施。</w:t>
      </w:r>
    </w:p>
    <w:p>
      <w:pPr>
        <w:spacing w:line="360" w:lineRule="auto"/>
        <w:ind w:firstLine="480" w:firstLineChars="200"/>
        <w:rPr>
          <w:sz w:val="24"/>
          <w:szCs w:val="24"/>
        </w:rPr>
      </w:pPr>
      <w:r>
        <w:rPr>
          <w:rFonts w:hint="eastAsia" w:hAnsi="宋体"/>
          <w:sz w:val="24"/>
          <w:szCs w:val="24"/>
        </w:rPr>
        <w:t>培训的内容和方式：</w:t>
      </w:r>
    </w:p>
    <w:p>
      <w:pPr>
        <w:spacing w:line="360" w:lineRule="auto"/>
        <w:ind w:firstLine="480" w:firstLineChars="200"/>
        <w:rPr>
          <w:rFonts w:hint="eastAsia" w:hAnsi="宋体"/>
          <w:sz w:val="24"/>
          <w:szCs w:val="24"/>
        </w:rPr>
      </w:pPr>
      <w:r>
        <w:rPr>
          <w:rFonts w:hAnsi="宋体"/>
          <w:sz w:val="24"/>
          <w:szCs w:val="24"/>
        </w:rPr>
        <w:t>（</w:t>
      </w:r>
      <w:r>
        <w:rPr>
          <w:sz w:val="24"/>
          <w:szCs w:val="24"/>
        </w:rPr>
        <w:t>1</w:t>
      </w:r>
      <w:r>
        <w:rPr>
          <w:rFonts w:hAnsi="宋体"/>
          <w:sz w:val="24"/>
          <w:szCs w:val="24"/>
        </w:rPr>
        <w:t>）对企业应急救援队员进行统一的专业培训；</w:t>
      </w:r>
    </w:p>
    <w:p>
      <w:pPr>
        <w:spacing w:line="360" w:lineRule="auto"/>
        <w:ind w:firstLine="480" w:firstLineChars="200"/>
        <w:rPr>
          <w:rFonts w:hint="eastAsia"/>
          <w:sz w:val="24"/>
          <w:szCs w:val="24"/>
        </w:rPr>
      </w:pPr>
      <w:r>
        <w:rPr>
          <w:rFonts w:hint="eastAsia"/>
          <w:sz w:val="24"/>
          <w:szCs w:val="24"/>
        </w:rPr>
        <w:t>a、如何识别危险物</w:t>
      </w:r>
    </w:p>
    <w:p>
      <w:pPr>
        <w:spacing w:line="360" w:lineRule="auto"/>
        <w:ind w:firstLine="480" w:firstLineChars="200"/>
        <w:rPr>
          <w:rFonts w:hint="eastAsia"/>
          <w:sz w:val="24"/>
          <w:szCs w:val="24"/>
        </w:rPr>
      </w:pPr>
      <w:r>
        <w:rPr>
          <w:rFonts w:hint="eastAsia"/>
          <w:sz w:val="24"/>
          <w:szCs w:val="24"/>
        </w:rPr>
        <w:t>b、如何启动紧急预警系统</w:t>
      </w:r>
    </w:p>
    <w:p>
      <w:pPr>
        <w:spacing w:line="360" w:lineRule="auto"/>
        <w:ind w:firstLine="480" w:firstLineChars="200"/>
        <w:rPr>
          <w:rFonts w:hint="eastAsia"/>
          <w:sz w:val="24"/>
          <w:szCs w:val="24"/>
        </w:rPr>
      </w:pPr>
      <w:r>
        <w:rPr>
          <w:rFonts w:hint="eastAsia"/>
          <w:sz w:val="24"/>
          <w:szCs w:val="24"/>
        </w:rPr>
        <w:t>c、危险物资泄漏控制措施</w:t>
      </w:r>
    </w:p>
    <w:p>
      <w:pPr>
        <w:spacing w:line="360" w:lineRule="auto"/>
        <w:ind w:firstLine="480" w:firstLineChars="200"/>
        <w:rPr>
          <w:rFonts w:hint="eastAsia"/>
          <w:sz w:val="24"/>
          <w:szCs w:val="24"/>
        </w:rPr>
      </w:pPr>
      <w:r>
        <w:rPr>
          <w:rFonts w:hint="eastAsia"/>
          <w:sz w:val="24"/>
          <w:szCs w:val="24"/>
        </w:rPr>
        <w:t>d、应急设备的使用方法</w:t>
      </w:r>
    </w:p>
    <w:p>
      <w:pPr>
        <w:spacing w:line="360" w:lineRule="auto"/>
        <w:ind w:firstLine="480" w:firstLineChars="200"/>
        <w:rPr>
          <w:rFonts w:hint="eastAsia"/>
          <w:sz w:val="24"/>
          <w:szCs w:val="24"/>
        </w:rPr>
      </w:pPr>
      <w:r>
        <w:rPr>
          <w:rFonts w:hint="eastAsia"/>
          <w:sz w:val="24"/>
          <w:szCs w:val="24"/>
        </w:rPr>
        <w:t>e、防护用品的佩戴使用方法</w:t>
      </w:r>
    </w:p>
    <w:p>
      <w:pPr>
        <w:spacing w:line="360" w:lineRule="auto"/>
        <w:ind w:firstLine="480" w:firstLineChars="200"/>
        <w:rPr>
          <w:rFonts w:hint="eastAsia"/>
          <w:sz w:val="24"/>
          <w:szCs w:val="24"/>
        </w:rPr>
      </w:pPr>
      <w:r>
        <w:rPr>
          <w:rFonts w:hint="eastAsia"/>
          <w:sz w:val="24"/>
          <w:szCs w:val="24"/>
        </w:rPr>
        <w:t>f、如何安全疏散人群</w:t>
      </w:r>
    </w:p>
    <w:p>
      <w:pPr>
        <w:spacing w:line="360" w:lineRule="auto"/>
        <w:ind w:firstLine="480" w:firstLineChars="200"/>
        <w:rPr>
          <w:rFonts w:hint="eastAsia"/>
          <w:sz w:val="24"/>
          <w:szCs w:val="24"/>
        </w:rPr>
      </w:pPr>
      <w:r>
        <w:rPr>
          <w:rFonts w:hAnsi="宋体"/>
          <w:sz w:val="24"/>
          <w:szCs w:val="24"/>
        </w:rPr>
        <w:t>（</w:t>
      </w:r>
      <w:r>
        <w:rPr>
          <w:sz w:val="24"/>
          <w:szCs w:val="24"/>
        </w:rPr>
        <w:t>2</w:t>
      </w:r>
      <w:r>
        <w:rPr>
          <w:rFonts w:hAnsi="宋体"/>
          <w:sz w:val="24"/>
          <w:szCs w:val="24"/>
        </w:rPr>
        <w:t>）对外部公众（周边单位、社区、人口聚居区等）应急响应知识的宣传；</w:t>
      </w:r>
      <w:r>
        <w:rPr>
          <w:sz w:val="24"/>
          <w:szCs w:val="24"/>
        </w:rPr>
        <w:t xml:space="preserve"> </w:t>
      </w:r>
    </w:p>
    <w:p>
      <w:pPr>
        <w:spacing w:line="360" w:lineRule="auto"/>
        <w:ind w:firstLine="480" w:firstLineChars="200"/>
        <w:rPr>
          <w:rFonts w:hint="eastAsia"/>
          <w:sz w:val="24"/>
          <w:szCs w:val="24"/>
        </w:rPr>
      </w:pPr>
      <w:r>
        <w:rPr>
          <w:rFonts w:hint="eastAsia"/>
          <w:sz w:val="24"/>
          <w:szCs w:val="24"/>
        </w:rPr>
        <w:t>a、潜在的重大危险事故及其后果</w:t>
      </w:r>
    </w:p>
    <w:p>
      <w:pPr>
        <w:spacing w:line="360" w:lineRule="auto"/>
        <w:ind w:firstLine="480" w:firstLineChars="200"/>
        <w:rPr>
          <w:rFonts w:hint="eastAsia"/>
          <w:sz w:val="24"/>
          <w:szCs w:val="24"/>
        </w:rPr>
      </w:pPr>
      <w:r>
        <w:rPr>
          <w:rFonts w:hint="eastAsia"/>
          <w:sz w:val="24"/>
          <w:szCs w:val="24"/>
        </w:rPr>
        <w:t>b、事故警报与通知的规定</w:t>
      </w:r>
    </w:p>
    <w:p>
      <w:pPr>
        <w:spacing w:line="360" w:lineRule="auto"/>
        <w:ind w:firstLine="480" w:firstLineChars="200"/>
        <w:rPr>
          <w:rFonts w:hint="eastAsia"/>
          <w:sz w:val="24"/>
          <w:szCs w:val="24"/>
        </w:rPr>
      </w:pPr>
      <w:r>
        <w:rPr>
          <w:rFonts w:hint="eastAsia"/>
          <w:sz w:val="24"/>
          <w:szCs w:val="24"/>
        </w:rPr>
        <w:t>c、灭火器的使用以及灭火步骤训练</w:t>
      </w:r>
    </w:p>
    <w:p>
      <w:pPr>
        <w:spacing w:line="360" w:lineRule="auto"/>
        <w:ind w:firstLine="480" w:firstLineChars="200"/>
        <w:rPr>
          <w:rFonts w:hint="eastAsia"/>
          <w:sz w:val="24"/>
          <w:szCs w:val="24"/>
        </w:rPr>
      </w:pPr>
      <w:r>
        <w:rPr>
          <w:rFonts w:hint="eastAsia"/>
          <w:sz w:val="24"/>
          <w:szCs w:val="24"/>
        </w:rPr>
        <w:t>d、基本个人防护知识</w:t>
      </w:r>
    </w:p>
    <w:p>
      <w:pPr>
        <w:spacing w:line="360" w:lineRule="auto"/>
        <w:ind w:firstLine="480" w:firstLineChars="200"/>
        <w:rPr>
          <w:rFonts w:hint="eastAsia"/>
          <w:sz w:val="24"/>
          <w:szCs w:val="24"/>
        </w:rPr>
      </w:pPr>
      <w:r>
        <w:rPr>
          <w:rFonts w:hint="eastAsia"/>
          <w:sz w:val="24"/>
          <w:szCs w:val="24"/>
        </w:rPr>
        <w:t>e、撤离的组织、方法和程序</w:t>
      </w:r>
    </w:p>
    <w:p>
      <w:pPr>
        <w:spacing w:line="360" w:lineRule="auto"/>
        <w:ind w:firstLine="480" w:firstLineChars="200"/>
        <w:rPr>
          <w:rFonts w:hint="eastAsia"/>
          <w:sz w:val="24"/>
          <w:szCs w:val="24"/>
        </w:rPr>
      </w:pPr>
      <w:r>
        <w:rPr>
          <w:rFonts w:hint="eastAsia"/>
          <w:sz w:val="24"/>
          <w:szCs w:val="24"/>
        </w:rPr>
        <w:t>f、在污染区行动的规则</w:t>
      </w:r>
    </w:p>
    <w:p>
      <w:pPr>
        <w:spacing w:line="360" w:lineRule="auto"/>
        <w:ind w:firstLine="480" w:firstLineChars="200"/>
        <w:rPr>
          <w:rFonts w:hint="eastAsia"/>
          <w:sz w:val="24"/>
          <w:szCs w:val="24"/>
        </w:rPr>
      </w:pPr>
      <w:r>
        <w:rPr>
          <w:rFonts w:hint="eastAsia"/>
          <w:sz w:val="24"/>
          <w:szCs w:val="24"/>
        </w:rPr>
        <w:t>g、自救与互救的基本知识</w:t>
      </w:r>
    </w:p>
    <w:p>
      <w:pPr>
        <w:spacing w:line="360" w:lineRule="auto"/>
        <w:ind w:firstLine="480" w:firstLineChars="200"/>
        <w:rPr>
          <w:rFonts w:hint="eastAsia"/>
          <w:sz w:val="24"/>
          <w:szCs w:val="24"/>
        </w:rPr>
      </w:pPr>
      <w:r>
        <w:rPr>
          <w:rFonts w:hint="eastAsia"/>
          <w:sz w:val="24"/>
          <w:szCs w:val="24"/>
        </w:rPr>
        <w:t>培训的要求：</w:t>
      </w:r>
    </w:p>
    <w:p>
      <w:pPr>
        <w:spacing w:line="360" w:lineRule="auto"/>
        <w:ind w:firstLine="480" w:firstLineChars="200"/>
        <w:rPr>
          <w:rFonts w:hint="eastAsia"/>
          <w:sz w:val="24"/>
          <w:szCs w:val="24"/>
        </w:rPr>
      </w:pPr>
      <w:r>
        <w:rPr>
          <w:rFonts w:hint="eastAsia"/>
          <w:sz w:val="24"/>
          <w:szCs w:val="24"/>
        </w:rPr>
        <w:t>针对性：针对可能的环境事故情景及承担的应急职责，不同的人员不同的内容；</w:t>
      </w:r>
    </w:p>
    <w:p>
      <w:pPr>
        <w:spacing w:line="360" w:lineRule="auto"/>
        <w:ind w:firstLine="480" w:firstLineChars="200"/>
        <w:rPr>
          <w:rFonts w:hint="eastAsia"/>
          <w:sz w:val="24"/>
          <w:szCs w:val="24"/>
        </w:rPr>
      </w:pPr>
      <w:r>
        <w:rPr>
          <w:rFonts w:hint="eastAsia"/>
          <w:sz w:val="24"/>
          <w:szCs w:val="24"/>
        </w:rPr>
        <w:t>周期性：培训周期一般一年一次；</w:t>
      </w:r>
    </w:p>
    <w:p>
      <w:pPr>
        <w:spacing w:line="360" w:lineRule="auto"/>
        <w:ind w:firstLine="480" w:firstLineChars="200"/>
        <w:rPr>
          <w:rFonts w:hint="eastAsia"/>
          <w:sz w:val="24"/>
          <w:szCs w:val="24"/>
        </w:rPr>
      </w:pPr>
      <w:r>
        <w:rPr>
          <w:rFonts w:hint="eastAsia"/>
          <w:sz w:val="24"/>
          <w:szCs w:val="24"/>
        </w:rPr>
        <w:t>定期性：定期进行技能培训</w:t>
      </w:r>
    </w:p>
    <w:p>
      <w:pPr>
        <w:spacing w:line="360" w:lineRule="auto"/>
        <w:ind w:firstLine="480" w:firstLineChars="200"/>
        <w:rPr>
          <w:rFonts w:hint="eastAsia"/>
          <w:sz w:val="24"/>
          <w:szCs w:val="24"/>
        </w:rPr>
      </w:pPr>
      <w:r>
        <w:rPr>
          <w:rFonts w:hint="eastAsia"/>
          <w:sz w:val="24"/>
          <w:szCs w:val="24"/>
        </w:rPr>
        <w:t>真实性：尽量贴近实际，开展应急培训</w:t>
      </w:r>
    </w:p>
    <w:p>
      <w:pPr>
        <w:pStyle w:val="3"/>
        <w:rPr>
          <w:rFonts w:hint="eastAsia"/>
        </w:rPr>
      </w:pPr>
      <w:bookmarkStart w:id="745" w:name="_Toc338228626"/>
      <w:bookmarkStart w:id="746" w:name="_Toc338230982"/>
      <w:bookmarkStart w:id="747" w:name="_Toc461048137"/>
      <w:r>
        <w:rPr>
          <w:rFonts w:hint="eastAsia"/>
        </w:rPr>
        <w:t>11.2演练</w:t>
      </w:r>
      <w:bookmarkEnd w:id="745"/>
      <w:bookmarkEnd w:id="746"/>
      <w:bookmarkEnd w:id="747"/>
    </w:p>
    <w:p>
      <w:pPr>
        <w:spacing w:line="360" w:lineRule="auto"/>
        <w:ind w:firstLine="480" w:firstLineChars="200"/>
        <w:rPr>
          <w:rFonts w:hint="eastAsia"/>
          <w:sz w:val="24"/>
          <w:szCs w:val="24"/>
        </w:rPr>
      </w:pPr>
      <w:r>
        <w:rPr>
          <w:rFonts w:hint="eastAsia"/>
          <w:sz w:val="24"/>
          <w:szCs w:val="24"/>
        </w:rPr>
        <w:t>为评估应急预案的各部分和整体是否能有效的付诸行动。</w:t>
      </w:r>
    </w:p>
    <w:p>
      <w:pPr>
        <w:spacing w:line="360" w:lineRule="auto"/>
        <w:ind w:firstLine="480" w:firstLineChars="200"/>
        <w:rPr>
          <w:rFonts w:hint="eastAsia" w:hAnsi="宋体"/>
          <w:sz w:val="24"/>
          <w:szCs w:val="24"/>
        </w:rPr>
      </w:pPr>
      <w:r>
        <w:rPr>
          <w:rFonts w:hint="eastAsia"/>
          <w:sz w:val="24"/>
          <w:szCs w:val="24"/>
        </w:rPr>
        <w:t>企业每年至少组织一次预案演练，演练内容包括泄漏的发生，火灾，应急救援系统的启动，第一时间的处理，各专业救援组如何联系和赶赴现场，现场的抢救和维护，受伤救护，对外联系，与专业消防部门配合等情景。</w:t>
      </w:r>
      <w:r>
        <w:rPr>
          <w:rFonts w:hint="eastAsia" w:hAnsi="宋体"/>
          <w:sz w:val="24"/>
          <w:szCs w:val="24"/>
        </w:rPr>
        <w:t>事后对</w:t>
      </w:r>
      <w:r>
        <w:rPr>
          <w:rFonts w:hAnsi="宋体"/>
          <w:sz w:val="24"/>
          <w:szCs w:val="24"/>
        </w:rPr>
        <w:t>应急演练</w:t>
      </w:r>
      <w:r>
        <w:rPr>
          <w:rFonts w:hint="eastAsia" w:hAnsi="宋体"/>
          <w:sz w:val="24"/>
          <w:szCs w:val="24"/>
        </w:rPr>
        <w:t>做出</w:t>
      </w:r>
      <w:r>
        <w:rPr>
          <w:rFonts w:hAnsi="宋体"/>
          <w:sz w:val="24"/>
          <w:szCs w:val="24"/>
        </w:rPr>
        <w:t>评价、总结与追踪。</w:t>
      </w:r>
    </w:p>
    <w:p>
      <w:pPr>
        <w:spacing w:line="360" w:lineRule="auto"/>
        <w:ind w:firstLine="480" w:firstLineChars="200"/>
        <w:rPr>
          <w:rFonts w:hint="eastAsia" w:hAnsi="宋体"/>
          <w:sz w:val="24"/>
          <w:szCs w:val="24"/>
        </w:rPr>
        <w:sectPr>
          <w:pgSz w:w="11906" w:h="16838"/>
          <w:pgMar w:top="1247" w:right="1531" w:bottom="1247" w:left="1531" w:header="851" w:footer="992" w:gutter="0"/>
          <w:cols w:space="720" w:num="1"/>
          <w:docGrid w:type="linesAndChars" w:linePitch="312" w:charSpace="0"/>
        </w:sectPr>
      </w:pPr>
    </w:p>
    <w:p>
      <w:pPr>
        <w:pStyle w:val="2"/>
      </w:pPr>
      <w:bookmarkStart w:id="748" w:name="_Toc338230983"/>
      <w:bookmarkStart w:id="749" w:name="_Toc338228627"/>
      <w:bookmarkStart w:id="750" w:name="_Toc461048138"/>
      <w:r>
        <w:t>1</w:t>
      </w:r>
      <w:r>
        <w:rPr>
          <w:rFonts w:hint="eastAsia"/>
        </w:rPr>
        <w:t>2</w:t>
      </w:r>
      <w:r>
        <w:t>奖励与责任追究</w:t>
      </w:r>
      <w:bookmarkEnd w:id="748"/>
      <w:bookmarkEnd w:id="749"/>
      <w:bookmarkEnd w:id="750"/>
    </w:p>
    <w:p>
      <w:pPr>
        <w:pStyle w:val="3"/>
      </w:pPr>
      <w:bookmarkStart w:id="751" w:name="_Toc338228628"/>
      <w:bookmarkStart w:id="752" w:name="_Toc461048139"/>
      <w:bookmarkStart w:id="753" w:name="_Toc338230984"/>
      <w:r>
        <w:t>1</w:t>
      </w:r>
      <w:r>
        <w:rPr>
          <w:rFonts w:hint="eastAsia"/>
        </w:rPr>
        <w:t>2</w:t>
      </w:r>
      <w:r>
        <w:t>.1奖励</w:t>
      </w:r>
      <w:bookmarkEnd w:id="751"/>
      <w:bookmarkEnd w:id="752"/>
      <w:bookmarkEnd w:id="753"/>
    </w:p>
    <w:p>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宋体"/>
          <w:sz w:val="24"/>
          <w:szCs w:val="24"/>
        </w:rPr>
        <w:t>在突发环境事件中，有下列事件之一的单位和个人，依据有关规定给予奖励。</w:t>
      </w:r>
    </w:p>
    <w:p>
      <w:pPr>
        <w:numPr>
          <w:ilvl w:val="0"/>
          <w:numId w:val="11"/>
        </w:numPr>
        <w:spacing w:line="360" w:lineRule="auto"/>
        <w:rPr>
          <w:rFonts w:ascii="Times New Roman" w:hAnsi="Times New Roman"/>
          <w:sz w:val="24"/>
          <w:szCs w:val="24"/>
        </w:rPr>
      </w:pPr>
      <w:r>
        <w:rPr>
          <w:rFonts w:ascii="Times New Roman" w:hAnsi="宋体"/>
          <w:sz w:val="24"/>
          <w:szCs w:val="24"/>
        </w:rPr>
        <w:t>出色完成突发环境事件应急处置任务，成绩显著的。</w:t>
      </w:r>
    </w:p>
    <w:p>
      <w:pPr>
        <w:numPr>
          <w:ilvl w:val="0"/>
          <w:numId w:val="11"/>
        </w:numPr>
        <w:spacing w:line="360" w:lineRule="auto"/>
        <w:ind w:left="1134"/>
        <w:rPr>
          <w:rFonts w:ascii="Times New Roman" w:hAnsi="Times New Roman"/>
          <w:sz w:val="24"/>
          <w:szCs w:val="24"/>
        </w:rPr>
      </w:pPr>
      <w:r>
        <w:rPr>
          <w:rFonts w:ascii="Times New Roman" w:hAnsi="宋体"/>
          <w:sz w:val="24"/>
          <w:szCs w:val="24"/>
        </w:rPr>
        <w:t>对防止或挽救突发环境事件有功，使国家、集体和人民群众的生命财产免受或者减少损失的。</w:t>
      </w:r>
    </w:p>
    <w:p>
      <w:pPr>
        <w:numPr>
          <w:ilvl w:val="0"/>
          <w:numId w:val="11"/>
        </w:numPr>
        <w:spacing w:line="360" w:lineRule="auto"/>
        <w:ind w:left="1134"/>
        <w:rPr>
          <w:rFonts w:ascii="Times New Roman" w:hAnsi="Times New Roman"/>
          <w:sz w:val="24"/>
          <w:szCs w:val="24"/>
        </w:rPr>
      </w:pPr>
      <w:r>
        <w:rPr>
          <w:rFonts w:ascii="Times New Roman" w:hAnsi="宋体"/>
          <w:sz w:val="24"/>
          <w:szCs w:val="24"/>
        </w:rPr>
        <w:t>对事件应急准备与相应提出重大建议，实施效果显著的。</w:t>
      </w:r>
    </w:p>
    <w:p>
      <w:pPr>
        <w:numPr>
          <w:ilvl w:val="0"/>
          <w:numId w:val="11"/>
        </w:numPr>
        <w:spacing w:line="360" w:lineRule="auto"/>
        <w:ind w:left="1134"/>
        <w:rPr>
          <w:rFonts w:ascii="Times New Roman" w:hAnsi="Times New Roman"/>
          <w:sz w:val="24"/>
          <w:szCs w:val="24"/>
        </w:rPr>
      </w:pPr>
      <w:r>
        <w:rPr>
          <w:rFonts w:ascii="Times New Roman" w:hAnsi="宋体"/>
          <w:sz w:val="24"/>
          <w:szCs w:val="24"/>
        </w:rPr>
        <w:t>有其他特殊贡献的。</w:t>
      </w:r>
    </w:p>
    <w:p>
      <w:pPr>
        <w:pStyle w:val="3"/>
      </w:pPr>
      <w:bookmarkStart w:id="754" w:name="_Toc461048140"/>
      <w:bookmarkStart w:id="755" w:name="_Toc338228629"/>
      <w:bookmarkStart w:id="756" w:name="_Toc338230985"/>
      <w:r>
        <w:t>1</w:t>
      </w:r>
      <w:r>
        <w:rPr>
          <w:rFonts w:hint="eastAsia"/>
        </w:rPr>
        <w:t>2</w:t>
      </w:r>
      <w:r>
        <w:t>.2责任追究</w:t>
      </w:r>
      <w:bookmarkEnd w:id="754"/>
      <w:bookmarkEnd w:id="755"/>
      <w:bookmarkEnd w:id="756"/>
    </w:p>
    <w:p>
      <w:pPr>
        <w:spacing w:line="360" w:lineRule="auto"/>
        <w:ind w:firstLine="570"/>
        <w:rPr>
          <w:rFonts w:ascii="Times New Roman" w:hAnsi="Times New Roman"/>
          <w:sz w:val="24"/>
          <w:szCs w:val="24"/>
        </w:rPr>
      </w:pPr>
      <w:r>
        <w:rPr>
          <w:rFonts w:ascii="Times New Roman" w:hAnsi="宋体"/>
          <w:sz w:val="24"/>
          <w:szCs w:val="24"/>
        </w:rPr>
        <w:t>在突发环境事件应急工作中，有下列事迹之一的，按照有关法律和规定，对有关责任人员视情节和危害后果，由其所在单位或者上级机关给予行政处分；其中，国家公务员和国家行政机关任命的其他人员，分别由任免机关或者监察机关给予行政处分；构成犯罪的，由司法机关依法追究刑事责任。</w:t>
      </w:r>
    </w:p>
    <w:p>
      <w:pPr>
        <w:numPr>
          <w:ilvl w:val="0"/>
          <w:numId w:val="12"/>
        </w:numPr>
        <w:spacing w:line="360" w:lineRule="auto"/>
        <w:rPr>
          <w:rFonts w:ascii="Times New Roman" w:hAnsi="Times New Roman"/>
          <w:sz w:val="24"/>
          <w:szCs w:val="24"/>
        </w:rPr>
      </w:pPr>
      <w:r>
        <w:rPr>
          <w:rFonts w:ascii="Times New Roman" w:hAnsi="宋体"/>
          <w:sz w:val="24"/>
          <w:szCs w:val="24"/>
        </w:rPr>
        <w:t>不认真履行环保法律、法规而引发环境事件的；</w:t>
      </w:r>
    </w:p>
    <w:p>
      <w:pPr>
        <w:numPr>
          <w:ilvl w:val="0"/>
          <w:numId w:val="12"/>
        </w:numPr>
        <w:spacing w:line="360" w:lineRule="auto"/>
        <w:rPr>
          <w:rFonts w:ascii="Times New Roman" w:hAnsi="Times New Roman"/>
          <w:sz w:val="24"/>
          <w:szCs w:val="24"/>
        </w:rPr>
      </w:pPr>
      <w:r>
        <w:rPr>
          <w:rFonts w:ascii="Times New Roman" w:hAnsi="宋体"/>
          <w:sz w:val="24"/>
          <w:szCs w:val="24"/>
        </w:rPr>
        <w:t>不按照规定制定突发环境事件应急预案，拒绝承担突发环境事件应急准备义务的；</w:t>
      </w:r>
    </w:p>
    <w:p>
      <w:pPr>
        <w:numPr>
          <w:ilvl w:val="0"/>
          <w:numId w:val="12"/>
        </w:numPr>
        <w:spacing w:line="360" w:lineRule="auto"/>
        <w:rPr>
          <w:rFonts w:ascii="Times New Roman" w:hAnsi="Times New Roman"/>
          <w:sz w:val="24"/>
          <w:szCs w:val="24"/>
        </w:rPr>
      </w:pPr>
      <w:r>
        <w:rPr>
          <w:rFonts w:ascii="Times New Roman" w:hAnsi="宋体"/>
          <w:sz w:val="24"/>
          <w:szCs w:val="24"/>
        </w:rPr>
        <w:t>不按照规定报告、通报突发事件真实情况的；</w:t>
      </w:r>
    </w:p>
    <w:p>
      <w:pPr>
        <w:numPr>
          <w:ilvl w:val="0"/>
          <w:numId w:val="12"/>
        </w:numPr>
        <w:spacing w:line="360" w:lineRule="auto"/>
        <w:rPr>
          <w:rFonts w:ascii="Times New Roman" w:hAnsi="Times New Roman"/>
          <w:sz w:val="24"/>
          <w:szCs w:val="24"/>
        </w:rPr>
      </w:pPr>
      <w:r>
        <w:rPr>
          <w:rFonts w:ascii="Times New Roman" w:hAnsi="宋体"/>
          <w:sz w:val="24"/>
          <w:szCs w:val="24"/>
        </w:rPr>
        <w:t>拒不执行突发环境事件应急预案，不服从命令和指挥，或者在事件应急相应时临阵脱逃的；</w:t>
      </w:r>
    </w:p>
    <w:p>
      <w:pPr>
        <w:numPr>
          <w:ilvl w:val="0"/>
          <w:numId w:val="12"/>
        </w:numPr>
        <w:spacing w:line="360" w:lineRule="auto"/>
        <w:rPr>
          <w:rFonts w:ascii="Times New Roman" w:hAnsi="Times New Roman"/>
          <w:sz w:val="24"/>
          <w:szCs w:val="24"/>
        </w:rPr>
      </w:pPr>
      <w:r>
        <w:rPr>
          <w:rFonts w:ascii="Times New Roman" w:hAnsi="宋体"/>
          <w:sz w:val="24"/>
          <w:szCs w:val="24"/>
        </w:rPr>
        <w:t>盗窃、贪污、挪用环境事件应急工作资金、装备和物资的；</w:t>
      </w:r>
    </w:p>
    <w:p>
      <w:pPr>
        <w:numPr>
          <w:ilvl w:val="0"/>
          <w:numId w:val="12"/>
        </w:numPr>
        <w:spacing w:line="360" w:lineRule="auto"/>
        <w:rPr>
          <w:rFonts w:ascii="Times New Roman" w:hAnsi="Times New Roman"/>
          <w:sz w:val="24"/>
          <w:szCs w:val="24"/>
        </w:rPr>
      </w:pPr>
      <w:r>
        <w:rPr>
          <w:rFonts w:ascii="Times New Roman" w:hAnsi="宋体"/>
          <w:sz w:val="24"/>
          <w:szCs w:val="24"/>
        </w:rPr>
        <w:t>阻碍环境事件应急工作人员依法执行职务或者进行破坏活动的；</w:t>
      </w:r>
    </w:p>
    <w:p>
      <w:pPr>
        <w:numPr>
          <w:ilvl w:val="0"/>
          <w:numId w:val="12"/>
        </w:numPr>
        <w:spacing w:line="360" w:lineRule="auto"/>
        <w:rPr>
          <w:rFonts w:ascii="Times New Roman" w:hAnsi="Times New Roman"/>
          <w:sz w:val="24"/>
          <w:szCs w:val="24"/>
        </w:rPr>
      </w:pPr>
      <w:r>
        <w:rPr>
          <w:rFonts w:ascii="Times New Roman" w:hAnsi="宋体"/>
          <w:sz w:val="24"/>
          <w:szCs w:val="24"/>
        </w:rPr>
        <w:t>散步谣言，扰乱社会秩序的；</w:t>
      </w:r>
    </w:p>
    <w:p>
      <w:pPr>
        <w:numPr>
          <w:ilvl w:val="0"/>
          <w:numId w:val="12"/>
        </w:numPr>
        <w:spacing w:line="360" w:lineRule="auto"/>
        <w:rPr>
          <w:rFonts w:hint="eastAsia" w:ascii="Times New Roman" w:hAnsi="Times New Roman"/>
          <w:sz w:val="24"/>
          <w:szCs w:val="24"/>
        </w:rPr>
      </w:pPr>
      <w:r>
        <w:rPr>
          <w:rFonts w:ascii="Times New Roman" w:hAnsi="宋体"/>
          <w:sz w:val="24"/>
          <w:szCs w:val="24"/>
        </w:rPr>
        <w:t>有其他环境事件应急工作造成损害的</w:t>
      </w:r>
      <w:r>
        <w:rPr>
          <w:rFonts w:ascii="Times New Roman" w:hAnsi="Times New Roman"/>
          <w:sz w:val="24"/>
          <w:szCs w:val="24"/>
        </w:rPr>
        <w:t xml:space="preserve"> </w:t>
      </w:r>
      <w:r>
        <w:rPr>
          <w:rFonts w:ascii="Times New Roman" w:hAnsi="宋体"/>
          <w:sz w:val="24"/>
          <w:szCs w:val="24"/>
        </w:rPr>
        <w:t>；</w:t>
      </w:r>
    </w:p>
    <w:p>
      <w:pPr>
        <w:pStyle w:val="3"/>
        <w:rPr>
          <w:sz w:val="24"/>
          <w:szCs w:val="24"/>
        </w:rPr>
        <w:sectPr>
          <w:pgSz w:w="11906" w:h="16838"/>
          <w:pgMar w:top="1247" w:right="1531" w:bottom="1247" w:left="1531" w:header="851" w:footer="992" w:gutter="0"/>
          <w:cols w:space="720" w:num="1"/>
          <w:docGrid w:type="linesAndChars" w:linePitch="312" w:charSpace="0"/>
        </w:sectPr>
      </w:pPr>
      <w:bookmarkStart w:id="757" w:name="_Toc317175199"/>
    </w:p>
    <w:p>
      <w:pPr>
        <w:pStyle w:val="2"/>
      </w:pPr>
      <w:bookmarkStart w:id="758" w:name="_Toc338230986"/>
      <w:bookmarkStart w:id="759" w:name="_Toc461048141"/>
      <w:bookmarkStart w:id="760" w:name="_Toc338228630"/>
      <w:r>
        <w:t>1</w:t>
      </w:r>
      <w:r>
        <w:rPr>
          <w:rFonts w:hint="eastAsia"/>
        </w:rPr>
        <w:t>3</w:t>
      </w:r>
      <w:r>
        <w:t>应急保障</w:t>
      </w:r>
      <w:bookmarkEnd w:id="757"/>
      <w:bookmarkEnd w:id="758"/>
      <w:bookmarkEnd w:id="759"/>
      <w:bookmarkEnd w:id="760"/>
    </w:p>
    <w:p>
      <w:pPr>
        <w:pStyle w:val="3"/>
      </w:pPr>
      <w:bookmarkStart w:id="761" w:name="_Toc338228631"/>
      <w:bookmarkStart w:id="762" w:name="_Toc461048142"/>
      <w:bookmarkStart w:id="763" w:name="_Toc338230987"/>
      <w:r>
        <w:t>1</w:t>
      </w:r>
      <w:r>
        <w:rPr>
          <w:rFonts w:hint="eastAsia"/>
        </w:rPr>
        <w:t>3</w:t>
      </w:r>
      <w:r>
        <w:t>.1资金保障</w:t>
      </w:r>
      <w:bookmarkEnd w:id="761"/>
      <w:bookmarkEnd w:id="762"/>
      <w:bookmarkEnd w:id="763"/>
    </w:p>
    <w:p>
      <w:pPr>
        <w:spacing w:line="360" w:lineRule="auto"/>
        <w:ind w:firstLine="480" w:firstLineChars="200"/>
        <w:rPr>
          <w:rFonts w:ascii="Times New Roman" w:hAnsi="Times New Roman"/>
          <w:sz w:val="24"/>
          <w:szCs w:val="24"/>
        </w:rPr>
      </w:pPr>
      <w:r>
        <w:rPr>
          <w:rFonts w:hint="eastAsia" w:ascii="Times New Roman" w:hAnsi="宋体"/>
          <w:sz w:val="24"/>
          <w:szCs w:val="24"/>
        </w:rPr>
        <w:t>企业</w:t>
      </w:r>
      <w:r>
        <w:rPr>
          <w:rFonts w:ascii="Times New Roman" w:hAnsi="宋体"/>
          <w:sz w:val="24"/>
          <w:szCs w:val="24"/>
        </w:rPr>
        <w:t>应做好事故预防预警及应急救援所必须的资金储备。主要由</w:t>
      </w:r>
      <w:r>
        <w:rPr>
          <w:rFonts w:hint="eastAsia" w:ascii="Times New Roman" w:hAnsi="宋体"/>
          <w:sz w:val="24"/>
          <w:szCs w:val="24"/>
        </w:rPr>
        <w:t>公司办</w:t>
      </w:r>
      <w:r>
        <w:rPr>
          <w:rFonts w:ascii="Times New Roman" w:hAnsi="宋体"/>
          <w:sz w:val="24"/>
          <w:szCs w:val="24"/>
        </w:rPr>
        <w:t>负责组织储备。应急经费按《财政应急保障预案》规定纳入每年的预算，装备量应严格按《财政应急保障预案》比例执行，确保应急预案启动之后，能够满足现场救援所需。（包括物资以及受灾人员的妥善安置等）。</w:t>
      </w:r>
    </w:p>
    <w:p>
      <w:pPr>
        <w:pStyle w:val="3"/>
      </w:pPr>
      <w:bookmarkStart w:id="764" w:name="_Toc338230988"/>
      <w:bookmarkStart w:id="765" w:name="_Toc338228632"/>
      <w:bookmarkStart w:id="766" w:name="_Toc461048143"/>
      <w:r>
        <w:t>1</w:t>
      </w:r>
      <w:r>
        <w:rPr>
          <w:rFonts w:hint="eastAsia"/>
        </w:rPr>
        <w:t>3</w:t>
      </w:r>
      <w:r>
        <w:t>.2</w:t>
      </w:r>
      <w:r>
        <w:rPr>
          <w:rFonts w:hint="eastAsia"/>
        </w:rPr>
        <w:t>应急物资</w:t>
      </w:r>
      <w:r>
        <w:t>装备保障</w:t>
      </w:r>
      <w:bookmarkEnd w:id="764"/>
      <w:bookmarkEnd w:id="765"/>
      <w:bookmarkEnd w:id="766"/>
    </w:p>
    <w:p>
      <w:pPr>
        <w:spacing w:line="360" w:lineRule="auto"/>
        <w:rPr>
          <w:rFonts w:hint="eastAsia" w:ascii="Times New Roman" w:hAnsi="宋体"/>
          <w:b/>
          <w:sz w:val="24"/>
          <w:szCs w:val="24"/>
          <w:lang w:val="zh-CN"/>
        </w:rPr>
      </w:pPr>
      <w:r>
        <w:rPr>
          <w:rFonts w:hint="eastAsia" w:ascii="Times New Roman" w:hAnsi="宋体"/>
          <w:b/>
          <w:sz w:val="24"/>
          <w:szCs w:val="24"/>
          <w:lang w:val="zh-CN"/>
        </w:rPr>
        <w:t>13.2.1 应急物资</w:t>
      </w:r>
    </w:p>
    <w:p>
      <w:pPr>
        <w:ind w:firstLine="480" w:firstLineChars="200"/>
        <w:rPr>
          <w:rFonts w:hint="eastAsia" w:eastAsia="黑体"/>
          <w:b/>
          <w:sz w:val="24"/>
          <w:szCs w:val="24"/>
        </w:rPr>
      </w:pPr>
      <w:r>
        <w:rPr>
          <w:rFonts w:hint="eastAsia" w:hAnsi="宋体"/>
          <w:sz w:val="24"/>
          <w:szCs w:val="24"/>
          <w:lang w:val="zh-CN"/>
        </w:rPr>
        <w:t>事故救援依托陈家桥医院，企业应急救援常用设备与工具主要有：</w:t>
      </w:r>
    </w:p>
    <w:p>
      <w:pPr>
        <w:ind w:firstLine="480" w:firstLineChars="200"/>
        <w:jc w:val="center"/>
        <w:rPr>
          <w:rFonts w:hint="eastAsia" w:eastAsia="黑体"/>
          <w:b/>
          <w:sz w:val="24"/>
          <w:szCs w:val="24"/>
        </w:rPr>
      </w:pPr>
      <w:r>
        <w:rPr>
          <w:rFonts w:hint="eastAsia" w:eastAsia="黑体"/>
          <w:b/>
          <w:sz w:val="24"/>
          <w:szCs w:val="24"/>
        </w:rPr>
        <w:t>表13.2—1   企业现有应急物资与装备汇总表</w:t>
      </w:r>
    </w:p>
    <w:tbl>
      <w:tblPr>
        <w:tblStyle w:val="21"/>
        <w:tblW w:w="850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654"/>
        <w:gridCol w:w="2093"/>
        <w:gridCol w:w="1069"/>
        <w:gridCol w:w="1524"/>
        <w:gridCol w:w="15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1" w:type="dxa"/>
            <w:vAlign w:val="center"/>
          </w:tcPr>
          <w:p>
            <w:pPr>
              <w:pStyle w:val="31"/>
              <w:adjustRightInd/>
              <w:rPr>
                <w:rFonts w:ascii="宋体" w:hAnsi="宋体"/>
                <w:color w:val="000000"/>
              </w:rPr>
            </w:pPr>
            <w:r>
              <w:rPr>
                <w:rFonts w:ascii="宋体" w:hAnsi="宋体"/>
                <w:color w:val="000000"/>
              </w:rPr>
              <w:t>序号</w:t>
            </w:r>
          </w:p>
        </w:tc>
        <w:tc>
          <w:tcPr>
            <w:tcW w:w="1654" w:type="dxa"/>
            <w:vAlign w:val="center"/>
          </w:tcPr>
          <w:p>
            <w:pPr>
              <w:pStyle w:val="31"/>
              <w:adjustRightInd/>
              <w:rPr>
                <w:rFonts w:ascii="宋体" w:hAnsi="宋体"/>
                <w:color w:val="000000"/>
              </w:rPr>
            </w:pPr>
            <w:r>
              <w:rPr>
                <w:rFonts w:ascii="宋体" w:hAnsi="宋体"/>
                <w:color w:val="000000"/>
              </w:rPr>
              <w:t>备品备件名称</w:t>
            </w:r>
          </w:p>
        </w:tc>
        <w:tc>
          <w:tcPr>
            <w:tcW w:w="2093" w:type="dxa"/>
            <w:vAlign w:val="center"/>
          </w:tcPr>
          <w:p>
            <w:pPr>
              <w:pStyle w:val="31"/>
              <w:adjustRightInd/>
              <w:rPr>
                <w:rFonts w:ascii="宋体" w:hAnsi="宋体"/>
                <w:color w:val="000000"/>
              </w:rPr>
            </w:pPr>
            <w:r>
              <w:rPr>
                <w:rFonts w:ascii="宋体" w:hAnsi="宋体"/>
                <w:color w:val="000000"/>
              </w:rPr>
              <w:t>规格型号</w:t>
            </w:r>
          </w:p>
        </w:tc>
        <w:tc>
          <w:tcPr>
            <w:tcW w:w="1069" w:type="dxa"/>
            <w:vAlign w:val="center"/>
          </w:tcPr>
          <w:p>
            <w:pPr>
              <w:pStyle w:val="31"/>
              <w:adjustRightInd/>
              <w:rPr>
                <w:rFonts w:ascii="宋体" w:hAnsi="宋体"/>
                <w:color w:val="000000"/>
              </w:rPr>
            </w:pPr>
            <w:r>
              <w:rPr>
                <w:rFonts w:ascii="宋体" w:hAnsi="宋体"/>
                <w:color w:val="000000"/>
              </w:rPr>
              <w:t>数量</w:t>
            </w:r>
          </w:p>
        </w:tc>
        <w:tc>
          <w:tcPr>
            <w:tcW w:w="1524" w:type="dxa"/>
            <w:vAlign w:val="center"/>
          </w:tcPr>
          <w:p>
            <w:pPr>
              <w:pStyle w:val="31"/>
              <w:adjustRightInd/>
              <w:rPr>
                <w:rFonts w:hint="eastAsia" w:ascii="宋体" w:hAnsi="宋体"/>
                <w:color w:val="000000"/>
              </w:rPr>
            </w:pPr>
            <w:r>
              <w:rPr>
                <w:rFonts w:hint="eastAsia" w:ascii="宋体" w:hAnsi="宋体"/>
                <w:color w:val="000000"/>
              </w:rPr>
              <w:t>管理人员</w:t>
            </w:r>
          </w:p>
        </w:tc>
        <w:tc>
          <w:tcPr>
            <w:tcW w:w="1524" w:type="dxa"/>
            <w:vAlign w:val="center"/>
          </w:tcPr>
          <w:p>
            <w:pPr>
              <w:pStyle w:val="31"/>
              <w:adjustRightInd/>
              <w:rPr>
                <w:rFonts w:hint="eastAsia" w:ascii="宋体" w:hAnsi="宋体"/>
                <w:color w:val="000000"/>
              </w:rPr>
            </w:pPr>
            <w:r>
              <w:rPr>
                <w:rFonts w:hint="eastAsia" w:ascii="宋体" w:hAnsi="宋体"/>
                <w:color w:val="000000"/>
              </w:rPr>
              <w:t>存放地点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1" w:type="dxa"/>
            <w:vAlign w:val="center"/>
          </w:tcPr>
          <w:p>
            <w:pPr>
              <w:pStyle w:val="31"/>
              <w:adjustRightInd/>
              <w:rPr>
                <w:rFonts w:ascii="宋体" w:hAnsi="宋体"/>
                <w:color w:val="000000"/>
              </w:rPr>
            </w:pPr>
            <w:r>
              <w:rPr>
                <w:rFonts w:ascii="宋体" w:hAnsi="宋体"/>
                <w:color w:val="000000"/>
              </w:rPr>
              <w:t>1</w:t>
            </w:r>
          </w:p>
        </w:tc>
        <w:tc>
          <w:tcPr>
            <w:tcW w:w="1654" w:type="dxa"/>
            <w:vAlign w:val="center"/>
          </w:tcPr>
          <w:p>
            <w:pPr>
              <w:pStyle w:val="31"/>
              <w:adjustRightInd/>
              <w:rPr>
                <w:rFonts w:ascii="宋体" w:hAnsi="宋体"/>
                <w:color w:val="000000"/>
              </w:rPr>
            </w:pPr>
            <w:r>
              <w:rPr>
                <w:rFonts w:ascii="宋体" w:hAnsi="宋体"/>
                <w:color w:val="000000"/>
              </w:rPr>
              <w:t>工程救援车辆</w:t>
            </w:r>
          </w:p>
        </w:tc>
        <w:tc>
          <w:tcPr>
            <w:tcW w:w="2093" w:type="dxa"/>
            <w:vAlign w:val="center"/>
          </w:tcPr>
          <w:p>
            <w:pPr>
              <w:pStyle w:val="31"/>
              <w:adjustRightInd/>
              <w:rPr>
                <w:rFonts w:hint="eastAsia" w:ascii="宋体" w:hAnsi="宋体"/>
                <w:color w:val="000000"/>
              </w:rPr>
            </w:pPr>
            <w:r>
              <w:rPr>
                <w:rFonts w:hint="eastAsia" w:ascii="宋体" w:hAnsi="宋体"/>
                <w:color w:val="000000"/>
              </w:rPr>
              <w:t>值班车</w:t>
            </w:r>
          </w:p>
        </w:tc>
        <w:tc>
          <w:tcPr>
            <w:tcW w:w="1069" w:type="dxa"/>
            <w:vAlign w:val="center"/>
          </w:tcPr>
          <w:p>
            <w:pPr>
              <w:pStyle w:val="31"/>
              <w:adjustRightInd/>
              <w:rPr>
                <w:rFonts w:ascii="宋体" w:hAnsi="宋体"/>
                <w:color w:val="000000"/>
              </w:rPr>
            </w:pPr>
            <w:r>
              <w:rPr>
                <w:rFonts w:hint="eastAsia" w:ascii="宋体" w:hAnsi="宋体"/>
                <w:color w:val="000000"/>
              </w:rPr>
              <w:t>2</w:t>
            </w:r>
            <w:r>
              <w:rPr>
                <w:rFonts w:ascii="宋体" w:hAnsi="宋体"/>
                <w:color w:val="000000"/>
              </w:rPr>
              <w:t>辆</w:t>
            </w:r>
          </w:p>
        </w:tc>
        <w:tc>
          <w:tcPr>
            <w:tcW w:w="1524" w:type="dxa"/>
            <w:vAlign w:val="center"/>
          </w:tcPr>
          <w:p>
            <w:pPr>
              <w:pStyle w:val="31"/>
              <w:adjustRightInd/>
              <w:rPr>
                <w:rFonts w:hint="eastAsia" w:ascii="宋体" w:hAnsi="宋体"/>
                <w:color w:val="000000"/>
              </w:rPr>
            </w:pPr>
            <w:r>
              <w:rPr>
                <w:rFonts w:hint="eastAsia" w:ascii="宋体" w:hAnsi="宋体"/>
                <w:color w:val="000000"/>
              </w:rPr>
              <w:t>刘洪</w:t>
            </w:r>
          </w:p>
        </w:tc>
        <w:tc>
          <w:tcPr>
            <w:tcW w:w="1524" w:type="dxa"/>
            <w:vAlign w:val="center"/>
          </w:tcPr>
          <w:p>
            <w:pPr>
              <w:pStyle w:val="31"/>
              <w:adjustRightInd/>
              <w:rPr>
                <w:rFonts w:hint="eastAsia" w:ascii="宋体" w:hAnsi="宋体"/>
                <w:color w:val="000000"/>
              </w:rPr>
            </w:pPr>
            <w:r>
              <w:rPr>
                <w:rFonts w:hint="eastAsia" w:ascii="宋体" w:hAnsi="宋体"/>
                <w:color w:val="000000"/>
              </w:rPr>
              <w:t>公司车库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1" w:type="dxa"/>
            <w:vAlign w:val="center"/>
          </w:tcPr>
          <w:p>
            <w:pPr>
              <w:pStyle w:val="31"/>
              <w:adjustRightInd/>
              <w:rPr>
                <w:rFonts w:hint="eastAsia" w:ascii="宋体" w:hAnsi="宋体"/>
                <w:color w:val="000000"/>
              </w:rPr>
            </w:pPr>
            <w:r>
              <w:rPr>
                <w:rFonts w:hint="eastAsia" w:ascii="宋体" w:hAnsi="宋体"/>
                <w:color w:val="000000"/>
              </w:rPr>
              <w:t>2</w:t>
            </w:r>
          </w:p>
        </w:tc>
        <w:tc>
          <w:tcPr>
            <w:tcW w:w="1654" w:type="dxa"/>
            <w:vAlign w:val="center"/>
          </w:tcPr>
          <w:p>
            <w:pPr>
              <w:pStyle w:val="31"/>
              <w:adjustRightInd/>
              <w:rPr>
                <w:rFonts w:hint="eastAsia" w:ascii="宋体" w:hAnsi="宋体"/>
                <w:color w:val="000000"/>
              </w:rPr>
            </w:pPr>
            <w:r>
              <w:rPr>
                <w:rFonts w:hint="eastAsia" w:ascii="宋体" w:hAnsi="宋体"/>
                <w:color w:val="000000"/>
              </w:rPr>
              <w:t>电气设备</w:t>
            </w:r>
          </w:p>
        </w:tc>
        <w:tc>
          <w:tcPr>
            <w:tcW w:w="2093" w:type="dxa"/>
            <w:vAlign w:val="center"/>
          </w:tcPr>
          <w:p>
            <w:pPr>
              <w:pStyle w:val="31"/>
              <w:adjustRightInd/>
              <w:rPr>
                <w:rFonts w:hint="eastAsia" w:ascii="宋体" w:hAnsi="宋体"/>
                <w:color w:val="000000"/>
              </w:rPr>
            </w:pPr>
            <w:r>
              <w:rPr>
                <w:rFonts w:hint="eastAsia" w:ascii="宋体" w:hAnsi="宋体"/>
                <w:color w:val="000000"/>
              </w:rPr>
              <w:t>应急灯</w:t>
            </w:r>
          </w:p>
        </w:tc>
        <w:tc>
          <w:tcPr>
            <w:tcW w:w="1069" w:type="dxa"/>
            <w:vAlign w:val="center"/>
          </w:tcPr>
          <w:p>
            <w:pPr>
              <w:pStyle w:val="31"/>
              <w:adjustRightInd/>
              <w:rPr>
                <w:rFonts w:hint="eastAsia" w:ascii="宋体" w:hAnsi="宋体"/>
                <w:color w:val="000000"/>
              </w:rPr>
            </w:pPr>
            <w:r>
              <w:rPr>
                <w:rFonts w:hint="eastAsia" w:ascii="宋体" w:hAnsi="宋体"/>
                <w:color w:val="000000"/>
              </w:rPr>
              <w:t>30个</w:t>
            </w:r>
          </w:p>
        </w:tc>
        <w:tc>
          <w:tcPr>
            <w:tcW w:w="1524" w:type="dxa"/>
            <w:vAlign w:val="center"/>
          </w:tcPr>
          <w:p>
            <w:pPr>
              <w:pStyle w:val="31"/>
              <w:adjustRightInd/>
              <w:rPr>
                <w:rFonts w:hint="eastAsia" w:ascii="宋体" w:hAnsi="宋体"/>
                <w:color w:val="000000"/>
              </w:rPr>
            </w:pPr>
            <w:r>
              <w:rPr>
                <w:rFonts w:hint="eastAsia" w:ascii="宋体" w:hAnsi="宋体"/>
                <w:color w:val="000000"/>
              </w:rPr>
              <w:t>文昌平</w:t>
            </w:r>
          </w:p>
        </w:tc>
        <w:tc>
          <w:tcPr>
            <w:tcW w:w="1524" w:type="dxa"/>
            <w:vAlign w:val="center"/>
          </w:tcPr>
          <w:p>
            <w:pPr>
              <w:pStyle w:val="31"/>
              <w:adjustRightInd/>
              <w:rPr>
                <w:rFonts w:hint="eastAsia" w:ascii="宋体" w:hAnsi="宋体"/>
                <w:color w:val="000000"/>
              </w:rPr>
            </w:pPr>
            <w:r>
              <w:rPr>
                <w:rFonts w:hint="eastAsia" w:ascii="宋体" w:hAnsi="宋体"/>
                <w:color w:val="000000"/>
              </w:rPr>
              <w:t>矿灯房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1" w:type="dxa"/>
            <w:vMerge w:val="restart"/>
            <w:vAlign w:val="center"/>
          </w:tcPr>
          <w:p>
            <w:pPr>
              <w:pStyle w:val="31"/>
              <w:adjustRightInd/>
              <w:rPr>
                <w:rFonts w:hint="eastAsia" w:ascii="宋体" w:hAnsi="宋体"/>
                <w:color w:val="000000"/>
                <w:lang w:eastAsia="zh-CN"/>
              </w:rPr>
            </w:pPr>
            <w:r>
              <w:rPr>
                <w:rFonts w:hint="eastAsia" w:ascii="宋体" w:hAnsi="宋体"/>
                <w:color w:val="000000"/>
                <w:lang w:eastAsia="zh-CN"/>
              </w:rPr>
              <w:t>3</w:t>
            </w:r>
          </w:p>
        </w:tc>
        <w:tc>
          <w:tcPr>
            <w:tcW w:w="1654" w:type="dxa"/>
            <w:vMerge w:val="restart"/>
            <w:vAlign w:val="center"/>
          </w:tcPr>
          <w:p>
            <w:pPr>
              <w:pStyle w:val="31"/>
              <w:adjustRightInd/>
              <w:rPr>
                <w:rFonts w:hint="eastAsia" w:ascii="宋体" w:hAnsi="宋体"/>
                <w:color w:val="000000"/>
              </w:rPr>
            </w:pPr>
            <w:r>
              <w:rPr>
                <w:rFonts w:ascii="宋体" w:hAnsi="宋体"/>
                <w:color w:val="000000"/>
              </w:rPr>
              <w:t>消防设备</w:t>
            </w:r>
          </w:p>
        </w:tc>
        <w:tc>
          <w:tcPr>
            <w:tcW w:w="2093" w:type="dxa"/>
            <w:vAlign w:val="center"/>
          </w:tcPr>
          <w:p>
            <w:pPr>
              <w:pStyle w:val="31"/>
              <w:adjustRightInd/>
              <w:rPr>
                <w:rFonts w:hint="eastAsia" w:ascii="宋体" w:hAnsi="宋体"/>
                <w:color w:val="000000"/>
              </w:rPr>
            </w:pPr>
            <w:r>
              <w:rPr>
                <w:rFonts w:hint="eastAsia" w:ascii="宋体" w:hAnsi="宋体"/>
                <w:color w:val="000000"/>
              </w:rPr>
              <w:t>消防水泵</w:t>
            </w:r>
          </w:p>
        </w:tc>
        <w:tc>
          <w:tcPr>
            <w:tcW w:w="1069" w:type="dxa"/>
            <w:vAlign w:val="center"/>
          </w:tcPr>
          <w:p>
            <w:pPr>
              <w:pStyle w:val="31"/>
              <w:adjustRightInd/>
              <w:rPr>
                <w:rFonts w:hint="eastAsia" w:ascii="宋体" w:hAnsi="宋体"/>
                <w:color w:val="000000"/>
              </w:rPr>
            </w:pPr>
            <w:r>
              <w:rPr>
                <w:rFonts w:hint="eastAsia" w:ascii="宋体" w:hAnsi="宋体"/>
                <w:color w:val="000000"/>
              </w:rPr>
              <w:t>5个</w:t>
            </w:r>
          </w:p>
        </w:tc>
        <w:tc>
          <w:tcPr>
            <w:tcW w:w="1524" w:type="dxa"/>
            <w:vAlign w:val="center"/>
          </w:tcPr>
          <w:p>
            <w:pPr>
              <w:pStyle w:val="31"/>
              <w:adjustRightInd/>
              <w:rPr>
                <w:rFonts w:hint="eastAsia" w:ascii="宋体" w:hAnsi="宋体"/>
                <w:color w:val="000000"/>
              </w:rPr>
            </w:pPr>
            <w:r>
              <w:rPr>
                <w:rFonts w:hint="eastAsia" w:ascii="宋体" w:hAnsi="宋体"/>
                <w:color w:val="000000"/>
              </w:rPr>
              <w:t>文昌平</w:t>
            </w:r>
          </w:p>
        </w:tc>
        <w:tc>
          <w:tcPr>
            <w:tcW w:w="1524" w:type="dxa"/>
            <w:vAlign w:val="center"/>
          </w:tcPr>
          <w:p>
            <w:pPr>
              <w:pStyle w:val="31"/>
              <w:adjustRightInd/>
              <w:rPr>
                <w:rFonts w:hint="eastAsia" w:ascii="宋体" w:hAnsi="宋体"/>
                <w:color w:val="000000"/>
              </w:rPr>
            </w:pPr>
            <w:r>
              <w:rPr>
                <w:rFonts w:hint="eastAsia" w:ascii="宋体" w:hAnsi="宋体"/>
                <w:color w:val="000000"/>
              </w:rPr>
              <w:t>应急库房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1" w:type="dxa"/>
            <w:vMerge w:val="continue"/>
            <w:vAlign w:val="center"/>
          </w:tcPr>
          <w:p>
            <w:pPr>
              <w:pStyle w:val="31"/>
              <w:adjustRightInd/>
              <w:ind w:firstLine="480"/>
              <w:rPr>
                <w:rFonts w:hint="eastAsia" w:ascii="宋体" w:hAnsi="宋体"/>
                <w:color w:val="000000"/>
              </w:rPr>
            </w:pPr>
          </w:p>
        </w:tc>
        <w:tc>
          <w:tcPr>
            <w:tcW w:w="1654" w:type="dxa"/>
            <w:vMerge w:val="continue"/>
            <w:vAlign w:val="center"/>
          </w:tcPr>
          <w:p>
            <w:pPr>
              <w:pStyle w:val="31"/>
              <w:adjustRightInd/>
              <w:ind w:firstLine="480"/>
              <w:rPr>
                <w:rFonts w:ascii="宋体" w:hAnsi="宋体"/>
                <w:color w:val="000000"/>
              </w:rPr>
            </w:pPr>
          </w:p>
        </w:tc>
        <w:tc>
          <w:tcPr>
            <w:tcW w:w="2093" w:type="dxa"/>
            <w:vAlign w:val="center"/>
          </w:tcPr>
          <w:p>
            <w:pPr>
              <w:pStyle w:val="31"/>
              <w:adjustRightInd/>
              <w:rPr>
                <w:rFonts w:hint="eastAsia" w:ascii="宋体" w:hAnsi="宋体"/>
                <w:color w:val="000000"/>
              </w:rPr>
            </w:pPr>
            <w:r>
              <w:rPr>
                <w:rFonts w:hint="eastAsia" w:ascii="宋体" w:hAnsi="宋体"/>
                <w:color w:val="000000"/>
              </w:rPr>
              <w:t>消防水管</w:t>
            </w:r>
          </w:p>
        </w:tc>
        <w:tc>
          <w:tcPr>
            <w:tcW w:w="1069" w:type="dxa"/>
            <w:vAlign w:val="center"/>
          </w:tcPr>
          <w:p>
            <w:pPr>
              <w:pStyle w:val="31"/>
              <w:adjustRightInd/>
              <w:rPr>
                <w:rFonts w:hint="eastAsia" w:ascii="宋体" w:hAnsi="宋体"/>
                <w:color w:val="000000"/>
              </w:rPr>
            </w:pPr>
            <w:r>
              <w:rPr>
                <w:rFonts w:hint="eastAsia" w:ascii="宋体" w:hAnsi="宋体"/>
                <w:color w:val="000000"/>
              </w:rPr>
              <w:t>8个</w:t>
            </w:r>
          </w:p>
        </w:tc>
        <w:tc>
          <w:tcPr>
            <w:tcW w:w="1524" w:type="dxa"/>
            <w:vAlign w:val="center"/>
          </w:tcPr>
          <w:p>
            <w:pPr>
              <w:pStyle w:val="31"/>
              <w:adjustRightInd/>
              <w:rPr>
                <w:rFonts w:hint="eastAsia" w:ascii="宋体" w:hAnsi="宋体"/>
                <w:color w:val="000000"/>
              </w:rPr>
            </w:pPr>
            <w:r>
              <w:rPr>
                <w:rFonts w:hint="eastAsia" w:ascii="宋体" w:hAnsi="宋体"/>
                <w:color w:val="000000"/>
              </w:rPr>
              <w:t>田甜</w:t>
            </w:r>
          </w:p>
        </w:tc>
        <w:tc>
          <w:tcPr>
            <w:tcW w:w="1524" w:type="dxa"/>
            <w:vAlign w:val="center"/>
          </w:tcPr>
          <w:p>
            <w:pPr>
              <w:pStyle w:val="31"/>
              <w:adjustRightInd/>
              <w:rPr>
                <w:rFonts w:hint="eastAsia" w:ascii="宋体" w:hAnsi="宋体"/>
                <w:color w:val="000000"/>
              </w:rPr>
            </w:pPr>
            <w:r>
              <w:rPr>
                <w:rFonts w:hint="eastAsia" w:ascii="宋体" w:hAnsi="宋体"/>
                <w:color w:val="000000"/>
              </w:rPr>
              <w:t>应急库房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1" w:type="dxa"/>
            <w:vMerge w:val="continue"/>
            <w:vAlign w:val="center"/>
          </w:tcPr>
          <w:p>
            <w:pPr>
              <w:pStyle w:val="31"/>
              <w:adjustRightInd/>
              <w:ind w:firstLine="480"/>
              <w:rPr>
                <w:rFonts w:hint="eastAsia" w:ascii="宋体" w:hAnsi="宋体"/>
                <w:color w:val="000000"/>
              </w:rPr>
            </w:pPr>
          </w:p>
        </w:tc>
        <w:tc>
          <w:tcPr>
            <w:tcW w:w="1654" w:type="dxa"/>
            <w:vMerge w:val="continue"/>
            <w:vAlign w:val="center"/>
          </w:tcPr>
          <w:p>
            <w:pPr>
              <w:pStyle w:val="31"/>
              <w:adjustRightInd/>
              <w:ind w:firstLine="480"/>
              <w:rPr>
                <w:rFonts w:ascii="宋体" w:hAnsi="宋体"/>
                <w:color w:val="000000"/>
              </w:rPr>
            </w:pPr>
          </w:p>
        </w:tc>
        <w:tc>
          <w:tcPr>
            <w:tcW w:w="2093" w:type="dxa"/>
            <w:vAlign w:val="center"/>
          </w:tcPr>
          <w:p>
            <w:pPr>
              <w:pStyle w:val="31"/>
              <w:adjustRightInd/>
              <w:rPr>
                <w:rFonts w:hint="eastAsia" w:ascii="宋体" w:hAnsi="宋体"/>
                <w:color w:val="000000"/>
              </w:rPr>
            </w:pPr>
            <w:r>
              <w:rPr>
                <w:rFonts w:hint="eastAsia" w:ascii="宋体" w:hAnsi="宋体"/>
                <w:color w:val="000000"/>
              </w:rPr>
              <w:t>消防栓</w:t>
            </w:r>
          </w:p>
        </w:tc>
        <w:tc>
          <w:tcPr>
            <w:tcW w:w="1069" w:type="dxa"/>
            <w:vAlign w:val="center"/>
          </w:tcPr>
          <w:p>
            <w:pPr>
              <w:pStyle w:val="31"/>
              <w:adjustRightInd/>
              <w:rPr>
                <w:rFonts w:hint="eastAsia" w:ascii="宋体" w:hAnsi="宋体"/>
                <w:color w:val="000000"/>
              </w:rPr>
            </w:pPr>
            <w:r>
              <w:rPr>
                <w:rFonts w:hint="eastAsia" w:ascii="宋体" w:hAnsi="宋体"/>
                <w:color w:val="000000"/>
              </w:rPr>
              <w:t>20个</w:t>
            </w:r>
          </w:p>
        </w:tc>
        <w:tc>
          <w:tcPr>
            <w:tcW w:w="1524" w:type="dxa"/>
            <w:vAlign w:val="center"/>
          </w:tcPr>
          <w:p>
            <w:pPr>
              <w:pStyle w:val="31"/>
              <w:adjustRightInd/>
              <w:rPr>
                <w:rFonts w:hint="eastAsia" w:ascii="宋体" w:hAnsi="宋体"/>
                <w:color w:val="000000"/>
              </w:rPr>
            </w:pPr>
            <w:r>
              <w:rPr>
                <w:rFonts w:hint="eastAsia" w:ascii="宋体" w:hAnsi="宋体"/>
                <w:color w:val="000000"/>
              </w:rPr>
              <w:t>田甜</w:t>
            </w:r>
          </w:p>
        </w:tc>
        <w:tc>
          <w:tcPr>
            <w:tcW w:w="1524" w:type="dxa"/>
            <w:vAlign w:val="center"/>
          </w:tcPr>
          <w:p>
            <w:pPr>
              <w:pStyle w:val="31"/>
              <w:adjustRightInd/>
              <w:rPr>
                <w:rFonts w:hint="eastAsia" w:ascii="宋体" w:hAnsi="宋体"/>
                <w:color w:val="000000"/>
              </w:rPr>
            </w:pPr>
            <w:r>
              <w:rPr>
                <w:rFonts w:hint="eastAsia" w:ascii="宋体" w:hAnsi="宋体"/>
                <w:color w:val="000000"/>
              </w:rPr>
              <w:t>应急库房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1" w:type="dxa"/>
            <w:vMerge w:val="continue"/>
            <w:vAlign w:val="center"/>
          </w:tcPr>
          <w:p>
            <w:pPr>
              <w:pStyle w:val="31"/>
              <w:adjustRightInd/>
              <w:ind w:firstLine="480"/>
              <w:rPr>
                <w:rFonts w:hint="eastAsia" w:ascii="宋体" w:hAnsi="宋体"/>
                <w:color w:val="000000"/>
              </w:rPr>
            </w:pPr>
          </w:p>
        </w:tc>
        <w:tc>
          <w:tcPr>
            <w:tcW w:w="1654" w:type="dxa"/>
            <w:vMerge w:val="continue"/>
            <w:vAlign w:val="center"/>
          </w:tcPr>
          <w:p>
            <w:pPr>
              <w:pStyle w:val="31"/>
              <w:adjustRightInd/>
              <w:ind w:firstLine="480"/>
              <w:rPr>
                <w:rFonts w:ascii="宋体" w:hAnsi="宋体"/>
                <w:color w:val="000000"/>
              </w:rPr>
            </w:pPr>
          </w:p>
        </w:tc>
        <w:tc>
          <w:tcPr>
            <w:tcW w:w="2093" w:type="dxa"/>
            <w:vAlign w:val="center"/>
          </w:tcPr>
          <w:p>
            <w:pPr>
              <w:pStyle w:val="31"/>
              <w:adjustRightInd/>
              <w:rPr>
                <w:rFonts w:hint="eastAsia" w:ascii="宋体" w:hAnsi="宋体"/>
                <w:color w:val="000000"/>
              </w:rPr>
            </w:pPr>
            <w:r>
              <w:rPr>
                <w:rFonts w:hint="eastAsia" w:ascii="宋体" w:hAnsi="宋体"/>
                <w:color w:val="000000"/>
              </w:rPr>
              <w:t>消防箱</w:t>
            </w:r>
          </w:p>
        </w:tc>
        <w:tc>
          <w:tcPr>
            <w:tcW w:w="1069" w:type="dxa"/>
            <w:vAlign w:val="center"/>
          </w:tcPr>
          <w:p>
            <w:pPr>
              <w:pStyle w:val="31"/>
              <w:adjustRightInd/>
              <w:rPr>
                <w:rFonts w:hint="eastAsia" w:ascii="宋体" w:hAnsi="宋体"/>
                <w:color w:val="000000"/>
              </w:rPr>
            </w:pPr>
            <w:r>
              <w:rPr>
                <w:rFonts w:hint="eastAsia" w:ascii="宋体" w:hAnsi="宋体"/>
                <w:color w:val="000000"/>
              </w:rPr>
              <w:t>8个</w:t>
            </w:r>
          </w:p>
        </w:tc>
        <w:tc>
          <w:tcPr>
            <w:tcW w:w="1524" w:type="dxa"/>
            <w:vAlign w:val="center"/>
          </w:tcPr>
          <w:p>
            <w:pPr>
              <w:pStyle w:val="31"/>
              <w:adjustRightInd/>
              <w:rPr>
                <w:rFonts w:ascii="宋体" w:hAnsi="宋体"/>
                <w:color w:val="000000"/>
              </w:rPr>
            </w:pPr>
            <w:r>
              <w:rPr>
                <w:rFonts w:hint="eastAsia" w:ascii="宋体" w:hAnsi="宋体"/>
                <w:color w:val="000000"/>
              </w:rPr>
              <w:t>田甜</w:t>
            </w:r>
          </w:p>
        </w:tc>
        <w:tc>
          <w:tcPr>
            <w:tcW w:w="1524" w:type="dxa"/>
            <w:vAlign w:val="center"/>
          </w:tcPr>
          <w:p>
            <w:pPr>
              <w:pStyle w:val="31"/>
              <w:adjustRightInd/>
              <w:rPr>
                <w:rFonts w:ascii="宋体" w:hAnsi="宋体"/>
                <w:color w:val="000000"/>
              </w:rPr>
            </w:pPr>
            <w:r>
              <w:rPr>
                <w:rFonts w:hint="eastAsia" w:ascii="宋体" w:hAnsi="宋体"/>
                <w:color w:val="000000"/>
              </w:rPr>
              <w:t>应急库房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1" w:type="dxa"/>
            <w:vMerge w:val="continue"/>
            <w:vAlign w:val="center"/>
          </w:tcPr>
          <w:p>
            <w:pPr>
              <w:pStyle w:val="31"/>
              <w:adjustRightInd/>
              <w:ind w:firstLine="480"/>
              <w:rPr>
                <w:rFonts w:hint="eastAsia" w:ascii="宋体" w:hAnsi="宋体"/>
                <w:color w:val="000000"/>
              </w:rPr>
            </w:pPr>
          </w:p>
        </w:tc>
        <w:tc>
          <w:tcPr>
            <w:tcW w:w="1654" w:type="dxa"/>
            <w:vMerge w:val="continue"/>
            <w:vAlign w:val="center"/>
          </w:tcPr>
          <w:p>
            <w:pPr>
              <w:pStyle w:val="31"/>
              <w:adjustRightInd/>
              <w:ind w:firstLine="480"/>
              <w:rPr>
                <w:rFonts w:ascii="宋体" w:hAnsi="宋体"/>
                <w:color w:val="000000"/>
              </w:rPr>
            </w:pPr>
          </w:p>
        </w:tc>
        <w:tc>
          <w:tcPr>
            <w:tcW w:w="2093" w:type="dxa"/>
            <w:vAlign w:val="center"/>
          </w:tcPr>
          <w:p>
            <w:pPr>
              <w:pStyle w:val="31"/>
              <w:adjustRightInd/>
              <w:rPr>
                <w:rFonts w:hint="eastAsia" w:ascii="宋体" w:hAnsi="宋体"/>
                <w:color w:val="000000"/>
              </w:rPr>
            </w:pPr>
            <w:r>
              <w:rPr>
                <w:rFonts w:hint="eastAsia" w:ascii="宋体" w:hAnsi="宋体"/>
                <w:color w:val="000000"/>
              </w:rPr>
              <w:t>消防带</w:t>
            </w:r>
          </w:p>
        </w:tc>
        <w:tc>
          <w:tcPr>
            <w:tcW w:w="1069" w:type="dxa"/>
            <w:vAlign w:val="center"/>
          </w:tcPr>
          <w:p>
            <w:pPr>
              <w:pStyle w:val="31"/>
              <w:adjustRightInd/>
              <w:rPr>
                <w:rFonts w:hint="eastAsia" w:ascii="宋体" w:hAnsi="宋体"/>
                <w:color w:val="000000"/>
              </w:rPr>
            </w:pPr>
            <w:r>
              <w:rPr>
                <w:rFonts w:hint="eastAsia" w:ascii="宋体" w:hAnsi="宋体"/>
                <w:color w:val="000000"/>
              </w:rPr>
              <w:t>10个</w:t>
            </w:r>
          </w:p>
        </w:tc>
        <w:tc>
          <w:tcPr>
            <w:tcW w:w="1524" w:type="dxa"/>
            <w:vAlign w:val="center"/>
          </w:tcPr>
          <w:p>
            <w:pPr>
              <w:pStyle w:val="31"/>
              <w:adjustRightInd/>
              <w:rPr>
                <w:rFonts w:ascii="宋体" w:hAnsi="宋体"/>
                <w:color w:val="000000"/>
              </w:rPr>
            </w:pPr>
            <w:r>
              <w:rPr>
                <w:rFonts w:hint="eastAsia" w:ascii="宋体" w:hAnsi="宋体"/>
                <w:color w:val="000000"/>
              </w:rPr>
              <w:t>田甜</w:t>
            </w:r>
          </w:p>
        </w:tc>
        <w:tc>
          <w:tcPr>
            <w:tcW w:w="1524" w:type="dxa"/>
            <w:vAlign w:val="center"/>
          </w:tcPr>
          <w:p>
            <w:pPr>
              <w:pStyle w:val="31"/>
              <w:adjustRightInd/>
              <w:rPr>
                <w:rFonts w:ascii="宋体" w:hAnsi="宋体"/>
                <w:color w:val="000000"/>
              </w:rPr>
            </w:pPr>
            <w:r>
              <w:rPr>
                <w:rFonts w:hint="eastAsia" w:ascii="宋体" w:hAnsi="宋体"/>
                <w:color w:val="000000"/>
              </w:rPr>
              <w:t>应急库房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1" w:type="dxa"/>
            <w:vMerge w:val="continue"/>
            <w:vAlign w:val="center"/>
          </w:tcPr>
          <w:p>
            <w:pPr>
              <w:pStyle w:val="31"/>
              <w:adjustRightInd/>
              <w:ind w:firstLine="480"/>
              <w:rPr>
                <w:rFonts w:hint="eastAsia" w:ascii="宋体" w:hAnsi="宋体"/>
                <w:color w:val="000000"/>
              </w:rPr>
            </w:pPr>
          </w:p>
        </w:tc>
        <w:tc>
          <w:tcPr>
            <w:tcW w:w="1654" w:type="dxa"/>
            <w:vMerge w:val="continue"/>
            <w:vAlign w:val="center"/>
          </w:tcPr>
          <w:p>
            <w:pPr>
              <w:pStyle w:val="31"/>
              <w:adjustRightInd/>
              <w:ind w:firstLine="480"/>
              <w:rPr>
                <w:rFonts w:ascii="宋体" w:hAnsi="宋体"/>
                <w:color w:val="000000"/>
              </w:rPr>
            </w:pPr>
          </w:p>
        </w:tc>
        <w:tc>
          <w:tcPr>
            <w:tcW w:w="2093" w:type="dxa"/>
            <w:vAlign w:val="center"/>
          </w:tcPr>
          <w:p>
            <w:pPr>
              <w:pStyle w:val="31"/>
              <w:adjustRightInd/>
              <w:rPr>
                <w:rFonts w:hint="eastAsia" w:ascii="宋体" w:hAnsi="宋体"/>
                <w:color w:val="000000"/>
              </w:rPr>
            </w:pPr>
            <w:r>
              <w:rPr>
                <w:rFonts w:hint="eastAsia" w:ascii="宋体" w:hAnsi="宋体"/>
                <w:color w:val="000000"/>
              </w:rPr>
              <w:t>灭火水管</w:t>
            </w:r>
          </w:p>
        </w:tc>
        <w:tc>
          <w:tcPr>
            <w:tcW w:w="1069" w:type="dxa"/>
            <w:vAlign w:val="center"/>
          </w:tcPr>
          <w:p>
            <w:pPr>
              <w:pStyle w:val="31"/>
              <w:adjustRightInd/>
              <w:rPr>
                <w:rFonts w:hint="eastAsia" w:ascii="宋体" w:hAnsi="宋体"/>
                <w:color w:val="000000"/>
              </w:rPr>
            </w:pPr>
            <w:r>
              <w:rPr>
                <w:rFonts w:hint="eastAsia" w:ascii="宋体" w:hAnsi="宋体"/>
                <w:color w:val="000000"/>
              </w:rPr>
              <w:t>14根</w:t>
            </w:r>
          </w:p>
        </w:tc>
        <w:tc>
          <w:tcPr>
            <w:tcW w:w="1524" w:type="dxa"/>
            <w:vAlign w:val="center"/>
          </w:tcPr>
          <w:p>
            <w:pPr>
              <w:pStyle w:val="31"/>
              <w:adjustRightInd/>
              <w:rPr>
                <w:rFonts w:hint="eastAsia" w:ascii="宋体" w:hAnsi="宋体"/>
                <w:color w:val="000000"/>
              </w:rPr>
            </w:pPr>
            <w:r>
              <w:rPr>
                <w:rFonts w:hint="eastAsia" w:ascii="宋体" w:hAnsi="宋体"/>
                <w:color w:val="000000"/>
              </w:rPr>
              <w:t>田甜</w:t>
            </w:r>
          </w:p>
        </w:tc>
        <w:tc>
          <w:tcPr>
            <w:tcW w:w="1524" w:type="dxa"/>
            <w:vAlign w:val="center"/>
          </w:tcPr>
          <w:p>
            <w:pPr>
              <w:pStyle w:val="31"/>
              <w:adjustRightInd/>
              <w:rPr>
                <w:rFonts w:hint="eastAsia" w:ascii="宋体" w:hAnsi="宋体"/>
                <w:color w:val="000000"/>
              </w:rPr>
            </w:pPr>
            <w:r>
              <w:rPr>
                <w:rFonts w:hint="eastAsia" w:ascii="宋体" w:hAnsi="宋体"/>
                <w:color w:val="000000"/>
              </w:rPr>
              <w:t>应急库房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1" w:type="dxa"/>
            <w:vMerge w:val="continue"/>
            <w:vAlign w:val="center"/>
          </w:tcPr>
          <w:p>
            <w:pPr>
              <w:pStyle w:val="31"/>
              <w:adjustRightInd/>
              <w:ind w:firstLine="480"/>
              <w:rPr>
                <w:rFonts w:hint="eastAsia" w:ascii="宋体" w:hAnsi="宋体"/>
                <w:color w:val="000000"/>
              </w:rPr>
            </w:pPr>
          </w:p>
        </w:tc>
        <w:tc>
          <w:tcPr>
            <w:tcW w:w="1654" w:type="dxa"/>
            <w:vMerge w:val="continue"/>
            <w:vAlign w:val="center"/>
          </w:tcPr>
          <w:p>
            <w:pPr>
              <w:pStyle w:val="31"/>
              <w:adjustRightInd/>
              <w:ind w:firstLine="480"/>
              <w:rPr>
                <w:rFonts w:ascii="宋体" w:hAnsi="宋体"/>
                <w:color w:val="000000"/>
              </w:rPr>
            </w:pPr>
          </w:p>
        </w:tc>
        <w:tc>
          <w:tcPr>
            <w:tcW w:w="2093" w:type="dxa"/>
            <w:vAlign w:val="center"/>
          </w:tcPr>
          <w:p>
            <w:pPr>
              <w:pStyle w:val="31"/>
              <w:adjustRightInd/>
              <w:rPr>
                <w:rFonts w:hint="eastAsia" w:ascii="宋体" w:hAnsi="宋体"/>
                <w:color w:val="000000"/>
              </w:rPr>
            </w:pPr>
            <w:r>
              <w:rPr>
                <w:rFonts w:hint="eastAsia" w:ascii="宋体" w:hAnsi="宋体"/>
                <w:color w:val="000000"/>
              </w:rPr>
              <w:t>铁铲</w:t>
            </w:r>
          </w:p>
        </w:tc>
        <w:tc>
          <w:tcPr>
            <w:tcW w:w="1069" w:type="dxa"/>
            <w:vAlign w:val="center"/>
          </w:tcPr>
          <w:p>
            <w:pPr>
              <w:pStyle w:val="31"/>
              <w:adjustRightInd/>
              <w:rPr>
                <w:rFonts w:hint="eastAsia" w:ascii="宋体" w:hAnsi="宋体"/>
                <w:color w:val="000000"/>
              </w:rPr>
            </w:pPr>
            <w:r>
              <w:rPr>
                <w:rFonts w:hint="eastAsia" w:ascii="宋体" w:hAnsi="宋体"/>
                <w:color w:val="000000"/>
              </w:rPr>
              <w:t>25个</w:t>
            </w:r>
          </w:p>
        </w:tc>
        <w:tc>
          <w:tcPr>
            <w:tcW w:w="1524" w:type="dxa"/>
            <w:vAlign w:val="center"/>
          </w:tcPr>
          <w:p>
            <w:pPr>
              <w:pStyle w:val="31"/>
              <w:adjustRightInd/>
              <w:rPr>
                <w:rFonts w:ascii="宋体" w:hAnsi="宋体"/>
                <w:color w:val="000000"/>
              </w:rPr>
            </w:pPr>
            <w:r>
              <w:rPr>
                <w:rFonts w:hint="eastAsia" w:ascii="宋体" w:hAnsi="宋体"/>
                <w:color w:val="000000"/>
              </w:rPr>
              <w:t>田甜</w:t>
            </w:r>
          </w:p>
        </w:tc>
        <w:tc>
          <w:tcPr>
            <w:tcW w:w="1524" w:type="dxa"/>
            <w:vAlign w:val="center"/>
          </w:tcPr>
          <w:p>
            <w:pPr>
              <w:pStyle w:val="31"/>
              <w:adjustRightInd/>
              <w:rPr>
                <w:rFonts w:ascii="宋体" w:hAnsi="宋体"/>
                <w:color w:val="000000"/>
              </w:rPr>
            </w:pPr>
            <w:r>
              <w:rPr>
                <w:rFonts w:hint="eastAsia" w:ascii="宋体" w:hAnsi="宋体"/>
                <w:color w:val="000000"/>
              </w:rPr>
              <w:t>应急库房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1" w:type="dxa"/>
            <w:vMerge w:val="continue"/>
            <w:vAlign w:val="center"/>
          </w:tcPr>
          <w:p>
            <w:pPr>
              <w:pStyle w:val="31"/>
              <w:adjustRightInd/>
              <w:ind w:firstLine="480"/>
              <w:rPr>
                <w:rFonts w:ascii="宋体" w:hAnsi="宋体"/>
                <w:color w:val="000000"/>
              </w:rPr>
            </w:pPr>
          </w:p>
        </w:tc>
        <w:tc>
          <w:tcPr>
            <w:tcW w:w="1654" w:type="dxa"/>
            <w:vMerge w:val="continue"/>
            <w:vAlign w:val="center"/>
          </w:tcPr>
          <w:p>
            <w:pPr>
              <w:pStyle w:val="31"/>
              <w:adjustRightInd/>
              <w:ind w:firstLine="480"/>
              <w:rPr>
                <w:rFonts w:ascii="宋体" w:hAnsi="宋体"/>
                <w:color w:val="000000"/>
              </w:rPr>
            </w:pPr>
          </w:p>
        </w:tc>
        <w:tc>
          <w:tcPr>
            <w:tcW w:w="2093" w:type="dxa"/>
            <w:vAlign w:val="center"/>
          </w:tcPr>
          <w:p>
            <w:pPr>
              <w:pStyle w:val="31"/>
              <w:adjustRightInd/>
              <w:rPr>
                <w:rFonts w:ascii="宋体" w:hAnsi="宋体"/>
                <w:color w:val="000000"/>
              </w:rPr>
            </w:pPr>
            <w:r>
              <w:rPr>
                <w:rFonts w:hint="eastAsia" w:ascii="宋体" w:hAnsi="宋体"/>
                <w:color w:val="000000"/>
              </w:rPr>
              <w:t>干粉</w:t>
            </w:r>
            <w:r>
              <w:rPr>
                <w:rFonts w:ascii="宋体" w:hAnsi="宋体"/>
                <w:color w:val="000000"/>
              </w:rPr>
              <w:t>灭火器</w:t>
            </w:r>
          </w:p>
        </w:tc>
        <w:tc>
          <w:tcPr>
            <w:tcW w:w="1069" w:type="dxa"/>
            <w:vAlign w:val="center"/>
          </w:tcPr>
          <w:p>
            <w:pPr>
              <w:pStyle w:val="31"/>
              <w:adjustRightInd/>
              <w:rPr>
                <w:rFonts w:ascii="宋体" w:hAnsi="宋体"/>
                <w:color w:val="000000"/>
              </w:rPr>
            </w:pPr>
            <w:r>
              <w:rPr>
                <w:rFonts w:hint="eastAsia" w:ascii="宋体" w:hAnsi="宋体"/>
                <w:color w:val="000000"/>
              </w:rPr>
              <w:t>60</w:t>
            </w:r>
            <w:r>
              <w:rPr>
                <w:rFonts w:ascii="宋体" w:hAnsi="宋体"/>
                <w:color w:val="000000"/>
              </w:rPr>
              <w:t>个</w:t>
            </w:r>
          </w:p>
        </w:tc>
        <w:tc>
          <w:tcPr>
            <w:tcW w:w="1524" w:type="dxa"/>
            <w:vAlign w:val="center"/>
          </w:tcPr>
          <w:p>
            <w:pPr>
              <w:pStyle w:val="31"/>
              <w:adjustRightInd/>
              <w:rPr>
                <w:rFonts w:ascii="宋体" w:hAnsi="宋体"/>
                <w:color w:val="000000"/>
              </w:rPr>
            </w:pPr>
            <w:r>
              <w:rPr>
                <w:rFonts w:hint="eastAsia" w:ascii="宋体" w:hAnsi="宋体"/>
                <w:color w:val="000000"/>
              </w:rPr>
              <w:t>田甜</w:t>
            </w:r>
          </w:p>
        </w:tc>
        <w:tc>
          <w:tcPr>
            <w:tcW w:w="1524" w:type="dxa"/>
            <w:vAlign w:val="center"/>
          </w:tcPr>
          <w:p>
            <w:pPr>
              <w:pStyle w:val="31"/>
              <w:adjustRightInd/>
              <w:rPr>
                <w:rFonts w:ascii="宋体" w:hAnsi="宋体"/>
                <w:color w:val="000000"/>
              </w:rPr>
            </w:pPr>
            <w:r>
              <w:rPr>
                <w:rFonts w:hint="eastAsia" w:ascii="宋体" w:hAnsi="宋体"/>
                <w:color w:val="000000"/>
              </w:rPr>
              <w:t>应急库房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1" w:type="dxa"/>
            <w:vMerge w:val="continue"/>
            <w:vAlign w:val="center"/>
          </w:tcPr>
          <w:p>
            <w:pPr>
              <w:pStyle w:val="31"/>
              <w:adjustRightInd/>
              <w:ind w:firstLine="480"/>
              <w:rPr>
                <w:rFonts w:ascii="宋体" w:hAnsi="宋体"/>
                <w:color w:val="000000"/>
              </w:rPr>
            </w:pPr>
          </w:p>
        </w:tc>
        <w:tc>
          <w:tcPr>
            <w:tcW w:w="1654" w:type="dxa"/>
            <w:vMerge w:val="continue"/>
            <w:vAlign w:val="center"/>
          </w:tcPr>
          <w:p>
            <w:pPr>
              <w:pStyle w:val="31"/>
              <w:adjustRightInd/>
              <w:ind w:firstLine="480"/>
              <w:rPr>
                <w:rFonts w:ascii="宋体" w:hAnsi="宋体"/>
                <w:color w:val="000000"/>
              </w:rPr>
            </w:pPr>
          </w:p>
        </w:tc>
        <w:tc>
          <w:tcPr>
            <w:tcW w:w="2093" w:type="dxa"/>
            <w:vAlign w:val="center"/>
          </w:tcPr>
          <w:p>
            <w:pPr>
              <w:pStyle w:val="31"/>
              <w:adjustRightInd/>
              <w:rPr>
                <w:rFonts w:hint="eastAsia" w:ascii="宋体" w:hAnsi="宋体"/>
                <w:color w:val="000000"/>
              </w:rPr>
            </w:pPr>
            <w:r>
              <w:rPr>
                <w:rFonts w:hint="eastAsia" w:ascii="宋体" w:hAnsi="宋体"/>
                <w:color w:val="000000"/>
              </w:rPr>
              <w:t>消防沙</w:t>
            </w:r>
          </w:p>
        </w:tc>
        <w:tc>
          <w:tcPr>
            <w:tcW w:w="1069" w:type="dxa"/>
            <w:vAlign w:val="center"/>
          </w:tcPr>
          <w:p>
            <w:pPr>
              <w:pStyle w:val="31"/>
              <w:adjustRightInd/>
              <w:rPr>
                <w:rFonts w:hint="eastAsia" w:ascii="宋体" w:hAnsi="宋体"/>
                <w:color w:val="000000"/>
              </w:rPr>
            </w:pPr>
            <w:r>
              <w:rPr>
                <w:rFonts w:hint="eastAsia" w:ascii="宋体" w:hAnsi="宋体"/>
                <w:color w:val="000000"/>
              </w:rPr>
              <w:t>2吨</w:t>
            </w:r>
          </w:p>
        </w:tc>
        <w:tc>
          <w:tcPr>
            <w:tcW w:w="1524" w:type="dxa"/>
            <w:vAlign w:val="center"/>
          </w:tcPr>
          <w:p>
            <w:pPr>
              <w:pStyle w:val="31"/>
              <w:adjustRightInd/>
              <w:rPr>
                <w:rFonts w:ascii="宋体" w:hAnsi="宋体"/>
                <w:color w:val="000000"/>
              </w:rPr>
            </w:pPr>
            <w:r>
              <w:rPr>
                <w:rFonts w:hint="eastAsia" w:ascii="宋体" w:hAnsi="宋体"/>
                <w:color w:val="000000"/>
              </w:rPr>
              <w:t>田甜</w:t>
            </w:r>
          </w:p>
        </w:tc>
        <w:tc>
          <w:tcPr>
            <w:tcW w:w="1524" w:type="dxa"/>
            <w:vAlign w:val="center"/>
          </w:tcPr>
          <w:p>
            <w:pPr>
              <w:pStyle w:val="31"/>
              <w:adjustRightInd/>
              <w:rPr>
                <w:rFonts w:ascii="宋体" w:hAnsi="宋体"/>
                <w:color w:val="000000"/>
              </w:rPr>
            </w:pPr>
            <w:r>
              <w:rPr>
                <w:rFonts w:hint="eastAsia" w:ascii="宋体" w:hAnsi="宋体"/>
                <w:color w:val="000000"/>
              </w:rPr>
              <w:t>应急库房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1" w:type="dxa"/>
            <w:vMerge w:val="restart"/>
            <w:vAlign w:val="center"/>
          </w:tcPr>
          <w:p>
            <w:pPr>
              <w:pStyle w:val="31"/>
              <w:adjustRightInd/>
              <w:rPr>
                <w:rFonts w:hint="eastAsia" w:ascii="宋体" w:hAnsi="宋体"/>
                <w:color w:val="000000"/>
                <w:lang w:eastAsia="zh-CN"/>
              </w:rPr>
            </w:pPr>
            <w:r>
              <w:rPr>
                <w:rFonts w:hint="eastAsia" w:ascii="宋体" w:hAnsi="宋体"/>
                <w:color w:val="000000"/>
                <w:lang w:eastAsia="zh-CN"/>
              </w:rPr>
              <w:t>4</w:t>
            </w:r>
          </w:p>
        </w:tc>
        <w:tc>
          <w:tcPr>
            <w:tcW w:w="1654" w:type="dxa"/>
            <w:vMerge w:val="restart"/>
            <w:vAlign w:val="center"/>
          </w:tcPr>
          <w:p>
            <w:pPr>
              <w:pStyle w:val="31"/>
              <w:adjustRightInd/>
              <w:rPr>
                <w:rFonts w:ascii="宋体" w:hAnsi="宋体"/>
                <w:color w:val="000000"/>
              </w:rPr>
            </w:pPr>
            <w:r>
              <w:rPr>
                <w:rFonts w:ascii="宋体" w:hAnsi="宋体"/>
                <w:color w:val="000000"/>
              </w:rPr>
              <w:t>个人防护用品</w:t>
            </w:r>
          </w:p>
        </w:tc>
        <w:tc>
          <w:tcPr>
            <w:tcW w:w="2093" w:type="dxa"/>
            <w:vAlign w:val="center"/>
          </w:tcPr>
          <w:p>
            <w:pPr>
              <w:pStyle w:val="31"/>
              <w:adjustRightInd/>
              <w:rPr>
                <w:rFonts w:ascii="宋体" w:hAnsi="宋体"/>
                <w:color w:val="000000"/>
              </w:rPr>
            </w:pPr>
            <w:r>
              <w:rPr>
                <w:rFonts w:hint="eastAsia" w:ascii="宋体" w:hAnsi="宋体"/>
                <w:color w:val="000000"/>
              </w:rPr>
              <w:t>氧气</w:t>
            </w:r>
            <w:r>
              <w:rPr>
                <w:rFonts w:ascii="宋体" w:hAnsi="宋体"/>
                <w:color w:val="000000"/>
              </w:rPr>
              <w:t>呼吸器</w:t>
            </w:r>
          </w:p>
        </w:tc>
        <w:tc>
          <w:tcPr>
            <w:tcW w:w="1069" w:type="dxa"/>
            <w:vAlign w:val="center"/>
          </w:tcPr>
          <w:p>
            <w:pPr>
              <w:pStyle w:val="31"/>
              <w:adjustRightInd/>
              <w:rPr>
                <w:rFonts w:ascii="宋体" w:hAnsi="宋体"/>
                <w:color w:val="000000"/>
              </w:rPr>
            </w:pPr>
            <w:r>
              <w:rPr>
                <w:rFonts w:hint="eastAsia" w:ascii="宋体" w:hAnsi="宋体"/>
                <w:color w:val="000000"/>
              </w:rPr>
              <w:t>9套</w:t>
            </w:r>
          </w:p>
        </w:tc>
        <w:tc>
          <w:tcPr>
            <w:tcW w:w="1524" w:type="dxa"/>
            <w:vAlign w:val="center"/>
          </w:tcPr>
          <w:p>
            <w:pPr>
              <w:pStyle w:val="31"/>
              <w:adjustRightInd/>
              <w:rPr>
                <w:rFonts w:hint="eastAsia" w:ascii="宋体" w:hAnsi="宋体"/>
                <w:color w:val="000000"/>
              </w:rPr>
            </w:pPr>
            <w:r>
              <w:rPr>
                <w:rFonts w:hint="eastAsia" w:ascii="宋体" w:hAnsi="宋体"/>
                <w:color w:val="000000"/>
              </w:rPr>
              <w:t>马文春</w:t>
            </w:r>
          </w:p>
        </w:tc>
        <w:tc>
          <w:tcPr>
            <w:tcW w:w="1524" w:type="dxa"/>
            <w:vAlign w:val="center"/>
          </w:tcPr>
          <w:p>
            <w:pPr>
              <w:pStyle w:val="31"/>
              <w:adjustRightInd/>
              <w:rPr>
                <w:rFonts w:hint="eastAsia" w:ascii="宋体" w:hAnsi="宋体"/>
                <w:color w:val="000000"/>
              </w:rPr>
            </w:pPr>
            <w:r>
              <w:rPr>
                <w:rFonts w:hint="eastAsia" w:ascii="宋体" w:hAnsi="宋体"/>
                <w:color w:val="000000"/>
              </w:rPr>
              <w:t>调度库房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1" w:type="dxa"/>
            <w:vMerge w:val="continue"/>
            <w:vAlign w:val="center"/>
          </w:tcPr>
          <w:p>
            <w:pPr>
              <w:pStyle w:val="31"/>
              <w:adjustRightInd/>
              <w:ind w:firstLine="480"/>
              <w:rPr>
                <w:rFonts w:ascii="宋体" w:hAnsi="宋体"/>
                <w:color w:val="000000"/>
              </w:rPr>
            </w:pPr>
          </w:p>
        </w:tc>
        <w:tc>
          <w:tcPr>
            <w:tcW w:w="1654" w:type="dxa"/>
            <w:vMerge w:val="continue"/>
            <w:vAlign w:val="center"/>
          </w:tcPr>
          <w:p>
            <w:pPr>
              <w:pStyle w:val="31"/>
              <w:adjustRightInd/>
              <w:ind w:firstLine="480"/>
              <w:rPr>
                <w:rFonts w:ascii="宋体" w:hAnsi="宋体"/>
                <w:color w:val="000000"/>
              </w:rPr>
            </w:pPr>
          </w:p>
        </w:tc>
        <w:tc>
          <w:tcPr>
            <w:tcW w:w="2093" w:type="dxa"/>
            <w:vAlign w:val="center"/>
          </w:tcPr>
          <w:p>
            <w:pPr>
              <w:pStyle w:val="31"/>
              <w:adjustRightInd/>
              <w:rPr>
                <w:rFonts w:hint="eastAsia" w:ascii="宋体" w:hAnsi="宋体"/>
                <w:color w:val="000000"/>
              </w:rPr>
            </w:pPr>
            <w:r>
              <w:rPr>
                <w:rFonts w:hint="eastAsia" w:ascii="宋体" w:hAnsi="宋体"/>
                <w:color w:val="000000"/>
              </w:rPr>
              <w:t>防尘口罩</w:t>
            </w:r>
          </w:p>
        </w:tc>
        <w:tc>
          <w:tcPr>
            <w:tcW w:w="1069" w:type="dxa"/>
            <w:vAlign w:val="center"/>
          </w:tcPr>
          <w:p>
            <w:pPr>
              <w:pStyle w:val="31"/>
              <w:adjustRightInd/>
              <w:rPr>
                <w:rFonts w:ascii="宋体" w:hAnsi="宋体"/>
                <w:color w:val="000000"/>
              </w:rPr>
            </w:pPr>
            <w:r>
              <w:rPr>
                <w:rFonts w:hint="eastAsia" w:ascii="宋体" w:hAnsi="宋体"/>
                <w:color w:val="000000"/>
              </w:rPr>
              <w:t>25</w:t>
            </w:r>
            <w:r>
              <w:rPr>
                <w:rFonts w:ascii="宋体" w:hAnsi="宋体"/>
                <w:color w:val="000000"/>
              </w:rPr>
              <w:t>具</w:t>
            </w:r>
          </w:p>
        </w:tc>
        <w:tc>
          <w:tcPr>
            <w:tcW w:w="1524" w:type="dxa"/>
            <w:vAlign w:val="center"/>
          </w:tcPr>
          <w:p>
            <w:pPr>
              <w:pStyle w:val="31"/>
              <w:adjustRightInd/>
              <w:rPr>
                <w:rFonts w:ascii="宋体" w:hAnsi="宋体"/>
                <w:color w:val="000000"/>
              </w:rPr>
            </w:pPr>
            <w:r>
              <w:rPr>
                <w:rFonts w:hint="eastAsia" w:ascii="宋体" w:hAnsi="宋体"/>
                <w:color w:val="000000"/>
              </w:rPr>
              <w:t>马文春</w:t>
            </w:r>
          </w:p>
        </w:tc>
        <w:tc>
          <w:tcPr>
            <w:tcW w:w="1524" w:type="dxa"/>
            <w:vAlign w:val="center"/>
          </w:tcPr>
          <w:p>
            <w:pPr>
              <w:pStyle w:val="31"/>
              <w:adjustRightInd/>
              <w:rPr>
                <w:rFonts w:ascii="宋体" w:hAnsi="宋体"/>
                <w:color w:val="000000"/>
              </w:rPr>
            </w:pPr>
            <w:r>
              <w:rPr>
                <w:rFonts w:hint="eastAsia" w:ascii="宋体" w:hAnsi="宋体"/>
                <w:color w:val="000000"/>
              </w:rPr>
              <w:t>调度库房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1" w:type="dxa"/>
            <w:vMerge w:val="continue"/>
            <w:vAlign w:val="center"/>
          </w:tcPr>
          <w:p>
            <w:pPr>
              <w:pStyle w:val="31"/>
              <w:adjustRightInd/>
              <w:ind w:firstLine="480"/>
              <w:rPr>
                <w:rFonts w:ascii="宋体" w:hAnsi="宋体"/>
                <w:color w:val="000000"/>
              </w:rPr>
            </w:pPr>
          </w:p>
        </w:tc>
        <w:tc>
          <w:tcPr>
            <w:tcW w:w="1654" w:type="dxa"/>
            <w:vMerge w:val="continue"/>
            <w:vAlign w:val="center"/>
          </w:tcPr>
          <w:p>
            <w:pPr>
              <w:adjustRightInd w:val="0"/>
              <w:snapToGrid w:val="0"/>
              <w:spacing w:line="240" w:lineRule="atLeast"/>
              <w:rPr>
                <w:color w:val="000000"/>
                <w:szCs w:val="21"/>
              </w:rPr>
            </w:pPr>
          </w:p>
        </w:tc>
        <w:tc>
          <w:tcPr>
            <w:tcW w:w="2093" w:type="dxa"/>
            <w:vAlign w:val="center"/>
          </w:tcPr>
          <w:p>
            <w:pPr>
              <w:adjustRightInd w:val="0"/>
              <w:snapToGrid w:val="0"/>
              <w:spacing w:line="240" w:lineRule="atLeast"/>
              <w:jc w:val="center"/>
              <w:rPr>
                <w:color w:val="000000"/>
                <w:szCs w:val="21"/>
              </w:rPr>
            </w:pPr>
            <w:r>
              <w:rPr>
                <w:rFonts w:hAnsi="楷体"/>
                <w:color w:val="000000"/>
                <w:szCs w:val="21"/>
              </w:rPr>
              <w:t>简易防化服</w:t>
            </w:r>
          </w:p>
        </w:tc>
        <w:tc>
          <w:tcPr>
            <w:tcW w:w="1069" w:type="dxa"/>
            <w:vAlign w:val="center"/>
          </w:tcPr>
          <w:p>
            <w:pPr>
              <w:adjustRightInd w:val="0"/>
              <w:snapToGrid w:val="0"/>
              <w:spacing w:line="240" w:lineRule="atLeast"/>
              <w:jc w:val="center"/>
              <w:rPr>
                <w:color w:val="000000"/>
                <w:szCs w:val="21"/>
              </w:rPr>
            </w:pPr>
            <w:r>
              <w:rPr>
                <w:color w:val="000000"/>
                <w:szCs w:val="21"/>
              </w:rPr>
              <w:t>3</w:t>
            </w:r>
            <w:r>
              <w:rPr>
                <w:rFonts w:hAnsi="楷体"/>
                <w:color w:val="000000"/>
                <w:szCs w:val="21"/>
              </w:rPr>
              <w:t>套</w:t>
            </w:r>
          </w:p>
        </w:tc>
        <w:tc>
          <w:tcPr>
            <w:tcW w:w="1524" w:type="dxa"/>
            <w:vAlign w:val="center"/>
          </w:tcPr>
          <w:p>
            <w:pPr>
              <w:pStyle w:val="31"/>
              <w:adjustRightInd/>
              <w:rPr>
                <w:rFonts w:hint="eastAsia" w:ascii="宋体" w:hAnsi="宋体"/>
                <w:color w:val="000000"/>
              </w:rPr>
            </w:pPr>
            <w:r>
              <w:rPr>
                <w:rFonts w:hint="eastAsia" w:ascii="宋体" w:hAnsi="宋体"/>
                <w:color w:val="000000"/>
              </w:rPr>
              <w:t>马文春</w:t>
            </w:r>
          </w:p>
        </w:tc>
        <w:tc>
          <w:tcPr>
            <w:tcW w:w="1524" w:type="dxa"/>
            <w:vAlign w:val="center"/>
          </w:tcPr>
          <w:p>
            <w:pPr>
              <w:pStyle w:val="31"/>
              <w:adjustRightInd/>
              <w:rPr>
                <w:rFonts w:hint="eastAsia" w:ascii="宋体" w:hAnsi="宋体"/>
                <w:color w:val="000000"/>
              </w:rPr>
            </w:pPr>
            <w:r>
              <w:rPr>
                <w:rFonts w:hint="eastAsia" w:ascii="宋体" w:hAnsi="宋体"/>
                <w:color w:val="000000"/>
              </w:rPr>
              <w:t>调度库房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1" w:type="dxa"/>
            <w:vMerge w:val="continue"/>
            <w:vAlign w:val="center"/>
          </w:tcPr>
          <w:p>
            <w:pPr>
              <w:pStyle w:val="31"/>
              <w:adjustRightInd/>
              <w:ind w:firstLine="480"/>
              <w:rPr>
                <w:rFonts w:ascii="宋体" w:hAnsi="宋体"/>
                <w:color w:val="000000"/>
              </w:rPr>
            </w:pPr>
          </w:p>
        </w:tc>
        <w:tc>
          <w:tcPr>
            <w:tcW w:w="1654" w:type="dxa"/>
            <w:vMerge w:val="continue"/>
            <w:vAlign w:val="center"/>
          </w:tcPr>
          <w:p>
            <w:pPr>
              <w:adjustRightInd w:val="0"/>
              <w:snapToGrid w:val="0"/>
              <w:spacing w:line="240" w:lineRule="atLeast"/>
              <w:rPr>
                <w:color w:val="000000"/>
                <w:szCs w:val="21"/>
              </w:rPr>
            </w:pPr>
          </w:p>
        </w:tc>
        <w:tc>
          <w:tcPr>
            <w:tcW w:w="2093" w:type="dxa"/>
            <w:vAlign w:val="center"/>
          </w:tcPr>
          <w:p>
            <w:pPr>
              <w:adjustRightInd w:val="0"/>
              <w:snapToGrid w:val="0"/>
              <w:spacing w:line="240" w:lineRule="atLeast"/>
              <w:jc w:val="center"/>
              <w:rPr>
                <w:color w:val="000000"/>
                <w:szCs w:val="21"/>
              </w:rPr>
            </w:pPr>
            <w:r>
              <w:rPr>
                <w:rFonts w:hAnsi="楷体"/>
                <w:color w:val="000000"/>
                <w:szCs w:val="21"/>
              </w:rPr>
              <w:t>正压式空气呼吸器</w:t>
            </w:r>
          </w:p>
        </w:tc>
        <w:tc>
          <w:tcPr>
            <w:tcW w:w="1069" w:type="dxa"/>
            <w:vAlign w:val="center"/>
          </w:tcPr>
          <w:p>
            <w:pPr>
              <w:adjustRightInd w:val="0"/>
              <w:snapToGrid w:val="0"/>
              <w:spacing w:line="240" w:lineRule="atLeast"/>
              <w:jc w:val="center"/>
              <w:rPr>
                <w:color w:val="000000"/>
                <w:szCs w:val="21"/>
              </w:rPr>
            </w:pPr>
            <w:r>
              <w:rPr>
                <w:color w:val="000000"/>
                <w:szCs w:val="21"/>
              </w:rPr>
              <w:t>2</w:t>
            </w:r>
            <w:r>
              <w:rPr>
                <w:rFonts w:hAnsi="楷体"/>
                <w:color w:val="000000"/>
                <w:szCs w:val="21"/>
              </w:rPr>
              <w:t>台</w:t>
            </w:r>
          </w:p>
        </w:tc>
        <w:tc>
          <w:tcPr>
            <w:tcW w:w="1524" w:type="dxa"/>
            <w:vAlign w:val="center"/>
          </w:tcPr>
          <w:p>
            <w:pPr>
              <w:pStyle w:val="31"/>
              <w:adjustRightInd/>
              <w:rPr>
                <w:rFonts w:ascii="宋体" w:hAnsi="宋体"/>
                <w:color w:val="000000"/>
              </w:rPr>
            </w:pPr>
            <w:r>
              <w:rPr>
                <w:rFonts w:hint="eastAsia" w:ascii="宋体" w:hAnsi="宋体"/>
                <w:color w:val="000000"/>
              </w:rPr>
              <w:t>马文春</w:t>
            </w:r>
          </w:p>
        </w:tc>
        <w:tc>
          <w:tcPr>
            <w:tcW w:w="1524" w:type="dxa"/>
            <w:vAlign w:val="center"/>
          </w:tcPr>
          <w:p>
            <w:pPr>
              <w:pStyle w:val="31"/>
              <w:adjustRightInd/>
              <w:rPr>
                <w:rFonts w:ascii="宋体" w:hAnsi="宋体"/>
                <w:color w:val="000000"/>
              </w:rPr>
            </w:pPr>
            <w:r>
              <w:rPr>
                <w:rFonts w:hint="eastAsia" w:ascii="宋体" w:hAnsi="宋体"/>
                <w:color w:val="000000"/>
              </w:rPr>
              <w:t>调度库房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1" w:type="dxa"/>
            <w:vMerge w:val="continue"/>
            <w:vAlign w:val="center"/>
          </w:tcPr>
          <w:p>
            <w:pPr>
              <w:pStyle w:val="31"/>
              <w:adjustRightInd/>
              <w:ind w:firstLine="480"/>
              <w:rPr>
                <w:rFonts w:ascii="宋体" w:hAnsi="宋体"/>
                <w:color w:val="000000"/>
              </w:rPr>
            </w:pPr>
          </w:p>
        </w:tc>
        <w:tc>
          <w:tcPr>
            <w:tcW w:w="1654" w:type="dxa"/>
            <w:vMerge w:val="continue"/>
            <w:vAlign w:val="center"/>
          </w:tcPr>
          <w:p>
            <w:pPr>
              <w:adjustRightInd w:val="0"/>
              <w:snapToGrid w:val="0"/>
              <w:spacing w:line="240" w:lineRule="atLeast"/>
              <w:rPr>
                <w:color w:val="000000"/>
                <w:szCs w:val="21"/>
              </w:rPr>
            </w:pPr>
          </w:p>
        </w:tc>
        <w:tc>
          <w:tcPr>
            <w:tcW w:w="2093" w:type="dxa"/>
            <w:vAlign w:val="center"/>
          </w:tcPr>
          <w:p>
            <w:pPr>
              <w:adjustRightInd w:val="0"/>
              <w:snapToGrid w:val="0"/>
              <w:spacing w:line="240" w:lineRule="atLeast"/>
              <w:jc w:val="center"/>
              <w:rPr>
                <w:color w:val="000000"/>
                <w:szCs w:val="21"/>
              </w:rPr>
            </w:pPr>
            <w:r>
              <w:rPr>
                <w:rFonts w:hAnsi="楷体"/>
                <w:color w:val="000000"/>
                <w:szCs w:val="21"/>
              </w:rPr>
              <w:t>氨过滤式防毒面具</w:t>
            </w:r>
          </w:p>
        </w:tc>
        <w:tc>
          <w:tcPr>
            <w:tcW w:w="1069" w:type="dxa"/>
            <w:vAlign w:val="center"/>
          </w:tcPr>
          <w:p>
            <w:pPr>
              <w:adjustRightInd w:val="0"/>
              <w:snapToGrid w:val="0"/>
              <w:spacing w:line="240" w:lineRule="atLeast"/>
              <w:jc w:val="center"/>
              <w:rPr>
                <w:color w:val="000000"/>
                <w:szCs w:val="21"/>
              </w:rPr>
            </w:pPr>
            <w:r>
              <w:rPr>
                <w:color w:val="000000"/>
                <w:szCs w:val="21"/>
              </w:rPr>
              <w:t>4</w:t>
            </w:r>
            <w:r>
              <w:rPr>
                <w:rFonts w:hAnsi="楷体"/>
                <w:color w:val="000000"/>
                <w:szCs w:val="21"/>
              </w:rPr>
              <w:t>套</w:t>
            </w:r>
          </w:p>
        </w:tc>
        <w:tc>
          <w:tcPr>
            <w:tcW w:w="1524" w:type="dxa"/>
            <w:vAlign w:val="center"/>
          </w:tcPr>
          <w:p>
            <w:pPr>
              <w:pStyle w:val="31"/>
              <w:adjustRightInd/>
              <w:rPr>
                <w:rFonts w:hint="eastAsia" w:ascii="宋体" w:hAnsi="宋体"/>
                <w:color w:val="000000"/>
              </w:rPr>
            </w:pPr>
            <w:r>
              <w:rPr>
                <w:rFonts w:hint="eastAsia" w:ascii="宋体" w:hAnsi="宋体"/>
                <w:color w:val="000000"/>
              </w:rPr>
              <w:t>马文春</w:t>
            </w:r>
          </w:p>
        </w:tc>
        <w:tc>
          <w:tcPr>
            <w:tcW w:w="1524" w:type="dxa"/>
            <w:vAlign w:val="center"/>
          </w:tcPr>
          <w:p>
            <w:pPr>
              <w:pStyle w:val="31"/>
              <w:adjustRightInd/>
              <w:rPr>
                <w:rFonts w:hint="eastAsia" w:ascii="宋体" w:hAnsi="宋体"/>
                <w:color w:val="000000"/>
              </w:rPr>
            </w:pPr>
            <w:r>
              <w:rPr>
                <w:rFonts w:hint="eastAsia" w:ascii="宋体" w:hAnsi="宋体"/>
                <w:color w:val="000000"/>
              </w:rPr>
              <w:t>调度库房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1" w:type="dxa"/>
            <w:vMerge w:val="continue"/>
            <w:vAlign w:val="center"/>
          </w:tcPr>
          <w:p>
            <w:pPr>
              <w:pStyle w:val="31"/>
              <w:adjustRightInd/>
              <w:ind w:firstLine="480"/>
              <w:rPr>
                <w:rFonts w:ascii="宋体" w:hAnsi="宋体"/>
                <w:color w:val="000000"/>
              </w:rPr>
            </w:pPr>
          </w:p>
        </w:tc>
        <w:tc>
          <w:tcPr>
            <w:tcW w:w="1654" w:type="dxa"/>
            <w:vMerge w:val="continue"/>
            <w:vAlign w:val="center"/>
          </w:tcPr>
          <w:p>
            <w:pPr>
              <w:adjustRightInd w:val="0"/>
              <w:snapToGrid w:val="0"/>
              <w:spacing w:line="240" w:lineRule="atLeast"/>
              <w:rPr>
                <w:color w:val="000000"/>
                <w:szCs w:val="21"/>
              </w:rPr>
            </w:pPr>
          </w:p>
        </w:tc>
        <w:tc>
          <w:tcPr>
            <w:tcW w:w="2093" w:type="dxa"/>
            <w:vAlign w:val="center"/>
          </w:tcPr>
          <w:p>
            <w:pPr>
              <w:adjustRightInd w:val="0"/>
              <w:snapToGrid w:val="0"/>
              <w:spacing w:line="240" w:lineRule="atLeast"/>
              <w:jc w:val="center"/>
              <w:rPr>
                <w:color w:val="000000"/>
                <w:szCs w:val="21"/>
              </w:rPr>
            </w:pPr>
            <w:r>
              <w:rPr>
                <w:rFonts w:hAnsi="楷体"/>
                <w:color w:val="000000"/>
                <w:szCs w:val="21"/>
              </w:rPr>
              <w:t>化学安全防护眼镜</w:t>
            </w:r>
          </w:p>
        </w:tc>
        <w:tc>
          <w:tcPr>
            <w:tcW w:w="1069" w:type="dxa"/>
            <w:vAlign w:val="center"/>
          </w:tcPr>
          <w:p>
            <w:pPr>
              <w:adjustRightInd w:val="0"/>
              <w:snapToGrid w:val="0"/>
              <w:spacing w:line="240" w:lineRule="atLeast"/>
              <w:jc w:val="center"/>
              <w:rPr>
                <w:color w:val="000000"/>
                <w:szCs w:val="21"/>
              </w:rPr>
            </w:pPr>
            <w:r>
              <w:rPr>
                <w:color w:val="000000"/>
                <w:szCs w:val="21"/>
              </w:rPr>
              <w:t>4</w:t>
            </w:r>
            <w:r>
              <w:rPr>
                <w:rFonts w:hAnsi="楷体"/>
                <w:color w:val="000000"/>
                <w:szCs w:val="21"/>
              </w:rPr>
              <w:t>套</w:t>
            </w:r>
          </w:p>
        </w:tc>
        <w:tc>
          <w:tcPr>
            <w:tcW w:w="1524" w:type="dxa"/>
            <w:vAlign w:val="center"/>
          </w:tcPr>
          <w:p>
            <w:pPr>
              <w:pStyle w:val="31"/>
              <w:adjustRightInd/>
              <w:rPr>
                <w:rFonts w:ascii="宋体" w:hAnsi="宋体"/>
                <w:color w:val="000000"/>
              </w:rPr>
            </w:pPr>
            <w:r>
              <w:rPr>
                <w:rFonts w:hint="eastAsia" w:ascii="宋体" w:hAnsi="宋体"/>
                <w:color w:val="000000"/>
              </w:rPr>
              <w:t>马文春</w:t>
            </w:r>
          </w:p>
        </w:tc>
        <w:tc>
          <w:tcPr>
            <w:tcW w:w="1524" w:type="dxa"/>
            <w:vAlign w:val="center"/>
          </w:tcPr>
          <w:p>
            <w:pPr>
              <w:pStyle w:val="31"/>
              <w:adjustRightInd/>
              <w:rPr>
                <w:rFonts w:ascii="宋体" w:hAnsi="宋体"/>
                <w:color w:val="000000"/>
              </w:rPr>
            </w:pPr>
            <w:r>
              <w:rPr>
                <w:rFonts w:hint="eastAsia" w:ascii="宋体" w:hAnsi="宋体"/>
                <w:color w:val="000000"/>
              </w:rPr>
              <w:t>调度库房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1" w:type="dxa"/>
            <w:vMerge w:val="continue"/>
            <w:vAlign w:val="center"/>
          </w:tcPr>
          <w:p>
            <w:pPr>
              <w:pStyle w:val="31"/>
              <w:adjustRightInd/>
              <w:ind w:firstLine="480"/>
              <w:rPr>
                <w:rFonts w:ascii="宋体" w:hAnsi="宋体"/>
                <w:color w:val="000000"/>
              </w:rPr>
            </w:pPr>
          </w:p>
        </w:tc>
        <w:tc>
          <w:tcPr>
            <w:tcW w:w="1654" w:type="dxa"/>
            <w:vMerge w:val="continue"/>
            <w:vAlign w:val="center"/>
          </w:tcPr>
          <w:p>
            <w:pPr>
              <w:adjustRightInd w:val="0"/>
              <w:snapToGrid w:val="0"/>
              <w:spacing w:line="240" w:lineRule="atLeast"/>
              <w:rPr>
                <w:rFonts w:hAnsi="楷体"/>
                <w:color w:val="000000"/>
                <w:szCs w:val="21"/>
              </w:rPr>
            </w:pPr>
          </w:p>
        </w:tc>
        <w:tc>
          <w:tcPr>
            <w:tcW w:w="2093" w:type="dxa"/>
            <w:vAlign w:val="center"/>
          </w:tcPr>
          <w:p>
            <w:pPr>
              <w:adjustRightInd w:val="0"/>
              <w:snapToGrid w:val="0"/>
              <w:spacing w:line="240" w:lineRule="atLeast"/>
              <w:jc w:val="center"/>
              <w:rPr>
                <w:color w:val="000000"/>
                <w:szCs w:val="21"/>
              </w:rPr>
            </w:pPr>
            <w:r>
              <w:rPr>
                <w:rFonts w:hAnsi="楷体"/>
                <w:color w:val="000000"/>
                <w:szCs w:val="21"/>
              </w:rPr>
              <w:t>带压堵漏工作装</w:t>
            </w:r>
          </w:p>
        </w:tc>
        <w:tc>
          <w:tcPr>
            <w:tcW w:w="1069" w:type="dxa"/>
            <w:vAlign w:val="center"/>
          </w:tcPr>
          <w:p>
            <w:pPr>
              <w:adjustRightInd w:val="0"/>
              <w:snapToGrid w:val="0"/>
              <w:spacing w:line="240" w:lineRule="atLeast"/>
              <w:jc w:val="center"/>
              <w:rPr>
                <w:color w:val="000000"/>
                <w:szCs w:val="21"/>
              </w:rPr>
            </w:pPr>
            <w:r>
              <w:rPr>
                <w:color w:val="000000"/>
                <w:szCs w:val="21"/>
              </w:rPr>
              <w:t>4</w:t>
            </w:r>
            <w:r>
              <w:rPr>
                <w:rFonts w:hAnsi="楷体"/>
                <w:color w:val="000000"/>
                <w:szCs w:val="21"/>
              </w:rPr>
              <w:t>套</w:t>
            </w:r>
          </w:p>
        </w:tc>
        <w:tc>
          <w:tcPr>
            <w:tcW w:w="1524" w:type="dxa"/>
            <w:vAlign w:val="center"/>
          </w:tcPr>
          <w:p>
            <w:pPr>
              <w:pStyle w:val="31"/>
              <w:adjustRightInd/>
              <w:rPr>
                <w:rFonts w:hint="eastAsia" w:ascii="宋体" w:hAnsi="宋体"/>
                <w:color w:val="000000"/>
              </w:rPr>
            </w:pPr>
            <w:r>
              <w:rPr>
                <w:rFonts w:hint="eastAsia" w:ascii="宋体" w:hAnsi="宋体"/>
                <w:color w:val="000000"/>
              </w:rPr>
              <w:t>马文春</w:t>
            </w:r>
          </w:p>
        </w:tc>
        <w:tc>
          <w:tcPr>
            <w:tcW w:w="1524" w:type="dxa"/>
            <w:vAlign w:val="center"/>
          </w:tcPr>
          <w:p>
            <w:pPr>
              <w:pStyle w:val="31"/>
              <w:adjustRightInd/>
              <w:rPr>
                <w:rFonts w:hint="eastAsia" w:ascii="宋体" w:hAnsi="宋体"/>
                <w:color w:val="000000"/>
              </w:rPr>
            </w:pPr>
            <w:r>
              <w:rPr>
                <w:rFonts w:hint="eastAsia" w:ascii="宋体" w:hAnsi="宋体"/>
                <w:color w:val="000000"/>
              </w:rPr>
              <w:t>调度库房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1" w:type="dxa"/>
            <w:vMerge w:val="restart"/>
            <w:vAlign w:val="center"/>
          </w:tcPr>
          <w:p>
            <w:pPr>
              <w:pStyle w:val="31"/>
              <w:adjustRightInd/>
              <w:rPr>
                <w:rFonts w:hint="eastAsia" w:ascii="宋体" w:hAnsi="宋体"/>
                <w:color w:val="000000"/>
                <w:lang w:eastAsia="zh-CN"/>
              </w:rPr>
            </w:pPr>
            <w:r>
              <w:rPr>
                <w:rFonts w:hint="eastAsia" w:ascii="宋体" w:hAnsi="宋体"/>
                <w:color w:val="000000"/>
                <w:lang w:eastAsia="zh-CN"/>
              </w:rPr>
              <w:t>5</w:t>
            </w:r>
          </w:p>
        </w:tc>
        <w:tc>
          <w:tcPr>
            <w:tcW w:w="1654" w:type="dxa"/>
            <w:vMerge w:val="restart"/>
            <w:vAlign w:val="center"/>
          </w:tcPr>
          <w:p>
            <w:pPr>
              <w:pStyle w:val="31"/>
              <w:adjustRightInd/>
              <w:rPr>
                <w:rFonts w:hint="eastAsia" w:ascii="宋体" w:hAnsi="宋体"/>
                <w:color w:val="000000"/>
              </w:rPr>
            </w:pPr>
            <w:r>
              <w:rPr>
                <w:rFonts w:hint="eastAsia" w:ascii="宋体" w:hAnsi="宋体"/>
                <w:color w:val="000000"/>
              </w:rPr>
              <w:t>救治应急器材</w:t>
            </w:r>
          </w:p>
        </w:tc>
        <w:tc>
          <w:tcPr>
            <w:tcW w:w="2093" w:type="dxa"/>
            <w:vAlign w:val="center"/>
          </w:tcPr>
          <w:p>
            <w:pPr>
              <w:pStyle w:val="31"/>
              <w:adjustRightInd/>
              <w:rPr>
                <w:rFonts w:hint="eastAsia" w:ascii="宋体" w:hAnsi="宋体"/>
                <w:color w:val="000000"/>
              </w:rPr>
            </w:pPr>
            <w:r>
              <w:rPr>
                <w:rFonts w:hint="eastAsia" w:ascii="宋体" w:hAnsi="宋体"/>
                <w:color w:val="000000"/>
              </w:rPr>
              <w:t>急救箱</w:t>
            </w:r>
          </w:p>
        </w:tc>
        <w:tc>
          <w:tcPr>
            <w:tcW w:w="1069" w:type="dxa"/>
            <w:vAlign w:val="center"/>
          </w:tcPr>
          <w:p>
            <w:pPr>
              <w:pStyle w:val="31"/>
              <w:adjustRightInd/>
              <w:rPr>
                <w:rFonts w:hint="eastAsia" w:ascii="宋体" w:hAnsi="宋体"/>
                <w:color w:val="000000"/>
              </w:rPr>
            </w:pPr>
            <w:r>
              <w:rPr>
                <w:rFonts w:hint="eastAsia" w:ascii="宋体" w:hAnsi="宋体"/>
                <w:color w:val="000000"/>
              </w:rPr>
              <w:t>2个</w:t>
            </w:r>
          </w:p>
        </w:tc>
        <w:tc>
          <w:tcPr>
            <w:tcW w:w="1524" w:type="dxa"/>
            <w:vAlign w:val="center"/>
          </w:tcPr>
          <w:p>
            <w:pPr>
              <w:pStyle w:val="31"/>
              <w:adjustRightInd/>
              <w:rPr>
                <w:rFonts w:hint="eastAsia" w:ascii="宋体" w:hAnsi="宋体"/>
                <w:color w:val="000000"/>
              </w:rPr>
            </w:pPr>
            <w:r>
              <w:rPr>
                <w:rFonts w:hint="eastAsia" w:ascii="宋体" w:hAnsi="宋体"/>
                <w:color w:val="000000"/>
              </w:rPr>
              <w:t>黄琳、胡春梅</w:t>
            </w:r>
          </w:p>
        </w:tc>
        <w:tc>
          <w:tcPr>
            <w:tcW w:w="1524" w:type="dxa"/>
            <w:vAlign w:val="center"/>
          </w:tcPr>
          <w:p>
            <w:pPr>
              <w:pStyle w:val="31"/>
              <w:adjustRightInd/>
              <w:rPr>
                <w:rFonts w:hint="eastAsia" w:ascii="宋体" w:hAnsi="宋体"/>
                <w:color w:val="000000"/>
              </w:rPr>
            </w:pPr>
            <w:r>
              <w:rPr>
                <w:rFonts w:hint="eastAsia" w:ascii="宋体" w:hAnsi="宋体"/>
                <w:color w:val="000000"/>
              </w:rPr>
              <w:t>后勤库房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1" w:type="dxa"/>
            <w:vMerge w:val="continue"/>
            <w:vAlign w:val="center"/>
          </w:tcPr>
          <w:p>
            <w:pPr>
              <w:pStyle w:val="31"/>
              <w:adjustRightInd/>
              <w:ind w:firstLine="480"/>
              <w:rPr>
                <w:rFonts w:hint="eastAsia" w:ascii="宋体" w:hAnsi="宋体"/>
                <w:color w:val="000000"/>
              </w:rPr>
            </w:pPr>
          </w:p>
        </w:tc>
        <w:tc>
          <w:tcPr>
            <w:tcW w:w="1654" w:type="dxa"/>
            <w:vMerge w:val="continue"/>
            <w:vAlign w:val="center"/>
          </w:tcPr>
          <w:p>
            <w:pPr>
              <w:pStyle w:val="31"/>
              <w:adjustRightInd/>
              <w:ind w:firstLine="480"/>
              <w:rPr>
                <w:rFonts w:hint="eastAsia" w:ascii="宋体" w:hAnsi="宋体"/>
                <w:color w:val="000000"/>
              </w:rPr>
            </w:pPr>
          </w:p>
        </w:tc>
        <w:tc>
          <w:tcPr>
            <w:tcW w:w="2093" w:type="dxa"/>
            <w:vAlign w:val="center"/>
          </w:tcPr>
          <w:p>
            <w:pPr>
              <w:pStyle w:val="31"/>
              <w:adjustRightInd/>
              <w:rPr>
                <w:rFonts w:hint="eastAsia" w:ascii="宋体" w:hAnsi="宋体"/>
                <w:color w:val="000000"/>
              </w:rPr>
            </w:pPr>
            <w:r>
              <w:rPr>
                <w:rFonts w:hint="eastAsia" w:ascii="宋体" w:hAnsi="宋体"/>
                <w:color w:val="000000"/>
              </w:rPr>
              <w:t>纱布</w:t>
            </w:r>
          </w:p>
        </w:tc>
        <w:tc>
          <w:tcPr>
            <w:tcW w:w="1069" w:type="dxa"/>
            <w:vAlign w:val="center"/>
          </w:tcPr>
          <w:p>
            <w:pPr>
              <w:pStyle w:val="31"/>
              <w:adjustRightInd/>
              <w:rPr>
                <w:rFonts w:hint="eastAsia" w:ascii="宋体" w:hAnsi="宋体"/>
                <w:color w:val="000000"/>
              </w:rPr>
            </w:pPr>
            <w:r>
              <w:rPr>
                <w:rFonts w:hint="eastAsia" w:ascii="宋体" w:hAnsi="宋体"/>
                <w:color w:val="000000"/>
              </w:rPr>
              <w:t>20卷</w:t>
            </w:r>
          </w:p>
        </w:tc>
        <w:tc>
          <w:tcPr>
            <w:tcW w:w="1524" w:type="dxa"/>
            <w:vAlign w:val="center"/>
          </w:tcPr>
          <w:p>
            <w:pPr>
              <w:pStyle w:val="31"/>
              <w:adjustRightInd/>
              <w:rPr>
                <w:rFonts w:ascii="宋体" w:hAnsi="宋体"/>
                <w:color w:val="000000"/>
              </w:rPr>
            </w:pPr>
            <w:r>
              <w:rPr>
                <w:rFonts w:hint="eastAsia" w:ascii="宋体" w:hAnsi="宋体"/>
                <w:color w:val="000000"/>
              </w:rPr>
              <w:t>黄琳、胡春梅</w:t>
            </w:r>
          </w:p>
        </w:tc>
        <w:tc>
          <w:tcPr>
            <w:tcW w:w="1524" w:type="dxa"/>
            <w:vAlign w:val="center"/>
          </w:tcPr>
          <w:p>
            <w:pPr>
              <w:pStyle w:val="31"/>
              <w:adjustRightInd/>
              <w:rPr>
                <w:rFonts w:ascii="宋体" w:hAnsi="宋体"/>
                <w:color w:val="000000"/>
              </w:rPr>
            </w:pPr>
            <w:r>
              <w:rPr>
                <w:rFonts w:hint="eastAsia" w:ascii="宋体" w:hAnsi="宋体"/>
                <w:color w:val="000000"/>
              </w:rPr>
              <w:t>后勤库房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1" w:type="dxa"/>
            <w:vMerge w:val="continue"/>
            <w:vAlign w:val="center"/>
          </w:tcPr>
          <w:p>
            <w:pPr>
              <w:pStyle w:val="31"/>
              <w:adjustRightInd/>
              <w:ind w:firstLine="480"/>
              <w:rPr>
                <w:rFonts w:hint="eastAsia" w:ascii="宋体" w:hAnsi="宋体"/>
                <w:color w:val="000000"/>
              </w:rPr>
            </w:pPr>
          </w:p>
        </w:tc>
        <w:tc>
          <w:tcPr>
            <w:tcW w:w="1654" w:type="dxa"/>
            <w:vMerge w:val="continue"/>
            <w:vAlign w:val="center"/>
          </w:tcPr>
          <w:p>
            <w:pPr>
              <w:pStyle w:val="31"/>
              <w:adjustRightInd/>
              <w:ind w:firstLine="480"/>
              <w:rPr>
                <w:rFonts w:hint="eastAsia" w:ascii="宋体" w:hAnsi="宋体"/>
                <w:color w:val="000000"/>
              </w:rPr>
            </w:pPr>
          </w:p>
        </w:tc>
        <w:tc>
          <w:tcPr>
            <w:tcW w:w="2093" w:type="dxa"/>
            <w:vAlign w:val="center"/>
          </w:tcPr>
          <w:p>
            <w:pPr>
              <w:pStyle w:val="31"/>
              <w:adjustRightInd/>
              <w:rPr>
                <w:rFonts w:hint="eastAsia" w:ascii="宋体" w:hAnsi="宋体"/>
                <w:color w:val="000000"/>
              </w:rPr>
            </w:pPr>
            <w:r>
              <w:rPr>
                <w:rFonts w:hint="eastAsia" w:ascii="宋体" w:hAnsi="宋体"/>
                <w:color w:val="000000"/>
              </w:rPr>
              <w:t>绷带</w:t>
            </w:r>
          </w:p>
        </w:tc>
        <w:tc>
          <w:tcPr>
            <w:tcW w:w="1069" w:type="dxa"/>
            <w:vAlign w:val="center"/>
          </w:tcPr>
          <w:p>
            <w:pPr>
              <w:pStyle w:val="31"/>
              <w:adjustRightInd/>
              <w:rPr>
                <w:rFonts w:hint="eastAsia" w:ascii="宋体" w:hAnsi="宋体"/>
                <w:color w:val="000000"/>
              </w:rPr>
            </w:pPr>
            <w:r>
              <w:rPr>
                <w:rFonts w:hint="eastAsia" w:ascii="宋体" w:hAnsi="宋体"/>
                <w:color w:val="000000"/>
              </w:rPr>
              <w:t>20卷</w:t>
            </w:r>
          </w:p>
        </w:tc>
        <w:tc>
          <w:tcPr>
            <w:tcW w:w="1524" w:type="dxa"/>
            <w:vAlign w:val="center"/>
          </w:tcPr>
          <w:p>
            <w:pPr>
              <w:pStyle w:val="31"/>
              <w:adjustRightInd/>
              <w:rPr>
                <w:rFonts w:ascii="宋体" w:hAnsi="宋体"/>
                <w:color w:val="000000"/>
              </w:rPr>
            </w:pPr>
            <w:r>
              <w:rPr>
                <w:rFonts w:hint="eastAsia" w:ascii="宋体" w:hAnsi="宋体"/>
                <w:color w:val="000000"/>
              </w:rPr>
              <w:t>黄琳、胡春梅</w:t>
            </w:r>
          </w:p>
        </w:tc>
        <w:tc>
          <w:tcPr>
            <w:tcW w:w="1524" w:type="dxa"/>
            <w:vAlign w:val="center"/>
          </w:tcPr>
          <w:p>
            <w:pPr>
              <w:pStyle w:val="31"/>
              <w:adjustRightInd/>
              <w:rPr>
                <w:rFonts w:ascii="宋体" w:hAnsi="宋体"/>
                <w:color w:val="000000"/>
              </w:rPr>
            </w:pPr>
            <w:r>
              <w:rPr>
                <w:rFonts w:hint="eastAsia" w:ascii="宋体" w:hAnsi="宋体"/>
                <w:color w:val="000000"/>
              </w:rPr>
              <w:t>后勤库房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41" w:type="dxa"/>
            <w:vMerge w:val="continue"/>
            <w:vAlign w:val="center"/>
          </w:tcPr>
          <w:p>
            <w:pPr>
              <w:pStyle w:val="31"/>
              <w:adjustRightInd/>
              <w:ind w:firstLine="480"/>
              <w:rPr>
                <w:rFonts w:hint="eastAsia" w:ascii="宋体" w:hAnsi="宋体"/>
                <w:color w:val="000000"/>
              </w:rPr>
            </w:pPr>
          </w:p>
        </w:tc>
        <w:tc>
          <w:tcPr>
            <w:tcW w:w="1654" w:type="dxa"/>
            <w:vMerge w:val="continue"/>
            <w:vAlign w:val="center"/>
          </w:tcPr>
          <w:p>
            <w:pPr>
              <w:pStyle w:val="31"/>
              <w:adjustRightInd/>
              <w:ind w:firstLine="480"/>
              <w:rPr>
                <w:rFonts w:hint="eastAsia" w:ascii="宋体" w:hAnsi="宋体"/>
                <w:color w:val="000000"/>
              </w:rPr>
            </w:pPr>
          </w:p>
        </w:tc>
        <w:tc>
          <w:tcPr>
            <w:tcW w:w="2093" w:type="dxa"/>
            <w:vAlign w:val="center"/>
          </w:tcPr>
          <w:p>
            <w:pPr>
              <w:pStyle w:val="31"/>
              <w:adjustRightInd/>
              <w:rPr>
                <w:rFonts w:hint="eastAsia" w:ascii="宋体" w:hAnsi="宋体"/>
                <w:color w:val="000000"/>
              </w:rPr>
            </w:pPr>
            <w:r>
              <w:rPr>
                <w:rFonts w:hint="eastAsia" w:ascii="宋体" w:hAnsi="宋体"/>
                <w:color w:val="000000"/>
              </w:rPr>
              <w:t>担架</w:t>
            </w:r>
          </w:p>
        </w:tc>
        <w:tc>
          <w:tcPr>
            <w:tcW w:w="1069" w:type="dxa"/>
            <w:vAlign w:val="center"/>
          </w:tcPr>
          <w:p>
            <w:pPr>
              <w:pStyle w:val="31"/>
              <w:adjustRightInd/>
              <w:rPr>
                <w:rFonts w:hint="eastAsia" w:ascii="宋体" w:hAnsi="宋体"/>
                <w:color w:val="000000"/>
              </w:rPr>
            </w:pPr>
            <w:r>
              <w:rPr>
                <w:rFonts w:hint="eastAsia" w:ascii="宋体" w:hAnsi="宋体"/>
                <w:color w:val="000000"/>
              </w:rPr>
              <w:t>5副</w:t>
            </w:r>
          </w:p>
        </w:tc>
        <w:tc>
          <w:tcPr>
            <w:tcW w:w="1524" w:type="dxa"/>
            <w:vAlign w:val="center"/>
          </w:tcPr>
          <w:p>
            <w:pPr>
              <w:pStyle w:val="31"/>
              <w:adjustRightInd/>
              <w:rPr>
                <w:rFonts w:ascii="宋体" w:hAnsi="宋体"/>
                <w:color w:val="000000"/>
              </w:rPr>
            </w:pPr>
            <w:r>
              <w:rPr>
                <w:rFonts w:hint="eastAsia" w:ascii="宋体" w:hAnsi="宋体"/>
                <w:color w:val="000000"/>
              </w:rPr>
              <w:t>黄琳、胡春梅</w:t>
            </w:r>
          </w:p>
        </w:tc>
        <w:tc>
          <w:tcPr>
            <w:tcW w:w="1524" w:type="dxa"/>
            <w:vAlign w:val="center"/>
          </w:tcPr>
          <w:p>
            <w:pPr>
              <w:pStyle w:val="31"/>
              <w:adjustRightInd/>
              <w:rPr>
                <w:rFonts w:ascii="宋体" w:hAnsi="宋体"/>
                <w:color w:val="000000"/>
              </w:rPr>
            </w:pPr>
            <w:r>
              <w:rPr>
                <w:rFonts w:hint="eastAsia" w:ascii="宋体" w:hAnsi="宋体"/>
                <w:color w:val="000000"/>
              </w:rPr>
              <w:t>后勤库房</w:t>
            </w:r>
          </w:p>
        </w:tc>
      </w:tr>
    </w:tbl>
    <w:p>
      <w:pPr>
        <w:ind w:firstLine="480" w:firstLineChars="200"/>
        <w:jc w:val="center"/>
        <w:rPr>
          <w:rFonts w:hint="eastAsia" w:eastAsia="黑体"/>
          <w:b/>
          <w:sz w:val="24"/>
          <w:szCs w:val="24"/>
        </w:rPr>
      </w:pPr>
    </w:p>
    <w:p>
      <w:pPr>
        <w:spacing w:line="360" w:lineRule="auto"/>
        <w:ind w:firstLine="480" w:firstLineChars="200"/>
        <w:rPr>
          <w:rFonts w:hint="eastAsia" w:ascii="Times New Roman" w:hAnsi="Times New Roman"/>
          <w:sz w:val="24"/>
          <w:szCs w:val="24"/>
          <w:lang w:val="zh-CN"/>
        </w:rPr>
      </w:pPr>
      <w:r>
        <w:rPr>
          <w:rFonts w:hint="eastAsia" w:ascii="Times New Roman" w:hAnsi="Times New Roman"/>
          <w:sz w:val="24"/>
          <w:szCs w:val="24"/>
          <w:lang w:val="zh-CN"/>
        </w:rPr>
        <w:t>发生事故时需安置被疏散人群，安置人群所需要的基本生活物资保障依托当地民政部门。</w:t>
      </w:r>
    </w:p>
    <w:p>
      <w:pPr>
        <w:pStyle w:val="3"/>
        <w:rPr>
          <w:rFonts w:hint="eastAsia"/>
        </w:rPr>
      </w:pPr>
      <w:bookmarkStart w:id="767" w:name="_Toc338228633"/>
      <w:bookmarkStart w:id="768" w:name="_Toc461048144"/>
      <w:bookmarkStart w:id="769" w:name="_Toc338230989"/>
      <w:r>
        <w:t>1</w:t>
      </w:r>
      <w:r>
        <w:rPr>
          <w:rFonts w:hint="eastAsia"/>
        </w:rPr>
        <w:t>3</w:t>
      </w:r>
      <w:r>
        <w:t>.3</w:t>
      </w:r>
      <w:r>
        <w:rPr>
          <w:rFonts w:hint="eastAsia"/>
        </w:rPr>
        <w:t>应急和救护设备、器材的管理</w:t>
      </w:r>
      <w:bookmarkEnd w:id="767"/>
      <w:bookmarkEnd w:id="768"/>
      <w:bookmarkEnd w:id="769"/>
    </w:p>
    <w:p>
      <w:pPr>
        <w:spacing w:line="360" w:lineRule="auto"/>
        <w:ind w:firstLine="480" w:firstLineChars="200"/>
        <w:rPr>
          <w:rFonts w:hint="eastAsia" w:ascii="Times New Roman" w:hAnsi="Times New Roman"/>
          <w:sz w:val="24"/>
          <w:szCs w:val="24"/>
        </w:rPr>
      </w:pPr>
      <w:r>
        <w:rPr>
          <w:rFonts w:hint="eastAsia" w:ascii="Times New Roman" w:hAnsi="Times New Roman"/>
          <w:sz w:val="24"/>
          <w:szCs w:val="24"/>
        </w:rPr>
        <w:t>所有应急设备、器材设专人管理，保证完好、有效，可随时使用。</w:t>
      </w:r>
    </w:p>
    <w:p>
      <w:pPr>
        <w:spacing w:line="360" w:lineRule="auto"/>
        <w:ind w:firstLine="480" w:firstLineChars="200"/>
        <w:rPr>
          <w:rFonts w:hint="eastAsia" w:ascii="Times New Roman" w:hAnsi="Times New Roman"/>
          <w:sz w:val="24"/>
          <w:szCs w:val="24"/>
        </w:rPr>
      </w:pPr>
      <w:r>
        <w:rPr>
          <w:rFonts w:hint="eastAsia" w:ascii="Times New Roman" w:hAnsi="Times New Roman"/>
          <w:sz w:val="24"/>
          <w:szCs w:val="24"/>
        </w:rPr>
        <w:t>在应急办公室建立应急设备、器材台账，记录所有设备、器材的名称、型号、数量、所在位置、有效期限，还应有管理人员姓名、联系电话等。</w:t>
      </w:r>
    </w:p>
    <w:p>
      <w:pPr>
        <w:spacing w:line="360" w:lineRule="auto"/>
        <w:ind w:firstLine="480" w:firstLineChars="200"/>
        <w:rPr>
          <w:rFonts w:hint="eastAsia" w:ascii="Times New Roman" w:hAnsi="Times New Roman"/>
          <w:sz w:val="24"/>
          <w:szCs w:val="24"/>
        </w:rPr>
      </w:pPr>
      <w:r>
        <w:rPr>
          <w:rFonts w:hint="eastAsia" w:ascii="Times New Roman" w:hAnsi="宋体"/>
          <w:sz w:val="24"/>
          <w:szCs w:val="24"/>
        </w:rPr>
        <w:t>公司办应及时补充应急物资，制定年度计划，</w:t>
      </w:r>
      <w:r>
        <w:rPr>
          <w:rFonts w:hint="eastAsia" w:ascii="Times New Roman" w:hAnsi="Times New Roman"/>
          <w:sz w:val="24"/>
          <w:szCs w:val="24"/>
        </w:rPr>
        <w:t>应随时更换失效，过期的药品、器材，并有相应的跟踪检查制度和措施。并及时补充所需的个体防护用品、急救药品、器材，并有相应的跟踪检查制度、措施。</w:t>
      </w:r>
    </w:p>
    <w:p>
      <w:pPr>
        <w:pStyle w:val="3"/>
      </w:pPr>
      <w:bookmarkStart w:id="770" w:name="_Toc461048145"/>
      <w:bookmarkStart w:id="771" w:name="_Toc338228634"/>
      <w:bookmarkStart w:id="772" w:name="_Toc338230990"/>
      <w:bookmarkStart w:id="773" w:name="_Toc317175200"/>
      <w:r>
        <w:t>1</w:t>
      </w:r>
      <w:r>
        <w:rPr>
          <w:rFonts w:hint="eastAsia"/>
        </w:rPr>
        <w:t>3</w:t>
      </w:r>
      <w:r>
        <w:t>.</w:t>
      </w:r>
      <w:r>
        <w:rPr>
          <w:rFonts w:hint="eastAsia"/>
        </w:rPr>
        <w:t>4</w:t>
      </w:r>
      <w:r>
        <w:t>通信保障</w:t>
      </w:r>
      <w:bookmarkEnd w:id="770"/>
      <w:bookmarkEnd w:id="771"/>
      <w:bookmarkEnd w:id="772"/>
      <w:bookmarkEnd w:id="773"/>
    </w:p>
    <w:p>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宋体"/>
          <w:sz w:val="24"/>
          <w:szCs w:val="24"/>
        </w:rPr>
        <w:t>内部应急通讯系统由行政部负责管理和联系维护。</w:t>
      </w:r>
    </w:p>
    <w:p>
      <w:pPr>
        <w:spacing w:line="360" w:lineRule="auto"/>
        <w:ind w:firstLine="480" w:firstLineChars="200"/>
        <w:rPr>
          <w:rFonts w:ascii="Times New Roman" w:hAnsi="Times New Roman"/>
          <w:sz w:val="24"/>
          <w:szCs w:val="24"/>
        </w:rPr>
      </w:pPr>
      <w:r>
        <w:rPr>
          <w:rFonts w:ascii="Times New Roman" w:hAnsi="宋体"/>
          <w:sz w:val="24"/>
          <w:szCs w:val="24"/>
        </w:rPr>
        <w:t>根据事故应急救援需要，由各相关部门配合组建成相应的救援专业队伍。</w:t>
      </w:r>
    </w:p>
    <w:p>
      <w:pPr>
        <w:pStyle w:val="3"/>
      </w:pPr>
      <w:bookmarkStart w:id="774" w:name="_Toc338230991"/>
      <w:bookmarkStart w:id="775" w:name="_Toc338228635"/>
      <w:bookmarkStart w:id="776" w:name="_Toc317175201"/>
      <w:bookmarkStart w:id="777" w:name="_Toc461048146"/>
      <w:r>
        <w:t>1</w:t>
      </w:r>
      <w:r>
        <w:rPr>
          <w:rFonts w:hint="eastAsia"/>
        </w:rPr>
        <w:t>3</w:t>
      </w:r>
      <w:r>
        <w:t>.</w:t>
      </w:r>
      <w:r>
        <w:rPr>
          <w:rFonts w:hint="eastAsia"/>
        </w:rPr>
        <w:t>5</w:t>
      </w:r>
      <w:bookmarkEnd w:id="774"/>
      <w:bookmarkEnd w:id="775"/>
      <w:bookmarkEnd w:id="776"/>
      <w:bookmarkStart w:id="778" w:name="_Toc338230992"/>
      <w:bookmarkStart w:id="779" w:name="_Toc338228636"/>
      <w:r>
        <w:t>应急电源、照明</w:t>
      </w:r>
      <w:bookmarkEnd w:id="777"/>
      <w:bookmarkEnd w:id="778"/>
      <w:bookmarkEnd w:id="779"/>
    </w:p>
    <w:p>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宋体"/>
          <w:sz w:val="24"/>
          <w:szCs w:val="24"/>
        </w:rPr>
        <w:t>各办公室管理值班均有一只</w:t>
      </w:r>
      <w:r>
        <w:rPr>
          <w:rFonts w:hint="eastAsia" w:ascii="Times New Roman" w:hAnsi="宋体"/>
          <w:sz w:val="24"/>
          <w:szCs w:val="24"/>
        </w:rPr>
        <w:t>强光</w:t>
      </w:r>
      <w:r>
        <w:rPr>
          <w:rFonts w:ascii="Times New Roman" w:hAnsi="宋体"/>
          <w:sz w:val="24"/>
          <w:szCs w:val="24"/>
        </w:rPr>
        <w:t>手电筒，作为现场紧急撤离时照明用，当发生事故时，</w:t>
      </w:r>
      <w:r>
        <w:rPr>
          <w:rFonts w:hint="eastAsia" w:ascii="Times New Roman" w:hAnsi="宋体"/>
          <w:sz w:val="24"/>
          <w:szCs w:val="24"/>
        </w:rPr>
        <w:t>电力</w:t>
      </w:r>
      <w:r>
        <w:rPr>
          <w:rFonts w:ascii="Times New Roman" w:hAnsi="宋体"/>
          <w:sz w:val="24"/>
          <w:szCs w:val="24"/>
        </w:rPr>
        <w:t>系统在突然断电时，所有岗位人员由当班负责</w:t>
      </w:r>
      <w:r>
        <w:rPr>
          <w:rFonts w:hint="eastAsia" w:ascii="Times New Roman" w:hAnsi="宋体"/>
          <w:sz w:val="24"/>
          <w:szCs w:val="24"/>
        </w:rPr>
        <w:t>人</w:t>
      </w:r>
      <w:r>
        <w:rPr>
          <w:rFonts w:ascii="Times New Roman" w:hAnsi="宋体"/>
          <w:sz w:val="24"/>
          <w:szCs w:val="24"/>
        </w:rPr>
        <w:t>使用应急照明灯进行应急处理并有序撤离。在事故的抢险和伤员救护过程中，根据情况，从其他</w:t>
      </w:r>
      <w:r>
        <w:rPr>
          <w:rFonts w:hint="eastAsia" w:ascii="Times New Roman" w:hAnsi="宋体"/>
          <w:sz w:val="24"/>
          <w:szCs w:val="24"/>
        </w:rPr>
        <w:t>电力</w:t>
      </w:r>
      <w:r>
        <w:rPr>
          <w:rFonts w:ascii="Times New Roman" w:hAnsi="宋体"/>
          <w:sz w:val="24"/>
          <w:szCs w:val="24"/>
        </w:rPr>
        <w:t>系统供电，在确认安全的情况下，对事故</w:t>
      </w:r>
      <w:r>
        <w:rPr>
          <w:rFonts w:hint="eastAsia" w:ascii="Times New Roman" w:hAnsi="宋体"/>
          <w:sz w:val="24"/>
          <w:szCs w:val="24"/>
        </w:rPr>
        <w:t>现场</w:t>
      </w:r>
      <w:r>
        <w:rPr>
          <w:rFonts w:ascii="Times New Roman" w:hAnsi="宋体"/>
          <w:sz w:val="24"/>
          <w:szCs w:val="24"/>
        </w:rPr>
        <w:t>的各个岗位选择性供电，保证应急和照明电源的使用。</w:t>
      </w:r>
    </w:p>
    <w:p>
      <w:pPr>
        <w:pStyle w:val="3"/>
      </w:pPr>
      <w:bookmarkStart w:id="780" w:name="_Toc461048147"/>
      <w:bookmarkStart w:id="781" w:name="_Toc338228637"/>
      <w:bookmarkStart w:id="782" w:name="_Toc338230993"/>
      <w:r>
        <w:t>1</w:t>
      </w:r>
      <w:r>
        <w:rPr>
          <w:rFonts w:hint="eastAsia"/>
        </w:rPr>
        <w:t>3</w:t>
      </w:r>
      <w:r>
        <w:t>.</w:t>
      </w:r>
      <w:r>
        <w:rPr>
          <w:rFonts w:hint="eastAsia"/>
        </w:rPr>
        <w:t>6</w:t>
      </w:r>
      <w:r>
        <w:t>外部救援</w:t>
      </w:r>
      <w:bookmarkEnd w:id="780"/>
      <w:bookmarkEnd w:id="781"/>
      <w:bookmarkEnd w:id="782"/>
    </w:p>
    <w:p>
      <w:pPr>
        <w:spacing w:line="360" w:lineRule="auto"/>
        <w:ind w:firstLine="480" w:firstLineChars="200"/>
        <w:rPr>
          <w:rFonts w:ascii="Times New Roman" w:hAnsi="Times New Roman"/>
          <w:sz w:val="24"/>
          <w:szCs w:val="24"/>
        </w:rPr>
      </w:pPr>
      <w:r>
        <w:rPr>
          <w:rFonts w:ascii="Times New Roman" w:hAnsi="宋体"/>
          <w:sz w:val="24"/>
          <w:szCs w:val="24"/>
        </w:rPr>
        <w:t>当事故扩大化需要外部力量救援时，从</w:t>
      </w:r>
      <w:r>
        <w:rPr>
          <w:rFonts w:hint="eastAsia" w:ascii="Times New Roman" w:hAnsi="宋体"/>
          <w:sz w:val="24"/>
          <w:szCs w:val="24"/>
        </w:rPr>
        <w:t>沙坪坝区应急办</w:t>
      </w:r>
      <w:r>
        <w:rPr>
          <w:rFonts w:ascii="Times New Roman" w:hAnsi="宋体"/>
          <w:sz w:val="24"/>
          <w:szCs w:val="24"/>
        </w:rPr>
        <w:t>、</w:t>
      </w:r>
      <w:r>
        <w:rPr>
          <w:rFonts w:hint="eastAsia" w:ascii="Times New Roman" w:hAnsi="宋体"/>
          <w:sz w:val="24"/>
          <w:szCs w:val="24"/>
        </w:rPr>
        <w:t>沙坪坝区管委会</w:t>
      </w:r>
      <w:r>
        <w:rPr>
          <w:rFonts w:ascii="Times New Roman" w:hAnsi="宋体"/>
          <w:sz w:val="24"/>
          <w:szCs w:val="24"/>
        </w:rPr>
        <w:t>等相关部门，可以发布支援命令，调动相关政府部门进行全力支持和救护，主要参与部门有：</w:t>
      </w:r>
    </w:p>
    <w:p>
      <w:pPr>
        <w:spacing w:line="360" w:lineRule="auto"/>
        <w:ind w:firstLine="600" w:firstLineChars="25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 1 \* GB3 </w:instrText>
      </w:r>
      <w:r>
        <w:rPr>
          <w:rFonts w:ascii="Times New Roman" w:hAnsi="Times New Roman"/>
          <w:sz w:val="24"/>
          <w:szCs w:val="24"/>
        </w:rPr>
        <w:fldChar w:fldCharType="separate"/>
      </w:r>
      <w:r>
        <w:rPr>
          <w:rFonts w:ascii="Times New Roman" w:hAnsi="宋体"/>
          <w:sz w:val="24"/>
          <w:szCs w:val="24"/>
        </w:rPr>
        <w:t>①</w:t>
      </w:r>
      <w:r>
        <w:rPr>
          <w:rFonts w:ascii="Times New Roman" w:hAnsi="Times New Roman"/>
          <w:sz w:val="24"/>
          <w:szCs w:val="24"/>
        </w:rPr>
        <w:fldChar w:fldCharType="end"/>
      </w:r>
      <w:r>
        <w:rPr>
          <w:rFonts w:ascii="Times New Roman" w:hAnsi="宋体"/>
          <w:sz w:val="24"/>
          <w:szCs w:val="24"/>
        </w:rPr>
        <w:t>公安部门</w:t>
      </w:r>
    </w:p>
    <w:p>
      <w:pPr>
        <w:spacing w:line="360" w:lineRule="auto"/>
        <w:ind w:firstLine="480" w:firstLineChars="200"/>
        <w:rPr>
          <w:rFonts w:ascii="Times New Roman" w:hAnsi="Times New Roman"/>
          <w:sz w:val="24"/>
          <w:szCs w:val="24"/>
        </w:rPr>
      </w:pPr>
      <w:r>
        <w:rPr>
          <w:rFonts w:ascii="Times New Roman" w:hAnsi="宋体"/>
          <w:sz w:val="24"/>
          <w:szCs w:val="24"/>
        </w:rPr>
        <w:t>协助</w:t>
      </w:r>
      <w:r>
        <w:rPr>
          <w:rFonts w:hint="eastAsia" w:ascii="Times New Roman" w:hAnsi="宋体"/>
          <w:sz w:val="24"/>
          <w:szCs w:val="24"/>
        </w:rPr>
        <w:t>企业</w:t>
      </w:r>
      <w:r>
        <w:rPr>
          <w:rFonts w:ascii="Times New Roman" w:hAnsi="宋体"/>
          <w:sz w:val="24"/>
          <w:szCs w:val="24"/>
        </w:rPr>
        <w:t>进行警戒，封锁相关通道，防止无关人员进入事故现场和污染区。</w:t>
      </w:r>
    </w:p>
    <w:p>
      <w:pPr>
        <w:spacing w:line="360" w:lineRule="auto"/>
        <w:ind w:firstLine="600" w:firstLineChars="25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 2 \* GB3 </w:instrText>
      </w:r>
      <w:r>
        <w:rPr>
          <w:rFonts w:ascii="Times New Roman" w:hAnsi="Times New Roman"/>
          <w:sz w:val="24"/>
          <w:szCs w:val="24"/>
        </w:rPr>
        <w:fldChar w:fldCharType="separate"/>
      </w:r>
      <w:r>
        <w:rPr>
          <w:rFonts w:ascii="Times New Roman" w:hAnsi="宋体"/>
          <w:sz w:val="24"/>
          <w:szCs w:val="24"/>
        </w:rPr>
        <w:t>②</w:t>
      </w:r>
      <w:r>
        <w:rPr>
          <w:rFonts w:ascii="Times New Roman" w:hAnsi="Times New Roman"/>
          <w:sz w:val="24"/>
          <w:szCs w:val="24"/>
        </w:rPr>
        <w:fldChar w:fldCharType="end"/>
      </w:r>
      <w:r>
        <w:rPr>
          <w:rFonts w:hint="eastAsia" w:ascii="Times New Roman" w:hAnsi="宋体"/>
          <w:sz w:val="24"/>
          <w:szCs w:val="24"/>
        </w:rPr>
        <w:t>消防</w:t>
      </w:r>
      <w:r>
        <w:rPr>
          <w:rFonts w:ascii="Times New Roman" w:hAnsi="宋体"/>
          <w:sz w:val="24"/>
          <w:szCs w:val="24"/>
        </w:rPr>
        <w:t>部门</w:t>
      </w:r>
    </w:p>
    <w:p>
      <w:pPr>
        <w:spacing w:line="360" w:lineRule="auto"/>
        <w:ind w:firstLine="480" w:firstLineChars="200"/>
        <w:rPr>
          <w:rFonts w:ascii="Times New Roman" w:hAnsi="Times New Roman"/>
          <w:sz w:val="24"/>
          <w:szCs w:val="24"/>
        </w:rPr>
      </w:pPr>
      <w:r>
        <w:rPr>
          <w:rFonts w:ascii="Times New Roman" w:hAnsi="宋体"/>
          <w:sz w:val="24"/>
          <w:szCs w:val="24"/>
        </w:rPr>
        <w:t>发生火灾事故时，进行灭火的救护。主要有</w:t>
      </w:r>
      <w:r>
        <w:rPr>
          <w:rFonts w:hint="eastAsia" w:ascii="Times New Roman" w:hAnsi="宋体"/>
          <w:sz w:val="24"/>
          <w:szCs w:val="24"/>
        </w:rPr>
        <w:t>沙坪坝区</w:t>
      </w:r>
      <w:r>
        <w:rPr>
          <w:rFonts w:ascii="Times New Roman" w:hAnsi="宋体"/>
          <w:sz w:val="24"/>
          <w:szCs w:val="24"/>
        </w:rPr>
        <w:t>消防支队。</w:t>
      </w:r>
    </w:p>
    <w:p>
      <w:pPr>
        <w:spacing w:line="360" w:lineRule="auto"/>
        <w:ind w:firstLine="600" w:firstLineChars="25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 3 \* GB3 </w:instrText>
      </w:r>
      <w:r>
        <w:rPr>
          <w:rFonts w:ascii="Times New Roman" w:hAnsi="Times New Roman"/>
          <w:sz w:val="24"/>
          <w:szCs w:val="24"/>
        </w:rPr>
        <w:fldChar w:fldCharType="separate"/>
      </w:r>
      <w:r>
        <w:rPr>
          <w:rFonts w:ascii="Times New Roman" w:hAnsi="宋体"/>
          <w:sz w:val="24"/>
          <w:szCs w:val="24"/>
        </w:rPr>
        <w:t>③</w:t>
      </w:r>
      <w:r>
        <w:rPr>
          <w:rFonts w:ascii="Times New Roman" w:hAnsi="Times New Roman"/>
          <w:sz w:val="24"/>
          <w:szCs w:val="24"/>
        </w:rPr>
        <w:fldChar w:fldCharType="end"/>
      </w:r>
      <w:r>
        <w:rPr>
          <w:rFonts w:ascii="Times New Roman" w:hAnsi="宋体"/>
          <w:sz w:val="24"/>
          <w:szCs w:val="24"/>
        </w:rPr>
        <w:t>环保部门</w:t>
      </w:r>
    </w:p>
    <w:p>
      <w:pPr>
        <w:spacing w:line="360" w:lineRule="auto"/>
        <w:ind w:firstLine="600" w:firstLineChars="250"/>
        <w:rPr>
          <w:rFonts w:ascii="Times New Roman" w:hAnsi="Times New Roman"/>
          <w:sz w:val="24"/>
          <w:szCs w:val="24"/>
        </w:rPr>
      </w:pPr>
      <w:r>
        <w:rPr>
          <w:rFonts w:ascii="Times New Roman" w:hAnsi="宋体"/>
          <w:sz w:val="24"/>
          <w:szCs w:val="24"/>
        </w:rPr>
        <w:t>提供事故时的实时监测和污染区的处理工作。</w:t>
      </w:r>
    </w:p>
    <w:p>
      <w:pPr>
        <w:spacing w:line="360" w:lineRule="auto"/>
        <w:ind w:firstLine="600" w:firstLineChars="25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 4 \* GB3 </w:instrText>
      </w:r>
      <w:r>
        <w:rPr>
          <w:rFonts w:ascii="Times New Roman" w:hAnsi="Times New Roman"/>
          <w:sz w:val="24"/>
          <w:szCs w:val="24"/>
        </w:rPr>
        <w:fldChar w:fldCharType="separate"/>
      </w:r>
      <w:r>
        <w:rPr>
          <w:rFonts w:ascii="Times New Roman" w:hAnsi="宋体"/>
          <w:sz w:val="24"/>
          <w:szCs w:val="24"/>
        </w:rPr>
        <w:t>④</w:t>
      </w:r>
      <w:r>
        <w:rPr>
          <w:rFonts w:ascii="Times New Roman" w:hAnsi="Times New Roman"/>
          <w:sz w:val="24"/>
          <w:szCs w:val="24"/>
        </w:rPr>
        <w:fldChar w:fldCharType="end"/>
      </w:r>
      <w:r>
        <w:rPr>
          <w:rFonts w:ascii="Times New Roman" w:hAnsi="宋体"/>
          <w:sz w:val="24"/>
          <w:szCs w:val="24"/>
        </w:rPr>
        <w:t>电信部门</w:t>
      </w:r>
    </w:p>
    <w:p>
      <w:pPr>
        <w:spacing w:line="360" w:lineRule="auto"/>
        <w:ind w:firstLine="480" w:firstLineChars="200"/>
        <w:rPr>
          <w:rFonts w:ascii="Times New Roman" w:hAnsi="Times New Roman"/>
          <w:sz w:val="24"/>
          <w:szCs w:val="24"/>
        </w:rPr>
      </w:pPr>
      <w:r>
        <w:rPr>
          <w:rFonts w:ascii="Times New Roman" w:hAnsi="宋体"/>
          <w:sz w:val="24"/>
          <w:szCs w:val="24"/>
        </w:rPr>
        <w:t>保障外部通讯系统的正常运转，能够即使准确发布事故的消息和发布有关命令。</w:t>
      </w:r>
    </w:p>
    <w:p>
      <w:pPr>
        <w:spacing w:line="360" w:lineRule="auto"/>
        <w:ind w:firstLine="600" w:firstLineChars="25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 5 \* GB3 </w:instrText>
      </w:r>
      <w:r>
        <w:rPr>
          <w:rFonts w:ascii="Times New Roman" w:hAnsi="Times New Roman"/>
          <w:sz w:val="24"/>
          <w:szCs w:val="24"/>
        </w:rPr>
        <w:fldChar w:fldCharType="separate"/>
      </w:r>
      <w:r>
        <w:rPr>
          <w:rFonts w:ascii="Times New Roman" w:hAnsi="宋体"/>
          <w:sz w:val="24"/>
          <w:szCs w:val="24"/>
        </w:rPr>
        <w:t>⑤</w:t>
      </w:r>
      <w:r>
        <w:rPr>
          <w:rFonts w:ascii="Times New Roman" w:hAnsi="Times New Roman"/>
          <w:sz w:val="24"/>
          <w:szCs w:val="24"/>
        </w:rPr>
        <w:fldChar w:fldCharType="end"/>
      </w:r>
      <w:r>
        <w:rPr>
          <w:rFonts w:ascii="Times New Roman" w:hAnsi="宋体"/>
          <w:sz w:val="24"/>
          <w:szCs w:val="24"/>
        </w:rPr>
        <w:t>医疗单位</w:t>
      </w:r>
    </w:p>
    <w:p>
      <w:pPr>
        <w:spacing w:line="360" w:lineRule="auto"/>
        <w:ind w:firstLine="480" w:firstLineChars="200"/>
        <w:rPr>
          <w:rFonts w:ascii="Times New Roman" w:hAnsi="Times New Roman"/>
          <w:sz w:val="24"/>
          <w:szCs w:val="24"/>
        </w:rPr>
      </w:pPr>
      <w:r>
        <w:rPr>
          <w:rFonts w:ascii="Times New Roman" w:hAnsi="宋体"/>
          <w:sz w:val="24"/>
          <w:szCs w:val="24"/>
        </w:rPr>
        <w:t>提供伤员、中毒救护的治疗服务和现场救护所需要的药品和人员。</w:t>
      </w:r>
    </w:p>
    <w:p>
      <w:pPr>
        <w:pStyle w:val="3"/>
        <w:rPr>
          <w:sz w:val="24"/>
          <w:szCs w:val="24"/>
        </w:rPr>
        <w:sectPr>
          <w:pgSz w:w="11906" w:h="16838"/>
          <w:pgMar w:top="1247" w:right="1531" w:bottom="1247" w:left="1531" w:header="851" w:footer="992" w:gutter="0"/>
          <w:cols w:space="720" w:num="1"/>
          <w:docGrid w:type="linesAndChars" w:linePitch="312" w:charSpace="0"/>
        </w:sectPr>
      </w:pPr>
      <w:bookmarkStart w:id="783" w:name="_Toc317175205"/>
    </w:p>
    <w:p>
      <w:pPr>
        <w:pStyle w:val="2"/>
        <w:rPr>
          <w:rFonts w:hint="eastAsia"/>
        </w:rPr>
      </w:pPr>
      <w:bookmarkStart w:id="784" w:name="_Toc338230994"/>
      <w:bookmarkStart w:id="785" w:name="_Toc461048148"/>
      <w:bookmarkStart w:id="786" w:name="_Toc338228638"/>
      <w:r>
        <w:t>1</w:t>
      </w:r>
      <w:r>
        <w:rPr>
          <w:rFonts w:hint="eastAsia"/>
        </w:rPr>
        <w:t>4</w:t>
      </w:r>
      <w:r>
        <w:t>预案的评审、发布、更新</w:t>
      </w:r>
      <w:bookmarkEnd w:id="783"/>
      <w:bookmarkEnd w:id="784"/>
      <w:bookmarkEnd w:id="785"/>
      <w:bookmarkEnd w:id="786"/>
    </w:p>
    <w:p>
      <w:pPr>
        <w:spacing w:line="360" w:lineRule="auto"/>
        <w:ind w:firstLine="480" w:firstLineChars="200"/>
        <w:rPr>
          <w:rFonts w:ascii="Times New Roman" w:hAnsi="Times New Roman"/>
          <w:sz w:val="24"/>
          <w:szCs w:val="24"/>
        </w:rPr>
      </w:pPr>
      <w:r>
        <w:rPr>
          <w:rFonts w:hint="eastAsia" w:ascii="Times New Roman" w:hAnsi="Times New Roman"/>
          <w:sz w:val="24"/>
          <w:szCs w:val="24"/>
        </w:rPr>
        <w:t>（1</w:t>
      </w:r>
      <w:r>
        <w:rPr>
          <w:rFonts w:hint="eastAsia" w:ascii="Times New Roman" w:hAnsi="宋体"/>
          <w:sz w:val="24"/>
          <w:szCs w:val="24"/>
        </w:rPr>
        <w:t>）重庆永荣青鹏煤业有限公司环境</w:t>
      </w:r>
      <w:r>
        <w:rPr>
          <w:rFonts w:ascii="Times New Roman" w:hAnsi="宋体"/>
          <w:sz w:val="24"/>
          <w:szCs w:val="24"/>
        </w:rPr>
        <w:t>污染事故应急救援预案由</w:t>
      </w:r>
      <w:r>
        <w:rPr>
          <w:rFonts w:hint="eastAsia" w:ascii="Times New Roman" w:hAnsi="宋体"/>
          <w:sz w:val="24"/>
          <w:szCs w:val="24"/>
        </w:rPr>
        <w:t>企业</w:t>
      </w:r>
      <w:r>
        <w:rPr>
          <w:rFonts w:ascii="Times New Roman" w:hAnsi="宋体"/>
          <w:sz w:val="24"/>
          <w:szCs w:val="24"/>
        </w:rPr>
        <w:t>组织编制，</w:t>
      </w:r>
      <w:r>
        <w:rPr>
          <w:rFonts w:hint="eastAsia" w:ascii="Times New Roman" w:hAnsi="宋体"/>
          <w:sz w:val="24"/>
          <w:szCs w:val="24"/>
        </w:rPr>
        <w:t>主要针对企业内的公辅设施及</w:t>
      </w:r>
      <w:r>
        <w:rPr>
          <w:rFonts w:ascii="Times New Roman" w:hAnsi="宋体"/>
          <w:sz w:val="24"/>
          <w:szCs w:val="24"/>
        </w:rPr>
        <w:t>生产过程中存在的环境污染风险目标制定相应的应急预案。</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（2）</w:t>
      </w:r>
      <w:r>
        <w:rPr>
          <w:rFonts w:hint="eastAsia" w:ascii="Times New Roman" w:hAnsi="宋体"/>
          <w:sz w:val="24"/>
          <w:szCs w:val="24"/>
        </w:rPr>
        <w:t>环境</w:t>
      </w:r>
      <w:r>
        <w:rPr>
          <w:rFonts w:ascii="Times New Roman" w:hAnsi="宋体"/>
          <w:sz w:val="24"/>
          <w:szCs w:val="24"/>
        </w:rPr>
        <w:t>污染事故应急预案原则上每三年修订一次，但若在演练中存在重大偏差和缺陷，或存在较大的不适应情况，应及时对应急预案或事故处理中的不适宜进行修订。修订完善后的应急预案应及时发至相关部门。</w:t>
      </w:r>
    </w:p>
    <w:p>
      <w:pPr>
        <w:spacing w:line="360" w:lineRule="auto"/>
        <w:ind w:firstLine="480" w:firstLineChars="200"/>
        <w:rPr>
          <w:rFonts w:hint="eastAsia" w:ascii="Times New Roman" w:hAnsi="Times New Roman"/>
          <w:sz w:val="24"/>
          <w:szCs w:val="24"/>
        </w:rPr>
      </w:pPr>
      <w:r>
        <w:rPr>
          <w:rFonts w:hint="eastAsia" w:ascii="Times New Roman" w:hAnsi="Times New Roman"/>
          <w:sz w:val="24"/>
          <w:szCs w:val="24"/>
        </w:rPr>
        <w:t>（3）</w:t>
      </w:r>
      <w:r>
        <w:rPr>
          <w:rFonts w:hint="eastAsia" w:ascii="Times New Roman" w:hAnsi="宋体"/>
          <w:sz w:val="24"/>
          <w:szCs w:val="24"/>
        </w:rPr>
        <w:t>企业应</w:t>
      </w:r>
      <w:r>
        <w:rPr>
          <w:rFonts w:ascii="Times New Roman" w:hAnsi="宋体"/>
          <w:sz w:val="24"/>
          <w:szCs w:val="24"/>
        </w:rPr>
        <w:t>每年应</w:t>
      </w:r>
      <w:r>
        <w:rPr>
          <w:rFonts w:hint="eastAsia" w:ascii="Times New Roman" w:hAnsi="宋体"/>
          <w:sz w:val="24"/>
          <w:szCs w:val="24"/>
        </w:rPr>
        <w:t>分别</w:t>
      </w:r>
      <w:r>
        <w:rPr>
          <w:rFonts w:ascii="Times New Roman" w:hAnsi="宋体"/>
          <w:sz w:val="24"/>
          <w:szCs w:val="24"/>
        </w:rPr>
        <w:t>组织一次培训演练，对各应急救援队伍的实战能力进行检验，对预案的适用性进行验证，以提高和改进应急救援能力</w:t>
      </w:r>
      <w:r>
        <w:rPr>
          <w:rFonts w:hint="eastAsia" w:ascii="Times New Roman" w:hAnsi="宋体"/>
          <w:sz w:val="24"/>
          <w:szCs w:val="24"/>
        </w:rPr>
        <w:t>。</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（4）</w:t>
      </w:r>
      <w:r>
        <w:rPr>
          <w:rFonts w:ascii="Times New Roman" w:hAnsi="宋体"/>
          <w:sz w:val="24"/>
          <w:szCs w:val="24"/>
        </w:rPr>
        <w:t>环境污染事故应急处理和救援工作是一项重要艰巨的应急行动，</w:t>
      </w:r>
      <w:r>
        <w:rPr>
          <w:rFonts w:hint="eastAsia" w:ascii="Times New Roman" w:hAnsi="宋体"/>
          <w:sz w:val="24"/>
          <w:szCs w:val="24"/>
        </w:rPr>
        <w:t>企业</w:t>
      </w:r>
      <w:r>
        <w:rPr>
          <w:rFonts w:ascii="Times New Roman" w:hAnsi="宋体"/>
          <w:sz w:val="24"/>
          <w:szCs w:val="24"/>
        </w:rPr>
        <w:t>要高度重视，加强宣传教育，提高全员预防污染事故的意识，掌握有效的防范措施。使员工熟悉预案，明确任务要求及职责。</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（5）</w:t>
      </w:r>
      <w:r>
        <w:rPr>
          <w:rFonts w:ascii="Times New Roman" w:hAnsi="宋体"/>
          <w:sz w:val="24"/>
          <w:szCs w:val="24"/>
        </w:rPr>
        <w:t>对应急设施、设备、应急物资要经常进行清理、补充和更新，并按有关规定进行日常的检查、检测、维护和保养，使各类救援物资和器材要处于良好状态。</w:t>
      </w:r>
    </w:p>
    <w:p>
      <w:pPr>
        <w:pStyle w:val="3"/>
        <w:rPr>
          <w:sz w:val="24"/>
          <w:szCs w:val="24"/>
        </w:rPr>
        <w:sectPr>
          <w:pgSz w:w="11906" w:h="16838"/>
          <w:pgMar w:top="1247" w:right="1531" w:bottom="1247" w:left="1531" w:header="851" w:footer="992" w:gutter="0"/>
          <w:cols w:space="720" w:num="1"/>
          <w:docGrid w:type="linesAndChars" w:linePitch="312" w:charSpace="0"/>
        </w:sectPr>
      </w:pPr>
      <w:bookmarkStart w:id="787" w:name="_Toc317175206"/>
    </w:p>
    <w:p>
      <w:pPr>
        <w:pStyle w:val="2"/>
      </w:pPr>
      <w:bookmarkStart w:id="788" w:name="_Toc461048149"/>
      <w:bookmarkStart w:id="789" w:name="_Toc338230995"/>
      <w:bookmarkStart w:id="790" w:name="_Toc338228639"/>
      <w:r>
        <w:t>1</w:t>
      </w:r>
      <w:r>
        <w:rPr>
          <w:rFonts w:hint="eastAsia"/>
        </w:rPr>
        <w:t>5</w:t>
      </w:r>
      <w:r>
        <w:t>预案</w:t>
      </w:r>
      <w:bookmarkEnd w:id="787"/>
      <w:r>
        <w:rPr>
          <w:rFonts w:hint="eastAsia"/>
        </w:rPr>
        <w:t>实施和生效时间</w:t>
      </w:r>
      <w:bookmarkEnd w:id="788"/>
      <w:bookmarkEnd w:id="789"/>
      <w:bookmarkEnd w:id="790"/>
    </w:p>
    <w:p>
      <w:pPr>
        <w:spacing w:line="360" w:lineRule="auto"/>
        <w:ind w:firstLine="480" w:firstLineChars="200"/>
        <w:rPr>
          <w:rFonts w:hint="eastAsia" w:ascii="Times New Roman" w:hAnsi="Times New Roman"/>
          <w:sz w:val="24"/>
          <w:szCs w:val="24"/>
        </w:rPr>
      </w:pPr>
      <w:r>
        <w:rPr>
          <w:rFonts w:hint="eastAsia" w:ascii="Times New Roman" w:hAnsi="Times New Roman"/>
          <w:sz w:val="24"/>
          <w:szCs w:val="24"/>
        </w:rPr>
        <w:t>本预案于通过沙坪坝区</w:t>
      </w:r>
    </w:p>
    <w:p>
      <w:pPr>
        <w:spacing w:line="360" w:lineRule="auto"/>
        <w:ind w:firstLine="480" w:firstLineChars="200"/>
        <w:rPr>
          <w:rFonts w:hint="eastAsia" w:ascii="Times New Roman" w:hAnsi="Times New Roman"/>
          <w:sz w:val="24"/>
          <w:szCs w:val="24"/>
        </w:rPr>
      </w:pPr>
    </w:p>
    <w:p>
      <w:pPr>
        <w:spacing w:line="360" w:lineRule="auto"/>
        <w:ind w:firstLine="480" w:firstLineChars="200"/>
        <w:rPr>
          <w:rFonts w:hint="eastAsia" w:ascii="Times New Roman" w:hAnsi="Times New Roman"/>
          <w:sz w:val="24"/>
          <w:szCs w:val="24"/>
        </w:rPr>
        <w:sectPr>
          <w:pgSz w:w="11906" w:h="16838"/>
          <w:pgMar w:top="1247" w:right="1531" w:bottom="1247" w:left="1531" w:header="851" w:footer="992" w:gutter="0"/>
          <w:cols w:space="720" w:num="1"/>
          <w:docGrid w:type="linesAndChars" w:linePitch="312" w:charSpace="0"/>
        </w:sectPr>
      </w:pPr>
      <w:r>
        <w:rPr>
          <w:rFonts w:hint="eastAsia" w:ascii="Times New Roman" w:hAnsi="Times New Roman"/>
          <w:sz w:val="24"/>
          <w:szCs w:val="24"/>
        </w:rPr>
        <w:t>环保局备案之日发布实施</w:t>
      </w:r>
      <w:bookmarkStart w:id="791" w:name="_Toc317175207"/>
    </w:p>
    <w:bookmarkEnd w:id="596"/>
    <w:bookmarkEnd w:id="597"/>
    <w:bookmarkEnd w:id="598"/>
    <w:bookmarkEnd w:id="599"/>
    <w:bookmarkEnd w:id="600"/>
    <w:bookmarkEnd w:id="601"/>
    <w:bookmarkEnd w:id="791"/>
    <w:p>
      <w:pPr>
        <w:rPr>
          <w:rFonts w:hint="eastAsia"/>
        </w:rPr>
      </w:pPr>
    </w:p>
    <w:p>
      <w:pPr>
        <w:numPr>
          <w:ilvl w:val="0"/>
          <w:numId w:val="13"/>
        </w:numPr>
        <w:ind w:leftChars="0"/>
        <w:rPr>
          <w:rFonts w:hint="eastAsia" w:asciiTheme="minorEastAsia" w:hAnsiTheme="minorEastAsia" w:cstheme="minorEastAsia"/>
          <w:sz w:val="30"/>
          <w:szCs w:val="30"/>
          <w:lang w:val="en-US" w:eastAsia="zh-CN"/>
        </w:rPr>
      </w:pPr>
      <w:r>
        <w:rPr>
          <w:rFonts w:hint="eastAsia" w:asciiTheme="minorEastAsia" w:hAnsiTheme="minorEastAsia" w:cstheme="minorEastAsia"/>
          <w:sz w:val="30"/>
          <w:szCs w:val="30"/>
          <w:lang w:val="en-US" w:eastAsia="zh-CN"/>
        </w:rPr>
        <w:t>自行监测方案</w:t>
      </w:r>
    </w:p>
    <w:p>
      <w:pPr>
        <w:ind w:firstLine="0" w:firstLineChars="0"/>
        <w:rPr>
          <w:rFonts w:hint="eastAsia" w:ascii="楷体_GB2312" w:hAnsi="楷体_GB2312" w:eastAsia="楷体_GB2312" w:cs="楷体_GB2312"/>
          <w:b/>
          <w:sz w:val="30"/>
          <w:szCs w:val="30"/>
        </w:rPr>
      </w:pPr>
    </w:p>
    <w:p>
      <w:pPr>
        <w:ind w:firstLine="0" w:firstLineChars="0"/>
        <w:jc w:val="center"/>
        <w:rPr>
          <w:rFonts w:hint="eastAsia" w:ascii="楷体_GB2312" w:hAnsi="楷体_GB2312" w:eastAsia="楷体_GB2312" w:cs="楷体_GB2312"/>
          <w:b/>
          <w:sz w:val="52"/>
          <w:szCs w:val="52"/>
        </w:rPr>
      </w:pPr>
      <w:r>
        <w:rPr>
          <w:rFonts w:hint="eastAsia" w:ascii="楷体_GB2312" w:hAnsi="楷体_GB2312" w:eastAsia="楷体_GB2312" w:cs="楷体_GB2312"/>
          <w:b/>
          <w:sz w:val="52"/>
          <w:szCs w:val="52"/>
        </w:rPr>
        <w:t>重庆永荣青鹏水泥有限公司</w:t>
      </w:r>
    </w:p>
    <w:p>
      <w:pPr>
        <w:ind w:firstLine="0" w:firstLineChars="0"/>
        <w:jc w:val="center"/>
        <w:rPr>
          <w:rFonts w:hint="eastAsia" w:ascii="楷体_GB2312" w:hAnsi="楷体_GB2312" w:eastAsia="楷体_GB2312" w:cs="楷体_GB2312"/>
          <w:b/>
          <w:sz w:val="44"/>
          <w:szCs w:val="44"/>
        </w:rPr>
      </w:pPr>
      <w:r>
        <w:rPr>
          <w:rFonts w:hint="eastAsia" w:ascii="楷体_GB2312" w:hAnsi="楷体_GB2312" w:eastAsia="楷体_GB2312" w:cs="楷体_GB2312"/>
          <w:b/>
          <w:sz w:val="44"/>
          <w:szCs w:val="44"/>
        </w:rPr>
        <w:t>自行监测方案</w:t>
      </w:r>
    </w:p>
    <w:p>
      <w:pPr>
        <w:ind w:firstLine="0" w:firstLineChars="0"/>
        <w:rPr>
          <w:rFonts w:hint="eastAsia" w:ascii="楷体_GB2312" w:hAnsi="楷体_GB2312" w:eastAsia="楷体_GB2312" w:cs="楷体_GB2312"/>
          <w:b/>
          <w:sz w:val="44"/>
          <w:szCs w:val="44"/>
        </w:rPr>
      </w:pPr>
      <w:r>
        <w:rPr>
          <w:rFonts w:hint="eastAsia" w:ascii="楷体_GB2312" w:hAnsi="楷体_GB2312" w:eastAsia="楷体_GB2312" w:cs="楷体_GB2312"/>
          <w:b/>
          <w:sz w:val="44"/>
          <w:szCs w:val="44"/>
        </w:rPr>
        <w:drawing>
          <wp:inline distT="0" distB="0" distL="114300" distR="114300">
            <wp:extent cx="5932805" cy="3775075"/>
            <wp:effectExtent l="0" t="0" r="10795" b="15875"/>
            <wp:docPr id="604" name="图片 11" descr="psbCA1FC6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11" descr="psbCA1FC6DR"/>
                    <pic:cNvPicPr>
                      <a:picLocks noChangeAspect="1"/>
                    </pic:cNvPicPr>
                  </pic:nvPicPr>
                  <pic:blipFill>
                    <a:blip r:embed="rId62"/>
                    <a:stretch>
                      <a:fillRect/>
                    </a:stretch>
                  </pic:blipFill>
                  <pic:spPr>
                    <a:xfrm>
                      <a:off x="0" y="0"/>
                      <a:ext cx="5932805" cy="3775075"/>
                    </a:xfrm>
                    <a:prstGeom prst="rect">
                      <a:avLst/>
                    </a:prstGeom>
                    <a:noFill/>
                    <a:ln>
                      <a:noFill/>
                    </a:ln>
                  </pic:spPr>
                </pic:pic>
              </a:graphicData>
            </a:graphic>
          </wp:inline>
        </w:drawing>
      </w:r>
    </w:p>
    <w:p>
      <w:pPr>
        <w:ind w:firstLine="0" w:firstLineChars="0"/>
        <w:jc w:val="center"/>
        <w:rPr>
          <w:rFonts w:hint="eastAsia" w:ascii="楷体_GB2312" w:hAnsi="楷体_GB2312" w:eastAsia="楷体_GB2312" w:cs="楷体_GB2312"/>
          <w:b/>
          <w:sz w:val="44"/>
          <w:szCs w:val="44"/>
        </w:rPr>
      </w:pPr>
      <w:r>
        <w:rPr>
          <w:rFonts w:hint="eastAsia" w:ascii="楷体_GB2312" w:hAnsi="楷体_GB2312" w:eastAsia="楷体_GB2312" w:cs="楷体_GB2312"/>
          <w:b/>
          <w:sz w:val="44"/>
          <w:szCs w:val="44"/>
        </w:rPr>
        <w:t>编制单位：重庆永荣青鹏水泥有限公司</w:t>
      </w:r>
    </w:p>
    <w:p>
      <w:pPr>
        <w:ind w:firstLine="0" w:firstLineChars="0"/>
        <w:jc w:val="center"/>
        <w:rPr>
          <w:rFonts w:hint="eastAsia" w:ascii="楷体_GB2312" w:hAnsi="楷体_GB2312" w:eastAsia="楷体_GB2312" w:cs="楷体_GB2312"/>
          <w:b/>
          <w:sz w:val="44"/>
          <w:szCs w:val="44"/>
        </w:rPr>
      </w:pPr>
      <w:r>
        <w:rPr>
          <w:rFonts w:hint="eastAsia" w:ascii="楷体_GB2312" w:hAnsi="楷体_GB2312" w:eastAsia="楷体_GB2312" w:cs="楷体_GB2312"/>
          <w:b/>
          <w:sz w:val="44"/>
          <w:szCs w:val="44"/>
        </w:rPr>
        <w:t>编制时间：201</w:t>
      </w:r>
      <w:r>
        <w:rPr>
          <w:rFonts w:hint="eastAsia" w:ascii="楷体_GB2312" w:hAnsi="楷体_GB2312" w:eastAsia="楷体_GB2312" w:cs="楷体_GB2312"/>
          <w:b/>
          <w:sz w:val="44"/>
          <w:szCs w:val="44"/>
          <w:lang w:val="en-US" w:eastAsia="zh-CN"/>
        </w:rPr>
        <w:t>9</w:t>
      </w:r>
      <w:r>
        <w:rPr>
          <w:rFonts w:hint="eastAsia" w:ascii="楷体_GB2312" w:hAnsi="楷体_GB2312" w:eastAsia="楷体_GB2312" w:cs="楷体_GB2312"/>
          <w:b/>
          <w:sz w:val="44"/>
          <w:szCs w:val="44"/>
        </w:rPr>
        <w:t>年</w:t>
      </w:r>
      <w:r>
        <w:rPr>
          <w:rFonts w:hint="eastAsia" w:ascii="楷体_GB2312" w:hAnsi="楷体_GB2312" w:eastAsia="楷体_GB2312" w:cs="楷体_GB2312"/>
          <w:b/>
          <w:sz w:val="44"/>
          <w:szCs w:val="44"/>
          <w:lang w:val="en-US" w:eastAsia="zh-CN"/>
        </w:rPr>
        <w:t>1</w:t>
      </w:r>
      <w:r>
        <w:rPr>
          <w:rFonts w:hint="eastAsia" w:ascii="楷体_GB2312" w:hAnsi="楷体_GB2312" w:eastAsia="楷体_GB2312" w:cs="楷体_GB2312"/>
          <w:b/>
          <w:sz w:val="44"/>
          <w:szCs w:val="44"/>
        </w:rPr>
        <w:t>月13日</w:t>
      </w:r>
    </w:p>
    <w:p>
      <w:pPr>
        <w:ind w:firstLine="0" w:firstLineChars="0"/>
        <w:rPr>
          <w:rFonts w:hint="eastAsia" w:ascii="楷体_GB2312" w:hAnsi="楷体_GB2312" w:eastAsia="楷体_GB2312" w:cs="楷体_GB2312"/>
        </w:rPr>
      </w:pPr>
    </w:p>
    <w:p>
      <w:pPr>
        <w:ind w:firstLine="672"/>
        <w:jc w:val="center"/>
        <w:rPr>
          <w:rFonts w:hint="eastAsia" w:ascii="楷体_GB2312" w:hAnsi="楷体_GB2312" w:eastAsia="楷体_GB2312" w:cs="楷体_GB2312"/>
          <w:b/>
          <w:sz w:val="32"/>
          <w:szCs w:val="32"/>
        </w:rPr>
      </w:pPr>
    </w:p>
    <w:p>
      <w:pPr>
        <w:ind w:firstLine="672"/>
        <w:jc w:val="center"/>
        <w:rPr>
          <w:rFonts w:hint="eastAsia" w:ascii="楷体_GB2312" w:hAnsi="楷体_GB2312" w:eastAsia="楷体_GB2312" w:cs="楷体_GB2312"/>
          <w:b/>
          <w:sz w:val="32"/>
          <w:szCs w:val="32"/>
        </w:rPr>
      </w:pPr>
    </w:p>
    <w:p>
      <w:pPr>
        <w:ind w:firstLine="672"/>
        <w:jc w:val="center"/>
        <w:rPr>
          <w:rFonts w:hint="eastAsia" w:ascii="楷体_GB2312" w:hAnsi="楷体_GB2312" w:eastAsia="楷体_GB2312" w:cs="楷体_GB2312"/>
          <w:b/>
          <w:sz w:val="32"/>
          <w:szCs w:val="32"/>
        </w:rPr>
      </w:pPr>
    </w:p>
    <w:p>
      <w:pPr>
        <w:jc w:val="center"/>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目   录</w:t>
      </w:r>
    </w:p>
    <w:p>
      <w:pPr>
        <w:ind w:firstLine="588"/>
        <w:rPr>
          <w:rFonts w:hint="eastAsia" w:ascii="楷体_GB2312" w:hAnsi="楷体_GB2312" w:eastAsia="楷体_GB2312" w:cs="楷体_GB2312"/>
          <w:b/>
          <w:szCs w:val="28"/>
        </w:rPr>
      </w:pPr>
      <w:r>
        <w:rPr>
          <w:rFonts w:hint="eastAsia" w:ascii="楷体_GB2312" w:hAnsi="楷体_GB2312" w:eastAsia="楷体_GB2312" w:cs="楷体_GB2312"/>
          <w:b/>
          <w:szCs w:val="28"/>
        </w:rPr>
        <w:t xml:space="preserve">一、基本情况    </w:t>
      </w:r>
      <w:r>
        <w:rPr>
          <w:rFonts w:hint="eastAsia" w:ascii="楷体_GB2312" w:hAnsi="楷体_GB2312" w:eastAsia="楷体_GB2312" w:cs="楷体_GB2312"/>
          <w:b/>
          <w:szCs w:val="28"/>
          <w:u w:val="single"/>
        </w:rPr>
        <w:t xml:space="preserve">                                </w:t>
      </w:r>
      <w:r>
        <w:rPr>
          <w:rFonts w:hint="eastAsia" w:ascii="楷体_GB2312" w:hAnsi="楷体_GB2312" w:eastAsia="楷体_GB2312" w:cs="楷体_GB2312"/>
          <w:b/>
          <w:szCs w:val="28"/>
        </w:rPr>
        <w:t xml:space="preserve">   1 </w:t>
      </w:r>
    </w:p>
    <w:p>
      <w:pPr>
        <w:ind w:firstLine="588"/>
        <w:rPr>
          <w:rFonts w:hint="eastAsia" w:ascii="楷体_GB2312" w:hAnsi="楷体_GB2312" w:eastAsia="楷体_GB2312" w:cs="楷体_GB2312"/>
          <w:b/>
          <w:szCs w:val="28"/>
        </w:rPr>
      </w:pPr>
      <w:r>
        <w:rPr>
          <w:rFonts w:hint="eastAsia" w:ascii="楷体_GB2312" w:hAnsi="楷体_GB2312" w:eastAsia="楷体_GB2312" w:cs="楷体_GB2312"/>
          <w:b/>
          <w:szCs w:val="28"/>
        </w:rPr>
        <w:t xml:space="preserve">二、手工监测点位、指标和频次 </w:t>
      </w:r>
      <w:r>
        <w:rPr>
          <w:rFonts w:hint="eastAsia" w:ascii="楷体_GB2312" w:hAnsi="楷体_GB2312" w:eastAsia="楷体_GB2312" w:cs="楷体_GB2312"/>
          <w:b/>
          <w:szCs w:val="28"/>
          <w:u w:val="single"/>
        </w:rPr>
        <w:t xml:space="preserve">                   </w:t>
      </w:r>
      <w:r>
        <w:rPr>
          <w:rFonts w:hint="eastAsia" w:ascii="楷体_GB2312" w:hAnsi="楷体_GB2312" w:eastAsia="楷体_GB2312" w:cs="楷体_GB2312"/>
          <w:b/>
          <w:szCs w:val="28"/>
        </w:rPr>
        <w:t xml:space="preserve">   2</w:t>
      </w:r>
    </w:p>
    <w:p>
      <w:pPr>
        <w:ind w:firstLine="588"/>
        <w:rPr>
          <w:rFonts w:hint="eastAsia" w:ascii="楷体_GB2312" w:hAnsi="楷体_GB2312" w:eastAsia="楷体_GB2312" w:cs="楷体_GB2312"/>
          <w:b/>
          <w:szCs w:val="28"/>
        </w:rPr>
      </w:pPr>
      <w:r>
        <w:rPr>
          <w:rFonts w:hint="eastAsia" w:ascii="楷体_GB2312" w:hAnsi="楷体_GB2312" w:eastAsia="楷体_GB2312" w:cs="楷体_GB2312"/>
          <w:b/>
          <w:szCs w:val="28"/>
        </w:rPr>
        <w:t xml:space="preserve">三、自动监测点位、指标和频次 </w:t>
      </w:r>
      <w:r>
        <w:rPr>
          <w:rFonts w:hint="eastAsia" w:ascii="楷体_GB2312" w:hAnsi="楷体_GB2312" w:eastAsia="楷体_GB2312" w:cs="楷体_GB2312"/>
          <w:b/>
          <w:szCs w:val="28"/>
          <w:u w:val="single"/>
        </w:rPr>
        <w:t xml:space="preserve">                    </w:t>
      </w:r>
      <w:r>
        <w:rPr>
          <w:rFonts w:hint="eastAsia" w:ascii="楷体_GB2312" w:hAnsi="楷体_GB2312" w:eastAsia="楷体_GB2312" w:cs="楷体_GB2312"/>
          <w:b/>
          <w:szCs w:val="28"/>
        </w:rPr>
        <w:t xml:space="preserve">  2</w:t>
      </w:r>
    </w:p>
    <w:p>
      <w:pPr>
        <w:ind w:firstLine="588"/>
        <w:rPr>
          <w:rFonts w:hint="eastAsia" w:ascii="楷体_GB2312" w:hAnsi="楷体_GB2312" w:eastAsia="楷体_GB2312" w:cs="楷体_GB2312"/>
          <w:b/>
          <w:szCs w:val="28"/>
        </w:rPr>
      </w:pPr>
      <w:r>
        <w:rPr>
          <w:rFonts w:hint="eastAsia" w:ascii="楷体_GB2312" w:hAnsi="楷体_GB2312" w:eastAsia="楷体_GB2312" w:cs="楷体_GB2312"/>
          <w:b/>
          <w:szCs w:val="28"/>
        </w:rPr>
        <w:t xml:space="preserve">四、质量控制    </w:t>
      </w:r>
      <w:r>
        <w:rPr>
          <w:rFonts w:hint="eastAsia" w:ascii="楷体_GB2312" w:hAnsi="楷体_GB2312" w:eastAsia="楷体_GB2312" w:cs="楷体_GB2312"/>
          <w:b/>
          <w:szCs w:val="28"/>
          <w:u w:val="single"/>
        </w:rPr>
        <w:t xml:space="preserve">                                 </w:t>
      </w:r>
      <w:r>
        <w:rPr>
          <w:rFonts w:hint="eastAsia" w:ascii="楷体_GB2312" w:hAnsi="楷体_GB2312" w:eastAsia="楷体_GB2312" w:cs="楷体_GB2312"/>
          <w:b/>
          <w:szCs w:val="28"/>
        </w:rPr>
        <w:t xml:space="preserve">  3</w:t>
      </w:r>
    </w:p>
    <w:p>
      <w:pPr>
        <w:ind w:firstLine="588"/>
        <w:rPr>
          <w:rFonts w:hint="eastAsia" w:ascii="楷体_GB2312" w:hAnsi="楷体_GB2312" w:eastAsia="楷体_GB2312" w:cs="楷体_GB2312"/>
          <w:b/>
          <w:szCs w:val="28"/>
        </w:rPr>
      </w:pPr>
      <w:r>
        <w:rPr>
          <w:rFonts w:hint="eastAsia" w:ascii="楷体_GB2312" w:hAnsi="楷体_GB2312" w:eastAsia="楷体_GB2312" w:cs="楷体_GB2312"/>
          <w:b/>
          <w:szCs w:val="28"/>
        </w:rPr>
        <w:t xml:space="preserve">五、监测方法、依据和仪器 </w:t>
      </w:r>
      <w:r>
        <w:rPr>
          <w:rFonts w:hint="eastAsia" w:ascii="楷体_GB2312" w:hAnsi="楷体_GB2312" w:eastAsia="楷体_GB2312" w:cs="楷体_GB2312"/>
          <w:b/>
          <w:szCs w:val="28"/>
          <w:u w:val="single"/>
        </w:rPr>
        <w:t xml:space="preserve">                        </w:t>
      </w:r>
      <w:r>
        <w:rPr>
          <w:rFonts w:hint="eastAsia" w:ascii="楷体_GB2312" w:hAnsi="楷体_GB2312" w:eastAsia="楷体_GB2312" w:cs="楷体_GB2312"/>
          <w:b/>
          <w:szCs w:val="28"/>
        </w:rPr>
        <w:t xml:space="preserve">  5</w:t>
      </w:r>
    </w:p>
    <w:p>
      <w:pPr>
        <w:ind w:firstLine="588"/>
        <w:rPr>
          <w:rFonts w:hint="eastAsia" w:ascii="楷体_GB2312" w:hAnsi="楷体_GB2312" w:eastAsia="楷体_GB2312" w:cs="楷体_GB2312"/>
          <w:b/>
          <w:szCs w:val="28"/>
        </w:rPr>
      </w:pPr>
      <w:r>
        <w:rPr>
          <w:rFonts w:hint="eastAsia" w:ascii="楷体_GB2312" w:hAnsi="楷体_GB2312" w:eastAsia="楷体_GB2312" w:cs="楷体_GB2312"/>
          <w:b/>
          <w:szCs w:val="28"/>
        </w:rPr>
        <w:t xml:space="preserve">六、评价标准、依据及其限值 </w:t>
      </w:r>
      <w:r>
        <w:rPr>
          <w:rFonts w:hint="eastAsia" w:ascii="楷体_GB2312" w:hAnsi="楷体_GB2312" w:eastAsia="楷体_GB2312" w:cs="楷体_GB2312"/>
          <w:b/>
          <w:szCs w:val="28"/>
          <w:u w:val="single"/>
        </w:rPr>
        <w:t xml:space="preserve">                      </w:t>
      </w:r>
      <w:r>
        <w:rPr>
          <w:rFonts w:hint="eastAsia" w:ascii="楷体_GB2312" w:hAnsi="楷体_GB2312" w:eastAsia="楷体_GB2312" w:cs="楷体_GB2312"/>
          <w:b/>
          <w:szCs w:val="28"/>
        </w:rPr>
        <w:t xml:space="preserve">  6</w:t>
      </w:r>
    </w:p>
    <w:p>
      <w:pPr>
        <w:ind w:firstLine="588"/>
        <w:rPr>
          <w:rFonts w:hint="eastAsia" w:ascii="楷体_GB2312" w:hAnsi="楷体_GB2312" w:eastAsia="楷体_GB2312" w:cs="楷体_GB2312"/>
          <w:b/>
          <w:szCs w:val="28"/>
        </w:rPr>
      </w:pPr>
      <w:r>
        <w:rPr>
          <w:rFonts w:hint="eastAsia" w:ascii="楷体_GB2312" w:hAnsi="楷体_GB2312" w:eastAsia="楷体_GB2312" w:cs="楷体_GB2312"/>
          <w:b/>
          <w:szCs w:val="28"/>
        </w:rPr>
        <w:t xml:space="preserve">七、监测点位及厂区平面图 </w:t>
      </w:r>
      <w:r>
        <w:rPr>
          <w:rFonts w:hint="eastAsia" w:ascii="楷体_GB2312" w:hAnsi="楷体_GB2312" w:eastAsia="楷体_GB2312" w:cs="楷体_GB2312"/>
          <w:b/>
          <w:szCs w:val="28"/>
          <w:u w:val="single"/>
        </w:rPr>
        <w:t xml:space="preserve">                        </w:t>
      </w:r>
      <w:r>
        <w:rPr>
          <w:rFonts w:hint="eastAsia" w:ascii="楷体_GB2312" w:hAnsi="楷体_GB2312" w:eastAsia="楷体_GB2312" w:cs="楷体_GB2312"/>
          <w:b/>
          <w:szCs w:val="28"/>
        </w:rPr>
        <w:t xml:space="preserve">  7</w:t>
      </w:r>
    </w:p>
    <w:p>
      <w:pPr>
        <w:ind w:firstLine="588"/>
        <w:rPr>
          <w:rFonts w:hint="eastAsia" w:ascii="楷体_GB2312" w:hAnsi="楷体_GB2312" w:eastAsia="楷体_GB2312" w:cs="楷体_GB2312"/>
          <w:b/>
          <w:szCs w:val="28"/>
        </w:rPr>
      </w:pPr>
      <w:r>
        <w:rPr>
          <w:rFonts w:hint="eastAsia" w:ascii="楷体_GB2312" w:hAnsi="楷体_GB2312" w:eastAsia="楷体_GB2312" w:cs="楷体_GB2312"/>
          <w:b/>
          <w:szCs w:val="28"/>
        </w:rPr>
        <w:t xml:space="preserve">八、监测结果公开时限  </w:t>
      </w:r>
      <w:r>
        <w:rPr>
          <w:rFonts w:hint="eastAsia" w:ascii="楷体_GB2312" w:hAnsi="楷体_GB2312" w:eastAsia="楷体_GB2312" w:cs="楷体_GB2312"/>
          <w:b/>
          <w:szCs w:val="28"/>
          <w:u w:val="single"/>
        </w:rPr>
        <w:t xml:space="preserve">                           </w:t>
      </w:r>
      <w:r>
        <w:rPr>
          <w:rFonts w:hint="eastAsia" w:ascii="楷体_GB2312" w:hAnsi="楷体_GB2312" w:eastAsia="楷体_GB2312" w:cs="楷体_GB2312"/>
          <w:b/>
          <w:szCs w:val="28"/>
        </w:rPr>
        <w:t xml:space="preserve">  9</w:t>
      </w:r>
    </w:p>
    <w:p>
      <w:pPr>
        <w:ind w:firstLine="504"/>
        <w:rPr>
          <w:rFonts w:hint="eastAsia" w:ascii="楷体_GB2312" w:hAnsi="楷体_GB2312" w:eastAsia="楷体_GB2312" w:cs="楷体_GB2312"/>
          <w:b/>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pStyle w:val="2"/>
        <w:numPr>
          <w:ilvl w:val="0"/>
          <w:numId w:val="14"/>
        </w:numPr>
        <w:rPr>
          <w:rFonts w:hint="eastAsia"/>
        </w:rPr>
      </w:pPr>
      <w:r>
        <w:rPr>
          <w:rFonts w:hint="eastAsia" w:ascii="楷体_GB2312" w:hAnsi="楷体_GB2312" w:eastAsia="楷体_GB2312" w:cs="楷体_GB2312"/>
        </w:rPr>
        <w:t>基本情况</w:t>
      </w:r>
    </w:p>
    <w:p>
      <w:pPr>
        <w:rPr>
          <w:rFonts w:hint="eastAsia"/>
        </w:rPr>
      </w:pPr>
    </w:p>
    <w:p>
      <w:pPr>
        <w:ind w:firstLine="588"/>
        <w:rPr>
          <w:rFonts w:hint="eastAsia" w:ascii="楷体_GB2312" w:hAnsi="楷体_GB2312" w:eastAsia="楷体_GB2312" w:cs="楷体_GB2312"/>
        </w:rPr>
      </w:pPr>
      <w:r>
        <w:rPr>
          <w:rFonts w:hint="eastAsia" w:ascii="楷体_GB2312" w:hAnsi="楷体_GB2312" w:eastAsia="楷体_GB2312" w:cs="楷体_GB2312"/>
        </w:rPr>
        <w:t>根据《国家重点监控企业自行监测及信息公开办法（试行）》（以下简称“自行监测办法”）和《“十二五”主要污染物总量减排监测办法》要求，</w:t>
      </w:r>
      <w:r>
        <w:rPr>
          <w:rFonts w:hint="eastAsia" w:ascii="楷体_GB2312" w:hAnsi="楷体_GB2312" w:eastAsia="楷体_GB2312" w:cs="楷体_GB2312"/>
          <w:b/>
          <w:bCs/>
          <w:u w:val="single"/>
        </w:rPr>
        <w:t xml:space="preserve">   重庆永荣青鹏水泥有限公司</w:t>
      </w:r>
      <w:r>
        <w:rPr>
          <w:rFonts w:hint="eastAsia" w:ascii="楷体_GB2312" w:hAnsi="楷体_GB2312" w:eastAsia="楷体_GB2312" w:cs="楷体_GB2312"/>
        </w:rPr>
        <w:t>为规范自行监测及信息公开行为，自觉履行法定义务和社会责任，特制定本监测方案。</w:t>
      </w:r>
      <w:bookmarkStart w:id="792" w:name="_Toc367099332"/>
    </w:p>
    <w:bookmarkEnd w:id="792"/>
    <w:p>
      <w:pPr>
        <w:ind w:firstLine="588"/>
        <w:rPr>
          <w:rFonts w:hint="eastAsia" w:ascii="楷体_GB2312" w:hAnsi="楷体_GB2312" w:eastAsia="楷体_GB2312" w:cs="楷体_GB2312"/>
        </w:rPr>
      </w:pPr>
      <w:r>
        <w:rPr>
          <w:rFonts w:hint="eastAsia" w:ascii="楷体_GB2312" w:hAnsi="楷体_GB2312" w:eastAsia="楷体_GB2312" w:cs="楷体_GB2312"/>
        </w:rPr>
        <w:t>企业名称、法人代表、所属行业、地理位置（企业厂区中心经纬度）、多年主导风向、产品、原辅材料、生产周期、联系人及方式。企业基础信息见表1-3-1。</w:t>
      </w:r>
    </w:p>
    <w:p>
      <w:pPr>
        <w:ind w:firstLine="0" w:firstLineChars="0"/>
        <w:jc w:val="center"/>
        <w:rPr>
          <w:rFonts w:hint="eastAsia" w:ascii="楷体_GB2312" w:hAnsi="楷体_GB2312" w:eastAsia="楷体_GB2312" w:cs="楷体_GB2312"/>
          <w:b/>
          <w:bCs/>
          <w:sz w:val="24"/>
          <w:szCs w:val="22"/>
        </w:rPr>
      </w:pPr>
      <w:r>
        <w:rPr>
          <w:rFonts w:hint="eastAsia" w:ascii="楷体_GB2312" w:hAnsi="楷体_GB2312" w:eastAsia="楷体_GB2312" w:cs="楷体_GB2312"/>
          <w:b/>
          <w:bCs/>
          <w:sz w:val="24"/>
          <w:szCs w:val="22"/>
        </w:rPr>
        <w:t>表1-3-1 企业基础信息表</w:t>
      </w:r>
    </w:p>
    <w:tbl>
      <w:tblPr>
        <w:tblStyle w:val="21"/>
        <w:tblpPr w:leftFromText="11" w:rightFromText="11" w:topFromText="6" w:bottomFromText="6" w:vertAnchor="text" w:horzAnchor="page" w:tblpX="1435" w:tblpY="29"/>
        <w:tblOverlap w:val="never"/>
        <w:tblW w:w="95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542"/>
        <w:gridCol w:w="834"/>
        <w:gridCol w:w="1395"/>
        <w:gridCol w:w="1171"/>
        <w:gridCol w:w="900"/>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2160" w:type="dxa"/>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企业名称（所属集团）</w:t>
            </w:r>
          </w:p>
        </w:tc>
        <w:tc>
          <w:tcPr>
            <w:tcW w:w="7397" w:type="dxa"/>
            <w:gridSpan w:val="6"/>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Cs w:val="28"/>
              </w:rPr>
              <w:t>重庆永荣青鹏水泥有限公司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2160" w:type="dxa"/>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法人代表</w:t>
            </w:r>
          </w:p>
        </w:tc>
        <w:tc>
          <w:tcPr>
            <w:tcW w:w="7397" w:type="dxa"/>
            <w:gridSpan w:val="6"/>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张安俊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2160" w:type="dxa"/>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建设地点</w:t>
            </w:r>
          </w:p>
        </w:tc>
        <w:tc>
          <w:tcPr>
            <w:tcW w:w="4942" w:type="dxa"/>
            <w:gridSpan w:val="4"/>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kern w:val="0"/>
                <w:sz w:val="24"/>
              </w:rPr>
              <w:t>重庆沙坪坝区青木关镇关口村20号</w:t>
            </w:r>
          </w:p>
        </w:tc>
        <w:tc>
          <w:tcPr>
            <w:tcW w:w="900" w:type="dxa"/>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邮编</w:t>
            </w:r>
          </w:p>
        </w:tc>
        <w:tc>
          <w:tcPr>
            <w:tcW w:w="1555" w:type="dxa"/>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401334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2160" w:type="dxa"/>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中心经纬度</w:t>
            </w:r>
          </w:p>
        </w:tc>
        <w:tc>
          <w:tcPr>
            <w:tcW w:w="7397" w:type="dxa"/>
            <w:gridSpan w:val="6"/>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 xml:space="preserve">中心经度 </w:t>
            </w:r>
            <w:r>
              <w:rPr>
                <w:rFonts w:hint="eastAsia" w:ascii="楷体_GB2312" w:hAnsi="楷体_GB2312" w:eastAsia="楷体_GB2312" w:cs="楷体_GB2312"/>
                <w:sz w:val="24"/>
                <w:u w:val="single"/>
              </w:rPr>
              <w:t xml:space="preserve">106 </w:t>
            </w:r>
            <w:r>
              <w:rPr>
                <w:rFonts w:hint="eastAsia" w:ascii="楷体_GB2312" w:hAnsi="楷体_GB2312" w:eastAsia="楷体_GB2312" w:cs="楷体_GB2312"/>
                <w:sz w:val="24"/>
              </w:rPr>
              <w:t>°</w:t>
            </w:r>
            <w:r>
              <w:rPr>
                <w:rFonts w:hint="eastAsia" w:ascii="楷体_GB2312" w:hAnsi="楷体_GB2312" w:eastAsia="楷体_GB2312" w:cs="楷体_GB2312"/>
                <w:sz w:val="24"/>
                <w:u w:val="single"/>
              </w:rPr>
              <w:t xml:space="preserve">29 </w:t>
            </w:r>
            <w:r>
              <w:rPr>
                <w:rFonts w:hint="eastAsia" w:ascii="楷体_GB2312" w:hAnsi="楷体_GB2312" w:eastAsia="楷体_GB2312" w:cs="楷体_GB2312"/>
                <w:sz w:val="24"/>
              </w:rPr>
              <w:t>′</w:t>
            </w:r>
            <w:r>
              <w:rPr>
                <w:rFonts w:hint="eastAsia" w:ascii="楷体_GB2312" w:hAnsi="楷体_GB2312" w:eastAsia="楷体_GB2312" w:cs="楷体_GB2312"/>
                <w:sz w:val="24"/>
                <w:u w:val="single"/>
              </w:rPr>
              <w:t xml:space="preserve"> 11 </w:t>
            </w:r>
            <w:r>
              <w:rPr>
                <w:rFonts w:hint="eastAsia" w:ascii="楷体_GB2312" w:hAnsi="楷体_GB2312" w:eastAsia="楷体_GB2312" w:cs="楷体_GB2312"/>
                <w:sz w:val="24"/>
              </w:rPr>
              <w:t xml:space="preserve">″      </w:t>
            </w:r>
            <w:r>
              <w:rPr>
                <w:rFonts w:hint="eastAsia" w:ascii="楷体_GB2312" w:hAnsi="楷体_GB2312" w:eastAsia="楷体_GB2312" w:cs="楷体_GB2312"/>
                <w:color w:val="000000"/>
                <w:sz w:val="24"/>
              </w:rPr>
              <w:t>中心纬度</w:t>
            </w:r>
            <w:r>
              <w:rPr>
                <w:rFonts w:hint="eastAsia" w:ascii="楷体_GB2312" w:hAnsi="楷体_GB2312" w:eastAsia="楷体_GB2312" w:cs="楷体_GB2312"/>
                <w:sz w:val="24"/>
                <w:u w:val="single"/>
              </w:rPr>
              <w:t xml:space="preserve"> 29 </w:t>
            </w:r>
            <w:r>
              <w:rPr>
                <w:rFonts w:hint="eastAsia" w:ascii="楷体_GB2312" w:hAnsi="楷体_GB2312" w:eastAsia="楷体_GB2312" w:cs="楷体_GB2312"/>
                <w:sz w:val="24"/>
              </w:rPr>
              <w:t>°</w:t>
            </w:r>
            <w:r>
              <w:rPr>
                <w:rFonts w:hint="eastAsia" w:ascii="楷体_GB2312" w:hAnsi="楷体_GB2312" w:eastAsia="楷体_GB2312" w:cs="楷体_GB2312"/>
                <w:sz w:val="24"/>
                <w:u w:val="single"/>
              </w:rPr>
              <w:t xml:space="preserve"> 26</w:t>
            </w:r>
            <w:r>
              <w:rPr>
                <w:rFonts w:hint="eastAsia" w:ascii="楷体_GB2312" w:hAnsi="楷体_GB2312" w:eastAsia="楷体_GB2312" w:cs="楷体_GB2312"/>
                <w:sz w:val="24"/>
              </w:rPr>
              <w:t>′</w:t>
            </w:r>
            <w:r>
              <w:rPr>
                <w:rFonts w:hint="eastAsia" w:ascii="楷体_GB2312" w:hAnsi="楷体_GB2312" w:eastAsia="楷体_GB2312" w:cs="楷体_GB2312"/>
                <w:sz w:val="24"/>
                <w:u w:val="single"/>
              </w:rPr>
              <w:t xml:space="preserve"> 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2160" w:type="dxa"/>
            <w:vMerge w:val="restart"/>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联系人</w:t>
            </w:r>
          </w:p>
        </w:tc>
        <w:tc>
          <w:tcPr>
            <w:tcW w:w="2376" w:type="dxa"/>
            <w:gridSpan w:val="2"/>
            <w:vMerge w:val="restart"/>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陈  鑫</w:t>
            </w:r>
          </w:p>
        </w:tc>
        <w:tc>
          <w:tcPr>
            <w:tcW w:w="2566" w:type="dxa"/>
            <w:gridSpan w:val="2"/>
            <w:vMerge w:val="restart"/>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联系电话</w:t>
            </w:r>
          </w:p>
        </w:tc>
        <w:tc>
          <w:tcPr>
            <w:tcW w:w="2455" w:type="dxa"/>
            <w:gridSpan w:val="2"/>
            <w:vAlign w:val="center"/>
          </w:tcPr>
          <w:p>
            <w:pPr>
              <w:spacing w:line="240" w:lineRule="auto"/>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座机：65606198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2160" w:type="dxa"/>
            <w:vMerge w:val="continue"/>
            <w:vAlign w:val="center"/>
          </w:tcPr>
          <w:p>
            <w:pPr>
              <w:spacing w:line="240" w:lineRule="auto"/>
              <w:ind w:firstLine="0" w:firstLineChars="0"/>
              <w:jc w:val="center"/>
              <w:rPr>
                <w:rFonts w:hint="eastAsia" w:ascii="楷体_GB2312" w:hAnsi="楷体_GB2312" w:eastAsia="楷体_GB2312" w:cs="楷体_GB2312"/>
                <w:color w:val="000000"/>
                <w:sz w:val="24"/>
              </w:rPr>
            </w:pPr>
          </w:p>
        </w:tc>
        <w:tc>
          <w:tcPr>
            <w:tcW w:w="2376" w:type="dxa"/>
            <w:gridSpan w:val="2"/>
            <w:vMerge w:val="continue"/>
            <w:vAlign w:val="center"/>
          </w:tcPr>
          <w:p>
            <w:pPr>
              <w:spacing w:line="240" w:lineRule="auto"/>
              <w:ind w:firstLine="0" w:firstLineChars="0"/>
              <w:jc w:val="center"/>
              <w:rPr>
                <w:rFonts w:hint="eastAsia" w:ascii="楷体_GB2312" w:hAnsi="楷体_GB2312" w:eastAsia="楷体_GB2312" w:cs="楷体_GB2312"/>
                <w:color w:val="000000"/>
                <w:sz w:val="24"/>
              </w:rPr>
            </w:pPr>
          </w:p>
        </w:tc>
        <w:tc>
          <w:tcPr>
            <w:tcW w:w="2566" w:type="dxa"/>
            <w:gridSpan w:val="2"/>
            <w:vMerge w:val="continue"/>
            <w:vAlign w:val="center"/>
          </w:tcPr>
          <w:p>
            <w:pPr>
              <w:spacing w:line="240" w:lineRule="auto"/>
              <w:ind w:firstLine="0" w:firstLineChars="0"/>
              <w:jc w:val="center"/>
              <w:rPr>
                <w:rFonts w:hint="eastAsia" w:ascii="楷体_GB2312" w:hAnsi="楷体_GB2312" w:eastAsia="楷体_GB2312" w:cs="楷体_GB2312"/>
                <w:color w:val="000000"/>
                <w:sz w:val="24"/>
              </w:rPr>
            </w:pPr>
          </w:p>
        </w:tc>
        <w:tc>
          <w:tcPr>
            <w:tcW w:w="2455" w:type="dxa"/>
            <w:gridSpan w:val="2"/>
            <w:vAlign w:val="center"/>
          </w:tcPr>
          <w:p>
            <w:pPr>
              <w:spacing w:line="240" w:lineRule="auto"/>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手机：13883080738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2160" w:type="dxa"/>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所属行业</w:t>
            </w:r>
          </w:p>
        </w:tc>
        <w:tc>
          <w:tcPr>
            <w:tcW w:w="7397" w:type="dxa"/>
            <w:gridSpan w:val="6"/>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建材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2160" w:type="dxa"/>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国控类型</w:t>
            </w:r>
          </w:p>
        </w:tc>
        <w:tc>
          <w:tcPr>
            <w:tcW w:w="7397" w:type="dxa"/>
            <w:gridSpan w:val="6"/>
            <w:vAlign w:val="center"/>
          </w:tcPr>
          <w:p>
            <w:pPr>
              <w:spacing w:line="240" w:lineRule="auto"/>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rPr>
              <w:t xml:space="preserve">□废水 </w:t>
            </w:r>
            <w:r>
              <w:rPr>
                <w:rFonts w:hint="eastAsia" w:ascii="楷体_GB2312" w:hAnsi="楷体_GB2312" w:eastAsia="楷体_GB2312" w:cs="楷体_GB2312"/>
                <w:b/>
                <w:sz w:val="30"/>
                <w:szCs w:val="30"/>
              </w:rPr>
              <w:fldChar w:fldCharType="begin"/>
            </w:r>
            <w:r>
              <w:rPr>
                <w:rFonts w:hint="eastAsia" w:ascii="楷体_GB2312" w:hAnsi="楷体_GB2312" w:eastAsia="楷体_GB2312" w:cs="楷体_GB2312"/>
                <w:b/>
                <w:sz w:val="30"/>
                <w:szCs w:val="30"/>
              </w:rPr>
              <w:instrText xml:space="preserve"> eq \o\ac(□,</w:instrText>
            </w:r>
            <w:r>
              <w:rPr>
                <w:rFonts w:hint="eastAsia" w:ascii="楷体_GB2312" w:hAnsi="楷体_GB2312" w:eastAsia="楷体_GB2312" w:cs="楷体_GB2312"/>
                <w:b/>
                <w:position w:val="2"/>
                <w:sz w:val="30"/>
                <w:szCs w:val="30"/>
              </w:rPr>
              <w:instrText xml:space="preserve">√</w:instrText>
            </w:r>
            <w:r>
              <w:rPr>
                <w:rFonts w:hint="eastAsia" w:ascii="楷体_GB2312" w:hAnsi="楷体_GB2312" w:eastAsia="楷体_GB2312" w:cs="楷体_GB2312"/>
                <w:b/>
                <w:sz w:val="30"/>
                <w:szCs w:val="30"/>
              </w:rPr>
              <w:instrText xml:space="preserve">)</w:instrText>
            </w:r>
            <w:r>
              <w:rPr>
                <w:rFonts w:hint="eastAsia" w:ascii="楷体_GB2312" w:hAnsi="楷体_GB2312" w:eastAsia="楷体_GB2312" w:cs="楷体_GB2312"/>
                <w:b/>
                <w:sz w:val="30"/>
                <w:szCs w:val="30"/>
              </w:rPr>
              <w:fldChar w:fldCharType="end"/>
            </w:r>
            <w:r>
              <w:rPr>
                <w:rFonts w:hint="eastAsia" w:ascii="楷体_GB2312" w:hAnsi="楷体_GB2312" w:eastAsia="楷体_GB2312" w:cs="楷体_GB2312"/>
              </w:rPr>
              <w:t>废气 □重金属 □污水处理厂  □其它</w:t>
            </w:r>
            <w:r>
              <w:rPr>
                <w:rFonts w:hint="eastAsia" w:ascii="楷体_GB2312" w:hAnsi="楷体_GB2312" w:eastAsia="楷体_GB2312" w:cs="楷体_GB231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2160" w:type="dxa"/>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主要产品</w:t>
            </w:r>
          </w:p>
        </w:tc>
        <w:tc>
          <w:tcPr>
            <w:tcW w:w="7397" w:type="dxa"/>
            <w:gridSpan w:val="6"/>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2160" w:type="dxa"/>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设计（实际）生产能力</w:t>
            </w:r>
          </w:p>
        </w:tc>
        <w:tc>
          <w:tcPr>
            <w:tcW w:w="7397" w:type="dxa"/>
            <w:gridSpan w:val="6"/>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水泥100万吨、孰料75万吨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2160" w:type="dxa"/>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企业职工数</w:t>
            </w:r>
          </w:p>
        </w:tc>
        <w:tc>
          <w:tcPr>
            <w:tcW w:w="7397" w:type="dxa"/>
            <w:gridSpan w:val="6"/>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2160" w:type="dxa"/>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生产周期</w:t>
            </w:r>
          </w:p>
        </w:tc>
        <w:tc>
          <w:tcPr>
            <w:tcW w:w="7397" w:type="dxa"/>
            <w:gridSpan w:val="6"/>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300天/年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2160" w:type="dxa"/>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企业年产值</w:t>
            </w:r>
          </w:p>
        </w:tc>
        <w:tc>
          <w:tcPr>
            <w:tcW w:w="7397" w:type="dxa"/>
            <w:gridSpan w:val="6"/>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48095万元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2160" w:type="dxa"/>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建厂时间</w:t>
            </w:r>
          </w:p>
        </w:tc>
        <w:tc>
          <w:tcPr>
            <w:tcW w:w="7397" w:type="dxa"/>
            <w:gridSpan w:val="6"/>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2011年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2160" w:type="dxa"/>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环评时间</w:t>
            </w:r>
          </w:p>
        </w:tc>
        <w:tc>
          <w:tcPr>
            <w:tcW w:w="7397" w:type="dxa"/>
            <w:gridSpan w:val="6"/>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2010年11月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7" w:hRule="atLeast"/>
        </w:trPr>
        <w:tc>
          <w:tcPr>
            <w:tcW w:w="2160" w:type="dxa"/>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验收时间</w:t>
            </w:r>
          </w:p>
        </w:tc>
        <w:tc>
          <w:tcPr>
            <w:tcW w:w="7397" w:type="dxa"/>
            <w:gridSpan w:val="6"/>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2015年8月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2160" w:type="dxa"/>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自行监测类型</w:t>
            </w:r>
          </w:p>
        </w:tc>
        <w:tc>
          <w:tcPr>
            <w:tcW w:w="7397" w:type="dxa"/>
            <w:gridSpan w:val="6"/>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rPr>
              <w:t>□</w:t>
            </w:r>
            <w:r>
              <w:rPr>
                <w:rFonts w:hint="eastAsia" w:ascii="楷体_GB2312" w:hAnsi="楷体_GB2312" w:eastAsia="楷体_GB2312" w:cs="楷体_GB2312"/>
                <w:color w:val="000000"/>
                <w:sz w:val="24"/>
              </w:rPr>
              <w:t>废水</w:t>
            </w:r>
            <w:r>
              <w:rPr>
                <w:rFonts w:hint="eastAsia" w:ascii="楷体_GB2312" w:hAnsi="楷体_GB2312" w:eastAsia="楷体_GB2312" w:cs="楷体_GB2312"/>
                <w:b/>
                <w:sz w:val="30"/>
                <w:szCs w:val="30"/>
              </w:rPr>
              <w:fldChar w:fldCharType="begin"/>
            </w:r>
            <w:r>
              <w:rPr>
                <w:rFonts w:hint="eastAsia" w:ascii="楷体_GB2312" w:hAnsi="楷体_GB2312" w:eastAsia="楷体_GB2312" w:cs="楷体_GB2312"/>
                <w:b/>
                <w:sz w:val="30"/>
                <w:szCs w:val="30"/>
              </w:rPr>
              <w:instrText xml:space="preserve"> eq \o\ac(□,</w:instrText>
            </w:r>
            <w:r>
              <w:rPr>
                <w:rFonts w:hint="eastAsia" w:ascii="楷体_GB2312" w:hAnsi="楷体_GB2312" w:eastAsia="楷体_GB2312" w:cs="楷体_GB2312"/>
                <w:b/>
                <w:position w:val="2"/>
                <w:sz w:val="30"/>
                <w:szCs w:val="30"/>
              </w:rPr>
              <w:instrText xml:space="preserve">√</w:instrText>
            </w:r>
            <w:r>
              <w:rPr>
                <w:rFonts w:hint="eastAsia" w:ascii="楷体_GB2312" w:hAnsi="楷体_GB2312" w:eastAsia="楷体_GB2312" w:cs="楷体_GB2312"/>
                <w:b/>
                <w:sz w:val="30"/>
                <w:szCs w:val="30"/>
              </w:rPr>
              <w:instrText xml:space="preserve">)</w:instrText>
            </w:r>
            <w:r>
              <w:rPr>
                <w:rFonts w:hint="eastAsia" w:ascii="楷体_GB2312" w:hAnsi="楷体_GB2312" w:eastAsia="楷体_GB2312" w:cs="楷体_GB2312"/>
                <w:b/>
                <w:sz w:val="30"/>
                <w:szCs w:val="30"/>
              </w:rPr>
              <w:fldChar w:fldCharType="end"/>
            </w:r>
            <w:r>
              <w:rPr>
                <w:rFonts w:hint="eastAsia" w:ascii="楷体_GB2312" w:hAnsi="楷体_GB2312" w:eastAsia="楷体_GB2312" w:cs="楷体_GB2312"/>
                <w:color w:val="000000"/>
                <w:sz w:val="24"/>
              </w:rPr>
              <w:t xml:space="preserve">有组织废气 </w:t>
            </w:r>
            <w:r>
              <w:rPr>
                <w:rFonts w:hint="eastAsia" w:ascii="楷体_GB2312" w:hAnsi="楷体_GB2312" w:eastAsia="楷体_GB2312" w:cs="楷体_GB2312"/>
              </w:rPr>
              <w:t>□</w:t>
            </w:r>
            <w:r>
              <w:rPr>
                <w:rFonts w:hint="eastAsia" w:ascii="楷体_GB2312" w:hAnsi="楷体_GB2312" w:eastAsia="楷体_GB2312" w:cs="楷体_GB2312"/>
                <w:color w:val="000000"/>
                <w:sz w:val="24"/>
              </w:rPr>
              <w:t xml:space="preserve">无组织废气 </w:t>
            </w:r>
            <w:r>
              <w:rPr>
                <w:rFonts w:hint="eastAsia" w:ascii="楷体_GB2312" w:hAnsi="楷体_GB2312" w:eastAsia="楷体_GB2312" w:cs="楷体_GB2312"/>
              </w:rPr>
              <w:t>□</w:t>
            </w:r>
            <w:r>
              <w:rPr>
                <w:rFonts w:hint="eastAsia" w:ascii="楷体_GB2312" w:hAnsi="楷体_GB2312" w:eastAsia="楷体_GB2312" w:cs="楷体_GB2312"/>
                <w:color w:val="000000"/>
                <w:sz w:val="24"/>
              </w:rPr>
              <w:t xml:space="preserve">厂界噪声 </w:t>
            </w:r>
          </w:p>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rPr>
              <w:t>□</w:t>
            </w:r>
            <w:r>
              <w:rPr>
                <w:rFonts w:hint="eastAsia" w:ascii="楷体_GB2312" w:hAnsi="楷体_GB2312" w:eastAsia="楷体_GB2312" w:cs="楷体_GB2312"/>
                <w:color w:val="000000"/>
                <w:sz w:val="24"/>
              </w:rPr>
              <w:t>周边环境水</w:t>
            </w:r>
            <w:r>
              <w:rPr>
                <w:rFonts w:hint="eastAsia" w:ascii="楷体_GB2312" w:hAnsi="楷体_GB2312" w:eastAsia="楷体_GB2312" w:cs="楷体_GB2312"/>
              </w:rPr>
              <w:t>□</w:t>
            </w:r>
            <w:r>
              <w:rPr>
                <w:rFonts w:hint="eastAsia" w:ascii="楷体_GB2312" w:hAnsi="楷体_GB2312" w:eastAsia="楷体_GB2312" w:cs="楷体_GB2312"/>
                <w:color w:val="000000"/>
                <w:sz w:val="24"/>
              </w:rPr>
              <w:t xml:space="preserve">周边环境空气 </w:t>
            </w:r>
            <w:r>
              <w:rPr>
                <w:rFonts w:hint="eastAsia" w:ascii="楷体_GB2312" w:hAnsi="楷体_GB2312" w:eastAsia="楷体_GB2312" w:cs="楷体_GB2312"/>
              </w:rPr>
              <w:t>□</w:t>
            </w:r>
            <w:r>
              <w:rPr>
                <w:rFonts w:hint="eastAsia" w:ascii="楷体_GB2312" w:hAnsi="楷体_GB2312" w:eastAsia="楷体_GB2312" w:cs="楷体_GB2312"/>
                <w:color w:val="000000"/>
                <w:sz w:val="24"/>
              </w:rPr>
              <w:t xml:space="preserve">周边环境噪声 </w:t>
            </w:r>
            <w:r>
              <w:rPr>
                <w:rFonts w:hint="eastAsia" w:ascii="楷体_GB2312" w:hAnsi="楷体_GB2312" w:eastAsia="楷体_GB2312" w:cs="楷体_GB2312"/>
              </w:rPr>
              <w:t>□</w:t>
            </w:r>
            <w:r>
              <w:rPr>
                <w:rFonts w:hint="eastAsia" w:ascii="楷体_GB2312" w:hAnsi="楷体_GB2312" w:eastAsia="楷体_GB2312" w:cs="楷体_GB2312"/>
                <w:color w:val="000000"/>
                <w:sz w:val="24"/>
              </w:rPr>
              <w:t>周边环境土壤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2160" w:type="dxa"/>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自行监测方式</w:t>
            </w:r>
          </w:p>
        </w:tc>
        <w:tc>
          <w:tcPr>
            <w:tcW w:w="7397" w:type="dxa"/>
            <w:gridSpan w:val="6"/>
            <w:vAlign w:val="center"/>
          </w:tcPr>
          <w:p>
            <w:pPr>
              <w:spacing w:line="240" w:lineRule="auto"/>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b/>
                <w:sz w:val="30"/>
                <w:szCs w:val="30"/>
              </w:rPr>
              <w:fldChar w:fldCharType="begin"/>
            </w:r>
            <w:r>
              <w:rPr>
                <w:rFonts w:hint="eastAsia" w:ascii="楷体_GB2312" w:hAnsi="楷体_GB2312" w:eastAsia="楷体_GB2312" w:cs="楷体_GB2312"/>
                <w:b/>
                <w:sz w:val="30"/>
                <w:szCs w:val="30"/>
              </w:rPr>
              <w:instrText xml:space="preserve"> eq \o\ac(□,</w:instrText>
            </w:r>
            <w:r>
              <w:rPr>
                <w:rFonts w:hint="eastAsia" w:ascii="楷体_GB2312" w:hAnsi="楷体_GB2312" w:eastAsia="楷体_GB2312" w:cs="楷体_GB2312"/>
                <w:b/>
                <w:position w:val="2"/>
                <w:sz w:val="30"/>
                <w:szCs w:val="30"/>
              </w:rPr>
              <w:instrText xml:space="preserve">√</w:instrText>
            </w:r>
            <w:r>
              <w:rPr>
                <w:rFonts w:hint="eastAsia" w:ascii="楷体_GB2312" w:hAnsi="楷体_GB2312" w:eastAsia="楷体_GB2312" w:cs="楷体_GB2312"/>
                <w:b/>
                <w:sz w:val="30"/>
                <w:szCs w:val="30"/>
              </w:rPr>
              <w:instrText xml:space="preserve">)</w:instrText>
            </w:r>
            <w:r>
              <w:rPr>
                <w:rFonts w:hint="eastAsia" w:ascii="楷体_GB2312" w:hAnsi="楷体_GB2312" w:eastAsia="楷体_GB2312" w:cs="楷体_GB2312"/>
                <w:b/>
                <w:sz w:val="30"/>
                <w:szCs w:val="30"/>
              </w:rPr>
              <w:fldChar w:fldCharType="end"/>
            </w:r>
            <w:r>
              <w:rPr>
                <w:rFonts w:hint="eastAsia" w:ascii="楷体_GB2312" w:hAnsi="楷体_GB2312" w:eastAsia="楷体_GB2312" w:cs="楷体_GB2312"/>
                <w:color w:val="000000"/>
                <w:sz w:val="24"/>
              </w:rPr>
              <w:t xml:space="preserve">自测  </w:t>
            </w:r>
            <w:r>
              <w:rPr>
                <w:rFonts w:hint="eastAsia" w:ascii="楷体_GB2312" w:hAnsi="楷体_GB2312" w:eastAsia="楷体_GB2312" w:cs="楷体_GB2312"/>
              </w:rPr>
              <w:t>□第三方，</w:t>
            </w:r>
            <w:r>
              <w:rPr>
                <w:rFonts w:hint="eastAsia" w:ascii="楷体_GB2312" w:hAnsi="楷体_GB2312" w:eastAsia="楷体_GB2312" w:cs="楷体_GB2312"/>
                <w:u w:val="single"/>
              </w:rPr>
              <w:t xml:space="preserve"> （第三方公章全称）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2160" w:type="dxa"/>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是否安装自动监测设备</w:t>
            </w:r>
          </w:p>
        </w:tc>
        <w:tc>
          <w:tcPr>
            <w:tcW w:w="1542" w:type="dxa"/>
            <w:vAlign w:val="center"/>
          </w:tcPr>
          <w:p>
            <w:pPr>
              <w:spacing w:line="240" w:lineRule="auto"/>
              <w:ind w:firstLine="0" w:firstLineChars="0"/>
              <w:rPr>
                <w:rFonts w:hint="eastAsia" w:ascii="楷体_GB2312" w:hAnsi="楷体_GB2312" w:eastAsia="楷体_GB2312" w:cs="楷体_GB2312"/>
              </w:rPr>
            </w:pPr>
            <w:r>
              <w:rPr>
                <w:rFonts w:hint="eastAsia" w:ascii="楷体_GB2312" w:hAnsi="楷体_GB2312" w:eastAsia="楷体_GB2312" w:cs="楷体_GB2312"/>
                <w:b/>
                <w:sz w:val="30"/>
                <w:szCs w:val="30"/>
              </w:rPr>
              <w:fldChar w:fldCharType="begin"/>
            </w:r>
            <w:r>
              <w:rPr>
                <w:rFonts w:hint="eastAsia" w:ascii="楷体_GB2312" w:hAnsi="楷体_GB2312" w:eastAsia="楷体_GB2312" w:cs="楷体_GB2312"/>
                <w:b/>
                <w:sz w:val="30"/>
                <w:szCs w:val="30"/>
              </w:rPr>
              <w:instrText xml:space="preserve"> eq \o\ac(□,</w:instrText>
            </w:r>
            <w:r>
              <w:rPr>
                <w:rFonts w:hint="eastAsia" w:ascii="楷体_GB2312" w:hAnsi="楷体_GB2312" w:eastAsia="楷体_GB2312" w:cs="楷体_GB2312"/>
                <w:b/>
                <w:position w:val="2"/>
                <w:sz w:val="30"/>
                <w:szCs w:val="30"/>
              </w:rPr>
              <w:instrText xml:space="preserve">√</w:instrText>
            </w:r>
            <w:r>
              <w:rPr>
                <w:rFonts w:hint="eastAsia" w:ascii="楷体_GB2312" w:hAnsi="楷体_GB2312" w:eastAsia="楷体_GB2312" w:cs="楷体_GB2312"/>
                <w:b/>
                <w:sz w:val="30"/>
                <w:szCs w:val="30"/>
              </w:rPr>
              <w:instrText xml:space="preserve">)</w:instrText>
            </w:r>
            <w:r>
              <w:rPr>
                <w:rFonts w:hint="eastAsia" w:ascii="楷体_GB2312" w:hAnsi="楷体_GB2312" w:eastAsia="楷体_GB2312" w:cs="楷体_GB2312"/>
                <w:b/>
                <w:sz w:val="30"/>
                <w:szCs w:val="30"/>
              </w:rPr>
              <w:fldChar w:fldCharType="end"/>
            </w:r>
            <w:r>
              <w:rPr>
                <w:rFonts w:hint="eastAsia" w:ascii="楷体_GB2312" w:hAnsi="楷体_GB2312" w:eastAsia="楷体_GB2312" w:cs="楷体_GB2312"/>
              </w:rPr>
              <w:t xml:space="preserve">是 □否 </w:t>
            </w:r>
          </w:p>
        </w:tc>
        <w:tc>
          <w:tcPr>
            <w:tcW w:w="2229" w:type="dxa"/>
            <w:gridSpan w:val="2"/>
            <w:vAlign w:val="center"/>
          </w:tcPr>
          <w:p>
            <w:pPr>
              <w:spacing w:line="240" w:lineRule="auto"/>
              <w:ind w:firstLine="0" w:firstLineChars="0"/>
              <w:rPr>
                <w:rFonts w:hint="eastAsia" w:ascii="楷体_GB2312" w:hAnsi="楷体_GB2312" w:eastAsia="楷体_GB2312" w:cs="楷体_GB2312"/>
              </w:rPr>
            </w:pPr>
            <w:r>
              <w:rPr>
                <w:rFonts w:hint="eastAsia" w:ascii="楷体_GB2312" w:hAnsi="楷体_GB2312" w:eastAsia="楷体_GB2312" w:cs="楷体_GB2312"/>
              </w:rPr>
              <w:t>自动监测设备类型和监测项目</w:t>
            </w:r>
          </w:p>
        </w:tc>
        <w:tc>
          <w:tcPr>
            <w:tcW w:w="3626" w:type="dxa"/>
            <w:gridSpan w:val="3"/>
            <w:vAlign w:val="center"/>
          </w:tcPr>
          <w:p>
            <w:pPr>
              <w:spacing w:line="240" w:lineRule="auto"/>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b/>
                <w:sz w:val="30"/>
                <w:szCs w:val="30"/>
              </w:rPr>
              <w:fldChar w:fldCharType="begin"/>
            </w:r>
            <w:r>
              <w:rPr>
                <w:rFonts w:hint="eastAsia" w:ascii="楷体_GB2312" w:hAnsi="楷体_GB2312" w:eastAsia="楷体_GB2312" w:cs="楷体_GB2312"/>
                <w:b/>
                <w:sz w:val="30"/>
                <w:szCs w:val="30"/>
              </w:rPr>
              <w:instrText xml:space="preserve"> eq \o\ac(□,</w:instrText>
            </w:r>
            <w:r>
              <w:rPr>
                <w:rFonts w:hint="eastAsia" w:ascii="楷体_GB2312" w:hAnsi="楷体_GB2312" w:eastAsia="楷体_GB2312" w:cs="楷体_GB2312"/>
                <w:b/>
                <w:position w:val="2"/>
                <w:sz w:val="30"/>
                <w:szCs w:val="30"/>
              </w:rPr>
              <w:instrText xml:space="preserve">√</w:instrText>
            </w:r>
            <w:r>
              <w:rPr>
                <w:rFonts w:hint="eastAsia" w:ascii="楷体_GB2312" w:hAnsi="楷体_GB2312" w:eastAsia="楷体_GB2312" w:cs="楷体_GB2312"/>
                <w:b/>
                <w:sz w:val="30"/>
                <w:szCs w:val="30"/>
              </w:rPr>
              <w:instrText xml:space="preserve">)</w:instrText>
            </w:r>
            <w:r>
              <w:rPr>
                <w:rFonts w:hint="eastAsia" w:ascii="楷体_GB2312" w:hAnsi="楷体_GB2312" w:eastAsia="楷体_GB2312" w:cs="楷体_GB2312"/>
                <w:b/>
                <w:sz w:val="30"/>
                <w:szCs w:val="30"/>
              </w:rPr>
              <w:fldChar w:fldCharType="end"/>
            </w:r>
            <w:r>
              <w:rPr>
                <w:rFonts w:hint="eastAsia" w:ascii="楷体_GB2312" w:hAnsi="楷体_GB2312" w:eastAsia="楷体_GB2312" w:cs="楷体_GB2312"/>
                <w:color w:val="000000"/>
                <w:sz w:val="24"/>
              </w:rPr>
              <w:t>废气，监测设备：岛津：NSA-3080</w:t>
            </w:r>
          </w:p>
          <w:p>
            <w:pPr>
              <w:spacing w:line="240" w:lineRule="auto"/>
              <w:ind w:firstLine="0" w:firstLineChars="0"/>
              <w:rPr>
                <w:rFonts w:hint="eastAsia" w:ascii="楷体_GB2312" w:hAnsi="楷体_GB2312" w:eastAsia="楷体_GB2312" w:cs="楷体_GB2312"/>
                <w:color w:val="000000"/>
                <w:sz w:val="24"/>
                <w:vertAlign w:val="subscript"/>
              </w:rPr>
            </w:pPr>
            <w:r>
              <w:rPr>
                <w:rFonts w:hint="eastAsia" w:ascii="楷体_GB2312" w:hAnsi="楷体_GB2312" w:eastAsia="楷体_GB2312" w:cs="楷体_GB2312"/>
                <w:color w:val="000000"/>
                <w:sz w:val="24"/>
              </w:rPr>
              <w:t>监测项目： NOX、颗粒物、SO</w:t>
            </w:r>
            <w:r>
              <w:rPr>
                <w:rFonts w:hint="eastAsia" w:ascii="楷体_GB2312" w:hAnsi="楷体_GB2312" w:eastAsia="楷体_GB2312" w:cs="楷体_GB2312"/>
                <w:color w:val="000000"/>
                <w:sz w:val="24"/>
                <w:vertAlign w:val="subscript"/>
              </w:rPr>
              <w:t>2</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exact"/>
        </w:trPr>
        <w:tc>
          <w:tcPr>
            <w:tcW w:w="2160" w:type="dxa"/>
            <w:vMerge w:val="restart"/>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周边环境情况</w:t>
            </w:r>
          </w:p>
        </w:tc>
        <w:tc>
          <w:tcPr>
            <w:tcW w:w="1542" w:type="dxa"/>
            <w:tcBorders>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方位</w:t>
            </w:r>
          </w:p>
        </w:tc>
        <w:tc>
          <w:tcPr>
            <w:tcW w:w="2229" w:type="dxa"/>
            <w:gridSpan w:val="2"/>
            <w:tcBorders>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距场界距离（米）</w:t>
            </w:r>
          </w:p>
        </w:tc>
        <w:tc>
          <w:tcPr>
            <w:tcW w:w="3626" w:type="dxa"/>
            <w:gridSpan w:val="3"/>
            <w:tcBorders>
              <w:left w:val="single" w:color="auto" w:sz="4" w:space="0"/>
              <w:bottom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名称</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exact"/>
        </w:trPr>
        <w:tc>
          <w:tcPr>
            <w:tcW w:w="2160" w:type="dxa"/>
            <w:vMerge w:val="continue"/>
            <w:vAlign w:val="center"/>
          </w:tcPr>
          <w:p>
            <w:pPr>
              <w:spacing w:line="240" w:lineRule="auto"/>
              <w:ind w:firstLine="0" w:firstLineChars="0"/>
              <w:jc w:val="center"/>
              <w:rPr>
                <w:rFonts w:hint="eastAsia" w:ascii="楷体_GB2312" w:hAnsi="楷体_GB2312" w:eastAsia="楷体_GB2312" w:cs="楷体_GB2312"/>
                <w:sz w:val="24"/>
              </w:rPr>
            </w:pPr>
          </w:p>
        </w:tc>
        <w:tc>
          <w:tcPr>
            <w:tcW w:w="1542" w:type="dxa"/>
            <w:tcBorders>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东</w:t>
            </w:r>
          </w:p>
        </w:tc>
        <w:tc>
          <w:tcPr>
            <w:tcW w:w="2229" w:type="dxa"/>
            <w:gridSpan w:val="2"/>
            <w:tcBorders>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1200</w:t>
            </w:r>
          </w:p>
        </w:tc>
        <w:tc>
          <w:tcPr>
            <w:tcW w:w="3626" w:type="dxa"/>
            <w:gridSpan w:val="3"/>
            <w:tcBorders>
              <w:left w:val="single" w:color="auto" w:sz="4" w:space="0"/>
              <w:bottom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福里树村居民点</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exact"/>
        </w:trPr>
        <w:tc>
          <w:tcPr>
            <w:tcW w:w="2160" w:type="dxa"/>
            <w:vMerge w:val="continue"/>
            <w:vAlign w:val="center"/>
          </w:tcPr>
          <w:p>
            <w:pPr>
              <w:spacing w:line="240" w:lineRule="auto"/>
              <w:ind w:firstLine="0" w:firstLineChars="0"/>
              <w:jc w:val="center"/>
              <w:rPr>
                <w:rFonts w:hint="eastAsia" w:ascii="楷体_GB2312" w:hAnsi="楷体_GB2312" w:eastAsia="楷体_GB2312" w:cs="楷体_GB2312"/>
                <w:sz w:val="24"/>
              </w:rPr>
            </w:pPr>
          </w:p>
        </w:tc>
        <w:tc>
          <w:tcPr>
            <w:tcW w:w="1542" w:type="dxa"/>
            <w:tcBorders>
              <w:top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南</w:t>
            </w:r>
          </w:p>
        </w:tc>
        <w:tc>
          <w:tcPr>
            <w:tcW w:w="2229"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20</w:t>
            </w:r>
          </w:p>
        </w:tc>
        <w:tc>
          <w:tcPr>
            <w:tcW w:w="3626" w:type="dxa"/>
            <w:gridSpan w:val="3"/>
            <w:tcBorders>
              <w:top w:val="single" w:color="auto" w:sz="4" w:space="0"/>
              <w:left w:val="single" w:color="auto" w:sz="4" w:space="0"/>
              <w:bottom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关口村</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exact"/>
        </w:trPr>
        <w:tc>
          <w:tcPr>
            <w:tcW w:w="2160" w:type="dxa"/>
            <w:vMerge w:val="continue"/>
            <w:vAlign w:val="center"/>
          </w:tcPr>
          <w:p>
            <w:pPr>
              <w:spacing w:line="240" w:lineRule="auto"/>
              <w:ind w:firstLine="0" w:firstLineChars="0"/>
              <w:jc w:val="center"/>
              <w:rPr>
                <w:rFonts w:hint="eastAsia" w:ascii="楷体_GB2312" w:hAnsi="楷体_GB2312" w:eastAsia="楷体_GB2312" w:cs="楷体_GB2312"/>
                <w:sz w:val="24"/>
              </w:rPr>
            </w:pPr>
          </w:p>
        </w:tc>
        <w:tc>
          <w:tcPr>
            <w:tcW w:w="1542" w:type="dxa"/>
            <w:tcBorders>
              <w:top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西</w:t>
            </w:r>
          </w:p>
        </w:tc>
        <w:tc>
          <w:tcPr>
            <w:tcW w:w="2229"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170</w:t>
            </w:r>
          </w:p>
        </w:tc>
        <w:tc>
          <w:tcPr>
            <w:tcW w:w="3626" w:type="dxa"/>
            <w:gridSpan w:val="3"/>
            <w:tcBorders>
              <w:top w:val="single" w:color="auto" w:sz="4" w:space="0"/>
              <w:left w:val="single" w:color="auto" w:sz="4" w:space="0"/>
              <w:bottom w:val="single" w:color="auto" w:sz="4" w:space="0"/>
            </w:tcBorders>
            <w:vAlign w:val="center"/>
          </w:tcPr>
          <w:p>
            <w:pPr>
              <w:spacing w:line="460" w:lineRule="exact"/>
              <w:ind w:firstLine="504"/>
              <w:jc w:val="center"/>
              <w:rPr>
                <w:rFonts w:hint="eastAsia" w:ascii="楷体_GB2312" w:hAnsi="楷体_GB2312" w:eastAsia="楷体_GB2312" w:cs="楷体_GB2312"/>
                <w:color w:val="333333"/>
                <w:sz w:val="24"/>
              </w:rPr>
            </w:pPr>
            <w:r>
              <w:rPr>
                <w:rFonts w:hint="eastAsia" w:ascii="楷体_GB2312" w:hAnsi="楷体_GB2312" w:eastAsia="楷体_GB2312" w:cs="楷体_GB2312"/>
                <w:color w:val="333333"/>
                <w:sz w:val="24"/>
              </w:rPr>
              <w:t>重庆永荣青鹏水泥有限公司家属区</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exact"/>
        </w:trPr>
        <w:tc>
          <w:tcPr>
            <w:tcW w:w="2160" w:type="dxa"/>
            <w:vMerge w:val="continue"/>
            <w:vAlign w:val="center"/>
          </w:tcPr>
          <w:p>
            <w:pPr>
              <w:spacing w:line="240" w:lineRule="auto"/>
              <w:ind w:firstLine="0" w:firstLineChars="0"/>
              <w:jc w:val="center"/>
              <w:rPr>
                <w:rFonts w:hint="eastAsia" w:ascii="楷体_GB2312" w:hAnsi="楷体_GB2312" w:eastAsia="楷体_GB2312" w:cs="楷体_GB2312"/>
                <w:sz w:val="24"/>
              </w:rPr>
            </w:pPr>
          </w:p>
        </w:tc>
        <w:tc>
          <w:tcPr>
            <w:tcW w:w="1542" w:type="dxa"/>
            <w:tcBorders>
              <w:top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北</w:t>
            </w:r>
          </w:p>
        </w:tc>
        <w:tc>
          <w:tcPr>
            <w:tcW w:w="2229"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1000</w:t>
            </w:r>
          </w:p>
        </w:tc>
        <w:tc>
          <w:tcPr>
            <w:tcW w:w="3626" w:type="dxa"/>
            <w:gridSpan w:val="3"/>
            <w:tcBorders>
              <w:top w:val="single" w:color="auto" w:sz="4" w:space="0"/>
              <w:left w:val="single" w:color="auto" w:sz="4" w:space="0"/>
              <w:bottom w:val="single" w:color="auto" w:sz="4" w:space="0"/>
            </w:tcBorders>
            <w:vAlign w:val="center"/>
          </w:tcPr>
          <w:p>
            <w:pPr>
              <w:spacing w:line="460" w:lineRule="exact"/>
              <w:ind w:firstLine="504"/>
              <w:jc w:val="center"/>
              <w:rPr>
                <w:rFonts w:hint="eastAsia" w:ascii="楷体_GB2312" w:hAnsi="楷体_GB2312" w:eastAsia="楷体_GB2312" w:cs="楷体_GB2312"/>
                <w:color w:val="333333"/>
                <w:sz w:val="24"/>
              </w:rPr>
            </w:pPr>
            <w:r>
              <w:rPr>
                <w:rFonts w:hint="eastAsia" w:ascii="楷体_GB2312" w:hAnsi="楷体_GB2312" w:eastAsia="楷体_GB2312" w:cs="楷体_GB2312"/>
                <w:color w:val="333333"/>
                <w:sz w:val="24"/>
              </w:rPr>
              <w:t>青木关镇</w:t>
            </w:r>
          </w:p>
        </w:tc>
      </w:tr>
    </w:tbl>
    <w:p>
      <w:pPr>
        <w:spacing w:line="460" w:lineRule="exact"/>
        <w:ind w:firstLine="504"/>
        <w:rPr>
          <w:rFonts w:hint="eastAsia" w:ascii="楷体_GB2312" w:hAnsi="楷体_GB2312" w:eastAsia="楷体_GB2312" w:cs="楷体_GB2312"/>
          <w:kern w:val="0"/>
          <w:sz w:val="24"/>
          <w:highlight w:val="yellow"/>
        </w:rPr>
      </w:pPr>
    </w:p>
    <w:p>
      <w:pPr>
        <w:pStyle w:val="2"/>
        <w:rPr>
          <w:rFonts w:hint="eastAsia" w:ascii="楷体_GB2312" w:hAnsi="楷体_GB2312" w:eastAsia="楷体_GB2312" w:cs="楷体_GB2312"/>
        </w:rPr>
      </w:pPr>
      <w:bookmarkStart w:id="793" w:name="_Toc373998365"/>
      <w:r>
        <w:rPr>
          <w:rFonts w:hint="eastAsia" w:ascii="楷体_GB2312" w:hAnsi="楷体_GB2312" w:eastAsia="楷体_GB2312" w:cs="楷体_GB2312"/>
        </w:rPr>
        <w:t>二、自行监测内容</w:t>
      </w:r>
      <w:bookmarkEnd w:id="793"/>
    </w:p>
    <w:p>
      <w:pPr>
        <w:pStyle w:val="3"/>
        <w:rPr>
          <w:rFonts w:hint="eastAsia" w:ascii="楷体_GB2312" w:hAnsi="楷体_GB2312" w:eastAsia="楷体_GB2312" w:cs="楷体_GB2312"/>
        </w:rPr>
      </w:pPr>
      <w:bookmarkStart w:id="794" w:name="_Toc373998366"/>
      <w:bookmarkStart w:id="795" w:name="_Toc367099336"/>
      <w:r>
        <w:rPr>
          <w:rFonts w:hint="eastAsia" w:ascii="楷体_GB2312" w:hAnsi="楷体_GB2312" w:eastAsia="楷体_GB2312" w:cs="楷体_GB2312"/>
        </w:rPr>
        <w:t>2.1 污染源手工监测点位、指标和频次</w:t>
      </w:r>
      <w:bookmarkEnd w:id="794"/>
    </w:p>
    <w:p>
      <w:pPr>
        <w:ind w:firstLine="588"/>
        <w:rPr>
          <w:rFonts w:hint="eastAsia" w:ascii="楷体_GB2312" w:hAnsi="楷体_GB2312" w:eastAsia="楷体_GB2312" w:cs="楷体_GB2312"/>
        </w:rPr>
      </w:pPr>
      <w:r>
        <w:rPr>
          <w:rFonts w:hint="eastAsia" w:ascii="楷体_GB2312" w:hAnsi="楷体_GB2312" w:eastAsia="楷体_GB2312" w:cs="楷体_GB2312"/>
        </w:rPr>
        <w:t>按照国家、地方污染物排放（控制）标准，结合行业特点和环评、验收资料以及排污许可证要求，我公司自行手工监测污染源废水、噪声，自动监测为废气监测点位、指标和频次见表2-1。</w:t>
      </w:r>
    </w:p>
    <w:p>
      <w:pPr>
        <w:pStyle w:val="3"/>
        <w:rPr>
          <w:rFonts w:hint="eastAsia" w:ascii="楷体_GB2312" w:hAnsi="楷体_GB2312" w:eastAsia="楷体_GB2312" w:cs="楷体_GB2312"/>
          <w:highlight w:val="yellow"/>
          <w:u w:val="single"/>
        </w:rPr>
      </w:pPr>
      <w:bookmarkStart w:id="796" w:name="_Toc373998367"/>
      <w:r>
        <w:rPr>
          <w:rFonts w:hint="eastAsia" w:ascii="楷体_GB2312" w:hAnsi="楷体_GB2312" w:eastAsia="楷体_GB2312" w:cs="楷体_GB2312"/>
        </w:rPr>
        <w:t>2.2 污染源自动监测点位、指标和频次</w:t>
      </w:r>
      <w:bookmarkEnd w:id="796"/>
    </w:p>
    <w:p>
      <w:pPr>
        <w:ind w:firstLine="588"/>
        <w:rPr>
          <w:rFonts w:hint="eastAsia" w:ascii="楷体_GB2312" w:hAnsi="楷体_GB2312" w:eastAsia="楷体_GB2312" w:cs="楷体_GB2312"/>
        </w:rPr>
      </w:pPr>
      <w:r>
        <w:rPr>
          <w:rFonts w:hint="eastAsia" w:ascii="楷体_GB2312" w:hAnsi="楷体_GB2312" w:eastAsia="楷体_GB2312" w:cs="楷体_GB2312"/>
          <w:b/>
          <w:bCs/>
        </w:rPr>
        <w:t>废水：</w:t>
      </w:r>
      <w:r>
        <w:rPr>
          <w:rFonts w:hint="eastAsia" w:ascii="楷体_GB2312" w:hAnsi="楷体_GB2312" w:eastAsia="楷体_GB2312" w:cs="楷体_GB2312"/>
        </w:rPr>
        <w:t>监测点位参照《国家重点监控企业自行监测及信息公开办法》(试行)，每月一次人工采样，分析出一个监测数据，由化验室保存并做好备案。</w:t>
      </w:r>
    </w:p>
    <w:p>
      <w:pPr>
        <w:ind w:firstLine="588"/>
        <w:rPr>
          <w:rFonts w:hint="eastAsia" w:ascii="楷体_GB2312" w:hAnsi="楷体_GB2312" w:eastAsia="楷体_GB2312" w:cs="楷体_GB2312"/>
        </w:rPr>
      </w:pPr>
      <w:r>
        <w:rPr>
          <w:rFonts w:hint="eastAsia" w:ascii="楷体_GB2312" w:hAnsi="楷体_GB2312" w:eastAsia="楷体_GB2312" w:cs="楷体_GB2312"/>
          <w:b/>
          <w:bCs/>
        </w:rPr>
        <w:t>废气：</w:t>
      </w:r>
      <w:r>
        <w:rPr>
          <w:rFonts w:hint="eastAsia" w:ascii="楷体_GB2312" w:hAnsi="楷体_GB2312" w:eastAsia="楷体_GB2312" w:cs="楷体_GB2312"/>
        </w:rPr>
        <w:t xml:space="preserve">监测点位参照《国家重点监控企业自行监测及信息公开办法（试行）》，每周连续自动监测，每七天更新一次监测数据. </w:t>
      </w:r>
    </w:p>
    <w:p>
      <w:pPr>
        <w:ind w:firstLine="588"/>
        <w:rPr>
          <w:rFonts w:hint="eastAsia" w:ascii="楷体_GB2312" w:hAnsi="楷体_GB2312" w:eastAsia="楷体_GB2312" w:cs="楷体_GB2312"/>
          <w:b/>
          <w:bCs/>
          <w:sz w:val="24"/>
        </w:rPr>
      </w:pPr>
      <w:r>
        <w:rPr>
          <w:rFonts w:hint="eastAsia" w:ascii="楷体_GB2312" w:hAnsi="楷体_GB2312" w:eastAsia="楷体_GB2312" w:cs="楷体_GB2312"/>
        </w:rPr>
        <w:t>我公司自动监测污染源废水、废气监测指标见表2-1。</w:t>
      </w:r>
    </w:p>
    <w:p>
      <w:pPr>
        <w:ind w:firstLine="0" w:firstLineChars="0"/>
        <w:rPr>
          <w:rFonts w:hint="eastAsia" w:ascii="楷体_GB2312" w:hAnsi="楷体_GB2312" w:eastAsia="楷体_GB2312" w:cs="楷体_GB2312"/>
          <w:b/>
          <w:bCs/>
          <w:sz w:val="24"/>
        </w:rPr>
      </w:pPr>
    </w:p>
    <w:p>
      <w:pPr>
        <w:ind w:firstLine="0" w:firstLineChars="0"/>
        <w:jc w:val="center"/>
        <w:rPr>
          <w:rFonts w:hint="eastAsia" w:ascii="楷体_GB2312" w:hAnsi="楷体_GB2312" w:eastAsia="楷体_GB2312" w:cs="楷体_GB2312"/>
          <w:b/>
          <w:bCs/>
          <w:sz w:val="24"/>
        </w:rPr>
      </w:pPr>
      <w:r>
        <w:rPr>
          <w:rFonts w:hint="eastAsia" w:ascii="楷体_GB2312" w:hAnsi="楷体_GB2312" w:eastAsia="楷体_GB2312" w:cs="楷体_GB2312"/>
          <w:b/>
          <w:bCs/>
          <w:sz w:val="24"/>
        </w:rPr>
        <w:t>表2-1  监测点位、指标和频次</w:t>
      </w:r>
    </w:p>
    <w:p>
      <w:pPr>
        <w:ind w:firstLine="0" w:firstLineChars="0"/>
        <w:rPr>
          <w:rFonts w:hint="eastAsia" w:ascii="楷体_GB2312" w:hAnsi="楷体_GB2312" w:eastAsia="楷体_GB2312" w:cs="楷体_GB2312"/>
          <w:sz w:val="24"/>
        </w:rPr>
      </w:pPr>
      <w:r>
        <w:rPr>
          <w:rFonts w:hint="eastAsia" w:ascii="楷体_GB2312" w:hAnsi="楷体_GB2312" w:eastAsia="楷体_GB2312" w:cs="楷体_GB2312"/>
          <w:b/>
          <w:bCs/>
          <w:sz w:val="24"/>
        </w:rPr>
        <w:t>1</w:t>
      </w:r>
      <w:r>
        <w:rPr>
          <w:rFonts w:hint="eastAsia" w:ascii="楷体_GB2312" w:hAnsi="楷体_GB2312" w:eastAsia="楷体_GB2312" w:cs="楷体_GB2312"/>
          <w:sz w:val="24"/>
        </w:rPr>
        <w:t>、手动监测点</w:t>
      </w:r>
    </w:p>
    <w:tbl>
      <w:tblPr>
        <w:tblStyle w:val="21"/>
        <w:tblW w:w="10781" w:type="dxa"/>
        <w:tblInd w:w="-7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1800"/>
        <w:gridCol w:w="1980"/>
        <w:gridCol w:w="1260"/>
        <w:gridCol w:w="1620"/>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trPr>
        <w:tc>
          <w:tcPr>
            <w:tcW w:w="1241" w:type="dxa"/>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类别</w:t>
            </w:r>
          </w:p>
        </w:tc>
        <w:tc>
          <w:tcPr>
            <w:tcW w:w="1800" w:type="dxa"/>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污染源</w:t>
            </w:r>
          </w:p>
        </w:tc>
        <w:tc>
          <w:tcPr>
            <w:tcW w:w="1980" w:type="dxa"/>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监测点位</w:t>
            </w:r>
          </w:p>
        </w:tc>
        <w:tc>
          <w:tcPr>
            <w:tcW w:w="1260" w:type="dxa"/>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自动监测指标</w:t>
            </w:r>
          </w:p>
        </w:tc>
        <w:tc>
          <w:tcPr>
            <w:tcW w:w="1620" w:type="dxa"/>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手工监测指标</w:t>
            </w:r>
          </w:p>
        </w:tc>
        <w:tc>
          <w:tcPr>
            <w:tcW w:w="2880" w:type="dxa"/>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1241" w:type="dxa"/>
            <w:vMerge w:val="restart"/>
            <w:vAlign w:val="center"/>
          </w:tcPr>
          <w:p>
            <w:pPr>
              <w:ind w:firstLine="0" w:firstLineChars="0"/>
              <w:jc w:val="center"/>
              <w:rPr>
                <w:rFonts w:hint="eastAsia" w:ascii="楷体_GB2312" w:hAnsi="楷体_GB2312" w:eastAsia="楷体_GB2312" w:cs="楷体_GB2312"/>
                <w:sz w:val="24"/>
              </w:rPr>
            </w:pPr>
            <w:bookmarkStart w:id="808" w:name="_GoBack" w:colFirst="1" w:colLast="5"/>
            <w:r>
              <w:rPr>
                <w:rFonts w:hint="eastAsia" w:ascii="楷体_GB2312" w:hAnsi="楷体_GB2312" w:eastAsia="楷体_GB2312" w:cs="楷体_GB2312"/>
                <w:sz w:val="24"/>
              </w:rPr>
              <w:t>废水</w:t>
            </w:r>
          </w:p>
        </w:tc>
        <w:tc>
          <w:tcPr>
            <w:tcW w:w="1800" w:type="dxa"/>
            <w:vAlign w:val="center"/>
          </w:tcPr>
          <w:p>
            <w:pPr>
              <w:ind w:firstLine="0" w:firstLineChars="0"/>
              <w:jc w:val="center"/>
              <w:rPr>
                <w:rFonts w:hint="eastAsia" w:ascii="楷体_GB2312" w:hAnsi="楷体_GB2312" w:eastAsia="楷体_GB2312" w:cs="楷体_GB2312"/>
                <w:color w:val="auto"/>
                <w:sz w:val="21"/>
                <w:szCs w:val="21"/>
              </w:rPr>
            </w:pPr>
            <w:r>
              <w:rPr>
                <w:rFonts w:hint="eastAsia" w:ascii="宋体" w:hAnsi="宋体" w:cs="宋体"/>
                <w:color w:val="auto"/>
                <w:sz w:val="21"/>
                <w:szCs w:val="21"/>
              </w:rPr>
              <w:t>工业</w:t>
            </w:r>
            <w:r>
              <w:rPr>
                <w:rFonts w:hint="eastAsia" w:ascii="楷体_GB2312" w:hAnsi="楷体_GB2312" w:eastAsia="楷体_GB2312" w:cs="楷体_GB2312"/>
                <w:color w:val="auto"/>
                <w:sz w:val="21"/>
                <w:szCs w:val="21"/>
              </w:rPr>
              <w:t>废水</w:t>
            </w:r>
          </w:p>
        </w:tc>
        <w:tc>
          <w:tcPr>
            <w:tcW w:w="1980" w:type="dxa"/>
            <w:vAlign w:val="center"/>
          </w:tcPr>
          <w:p>
            <w:pPr>
              <w:ind w:firstLine="0" w:firstLineChars="0"/>
              <w:jc w:val="center"/>
              <w:rPr>
                <w:rFonts w:hint="eastAsia" w:ascii="楷体_GB2312" w:hAnsi="楷体_GB2312" w:eastAsia="楷体_GB2312" w:cs="楷体_GB2312"/>
                <w:color w:val="auto"/>
                <w:sz w:val="21"/>
                <w:szCs w:val="21"/>
              </w:rPr>
            </w:pPr>
            <w:r>
              <w:rPr>
                <w:rFonts w:hint="eastAsia" w:ascii="宋体" w:hAnsi="宋体" w:cs="宋体"/>
                <w:color w:val="auto"/>
                <w:sz w:val="21"/>
                <w:szCs w:val="21"/>
              </w:rPr>
              <w:t>污水排口</w:t>
            </w:r>
          </w:p>
        </w:tc>
        <w:tc>
          <w:tcPr>
            <w:tcW w:w="1260" w:type="dxa"/>
            <w:vAlign w:val="center"/>
          </w:tcPr>
          <w:p>
            <w:pPr>
              <w:ind w:firstLine="0" w:firstLineChars="0"/>
              <w:jc w:val="center"/>
              <w:rPr>
                <w:rFonts w:hint="eastAsia" w:ascii="楷体_GB2312" w:hAnsi="楷体_GB2312" w:eastAsia="楷体_GB2312" w:cs="楷体_GB2312"/>
                <w:color w:val="auto"/>
                <w:sz w:val="21"/>
                <w:szCs w:val="21"/>
              </w:rPr>
            </w:pPr>
            <w:r>
              <w:rPr>
                <w:rFonts w:hint="eastAsia" w:ascii="楷体_GB2312" w:hAnsi="楷体_GB2312" w:eastAsia="楷体_GB2312" w:cs="楷体_GB2312"/>
                <w:color w:val="auto"/>
                <w:sz w:val="21"/>
                <w:szCs w:val="21"/>
              </w:rPr>
              <w:t>无</w:t>
            </w:r>
          </w:p>
        </w:tc>
        <w:tc>
          <w:tcPr>
            <w:tcW w:w="1620" w:type="dxa"/>
            <w:vAlign w:val="center"/>
          </w:tcPr>
          <w:p>
            <w:pPr>
              <w:ind w:firstLine="0" w:firstLineChars="0"/>
              <w:jc w:val="center"/>
              <w:rPr>
                <w:rFonts w:hint="eastAsia" w:ascii="楷体_GB2312" w:hAnsi="楷体_GB2312" w:eastAsia="楷体_GB2312" w:cs="楷体_GB2312"/>
                <w:color w:val="auto"/>
                <w:sz w:val="21"/>
                <w:szCs w:val="21"/>
              </w:rPr>
            </w:pPr>
            <w:r>
              <w:rPr>
                <w:rFonts w:hint="eastAsia" w:ascii="楷体_GB2312" w:hAnsi="楷体_GB2312" w:eastAsia="楷体_GB2312" w:cs="楷体_GB2312"/>
                <w:color w:val="auto"/>
                <w:sz w:val="21"/>
                <w:szCs w:val="21"/>
              </w:rPr>
              <w:t>COD、</w:t>
            </w:r>
            <w:r>
              <w:rPr>
                <w:rFonts w:hint="eastAsia" w:ascii="Malgun Gothic Semilight" w:hAnsi="Malgun Gothic Semilight" w:eastAsia="Malgun Gothic Semilight" w:cs="Malgun Gothic Semilight"/>
                <w:color w:val="auto"/>
                <w:sz w:val="21"/>
                <w:szCs w:val="21"/>
              </w:rPr>
              <w:t>、</w:t>
            </w:r>
            <w:r>
              <w:rPr>
                <w:rFonts w:hint="eastAsia" w:ascii="楷体_GB2312" w:hAnsi="楷体_GB2312" w:eastAsia="楷体_GB2312" w:cs="楷体_GB2312"/>
                <w:color w:val="auto"/>
                <w:sz w:val="21"/>
                <w:szCs w:val="21"/>
              </w:rPr>
              <w:t>PH、</w:t>
            </w:r>
            <w:r>
              <w:rPr>
                <w:rFonts w:hint="eastAsia" w:ascii="宋体" w:hAnsi="宋体" w:cs="宋体"/>
                <w:color w:val="auto"/>
                <w:sz w:val="21"/>
                <w:szCs w:val="21"/>
              </w:rPr>
              <w:t>悬浮物、氟化物、石油类</w:t>
            </w:r>
            <w:r>
              <w:rPr>
                <w:rFonts w:hint="eastAsia" w:ascii="楷体_GB2312" w:hAnsi="楷体_GB2312" w:eastAsia="楷体_GB2312" w:cs="楷体_GB2312"/>
                <w:color w:val="auto"/>
                <w:sz w:val="21"/>
                <w:szCs w:val="21"/>
              </w:rPr>
              <w:t xml:space="preserve">   </w:t>
            </w:r>
          </w:p>
        </w:tc>
        <w:tc>
          <w:tcPr>
            <w:tcW w:w="2880" w:type="dxa"/>
            <w:vAlign w:val="center"/>
          </w:tcPr>
          <w:p>
            <w:pPr>
              <w:ind w:firstLine="0" w:firstLineChars="0"/>
              <w:rPr>
                <w:rFonts w:hint="eastAsia" w:ascii="楷体_GB2312" w:hAnsi="楷体_GB2312" w:eastAsia="楷体_GB2312" w:cs="楷体_GB2312"/>
                <w:color w:val="auto"/>
                <w:sz w:val="21"/>
                <w:szCs w:val="21"/>
              </w:rPr>
            </w:pPr>
            <w:r>
              <w:rPr>
                <w:rFonts w:hint="eastAsia" w:ascii="楷体_GB2312" w:hAnsi="楷体_GB2312" w:eastAsia="楷体_GB2312" w:cs="楷体_GB2312"/>
                <w:color w:val="auto"/>
                <w:sz w:val="21"/>
                <w:szCs w:val="21"/>
              </w:rPr>
              <w:t>COD、PH、悬浮物、</w:t>
            </w:r>
            <w:r>
              <w:rPr>
                <w:rFonts w:hint="eastAsia" w:ascii="宋体" w:hAnsi="宋体" w:cs="宋体"/>
                <w:color w:val="auto"/>
                <w:sz w:val="21"/>
                <w:szCs w:val="21"/>
              </w:rPr>
              <w:t>氟化物</w:t>
            </w:r>
          </w:p>
          <w:p>
            <w:pPr>
              <w:ind w:firstLine="0" w:firstLineChars="0"/>
              <w:rPr>
                <w:rFonts w:hint="eastAsia" w:ascii="楷体_GB2312" w:hAnsi="楷体_GB2312" w:eastAsia="楷体_GB2312" w:cs="楷体_GB2312"/>
                <w:color w:val="auto"/>
                <w:sz w:val="21"/>
                <w:szCs w:val="21"/>
              </w:rPr>
            </w:pPr>
            <w:r>
              <w:rPr>
                <w:rFonts w:hint="eastAsia" w:ascii="宋体" w:hAnsi="宋体" w:cs="宋体"/>
                <w:color w:val="auto"/>
                <w:sz w:val="21"/>
                <w:szCs w:val="21"/>
              </w:rPr>
              <w:t>、石油类均是1次/半年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1241" w:type="dxa"/>
            <w:vMerge w:val="continue"/>
            <w:vAlign w:val="center"/>
          </w:tcPr>
          <w:p>
            <w:pPr>
              <w:ind w:firstLine="0" w:firstLineChars="0"/>
              <w:jc w:val="center"/>
              <w:rPr>
                <w:rFonts w:hint="eastAsia" w:ascii="楷体_GB2312" w:hAnsi="楷体_GB2312" w:eastAsia="楷体_GB2312" w:cs="楷体_GB2312"/>
                <w:sz w:val="24"/>
              </w:rPr>
            </w:pPr>
          </w:p>
        </w:tc>
        <w:tc>
          <w:tcPr>
            <w:tcW w:w="1800" w:type="dxa"/>
            <w:vAlign w:val="center"/>
          </w:tcPr>
          <w:p>
            <w:pPr>
              <w:ind w:firstLine="0" w:firstLineChars="0"/>
              <w:jc w:val="center"/>
              <w:rPr>
                <w:rFonts w:hint="eastAsia" w:ascii="楷体_GB2312" w:hAnsi="楷体_GB2312" w:eastAsia="楷体_GB2312" w:cs="楷体_GB2312"/>
                <w:color w:val="auto"/>
                <w:sz w:val="21"/>
                <w:szCs w:val="21"/>
              </w:rPr>
            </w:pPr>
            <w:r>
              <w:rPr>
                <w:rFonts w:hint="eastAsia" w:ascii="宋体" w:hAnsi="宋体" w:cs="宋体"/>
                <w:color w:val="auto"/>
                <w:sz w:val="21"/>
                <w:szCs w:val="21"/>
              </w:rPr>
              <w:t>生活废水</w:t>
            </w:r>
          </w:p>
        </w:tc>
        <w:tc>
          <w:tcPr>
            <w:tcW w:w="1980" w:type="dxa"/>
            <w:vAlign w:val="center"/>
          </w:tcPr>
          <w:p>
            <w:pPr>
              <w:ind w:firstLine="0" w:firstLineChars="0"/>
              <w:jc w:val="center"/>
              <w:rPr>
                <w:rFonts w:hint="eastAsia" w:ascii="楷体_GB2312" w:hAnsi="楷体_GB2312" w:eastAsia="楷体_GB2312" w:cs="楷体_GB2312"/>
                <w:color w:val="auto"/>
                <w:sz w:val="21"/>
                <w:szCs w:val="21"/>
              </w:rPr>
            </w:pPr>
            <w:r>
              <w:rPr>
                <w:rFonts w:hint="eastAsia" w:ascii="宋体" w:hAnsi="宋体" w:cs="宋体"/>
                <w:color w:val="auto"/>
                <w:sz w:val="21"/>
                <w:szCs w:val="21"/>
              </w:rPr>
              <w:t>生活水排口</w:t>
            </w:r>
          </w:p>
        </w:tc>
        <w:tc>
          <w:tcPr>
            <w:tcW w:w="1260" w:type="dxa"/>
            <w:vAlign w:val="center"/>
          </w:tcPr>
          <w:p>
            <w:pPr>
              <w:ind w:firstLine="0" w:firstLineChars="0"/>
              <w:jc w:val="center"/>
              <w:rPr>
                <w:rFonts w:hint="eastAsia" w:ascii="楷体_GB2312" w:hAnsi="楷体_GB2312" w:eastAsia="楷体_GB2312" w:cs="楷体_GB2312"/>
                <w:color w:val="auto"/>
                <w:sz w:val="21"/>
                <w:szCs w:val="21"/>
              </w:rPr>
            </w:pPr>
            <w:r>
              <w:rPr>
                <w:rFonts w:hint="eastAsia" w:ascii="宋体" w:hAnsi="宋体" w:cs="宋体"/>
                <w:color w:val="auto"/>
                <w:sz w:val="21"/>
                <w:szCs w:val="21"/>
              </w:rPr>
              <w:t>无</w:t>
            </w:r>
          </w:p>
        </w:tc>
        <w:tc>
          <w:tcPr>
            <w:tcW w:w="1620" w:type="dxa"/>
            <w:vAlign w:val="center"/>
          </w:tcPr>
          <w:p>
            <w:pPr>
              <w:ind w:firstLine="0" w:firstLineChars="0"/>
              <w:jc w:val="center"/>
              <w:rPr>
                <w:rFonts w:hint="eastAsia" w:ascii="楷体_GB2312" w:hAnsi="楷体_GB2312" w:eastAsia="楷体_GB2312" w:cs="楷体_GB2312"/>
                <w:color w:val="auto"/>
                <w:sz w:val="21"/>
                <w:szCs w:val="21"/>
              </w:rPr>
            </w:pPr>
            <w:r>
              <w:rPr>
                <w:rFonts w:hint="eastAsia" w:ascii="宋体" w:hAnsi="宋体" w:cs="宋体"/>
                <w:color w:val="auto"/>
                <w:sz w:val="21"/>
                <w:szCs w:val="21"/>
              </w:rPr>
              <w:t>五日生化需氧量、COD、悬浮物、总磷、氨氮、ph值</w:t>
            </w:r>
          </w:p>
        </w:tc>
        <w:tc>
          <w:tcPr>
            <w:tcW w:w="2880" w:type="dxa"/>
            <w:vAlign w:val="center"/>
          </w:tcPr>
          <w:p>
            <w:pPr>
              <w:ind w:firstLine="0" w:firstLineChars="0"/>
              <w:rPr>
                <w:rFonts w:hint="eastAsia" w:ascii="宋体" w:hAnsi="宋体" w:cs="宋体"/>
                <w:color w:val="auto"/>
                <w:sz w:val="21"/>
                <w:szCs w:val="21"/>
              </w:rPr>
            </w:pPr>
            <w:r>
              <w:rPr>
                <w:rFonts w:hint="eastAsia" w:ascii="宋体" w:hAnsi="宋体" w:cs="宋体"/>
                <w:color w:val="auto"/>
                <w:sz w:val="21"/>
                <w:szCs w:val="21"/>
              </w:rPr>
              <w:t>五日生化需氧量、COD、悬浮物、总磷、氨氮、ph值均是1次/半年</w:t>
            </w:r>
          </w:p>
        </w:tc>
      </w:tr>
      <w:bookmarkEnd w:id="80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1" w:hRule="atLeast"/>
        </w:trPr>
        <w:tc>
          <w:tcPr>
            <w:tcW w:w="1241" w:type="dxa"/>
            <w:tcBorders>
              <w:bottom w:val="single" w:color="auto" w:sz="4" w:space="0"/>
            </w:tcBorders>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厂界噪声</w:t>
            </w:r>
          </w:p>
        </w:tc>
        <w:tc>
          <w:tcPr>
            <w:tcW w:w="1800" w:type="dxa"/>
            <w:tcBorders>
              <w:bottom w:val="single" w:color="auto" w:sz="4" w:space="0"/>
            </w:tcBorders>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设备噪声</w:t>
            </w:r>
          </w:p>
        </w:tc>
        <w:tc>
          <w:tcPr>
            <w:tcW w:w="1980" w:type="dxa"/>
            <w:tcBorders>
              <w:bottom w:val="single" w:color="auto" w:sz="4" w:space="0"/>
            </w:tcBorders>
            <w:vAlign w:val="center"/>
          </w:tcPr>
          <w:p>
            <w:pPr>
              <w:ind w:firstLine="0" w:firstLineChars="0"/>
              <w:rPr>
                <w:rFonts w:hint="eastAsia" w:ascii="楷体_GB2312" w:hAnsi="楷体_GB2312" w:eastAsia="楷体_GB2312" w:cs="楷体_GB2312"/>
                <w:sz w:val="24"/>
              </w:rPr>
            </w:pPr>
            <w:r>
              <w:rPr>
                <w:rFonts w:hint="eastAsia" w:ascii="楷体_GB2312" w:hAnsi="楷体_GB2312" w:eastAsia="楷体_GB2312" w:cs="楷体_GB2312"/>
                <w:sz w:val="24"/>
              </w:rPr>
              <w:t xml:space="preserve">   厂区边界</w:t>
            </w:r>
          </w:p>
        </w:tc>
        <w:tc>
          <w:tcPr>
            <w:tcW w:w="1260" w:type="dxa"/>
            <w:tcBorders>
              <w:bottom w:val="single" w:color="auto" w:sz="4" w:space="0"/>
            </w:tcBorders>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无</w:t>
            </w:r>
          </w:p>
        </w:tc>
        <w:tc>
          <w:tcPr>
            <w:tcW w:w="1620" w:type="dxa"/>
            <w:tcBorders>
              <w:bottom w:val="single" w:color="auto" w:sz="4" w:space="0"/>
            </w:tcBorders>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噪声</w:t>
            </w:r>
          </w:p>
        </w:tc>
        <w:tc>
          <w:tcPr>
            <w:tcW w:w="2880" w:type="dxa"/>
            <w:tcBorders>
              <w:bottom w:val="single" w:color="auto" w:sz="4" w:space="0"/>
            </w:tcBorders>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1"/>
                <w:szCs w:val="21"/>
              </w:rPr>
              <w:t>1次/季度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trPr>
        <w:tc>
          <w:tcPr>
            <w:tcW w:w="1241" w:type="dxa"/>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废气有组织排放</w:t>
            </w:r>
          </w:p>
        </w:tc>
        <w:tc>
          <w:tcPr>
            <w:tcW w:w="180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颗粒物</w:t>
            </w:r>
          </w:p>
        </w:tc>
        <w:tc>
          <w:tcPr>
            <w:tcW w:w="19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各点收尘监测口</w:t>
            </w:r>
          </w:p>
        </w:tc>
        <w:tc>
          <w:tcPr>
            <w:tcW w:w="126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无</w:t>
            </w:r>
          </w:p>
        </w:tc>
        <w:tc>
          <w:tcPr>
            <w:tcW w:w="16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颗粒物</w:t>
            </w:r>
          </w:p>
        </w:tc>
        <w:tc>
          <w:tcPr>
            <w:tcW w:w="28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0" w:hRule="atLeast"/>
        </w:trPr>
        <w:tc>
          <w:tcPr>
            <w:tcW w:w="1241" w:type="dxa"/>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p>
        </w:tc>
        <w:tc>
          <w:tcPr>
            <w:tcW w:w="180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color w:val="auto"/>
                <w:sz w:val="24"/>
              </w:rPr>
            </w:pPr>
            <w:r>
              <w:rPr>
                <w:rFonts w:hint="eastAsia" w:ascii="楷体_GB2312" w:hAnsi="楷体_GB2312" w:eastAsia="楷体_GB2312" w:cs="楷体_GB2312"/>
                <w:color w:val="auto"/>
                <w:sz w:val="24"/>
              </w:rPr>
              <w:t>氟化物     （以总F计）</w:t>
            </w:r>
          </w:p>
        </w:tc>
        <w:tc>
          <w:tcPr>
            <w:tcW w:w="19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color w:val="auto"/>
                <w:sz w:val="24"/>
              </w:rPr>
            </w:pPr>
            <w:r>
              <w:rPr>
                <w:rFonts w:hint="eastAsia" w:ascii="楷体_GB2312" w:hAnsi="楷体_GB2312" w:eastAsia="楷体_GB2312" w:cs="楷体_GB2312"/>
                <w:color w:val="auto"/>
                <w:sz w:val="21"/>
                <w:szCs w:val="21"/>
              </w:rPr>
              <w:t>水泥回转窑窑尾废气排放口</w:t>
            </w:r>
          </w:p>
        </w:tc>
        <w:tc>
          <w:tcPr>
            <w:tcW w:w="126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color w:val="auto"/>
                <w:sz w:val="24"/>
              </w:rPr>
            </w:pPr>
            <w:r>
              <w:rPr>
                <w:rFonts w:hint="eastAsia" w:ascii="楷体_GB2312" w:hAnsi="楷体_GB2312" w:eastAsia="楷体_GB2312" w:cs="楷体_GB2312"/>
                <w:color w:val="auto"/>
                <w:sz w:val="24"/>
              </w:rPr>
              <w:t>无</w:t>
            </w:r>
          </w:p>
        </w:tc>
        <w:tc>
          <w:tcPr>
            <w:tcW w:w="16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color w:val="auto"/>
                <w:sz w:val="24"/>
              </w:rPr>
            </w:pPr>
            <w:r>
              <w:rPr>
                <w:rFonts w:hint="eastAsia" w:ascii="宋体" w:hAnsi="宋体" w:cs="宋体"/>
                <w:color w:val="auto"/>
                <w:sz w:val="24"/>
              </w:rPr>
              <w:t>氟化物</w:t>
            </w:r>
            <w:r>
              <w:rPr>
                <w:rFonts w:hint="eastAsia" w:ascii="楷体_GB2312" w:hAnsi="楷体_GB2312" w:eastAsia="楷体_GB2312" w:cs="楷体_GB2312"/>
                <w:color w:val="auto"/>
                <w:sz w:val="24"/>
              </w:rPr>
              <w:t xml:space="preserve">   </w:t>
            </w:r>
          </w:p>
        </w:tc>
        <w:tc>
          <w:tcPr>
            <w:tcW w:w="28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color w:val="auto"/>
                <w:sz w:val="24"/>
              </w:rPr>
            </w:pPr>
            <w:r>
              <w:rPr>
                <w:rFonts w:hint="eastAsia" w:ascii="楷体_GB2312" w:hAnsi="楷体_GB2312" w:eastAsia="楷体_GB2312" w:cs="楷体_GB2312"/>
                <w:color w:val="auto"/>
                <w:sz w:val="21"/>
                <w:szCs w:val="21"/>
              </w:rPr>
              <w:t>1次/季度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trPr>
        <w:tc>
          <w:tcPr>
            <w:tcW w:w="1241" w:type="dxa"/>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p>
        </w:tc>
        <w:tc>
          <w:tcPr>
            <w:tcW w:w="180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color w:val="auto"/>
                <w:sz w:val="24"/>
              </w:rPr>
            </w:pPr>
            <w:r>
              <w:rPr>
                <w:rFonts w:hint="eastAsia" w:ascii="楷体_GB2312" w:hAnsi="楷体_GB2312" w:eastAsia="楷体_GB2312" w:cs="楷体_GB2312"/>
                <w:color w:val="auto"/>
                <w:sz w:val="24"/>
              </w:rPr>
              <w:t>汞及其化合物</w:t>
            </w:r>
          </w:p>
        </w:tc>
        <w:tc>
          <w:tcPr>
            <w:tcW w:w="19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color w:val="auto"/>
                <w:sz w:val="24"/>
              </w:rPr>
            </w:pPr>
            <w:r>
              <w:rPr>
                <w:rFonts w:hint="eastAsia" w:ascii="楷体_GB2312" w:hAnsi="楷体_GB2312" w:eastAsia="楷体_GB2312" w:cs="楷体_GB2312"/>
                <w:color w:val="auto"/>
                <w:sz w:val="21"/>
                <w:szCs w:val="21"/>
              </w:rPr>
              <w:t>水泥回转窑窑尾废气排放口</w:t>
            </w:r>
          </w:p>
        </w:tc>
        <w:tc>
          <w:tcPr>
            <w:tcW w:w="126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color w:val="auto"/>
                <w:sz w:val="24"/>
              </w:rPr>
            </w:pPr>
            <w:r>
              <w:rPr>
                <w:rFonts w:hint="eastAsia" w:ascii="楷体_GB2312" w:hAnsi="楷体_GB2312" w:eastAsia="楷体_GB2312" w:cs="楷体_GB2312"/>
                <w:color w:val="auto"/>
                <w:sz w:val="24"/>
              </w:rPr>
              <w:t>无</w:t>
            </w:r>
          </w:p>
        </w:tc>
        <w:tc>
          <w:tcPr>
            <w:tcW w:w="16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color w:val="auto"/>
                <w:sz w:val="24"/>
              </w:rPr>
            </w:pPr>
            <w:r>
              <w:rPr>
                <w:rFonts w:hint="eastAsia" w:ascii="楷体_GB2312" w:hAnsi="楷体_GB2312" w:eastAsia="楷体_GB2312" w:cs="楷体_GB2312"/>
                <w:color w:val="auto"/>
                <w:sz w:val="24"/>
              </w:rPr>
              <w:t>汞及其化合物</w:t>
            </w:r>
          </w:p>
        </w:tc>
        <w:tc>
          <w:tcPr>
            <w:tcW w:w="28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color w:val="auto"/>
                <w:sz w:val="24"/>
              </w:rPr>
            </w:pPr>
            <w:r>
              <w:rPr>
                <w:rFonts w:hint="eastAsia" w:ascii="楷体_GB2312" w:hAnsi="楷体_GB2312" w:eastAsia="楷体_GB2312" w:cs="楷体_GB2312"/>
                <w:color w:val="auto"/>
                <w:sz w:val="21"/>
                <w:szCs w:val="21"/>
              </w:rPr>
              <w:t>1次/季度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trPr>
        <w:tc>
          <w:tcPr>
            <w:tcW w:w="1241" w:type="dxa"/>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p>
        </w:tc>
        <w:tc>
          <w:tcPr>
            <w:tcW w:w="180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color w:val="auto"/>
                <w:sz w:val="24"/>
              </w:rPr>
            </w:pPr>
            <w:r>
              <w:rPr>
                <w:rFonts w:hint="eastAsia" w:ascii="楷体_GB2312" w:hAnsi="楷体_GB2312" w:eastAsia="楷体_GB2312" w:cs="楷体_GB2312"/>
                <w:color w:val="auto"/>
                <w:sz w:val="24"/>
              </w:rPr>
              <w:t>氨</w:t>
            </w:r>
          </w:p>
        </w:tc>
        <w:tc>
          <w:tcPr>
            <w:tcW w:w="19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color w:val="auto"/>
                <w:sz w:val="24"/>
              </w:rPr>
            </w:pPr>
            <w:r>
              <w:rPr>
                <w:rFonts w:hint="eastAsia" w:ascii="楷体_GB2312" w:hAnsi="楷体_GB2312" w:eastAsia="楷体_GB2312" w:cs="楷体_GB2312"/>
                <w:color w:val="auto"/>
                <w:sz w:val="21"/>
                <w:szCs w:val="21"/>
              </w:rPr>
              <w:t>水泥回转窑窑尾废气排放口</w:t>
            </w:r>
          </w:p>
        </w:tc>
        <w:tc>
          <w:tcPr>
            <w:tcW w:w="126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color w:val="auto"/>
                <w:sz w:val="24"/>
              </w:rPr>
            </w:pPr>
            <w:r>
              <w:rPr>
                <w:rFonts w:hint="eastAsia" w:ascii="楷体_GB2312" w:hAnsi="楷体_GB2312" w:eastAsia="楷体_GB2312" w:cs="楷体_GB2312"/>
                <w:color w:val="auto"/>
                <w:sz w:val="24"/>
              </w:rPr>
              <w:t>无</w:t>
            </w:r>
          </w:p>
        </w:tc>
        <w:tc>
          <w:tcPr>
            <w:tcW w:w="16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color w:val="auto"/>
                <w:sz w:val="24"/>
              </w:rPr>
            </w:pPr>
            <w:r>
              <w:rPr>
                <w:rFonts w:hint="eastAsia" w:ascii="楷体_GB2312" w:hAnsi="楷体_GB2312" w:eastAsia="楷体_GB2312" w:cs="楷体_GB2312"/>
                <w:color w:val="auto"/>
                <w:sz w:val="24"/>
              </w:rPr>
              <w:t>氨</w:t>
            </w:r>
          </w:p>
        </w:tc>
        <w:tc>
          <w:tcPr>
            <w:tcW w:w="28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color w:val="auto"/>
                <w:sz w:val="24"/>
              </w:rPr>
            </w:pPr>
            <w:r>
              <w:rPr>
                <w:rFonts w:hint="eastAsia" w:ascii="楷体_GB2312" w:hAnsi="楷体_GB2312" w:eastAsia="楷体_GB2312" w:cs="楷体_GB2312"/>
                <w:color w:val="auto"/>
                <w:sz w:val="21"/>
                <w:szCs w:val="21"/>
              </w:rPr>
              <w:t>1次/季度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trPr>
        <w:tc>
          <w:tcPr>
            <w:tcW w:w="1241" w:type="dxa"/>
            <w:vMerge w:val="restart"/>
            <w:tcBorders>
              <w:left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宋体" w:hAnsi="宋体" w:cs="宋体"/>
                <w:sz w:val="24"/>
              </w:rPr>
              <w:t>废气无组织排放</w:t>
            </w:r>
          </w:p>
        </w:tc>
        <w:tc>
          <w:tcPr>
            <w:tcW w:w="180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color w:val="auto"/>
                <w:sz w:val="24"/>
              </w:rPr>
            </w:pPr>
            <w:r>
              <w:rPr>
                <w:rFonts w:hint="eastAsia" w:ascii="宋体" w:hAnsi="宋体" w:cs="宋体"/>
                <w:color w:val="auto"/>
                <w:sz w:val="24"/>
              </w:rPr>
              <w:t>颗粒物</w:t>
            </w:r>
          </w:p>
        </w:tc>
        <w:tc>
          <w:tcPr>
            <w:tcW w:w="19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color w:val="auto"/>
                <w:sz w:val="21"/>
                <w:szCs w:val="21"/>
              </w:rPr>
            </w:pPr>
            <w:r>
              <w:rPr>
                <w:rFonts w:hint="eastAsia" w:ascii="宋体" w:hAnsi="宋体" w:cs="宋体"/>
                <w:color w:val="auto"/>
                <w:sz w:val="21"/>
                <w:szCs w:val="21"/>
              </w:rPr>
              <w:t>厂区边界</w:t>
            </w:r>
          </w:p>
        </w:tc>
        <w:tc>
          <w:tcPr>
            <w:tcW w:w="126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color w:val="auto"/>
                <w:sz w:val="24"/>
              </w:rPr>
            </w:pPr>
            <w:r>
              <w:rPr>
                <w:rFonts w:hint="eastAsia" w:ascii="宋体" w:hAnsi="宋体" w:cs="宋体"/>
                <w:color w:val="auto"/>
                <w:sz w:val="24"/>
              </w:rPr>
              <w:t>无</w:t>
            </w:r>
          </w:p>
        </w:tc>
        <w:tc>
          <w:tcPr>
            <w:tcW w:w="16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color w:val="auto"/>
                <w:sz w:val="24"/>
              </w:rPr>
            </w:pPr>
            <w:r>
              <w:rPr>
                <w:rFonts w:hint="eastAsia" w:ascii="宋体" w:hAnsi="宋体" w:cs="宋体"/>
                <w:color w:val="auto"/>
                <w:sz w:val="24"/>
              </w:rPr>
              <w:t>颗粒物</w:t>
            </w:r>
          </w:p>
        </w:tc>
        <w:tc>
          <w:tcPr>
            <w:tcW w:w="28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color w:val="auto"/>
                <w:sz w:val="24"/>
              </w:rPr>
            </w:pPr>
            <w:r>
              <w:rPr>
                <w:rFonts w:hint="eastAsia" w:ascii="楷体_GB2312" w:hAnsi="楷体_GB2312" w:eastAsia="楷体_GB2312" w:cs="楷体_GB2312"/>
                <w:color w:val="auto"/>
                <w:sz w:val="21"/>
                <w:szCs w:val="21"/>
              </w:rPr>
              <w:t>1次/季度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trPr>
        <w:tc>
          <w:tcPr>
            <w:tcW w:w="1241" w:type="dxa"/>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宋体" w:hAnsi="宋体" w:cs="宋体"/>
                <w:sz w:val="24"/>
              </w:rPr>
            </w:pPr>
          </w:p>
        </w:tc>
        <w:tc>
          <w:tcPr>
            <w:tcW w:w="180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color w:val="auto"/>
                <w:sz w:val="24"/>
              </w:rPr>
            </w:pPr>
            <w:r>
              <w:rPr>
                <w:rFonts w:hint="eastAsia" w:ascii="宋体" w:hAnsi="宋体" w:cs="宋体"/>
                <w:color w:val="auto"/>
                <w:sz w:val="24"/>
              </w:rPr>
              <w:t>氨</w:t>
            </w:r>
          </w:p>
        </w:tc>
        <w:tc>
          <w:tcPr>
            <w:tcW w:w="19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color w:val="auto"/>
                <w:sz w:val="21"/>
                <w:szCs w:val="21"/>
              </w:rPr>
            </w:pPr>
            <w:r>
              <w:rPr>
                <w:rFonts w:hint="eastAsia" w:ascii="宋体" w:hAnsi="宋体" w:cs="宋体"/>
                <w:color w:val="auto"/>
                <w:sz w:val="21"/>
                <w:szCs w:val="21"/>
              </w:rPr>
              <w:t>厂区边界</w:t>
            </w:r>
          </w:p>
        </w:tc>
        <w:tc>
          <w:tcPr>
            <w:tcW w:w="126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color w:val="auto"/>
                <w:sz w:val="24"/>
              </w:rPr>
            </w:pPr>
            <w:r>
              <w:rPr>
                <w:rFonts w:hint="eastAsia" w:ascii="宋体" w:hAnsi="宋体" w:cs="宋体"/>
                <w:color w:val="auto"/>
                <w:sz w:val="24"/>
              </w:rPr>
              <w:t>无</w:t>
            </w:r>
          </w:p>
        </w:tc>
        <w:tc>
          <w:tcPr>
            <w:tcW w:w="16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color w:val="auto"/>
                <w:sz w:val="24"/>
              </w:rPr>
            </w:pPr>
            <w:r>
              <w:rPr>
                <w:rFonts w:hint="eastAsia" w:ascii="宋体" w:hAnsi="宋体" w:cs="宋体"/>
                <w:color w:val="auto"/>
                <w:sz w:val="24"/>
              </w:rPr>
              <w:t>氨</w:t>
            </w:r>
          </w:p>
        </w:tc>
        <w:tc>
          <w:tcPr>
            <w:tcW w:w="28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eastAsia" w:ascii="楷体_GB2312" w:hAnsi="楷体_GB2312" w:eastAsia="楷体_GB2312" w:cs="楷体_GB2312"/>
                <w:color w:val="auto"/>
                <w:sz w:val="24"/>
              </w:rPr>
            </w:pPr>
            <w:r>
              <w:rPr>
                <w:rFonts w:hint="eastAsia" w:ascii="楷体_GB2312" w:hAnsi="楷体_GB2312" w:eastAsia="楷体_GB2312" w:cs="楷体_GB2312"/>
                <w:color w:val="auto"/>
                <w:sz w:val="21"/>
                <w:szCs w:val="21"/>
              </w:rPr>
              <w:t>1次/</w:t>
            </w:r>
            <w:r>
              <w:rPr>
                <w:rFonts w:hint="eastAsia" w:ascii="宋体" w:hAnsi="宋体" w:cs="宋体"/>
                <w:color w:val="auto"/>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6" w:hRule="atLeast"/>
        </w:trPr>
        <w:tc>
          <w:tcPr>
            <w:tcW w:w="10781" w:type="dxa"/>
            <w:gridSpan w:val="6"/>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left"/>
              <w:rPr>
                <w:rFonts w:hint="eastAsia" w:ascii="楷体_GB2312" w:hAnsi="楷体_GB2312" w:eastAsia="楷体_GB2312" w:cs="楷体_GB2312"/>
                <w:sz w:val="24"/>
              </w:rPr>
            </w:pPr>
            <w:r>
              <w:rPr>
                <w:rFonts w:hint="eastAsia" w:ascii="楷体_GB2312" w:hAnsi="楷体_GB2312" w:eastAsia="楷体_GB2312" w:cs="楷体_GB2312"/>
                <w:sz w:val="24"/>
              </w:rPr>
              <w:t>2、自动监测点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trPr>
        <w:tc>
          <w:tcPr>
            <w:tcW w:w="1241" w:type="dxa"/>
            <w:tcBorders>
              <w:top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类别</w:t>
            </w:r>
          </w:p>
        </w:tc>
        <w:tc>
          <w:tcPr>
            <w:tcW w:w="1800" w:type="dxa"/>
            <w:tcBorders>
              <w:top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污染源</w:t>
            </w:r>
          </w:p>
        </w:tc>
        <w:tc>
          <w:tcPr>
            <w:tcW w:w="1980" w:type="dxa"/>
            <w:tcBorders>
              <w:top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监测点位</w:t>
            </w:r>
          </w:p>
        </w:tc>
        <w:tc>
          <w:tcPr>
            <w:tcW w:w="1260" w:type="dxa"/>
            <w:tcBorders>
              <w:top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自动监测指标</w:t>
            </w:r>
          </w:p>
        </w:tc>
        <w:tc>
          <w:tcPr>
            <w:tcW w:w="1620" w:type="dxa"/>
            <w:tcBorders>
              <w:top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手工监测指标</w:t>
            </w:r>
          </w:p>
        </w:tc>
        <w:tc>
          <w:tcPr>
            <w:tcW w:w="2880" w:type="dxa"/>
            <w:tcBorders>
              <w:top w:val="single" w:color="auto" w:sz="4" w:space="0"/>
            </w:tcBorders>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trPr>
        <w:tc>
          <w:tcPr>
            <w:tcW w:w="1241"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废气有组织排放</w:t>
            </w:r>
          </w:p>
        </w:tc>
        <w:tc>
          <w:tcPr>
            <w:tcW w:w="1800" w:type="dxa"/>
            <w:vAlign w:val="center"/>
          </w:tcPr>
          <w:p>
            <w:pPr>
              <w:ind w:firstLine="0" w:firstLineChars="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SO</w:t>
            </w:r>
            <w:r>
              <w:rPr>
                <w:rFonts w:hint="eastAsia" w:ascii="楷体_GB2312" w:hAnsi="楷体_GB2312" w:eastAsia="楷体_GB2312" w:cs="楷体_GB2312"/>
                <w:sz w:val="21"/>
                <w:szCs w:val="21"/>
                <w:vertAlign w:val="subscript"/>
              </w:rPr>
              <w:t>2</w:t>
            </w:r>
            <w:r>
              <w:rPr>
                <w:rFonts w:hint="eastAsia" w:ascii="楷体_GB2312" w:hAnsi="楷体_GB2312" w:eastAsia="楷体_GB2312" w:cs="楷体_GB2312"/>
                <w:sz w:val="21"/>
                <w:szCs w:val="21"/>
              </w:rPr>
              <w:t>、Nox、颗粒物</w:t>
            </w:r>
          </w:p>
        </w:tc>
        <w:tc>
          <w:tcPr>
            <w:tcW w:w="1980" w:type="dxa"/>
            <w:vAlign w:val="center"/>
          </w:tcPr>
          <w:p>
            <w:pPr>
              <w:ind w:firstLine="0" w:firstLineChars="0"/>
              <w:jc w:val="center"/>
              <w:rPr>
                <w:rFonts w:hint="eastAsia" w:ascii="楷体_GB2312" w:hAnsi="楷体_GB2312" w:eastAsia="楷体_GB2312" w:cs="楷体_GB2312"/>
                <w:sz w:val="21"/>
                <w:szCs w:val="21"/>
                <w:lang w:val="en-GB"/>
              </w:rPr>
            </w:pPr>
            <w:r>
              <w:rPr>
                <w:rFonts w:hint="eastAsia" w:ascii="楷体_GB2312" w:hAnsi="楷体_GB2312" w:eastAsia="楷体_GB2312" w:cs="楷体_GB2312"/>
                <w:sz w:val="21"/>
                <w:szCs w:val="21"/>
              </w:rPr>
              <w:t>水泥回转窑窑尾废气排放口</w:t>
            </w:r>
          </w:p>
        </w:tc>
        <w:tc>
          <w:tcPr>
            <w:tcW w:w="1260" w:type="dxa"/>
            <w:vAlign w:val="center"/>
          </w:tcPr>
          <w:p>
            <w:pPr>
              <w:ind w:firstLine="0" w:firstLineChars="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SO</w:t>
            </w:r>
            <w:r>
              <w:rPr>
                <w:rFonts w:hint="eastAsia" w:ascii="楷体_GB2312" w:hAnsi="楷体_GB2312" w:eastAsia="楷体_GB2312" w:cs="楷体_GB2312"/>
                <w:sz w:val="21"/>
                <w:szCs w:val="21"/>
                <w:vertAlign w:val="subscript"/>
              </w:rPr>
              <w:t>2</w:t>
            </w:r>
            <w:r>
              <w:rPr>
                <w:rFonts w:hint="eastAsia" w:ascii="楷体_GB2312" w:hAnsi="楷体_GB2312" w:eastAsia="楷体_GB2312" w:cs="楷体_GB2312"/>
                <w:sz w:val="21"/>
                <w:szCs w:val="21"/>
              </w:rPr>
              <w:t xml:space="preserve">、NOx、颗粒物 </w:t>
            </w:r>
          </w:p>
        </w:tc>
        <w:tc>
          <w:tcPr>
            <w:tcW w:w="1620" w:type="dxa"/>
            <w:vAlign w:val="center"/>
          </w:tcPr>
          <w:p>
            <w:pPr>
              <w:ind w:firstLine="0" w:firstLineChars="0"/>
              <w:rPr>
                <w:rFonts w:hint="eastAsia" w:ascii="楷体_GB2312" w:hAnsi="楷体_GB2312" w:eastAsia="楷体_GB2312" w:cs="楷体_GB2312"/>
                <w:sz w:val="21"/>
                <w:szCs w:val="21"/>
                <w:lang w:val="en-GB"/>
              </w:rPr>
            </w:pPr>
          </w:p>
        </w:tc>
        <w:tc>
          <w:tcPr>
            <w:tcW w:w="2880" w:type="dxa"/>
            <w:vAlign w:val="center"/>
          </w:tcPr>
          <w:p>
            <w:pPr>
              <w:ind w:firstLine="0" w:firstLineChars="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Nox、颗粒物、SO</w:t>
            </w:r>
            <w:r>
              <w:rPr>
                <w:rFonts w:hint="eastAsia" w:ascii="楷体_GB2312" w:hAnsi="楷体_GB2312" w:eastAsia="楷体_GB2312" w:cs="楷体_GB2312"/>
                <w:sz w:val="21"/>
                <w:szCs w:val="21"/>
                <w:vertAlign w:val="subscript"/>
              </w:rPr>
              <w:t>2</w:t>
            </w:r>
            <w:r>
              <w:rPr>
                <w:rFonts w:hint="eastAsia" w:ascii="楷体_GB2312" w:hAnsi="楷体_GB2312" w:eastAsia="楷体_GB2312" w:cs="楷体_GB2312"/>
                <w:sz w:val="21"/>
                <w:szCs w:val="21"/>
              </w:rPr>
              <w:t>为每1小时均值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trPr>
        <w:tc>
          <w:tcPr>
            <w:tcW w:w="1241"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废气有组织排放</w:t>
            </w:r>
          </w:p>
        </w:tc>
        <w:tc>
          <w:tcPr>
            <w:tcW w:w="1800" w:type="dxa"/>
            <w:vAlign w:val="center"/>
          </w:tcPr>
          <w:p>
            <w:pPr>
              <w:ind w:firstLine="0" w:firstLineChars="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颗粒物</w:t>
            </w:r>
          </w:p>
        </w:tc>
        <w:tc>
          <w:tcPr>
            <w:tcW w:w="1980" w:type="dxa"/>
            <w:vAlign w:val="center"/>
          </w:tcPr>
          <w:p>
            <w:pPr>
              <w:ind w:firstLine="0" w:firstLineChars="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水泥回转窑窑头废气排放口</w:t>
            </w:r>
          </w:p>
        </w:tc>
        <w:tc>
          <w:tcPr>
            <w:tcW w:w="1260" w:type="dxa"/>
            <w:vAlign w:val="center"/>
          </w:tcPr>
          <w:p>
            <w:pPr>
              <w:ind w:firstLine="0" w:firstLineChars="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颗粒物</w:t>
            </w:r>
          </w:p>
        </w:tc>
        <w:tc>
          <w:tcPr>
            <w:tcW w:w="1620" w:type="dxa"/>
            <w:vAlign w:val="center"/>
          </w:tcPr>
          <w:p>
            <w:pPr>
              <w:ind w:firstLine="0" w:firstLineChars="0"/>
              <w:rPr>
                <w:rFonts w:hint="eastAsia" w:ascii="楷体_GB2312" w:hAnsi="楷体_GB2312" w:eastAsia="楷体_GB2312" w:cs="楷体_GB2312"/>
                <w:sz w:val="21"/>
                <w:szCs w:val="21"/>
                <w:lang w:val="en-GB"/>
              </w:rPr>
            </w:pPr>
          </w:p>
        </w:tc>
        <w:tc>
          <w:tcPr>
            <w:tcW w:w="2880" w:type="dxa"/>
            <w:vAlign w:val="center"/>
          </w:tcPr>
          <w:p>
            <w:pPr>
              <w:ind w:firstLine="0" w:firstLineChars="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颗粒物为每1小时均值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2" w:hRule="atLeast"/>
        </w:trPr>
        <w:tc>
          <w:tcPr>
            <w:tcW w:w="1241"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备注：</w:t>
            </w:r>
          </w:p>
        </w:tc>
        <w:tc>
          <w:tcPr>
            <w:tcW w:w="9540" w:type="dxa"/>
            <w:gridSpan w:val="5"/>
            <w:vAlign w:val="center"/>
          </w:tcPr>
          <w:p>
            <w:pPr>
              <w:spacing w:line="240" w:lineRule="auto"/>
              <w:ind w:firstLine="0" w:firstLineChars="0"/>
              <w:jc w:val="left"/>
              <w:rPr>
                <w:rFonts w:hint="eastAsia" w:ascii="楷体_GB2312" w:hAnsi="楷体_GB2312" w:eastAsia="楷体_GB2312" w:cs="楷体_GB2312"/>
                <w:sz w:val="24"/>
              </w:rPr>
            </w:pPr>
            <w:r>
              <w:rPr>
                <w:rFonts w:hint="eastAsia" w:ascii="楷体_GB2312" w:hAnsi="楷体_GB2312" w:eastAsia="楷体_GB2312" w:cs="楷体_GB2312"/>
                <w:sz w:val="24"/>
              </w:rPr>
              <w:t>1、此表中频次指自行监测总体频次，具体到每次监测的次数按照相关监测技术规范执行。</w:t>
            </w:r>
          </w:p>
          <w:p>
            <w:pPr>
              <w:spacing w:line="240" w:lineRule="auto"/>
              <w:ind w:firstLine="0" w:firstLineChars="0"/>
              <w:jc w:val="left"/>
              <w:rPr>
                <w:rFonts w:hint="eastAsia" w:ascii="楷体_GB2312" w:hAnsi="楷体_GB2312" w:eastAsia="楷体_GB2312" w:cs="楷体_GB2312"/>
                <w:sz w:val="24"/>
              </w:rPr>
            </w:pPr>
            <w:r>
              <w:rPr>
                <w:rFonts w:hint="eastAsia" w:ascii="楷体_GB2312" w:hAnsi="楷体_GB2312" w:eastAsia="楷体_GB2312" w:cs="楷体_GB2312"/>
                <w:sz w:val="24"/>
              </w:rPr>
              <w:t>2、以上频次若与国家或地方发布的规范性文件、标准中监测指标的监测频次规定不一致时，按从严原则确定监测频次，即：以监测频次高的为准。</w:t>
            </w:r>
          </w:p>
          <w:p>
            <w:pPr>
              <w:spacing w:line="240" w:lineRule="auto"/>
              <w:ind w:firstLine="0" w:firstLineChars="0"/>
              <w:jc w:val="left"/>
              <w:rPr>
                <w:rFonts w:hint="eastAsia" w:ascii="楷体_GB2312" w:hAnsi="楷体_GB2312" w:eastAsia="楷体_GB2312" w:cs="楷体_GB2312"/>
                <w:sz w:val="24"/>
              </w:rPr>
            </w:pPr>
            <w:r>
              <w:rPr>
                <w:rFonts w:hint="eastAsia" w:ascii="楷体_GB2312" w:hAnsi="楷体_GB2312" w:eastAsia="楷体_GB2312" w:cs="楷体_GB2312"/>
                <w:sz w:val="24"/>
              </w:rPr>
              <w:t>3、自动监测设备为每1小时均值，自动监测数据为实时公布。</w:t>
            </w:r>
          </w:p>
        </w:tc>
      </w:tr>
    </w:tbl>
    <w:p>
      <w:pPr>
        <w:pStyle w:val="3"/>
        <w:rPr>
          <w:rFonts w:hint="eastAsia" w:ascii="楷体_GB2312" w:hAnsi="楷体_GB2312" w:eastAsia="楷体_GB2312" w:cs="楷体_GB2312"/>
        </w:rPr>
      </w:pPr>
      <w:bookmarkStart w:id="797" w:name="_Toc373998369"/>
      <w:r>
        <w:rPr>
          <w:rFonts w:hint="eastAsia" w:ascii="楷体_GB2312" w:hAnsi="楷体_GB2312" w:eastAsia="楷体_GB2312" w:cs="楷体_GB2312"/>
        </w:rPr>
        <w:t>2.2污染物排放因子</w:t>
      </w:r>
    </w:p>
    <w:p>
      <w:pPr>
        <w:rPr>
          <w:rFonts w:hint="eastAsia" w:ascii="宋体" w:hAnsi="宋体"/>
          <w:szCs w:val="28"/>
        </w:rPr>
      </w:pPr>
      <w:r>
        <w:rPr>
          <w:rFonts w:hint="eastAsia" w:ascii="宋体" w:hAnsi="宋体"/>
        </w:rPr>
        <w:t>我司为水泥孰料生产线污染物排放因子：粉尘、SO2、Nox、</w:t>
      </w:r>
      <w:r>
        <w:rPr>
          <w:rFonts w:hint="eastAsia" w:ascii="宋体" w:hAnsi="宋体" w:cs="楷体_GB2312"/>
          <w:szCs w:val="28"/>
        </w:rPr>
        <w:t>COD、氨氮、悬浮物，氟化物、汞及其化合物、氨</w:t>
      </w:r>
      <w:r>
        <w:rPr>
          <w:rFonts w:hint="eastAsia" w:ascii="宋体" w:hAnsi="宋体" w:cs="宋体"/>
          <w:szCs w:val="28"/>
        </w:rPr>
        <w:t>五日生化需氧量物、总磷。</w:t>
      </w:r>
    </w:p>
    <w:p>
      <w:pPr>
        <w:pStyle w:val="3"/>
        <w:tabs>
          <w:tab w:val="right" w:pos="8640"/>
        </w:tabs>
        <w:rPr>
          <w:rFonts w:hint="eastAsia" w:ascii="楷体_GB2312" w:hAnsi="楷体_GB2312" w:eastAsia="楷体_GB2312" w:cs="楷体_GB2312"/>
        </w:rPr>
      </w:pPr>
      <w:r>
        <w:rPr>
          <w:rFonts w:hint="eastAsia" w:ascii="楷体_GB2312" w:hAnsi="楷体_GB2312" w:eastAsia="楷体_GB2312" w:cs="楷体_GB2312"/>
        </w:rPr>
        <w:t>2.4 质量控制</w:t>
      </w:r>
      <w:bookmarkEnd w:id="797"/>
      <w:r>
        <w:rPr>
          <w:rFonts w:ascii="楷体_GB2312" w:hAnsi="楷体_GB2312" w:eastAsia="楷体_GB2312" w:cs="楷体_GB2312"/>
        </w:rPr>
        <w:tab/>
      </w:r>
    </w:p>
    <w:p>
      <w:pPr>
        <w:pStyle w:val="4"/>
        <w:ind w:firstLine="588"/>
        <w:rPr>
          <w:rFonts w:hint="eastAsia" w:ascii="楷体_GB2312" w:hAnsi="楷体_GB2312" w:eastAsia="楷体_GB2312" w:cs="楷体_GB2312"/>
        </w:rPr>
      </w:pPr>
      <w:bookmarkStart w:id="798" w:name="_Toc373998370"/>
      <w:r>
        <w:rPr>
          <w:rFonts w:hint="eastAsia" w:ascii="楷体_GB2312" w:hAnsi="楷体_GB2312" w:eastAsia="楷体_GB2312" w:cs="楷体_GB2312"/>
        </w:rPr>
        <w:t>2.4.1 手工监测质量控制</w:t>
      </w:r>
      <w:bookmarkEnd w:id="798"/>
    </w:p>
    <w:p>
      <w:pPr>
        <w:ind w:firstLine="588"/>
        <w:rPr>
          <w:rFonts w:hint="eastAsia" w:ascii="楷体_GB2312" w:hAnsi="楷体_GB2312" w:eastAsia="楷体_GB2312" w:cs="楷体_GB2312"/>
          <w:color w:val="000000"/>
        </w:rPr>
      </w:pPr>
      <w:r>
        <w:rPr>
          <w:rFonts w:hint="eastAsia" w:ascii="楷体_GB2312" w:hAnsi="楷体_GB2312" w:eastAsia="楷体_GB2312" w:cs="楷体_GB2312"/>
          <w:color w:val="000000"/>
        </w:rPr>
        <w:t>按照信息公开办法要求，我公司采取重庆市污染源监测数据发布平台定期向公众公开自行监测信息。 对自行监测结果及信息公开内容的真实性、准确性、完整性负责。</w:t>
      </w:r>
    </w:p>
    <w:p>
      <w:pPr>
        <w:autoSpaceDE w:val="0"/>
        <w:autoSpaceDN w:val="0"/>
        <w:ind w:firstLine="588"/>
        <w:rPr>
          <w:rFonts w:hint="eastAsia" w:ascii="楷体_GB2312" w:hAnsi="楷体_GB2312" w:eastAsia="楷体_GB2312" w:cs="楷体_GB2312"/>
          <w:color w:val="000000"/>
        </w:rPr>
      </w:pPr>
      <w:r>
        <w:rPr>
          <w:rFonts w:hint="eastAsia" w:ascii="楷体_GB2312" w:hAnsi="楷体_GB2312" w:eastAsia="楷体_GB2312" w:cs="楷体_GB2312"/>
          <w:color w:val="000000"/>
        </w:rPr>
        <w:t xml:space="preserve">（1）公司有自行监测工作开展所需的固定工作场所和必要的工作条件。 </w:t>
      </w:r>
    </w:p>
    <w:p>
      <w:pPr>
        <w:autoSpaceDE w:val="0"/>
        <w:autoSpaceDN w:val="0"/>
        <w:ind w:firstLine="588"/>
        <w:rPr>
          <w:rFonts w:hint="eastAsia" w:ascii="楷体_GB2312" w:hAnsi="楷体_GB2312" w:eastAsia="楷体_GB2312" w:cs="楷体_GB2312"/>
          <w:color w:val="000000"/>
        </w:rPr>
      </w:pPr>
      <w:r>
        <w:rPr>
          <w:rFonts w:hint="eastAsia" w:ascii="楷体_GB2312" w:hAnsi="楷体_GB2312" w:eastAsia="楷体_GB2312" w:cs="楷体_GB2312"/>
          <w:color w:val="000000"/>
        </w:rPr>
        <w:t>（2）具有与监测本公司排放污染物相适应的采样、分析等专业设备、设施。</w:t>
      </w:r>
    </w:p>
    <w:p>
      <w:pPr>
        <w:autoSpaceDE w:val="0"/>
        <w:autoSpaceDN w:val="0"/>
        <w:ind w:firstLine="588"/>
        <w:rPr>
          <w:rFonts w:hint="eastAsia" w:ascii="楷体_GB2312" w:hAnsi="楷体_GB2312" w:eastAsia="楷体_GB2312" w:cs="楷体_GB2312"/>
        </w:rPr>
      </w:pPr>
      <w:r>
        <w:rPr>
          <w:rFonts w:hint="eastAsia" w:ascii="楷体_GB2312" w:hAnsi="楷体_GB2312" w:eastAsia="楷体_GB2312" w:cs="楷体_GB2312"/>
        </w:rPr>
        <w:t xml:space="preserve">（3）手工检测所需仪器仪表由取得计量认证的社会检测机构或者环境保护主管部门所属环境监测机构进行强制检定，并每年进行复检。 </w:t>
      </w:r>
    </w:p>
    <w:p>
      <w:pPr>
        <w:autoSpaceDE w:val="0"/>
        <w:autoSpaceDN w:val="0"/>
        <w:ind w:firstLine="588"/>
        <w:rPr>
          <w:rFonts w:hint="eastAsia" w:ascii="楷体_GB2312" w:hAnsi="楷体_GB2312" w:eastAsia="楷体_GB2312" w:cs="楷体_GB2312"/>
          <w:color w:val="000000"/>
        </w:rPr>
      </w:pPr>
      <w:r>
        <w:rPr>
          <w:rFonts w:hint="eastAsia" w:ascii="楷体_GB2312" w:hAnsi="楷体_GB2312" w:eastAsia="楷体_GB2312" w:cs="楷体_GB2312"/>
          <w:color w:val="000000"/>
        </w:rPr>
        <w:t xml:space="preserve">（4）具有两名以上持有省级环保主管部门组织培训的、与监测事项相符的培训证书的专职人员在岗。 </w:t>
      </w:r>
    </w:p>
    <w:p>
      <w:pPr>
        <w:autoSpaceDE w:val="0"/>
        <w:autoSpaceDN w:val="0"/>
        <w:ind w:firstLine="588"/>
        <w:rPr>
          <w:rFonts w:hint="eastAsia" w:ascii="楷体_GB2312" w:hAnsi="楷体_GB2312" w:eastAsia="楷体_GB2312" w:cs="楷体_GB2312"/>
          <w:color w:val="000000"/>
        </w:rPr>
      </w:pPr>
      <w:r>
        <w:rPr>
          <w:rFonts w:hint="eastAsia" w:ascii="楷体_GB2312" w:hAnsi="楷体_GB2312" w:eastAsia="楷体_GB2312" w:cs="楷体_GB2312"/>
          <w:color w:val="000000"/>
        </w:rPr>
        <w:t>（5）制定并实施健全的环境监测工作和质量管理制度。</w:t>
      </w:r>
    </w:p>
    <w:p>
      <w:pPr>
        <w:autoSpaceDE w:val="0"/>
        <w:autoSpaceDN w:val="0"/>
        <w:ind w:firstLine="588"/>
        <w:rPr>
          <w:rFonts w:hint="eastAsia" w:ascii="楷体_GB2312" w:hAnsi="楷体_GB2312" w:eastAsia="楷体_GB2312" w:cs="楷体_GB2312"/>
        </w:rPr>
      </w:pPr>
      <w:r>
        <w:rPr>
          <w:rFonts w:hint="eastAsia" w:ascii="楷体_GB2312" w:hAnsi="楷体_GB2312" w:eastAsia="楷体_GB2312" w:cs="楷体_GB2312"/>
          <w:color w:val="000000"/>
        </w:rPr>
        <w:t xml:space="preserve">（6）符合环境保护主管部门规定的其他条件。 </w:t>
      </w:r>
    </w:p>
    <w:p>
      <w:pPr>
        <w:pStyle w:val="4"/>
        <w:ind w:firstLine="588"/>
        <w:rPr>
          <w:rFonts w:hint="eastAsia" w:ascii="楷体_GB2312" w:hAnsi="楷体_GB2312" w:eastAsia="楷体_GB2312" w:cs="楷体_GB2312"/>
        </w:rPr>
      </w:pPr>
      <w:bookmarkStart w:id="799" w:name="_Toc373998371"/>
      <w:r>
        <w:rPr>
          <w:rFonts w:hint="eastAsia" w:ascii="楷体_GB2312" w:hAnsi="楷体_GB2312" w:eastAsia="楷体_GB2312" w:cs="楷体_GB2312"/>
        </w:rPr>
        <w:t>2.4.2 自动监测质量控制</w:t>
      </w:r>
      <w:bookmarkEnd w:id="799"/>
    </w:p>
    <w:p>
      <w:pPr>
        <w:ind w:firstLine="588"/>
        <w:rPr>
          <w:rFonts w:hint="eastAsia" w:ascii="楷体_GB2312" w:hAnsi="楷体_GB2312" w:eastAsia="楷体_GB2312" w:cs="楷体_GB2312"/>
        </w:rPr>
      </w:pPr>
      <w:r>
        <w:rPr>
          <w:rFonts w:hint="eastAsia" w:ascii="楷体_GB2312" w:hAnsi="楷体_GB2312" w:eastAsia="楷体_GB2312" w:cs="楷体_GB2312"/>
        </w:rPr>
        <w:t>我公司自动监控系统规范建设，有效管理，正常运行。自动监控设备有《中国环境保护产品认证证书》和《环境监测仪器质量监督》合格报告，并按照规范安装，与环境保护主管部门联网，并通过环境保护主管部门验收。</w:t>
      </w:r>
    </w:p>
    <w:p>
      <w:pPr>
        <w:ind w:firstLine="588"/>
        <w:rPr>
          <w:rFonts w:hint="eastAsia" w:ascii="楷体_GB2312" w:hAnsi="楷体_GB2312" w:eastAsia="楷体_GB2312" w:cs="楷体_GB2312"/>
        </w:rPr>
      </w:pPr>
      <w:r>
        <w:rPr>
          <w:rFonts w:hint="eastAsia" w:ascii="楷体_GB2312" w:hAnsi="楷体_GB2312" w:eastAsia="楷体_GB2312" w:cs="楷体_GB2312"/>
        </w:rPr>
        <w:t>（1）按照环境监测技术规范和自动监控技术规范的要求安装自动监控设备，与环境保护主管部门联网，并通过环境保护主管部门验收；</w:t>
      </w:r>
    </w:p>
    <w:p>
      <w:pPr>
        <w:ind w:firstLine="588"/>
        <w:rPr>
          <w:rFonts w:hint="eastAsia" w:ascii="楷体_GB2312" w:hAnsi="楷体_GB2312" w:eastAsia="楷体_GB2312" w:cs="楷体_GB2312"/>
        </w:rPr>
      </w:pPr>
      <w:r>
        <w:rPr>
          <w:rFonts w:hint="eastAsia" w:ascii="楷体_GB2312" w:hAnsi="楷体_GB2312" w:eastAsia="楷体_GB2312" w:cs="楷体_GB2312"/>
        </w:rPr>
        <w:t>（2）具有两名以上持有省级环境保护主管部门颁发的污染源自动监测数据有效性审核培训证书的人员，对自动监测设备进行日常运行维护；</w:t>
      </w:r>
    </w:p>
    <w:p>
      <w:pPr>
        <w:ind w:firstLine="588"/>
        <w:rPr>
          <w:rFonts w:hint="eastAsia" w:ascii="楷体_GB2312" w:hAnsi="楷体_GB2312" w:eastAsia="楷体_GB2312" w:cs="楷体_GB2312"/>
        </w:rPr>
      </w:pPr>
      <w:r>
        <w:rPr>
          <w:rFonts w:hint="eastAsia" w:ascii="楷体_GB2312" w:hAnsi="楷体_GB2312" w:eastAsia="楷体_GB2312" w:cs="楷体_GB2312"/>
        </w:rPr>
        <w:t>（3）按照《国家重点监控企业自行监测及信息公开办法》的要求，由环境保护主管部门对自动监测设备进行有效性审核，通过有效性审核的自动监测设备监测的数据方可使用。</w:t>
      </w:r>
    </w:p>
    <w:p>
      <w:pPr>
        <w:pStyle w:val="3"/>
        <w:rPr>
          <w:rFonts w:hint="eastAsia" w:ascii="楷体_GB2312" w:hAnsi="楷体_GB2312" w:eastAsia="楷体_GB2312" w:cs="楷体_GB2312"/>
        </w:rPr>
      </w:pPr>
      <w:bookmarkStart w:id="800" w:name="_Toc373998372"/>
      <w:r>
        <w:rPr>
          <w:rFonts w:hint="eastAsia" w:ascii="楷体_GB2312" w:hAnsi="楷体_GB2312" w:eastAsia="楷体_GB2312" w:cs="楷体_GB2312"/>
        </w:rPr>
        <w:t>2.5 监测方法、依据和仪器</w:t>
      </w:r>
      <w:bookmarkEnd w:id="800"/>
    </w:p>
    <w:p>
      <w:pPr>
        <w:pStyle w:val="4"/>
        <w:ind w:firstLine="588"/>
        <w:rPr>
          <w:rFonts w:hint="eastAsia" w:ascii="楷体_GB2312" w:hAnsi="楷体_GB2312" w:eastAsia="楷体_GB2312" w:cs="楷体_GB2312"/>
        </w:rPr>
      </w:pPr>
      <w:bookmarkStart w:id="801" w:name="_Toc373998373"/>
      <w:r>
        <w:rPr>
          <w:rFonts w:hint="eastAsia" w:ascii="楷体_GB2312" w:hAnsi="楷体_GB2312" w:eastAsia="楷体_GB2312" w:cs="楷体_GB2312"/>
        </w:rPr>
        <w:t>2.5.1 手工监测方法、依据和仪器</w:t>
      </w:r>
      <w:bookmarkEnd w:id="801"/>
    </w:p>
    <w:p>
      <w:pPr>
        <w:ind w:firstLine="588"/>
        <w:rPr>
          <w:rFonts w:hint="eastAsia" w:ascii="楷体_GB2312" w:hAnsi="楷体_GB2312" w:eastAsia="楷体_GB2312" w:cs="楷体_GB2312"/>
        </w:rPr>
      </w:pPr>
      <w:r>
        <w:rPr>
          <w:rFonts w:hint="eastAsia" w:ascii="楷体_GB2312" w:hAnsi="楷体_GB2312" w:eastAsia="楷体_GB2312" w:cs="楷体_GB2312"/>
        </w:rPr>
        <w:t>手工监测方法、依据和仪器见表2-5-1。</w:t>
      </w:r>
    </w:p>
    <w:p>
      <w:pPr>
        <w:ind w:firstLine="504"/>
        <w:jc w:val="center"/>
        <w:rPr>
          <w:rFonts w:hint="eastAsia" w:ascii="楷体_GB2312" w:hAnsi="楷体_GB2312" w:eastAsia="楷体_GB2312" w:cs="楷体_GB2312"/>
          <w:b/>
          <w:szCs w:val="28"/>
        </w:rPr>
      </w:pPr>
      <w:r>
        <w:rPr>
          <w:rFonts w:hint="eastAsia" w:ascii="楷体_GB2312" w:hAnsi="楷体_GB2312" w:eastAsia="楷体_GB2312" w:cs="楷体_GB2312"/>
          <w:b/>
          <w:color w:val="000000"/>
          <w:sz w:val="24"/>
        </w:rPr>
        <w:t>表2-5-1</w:t>
      </w:r>
      <w:r>
        <w:rPr>
          <w:rFonts w:hint="eastAsia" w:ascii="楷体_GB2312" w:hAnsi="楷体_GB2312" w:eastAsia="楷体_GB2312" w:cs="楷体_GB2312"/>
          <w:b/>
          <w:sz w:val="24"/>
        </w:rPr>
        <w:t xml:space="preserve">  监测方法、依据和仪器表</w:t>
      </w:r>
    </w:p>
    <w:tbl>
      <w:tblPr>
        <w:tblStyle w:val="2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0"/>
        <w:gridCol w:w="1536"/>
        <w:gridCol w:w="3319"/>
        <w:gridCol w:w="2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0" w:type="dxa"/>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类别</w:t>
            </w:r>
          </w:p>
        </w:tc>
        <w:tc>
          <w:tcPr>
            <w:tcW w:w="1536" w:type="dxa"/>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监测项目</w:t>
            </w:r>
          </w:p>
        </w:tc>
        <w:tc>
          <w:tcPr>
            <w:tcW w:w="3319" w:type="dxa"/>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监测方法及监测依据</w:t>
            </w:r>
          </w:p>
        </w:tc>
        <w:tc>
          <w:tcPr>
            <w:tcW w:w="2513" w:type="dxa"/>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监测仪器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0" w:type="dxa"/>
            <w:vMerge w:val="restart"/>
            <w:vAlign w:val="center"/>
          </w:tcPr>
          <w:p>
            <w:pPr>
              <w:ind w:firstLine="0" w:firstLineChars="0"/>
              <w:jc w:val="center"/>
              <w:rPr>
                <w:rFonts w:hint="eastAsia" w:ascii="楷体_GB2312" w:hAnsi="楷体_GB2312" w:eastAsia="楷体_GB2312" w:cs="楷体_GB2312"/>
                <w:sz w:val="24"/>
              </w:rPr>
            </w:pPr>
            <w:r>
              <w:rPr>
                <w:rFonts w:hint="eastAsia" w:ascii="宋体" w:hAnsi="宋体" w:cs="宋体"/>
                <w:sz w:val="24"/>
              </w:rPr>
              <w:t>工业</w:t>
            </w:r>
            <w:r>
              <w:rPr>
                <w:rFonts w:hint="eastAsia" w:ascii="楷体_GB2312" w:hAnsi="楷体_GB2312" w:eastAsia="楷体_GB2312" w:cs="楷体_GB2312"/>
                <w:sz w:val="24"/>
              </w:rPr>
              <w:t>废水</w:t>
            </w:r>
          </w:p>
        </w:tc>
        <w:tc>
          <w:tcPr>
            <w:tcW w:w="1536"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COD</w:t>
            </w:r>
          </w:p>
        </w:tc>
        <w:tc>
          <w:tcPr>
            <w:tcW w:w="3319" w:type="dxa"/>
            <w:vAlign w:val="center"/>
          </w:tcPr>
          <w:p>
            <w:pPr>
              <w:ind w:firstLine="0" w:firstLineChars="0"/>
              <w:jc w:val="center"/>
              <w:rPr>
                <w:rFonts w:hint="eastAsia" w:ascii="宋体" w:hAnsi="宋体" w:cs="楷体_GB2312"/>
                <w:color w:val="000000"/>
                <w:sz w:val="24"/>
              </w:rPr>
            </w:pPr>
            <w:r>
              <w:rPr>
                <w:rFonts w:ascii="宋体" w:hAnsi="宋体"/>
                <w:color w:val="000000"/>
                <w:sz w:val="24"/>
              </w:rPr>
              <w:t>水质 化学需氧量的测定 重铬酸盐法 GB 11914-198</w:t>
            </w:r>
          </w:p>
        </w:tc>
        <w:tc>
          <w:tcPr>
            <w:tcW w:w="2513" w:type="dxa"/>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0" w:type="dxa"/>
            <w:vMerge w:val="continue"/>
            <w:vAlign w:val="center"/>
          </w:tcPr>
          <w:p>
            <w:pPr>
              <w:ind w:firstLine="0" w:firstLineChars="0"/>
              <w:jc w:val="center"/>
              <w:rPr>
                <w:rFonts w:hint="eastAsia" w:ascii="楷体_GB2312" w:hAnsi="楷体_GB2312" w:eastAsia="楷体_GB2312" w:cs="楷体_GB2312"/>
                <w:sz w:val="24"/>
              </w:rPr>
            </w:pPr>
          </w:p>
        </w:tc>
        <w:tc>
          <w:tcPr>
            <w:tcW w:w="1536" w:type="dxa"/>
            <w:vAlign w:val="center"/>
          </w:tcPr>
          <w:p>
            <w:pPr>
              <w:ind w:firstLine="0" w:firstLineChars="0"/>
              <w:jc w:val="center"/>
              <w:rPr>
                <w:rFonts w:hint="eastAsia" w:ascii="楷体_GB2312" w:hAnsi="楷体_GB2312" w:eastAsia="楷体_GB2312" w:cs="楷体_GB2312"/>
                <w:sz w:val="24"/>
              </w:rPr>
            </w:pPr>
            <w:r>
              <w:rPr>
                <w:rFonts w:hint="eastAsia" w:ascii="宋体" w:hAnsi="宋体" w:cs="宋体"/>
                <w:sz w:val="24"/>
              </w:rPr>
              <w:t>悬浮物</w:t>
            </w:r>
          </w:p>
        </w:tc>
        <w:tc>
          <w:tcPr>
            <w:tcW w:w="3319" w:type="dxa"/>
            <w:vAlign w:val="center"/>
          </w:tcPr>
          <w:p>
            <w:pPr>
              <w:ind w:firstLine="0" w:firstLineChars="0"/>
              <w:jc w:val="center"/>
              <w:rPr>
                <w:rFonts w:hint="eastAsia" w:ascii="宋体" w:hAnsi="宋体" w:cs="楷体_GB2312"/>
                <w:color w:val="000000"/>
                <w:sz w:val="24"/>
              </w:rPr>
            </w:pPr>
            <w:r>
              <w:rPr>
                <w:rFonts w:ascii="宋体" w:hAnsi="宋体"/>
                <w:color w:val="000000"/>
                <w:sz w:val="24"/>
              </w:rPr>
              <w:t>水质 悬浮物的测定 重量法 GB 11901-1989</w:t>
            </w:r>
          </w:p>
        </w:tc>
        <w:tc>
          <w:tcPr>
            <w:tcW w:w="2513" w:type="dxa"/>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0" w:type="dxa"/>
            <w:vMerge w:val="continue"/>
            <w:vAlign w:val="center"/>
          </w:tcPr>
          <w:p>
            <w:pPr>
              <w:ind w:firstLine="0" w:firstLineChars="0"/>
              <w:jc w:val="center"/>
              <w:rPr>
                <w:rFonts w:hint="eastAsia" w:ascii="楷体_GB2312" w:hAnsi="楷体_GB2312" w:eastAsia="楷体_GB2312" w:cs="楷体_GB2312"/>
                <w:sz w:val="24"/>
              </w:rPr>
            </w:pPr>
          </w:p>
        </w:tc>
        <w:tc>
          <w:tcPr>
            <w:tcW w:w="1536"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PH</w:t>
            </w:r>
          </w:p>
        </w:tc>
        <w:tc>
          <w:tcPr>
            <w:tcW w:w="3319" w:type="dxa"/>
            <w:vAlign w:val="center"/>
          </w:tcPr>
          <w:p>
            <w:pPr>
              <w:ind w:firstLine="0" w:firstLineChars="0"/>
              <w:jc w:val="center"/>
              <w:rPr>
                <w:rFonts w:hint="eastAsia" w:ascii="宋体" w:hAnsi="宋体" w:cs="楷体_GB2312"/>
                <w:color w:val="000000"/>
                <w:sz w:val="24"/>
              </w:rPr>
            </w:pPr>
            <w:r>
              <w:rPr>
                <w:rFonts w:ascii="宋体" w:hAnsi="宋体"/>
                <w:color w:val="000000"/>
                <w:sz w:val="24"/>
              </w:rPr>
              <w:t>水质 pH值的测定 玻璃电极法 GB 6920-1986</w:t>
            </w:r>
          </w:p>
        </w:tc>
        <w:tc>
          <w:tcPr>
            <w:tcW w:w="2513" w:type="dxa"/>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0" w:type="dxa"/>
            <w:vMerge w:val="continue"/>
            <w:vAlign w:val="center"/>
          </w:tcPr>
          <w:p>
            <w:pPr>
              <w:ind w:firstLine="0" w:firstLineChars="0"/>
              <w:jc w:val="center"/>
              <w:rPr>
                <w:rFonts w:hint="eastAsia" w:ascii="楷体_GB2312" w:hAnsi="楷体_GB2312" w:eastAsia="楷体_GB2312" w:cs="楷体_GB2312"/>
                <w:sz w:val="24"/>
              </w:rPr>
            </w:pPr>
          </w:p>
        </w:tc>
        <w:tc>
          <w:tcPr>
            <w:tcW w:w="1536" w:type="dxa"/>
            <w:vAlign w:val="center"/>
          </w:tcPr>
          <w:p>
            <w:pPr>
              <w:ind w:firstLine="0" w:firstLineChars="0"/>
              <w:jc w:val="center"/>
              <w:rPr>
                <w:rFonts w:hint="eastAsia" w:ascii="楷体_GB2312" w:hAnsi="楷体_GB2312" w:eastAsia="楷体_GB2312" w:cs="楷体_GB2312"/>
                <w:sz w:val="24"/>
              </w:rPr>
            </w:pPr>
            <w:r>
              <w:rPr>
                <w:rFonts w:hint="eastAsia" w:ascii="宋体" w:hAnsi="宋体" w:cs="宋体"/>
                <w:sz w:val="24"/>
              </w:rPr>
              <w:t>石油类</w:t>
            </w:r>
          </w:p>
        </w:tc>
        <w:tc>
          <w:tcPr>
            <w:tcW w:w="3319" w:type="dxa"/>
            <w:vAlign w:val="center"/>
          </w:tcPr>
          <w:p>
            <w:pPr>
              <w:ind w:firstLine="0" w:firstLineChars="0"/>
              <w:jc w:val="center"/>
              <w:rPr>
                <w:rFonts w:hint="eastAsia" w:ascii="宋体" w:hAnsi="宋体" w:cs="楷体_GB2312"/>
                <w:color w:val="000000"/>
                <w:sz w:val="24"/>
              </w:rPr>
            </w:pPr>
            <w:r>
              <w:rPr>
                <w:rFonts w:ascii="宋体" w:hAnsi="宋体"/>
                <w:color w:val="000000"/>
                <w:sz w:val="24"/>
              </w:rPr>
              <w:t>水质 石油类和动植物油的测定 红外光度法 GB/T 16488-1996</w:t>
            </w:r>
          </w:p>
        </w:tc>
        <w:tc>
          <w:tcPr>
            <w:tcW w:w="2513" w:type="dxa"/>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0" w:type="dxa"/>
            <w:vMerge w:val="continue"/>
            <w:vAlign w:val="center"/>
          </w:tcPr>
          <w:p>
            <w:pPr>
              <w:ind w:firstLine="0" w:firstLineChars="0"/>
              <w:jc w:val="center"/>
              <w:rPr>
                <w:rFonts w:hint="eastAsia" w:ascii="楷体_GB2312" w:hAnsi="楷体_GB2312" w:eastAsia="楷体_GB2312" w:cs="楷体_GB2312"/>
                <w:sz w:val="24"/>
              </w:rPr>
            </w:pPr>
          </w:p>
        </w:tc>
        <w:tc>
          <w:tcPr>
            <w:tcW w:w="1536" w:type="dxa"/>
            <w:vAlign w:val="center"/>
          </w:tcPr>
          <w:p>
            <w:pPr>
              <w:ind w:firstLine="0" w:firstLineChars="0"/>
              <w:jc w:val="center"/>
              <w:rPr>
                <w:rFonts w:hint="eastAsia" w:ascii="宋体" w:hAnsi="宋体" w:cs="宋体"/>
                <w:sz w:val="24"/>
              </w:rPr>
            </w:pPr>
            <w:r>
              <w:rPr>
                <w:rFonts w:hint="eastAsia" w:ascii="宋体" w:hAnsi="宋体" w:cs="宋体"/>
                <w:sz w:val="24"/>
              </w:rPr>
              <w:t>氟化物</w:t>
            </w:r>
          </w:p>
        </w:tc>
        <w:tc>
          <w:tcPr>
            <w:tcW w:w="3319" w:type="dxa"/>
            <w:vAlign w:val="center"/>
          </w:tcPr>
          <w:p>
            <w:pPr>
              <w:ind w:firstLine="0" w:firstLineChars="0"/>
              <w:jc w:val="center"/>
              <w:rPr>
                <w:rFonts w:ascii="宋体" w:hAnsi="宋体"/>
                <w:color w:val="000000"/>
                <w:sz w:val="24"/>
              </w:rPr>
            </w:pPr>
            <w:r>
              <w:rPr>
                <w:rFonts w:ascii="宋体" w:hAnsi="宋体"/>
                <w:color w:val="000000"/>
                <w:sz w:val="24"/>
              </w:rPr>
              <w:t>质 氟化物的测定 氟试剂分光光度法HJ 488—2009 代替GB 7483—87</w:t>
            </w:r>
          </w:p>
        </w:tc>
        <w:tc>
          <w:tcPr>
            <w:tcW w:w="2513" w:type="dxa"/>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0" w:type="dxa"/>
            <w:vMerge w:val="restart"/>
            <w:vAlign w:val="center"/>
          </w:tcPr>
          <w:p>
            <w:pPr>
              <w:ind w:firstLine="0" w:firstLineChars="0"/>
              <w:jc w:val="center"/>
              <w:rPr>
                <w:rFonts w:hint="eastAsia" w:ascii="楷体_GB2312" w:hAnsi="楷体_GB2312" w:eastAsia="楷体_GB2312" w:cs="楷体_GB2312"/>
                <w:sz w:val="24"/>
              </w:rPr>
            </w:pPr>
            <w:r>
              <w:rPr>
                <w:rFonts w:hint="eastAsia" w:ascii="宋体" w:hAnsi="宋体" w:cs="宋体"/>
                <w:sz w:val="24"/>
              </w:rPr>
              <w:t>生活废水</w:t>
            </w:r>
          </w:p>
        </w:tc>
        <w:tc>
          <w:tcPr>
            <w:tcW w:w="1536" w:type="dxa"/>
            <w:vAlign w:val="center"/>
          </w:tcPr>
          <w:p>
            <w:pPr>
              <w:ind w:firstLine="0" w:firstLineChars="0"/>
              <w:jc w:val="center"/>
              <w:rPr>
                <w:rFonts w:ascii="宋体" w:hAnsi="宋体"/>
                <w:color w:val="000000"/>
                <w:sz w:val="24"/>
              </w:rPr>
            </w:pPr>
            <w:r>
              <w:rPr>
                <w:rFonts w:ascii="宋体" w:hAnsi="宋体"/>
                <w:color w:val="000000"/>
                <w:sz w:val="24"/>
              </w:rPr>
              <w:t>化学需氧量</w:t>
            </w:r>
          </w:p>
        </w:tc>
        <w:tc>
          <w:tcPr>
            <w:tcW w:w="3319" w:type="dxa"/>
            <w:vAlign w:val="top"/>
          </w:tcPr>
          <w:p>
            <w:pPr>
              <w:ind w:firstLine="480"/>
              <w:jc w:val="center"/>
              <w:rPr>
                <w:rFonts w:ascii="宋体" w:hAnsi="宋体"/>
                <w:color w:val="000000"/>
                <w:sz w:val="24"/>
              </w:rPr>
            </w:pPr>
            <w:r>
              <w:rPr>
                <w:rFonts w:ascii="宋体" w:hAnsi="宋体"/>
                <w:color w:val="000000"/>
                <w:sz w:val="24"/>
              </w:rPr>
              <w:t>水质 化学需氧量的测定 快速消解分光光度法 HJ/T 399-2007</w:t>
            </w:r>
          </w:p>
        </w:tc>
        <w:tc>
          <w:tcPr>
            <w:tcW w:w="2513" w:type="dxa"/>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0" w:type="dxa"/>
            <w:vMerge w:val="continue"/>
            <w:vAlign w:val="center"/>
          </w:tcPr>
          <w:p>
            <w:pPr>
              <w:ind w:firstLine="0" w:firstLineChars="0"/>
              <w:jc w:val="center"/>
              <w:rPr>
                <w:rFonts w:hint="eastAsia" w:ascii="楷体_GB2312" w:hAnsi="楷体_GB2312" w:eastAsia="楷体_GB2312" w:cs="楷体_GB2312"/>
                <w:sz w:val="24"/>
              </w:rPr>
            </w:pPr>
          </w:p>
        </w:tc>
        <w:tc>
          <w:tcPr>
            <w:tcW w:w="1536" w:type="dxa"/>
            <w:vAlign w:val="center"/>
          </w:tcPr>
          <w:p>
            <w:pPr>
              <w:ind w:firstLine="0" w:firstLineChars="0"/>
              <w:jc w:val="center"/>
              <w:rPr>
                <w:rFonts w:ascii="宋体" w:hAnsi="宋体"/>
                <w:color w:val="000000"/>
                <w:sz w:val="24"/>
              </w:rPr>
            </w:pPr>
            <w:r>
              <w:rPr>
                <w:rFonts w:ascii="宋体" w:hAnsi="宋体"/>
                <w:color w:val="000000"/>
                <w:sz w:val="24"/>
              </w:rPr>
              <w:t>五日生化需氧量</w:t>
            </w:r>
          </w:p>
        </w:tc>
        <w:tc>
          <w:tcPr>
            <w:tcW w:w="3319" w:type="dxa"/>
            <w:vAlign w:val="top"/>
          </w:tcPr>
          <w:p>
            <w:pPr>
              <w:ind w:firstLine="480"/>
              <w:jc w:val="center"/>
              <w:rPr>
                <w:rFonts w:ascii="宋体" w:hAnsi="宋体"/>
                <w:color w:val="000000"/>
                <w:sz w:val="24"/>
              </w:rPr>
            </w:pPr>
            <w:r>
              <w:rPr>
                <w:rFonts w:ascii="宋体" w:hAnsi="宋体"/>
                <w:color w:val="000000"/>
                <w:sz w:val="24"/>
              </w:rPr>
              <w:t>水质 五日生化需氧量（BOD5）的测定 稀释与接种法 HJ505-2009</w:t>
            </w:r>
          </w:p>
        </w:tc>
        <w:tc>
          <w:tcPr>
            <w:tcW w:w="2513" w:type="dxa"/>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0" w:type="dxa"/>
            <w:vMerge w:val="continue"/>
            <w:vAlign w:val="center"/>
          </w:tcPr>
          <w:p>
            <w:pPr>
              <w:ind w:firstLine="0" w:firstLineChars="0"/>
              <w:jc w:val="center"/>
              <w:rPr>
                <w:rFonts w:hint="eastAsia" w:ascii="楷体_GB2312" w:hAnsi="楷体_GB2312" w:eastAsia="楷体_GB2312" w:cs="楷体_GB2312"/>
                <w:sz w:val="24"/>
              </w:rPr>
            </w:pPr>
          </w:p>
        </w:tc>
        <w:tc>
          <w:tcPr>
            <w:tcW w:w="1536" w:type="dxa"/>
            <w:vAlign w:val="center"/>
          </w:tcPr>
          <w:p>
            <w:pPr>
              <w:ind w:firstLine="0" w:firstLineChars="0"/>
              <w:jc w:val="center"/>
              <w:rPr>
                <w:rFonts w:ascii="宋体" w:hAnsi="宋体"/>
                <w:color w:val="000000"/>
                <w:sz w:val="24"/>
              </w:rPr>
            </w:pPr>
            <w:r>
              <w:rPr>
                <w:rFonts w:ascii="宋体" w:hAnsi="宋体"/>
                <w:color w:val="000000"/>
                <w:sz w:val="24"/>
              </w:rPr>
              <w:t>悬浮物</w:t>
            </w:r>
          </w:p>
        </w:tc>
        <w:tc>
          <w:tcPr>
            <w:tcW w:w="3319" w:type="dxa"/>
            <w:vAlign w:val="top"/>
          </w:tcPr>
          <w:p>
            <w:pPr>
              <w:ind w:firstLine="480"/>
              <w:jc w:val="center"/>
              <w:rPr>
                <w:rFonts w:ascii="宋体" w:hAnsi="宋体"/>
                <w:color w:val="000000"/>
                <w:sz w:val="24"/>
              </w:rPr>
            </w:pPr>
            <w:r>
              <w:rPr>
                <w:rFonts w:ascii="宋体" w:hAnsi="宋体"/>
                <w:color w:val="000000"/>
                <w:sz w:val="24"/>
              </w:rPr>
              <w:t>水质 悬浮物的测定 重量法 GB 11901-1989</w:t>
            </w:r>
          </w:p>
        </w:tc>
        <w:tc>
          <w:tcPr>
            <w:tcW w:w="2513" w:type="dxa"/>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0" w:type="dxa"/>
            <w:vMerge w:val="continue"/>
            <w:vAlign w:val="center"/>
          </w:tcPr>
          <w:p>
            <w:pPr>
              <w:ind w:firstLine="0" w:firstLineChars="0"/>
              <w:jc w:val="center"/>
              <w:rPr>
                <w:rFonts w:hint="eastAsia" w:ascii="楷体_GB2312" w:hAnsi="楷体_GB2312" w:eastAsia="楷体_GB2312" w:cs="楷体_GB2312"/>
                <w:sz w:val="24"/>
              </w:rPr>
            </w:pPr>
          </w:p>
        </w:tc>
        <w:tc>
          <w:tcPr>
            <w:tcW w:w="1536" w:type="dxa"/>
            <w:vAlign w:val="center"/>
          </w:tcPr>
          <w:p>
            <w:pPr>
              <w:ind w:firstLine="0" w:firstLineChars="0"/>
              <w:jc w:val="center"/>
              <w:rPr>
                <w:rFonts w:ascii="宋体" w:hAnsi="宋体"/>
                <w:color w:val="000000"/>
                <w:sz w:val="24"/>
              </w:rPr>
            </w:pPr>
            <w:r>
              <w:rPr>
                <w:rFonts w:ascii="宋体" w:hAnsi="宋体"/>
                <w:color w:val="000000"/>
                <w:sz w:val="24"/>
              </w:rPr>
              <w:t>总磷（以P计）</w:t>
            </w:r>
          </w:p>
        </w:tc>
        <w:tc>
          <w:tcPr>
            <w:tcW w:w="3319" w:type="dxa"/>
            <w:vAlign w:val="top"/>
          </w:tcPr>
          <w:p>
            <w:pPr>
              <w:ind w:firstLine="480"/>
              <w:jc w:val="center"/>
              <w:rPr>
                <w:rFonts w:ascii="宋体" w:hAnsi="宋体"/>
                <w:color w:val="000000"/>
                <w:sz w:val="24"/>
              </w:rPr>
            </w:pPr>
            <w:r>
              <w:rPr>
                <w:rFonts w:ascii="宋体" w:hAnsi="宋体"/>
                <w:color w:val="000000"/>
                <w:sz w:val="24"/>
              </w:rPr>
              <w:t>水质 总磷的测定 钼酸铵分光光度法 GB 11893-1989</w:t>
            </w:r>
          </w:p>
        </w:tc>
        <w:tc>
          <w:tcPr>
            <w:tcW w:w="2513" w:type="dxa"/>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0" w:type="dxa"/>
            <w:vMerge w:val="continue"/>
            <w:vAlign w:val="center"/>
          </w:tcPr>
          <w:p>
            <w:pPr>
              <w:ind w:firstLine="0" w:firstLineChars="0"/>
              <w:jc w:val="center"/>
              <w:rPr>
                <w:rFonts w:hint="eastAsia" w:ascii="楷体_GB2312" w:hAnsi="楷体_GB2312" w:eastAsia="楷体_GB2312" w:cs="楷体_GB2312"/>
                <w:sz w:val="24"/>
              </w:rPr>
            </w:pPr>
          </w:p>
        </w:tc>
        <w:tc>
          <w:tcPr>
            <w:tcW w:w="1536" w:type="dxa"/>
            <w:vAlign w:val="center"/>
          </w:tcPr>
          <w:p>
            <w:pPr>
              <w:ind w:firstLine="0" w:firstLineChars="0"/>
              <w:jc w:val="center"/>
              <w:rPr>
                <w:rFonts w:ascii="宋体" w:hAnsi="宋体"/>
                <w:color w:val="000000"/>
                <w:sz w:val="24"/>
              </w:rPr>
            </w:pPr>
            <w:r>
              <w:rPr>
                <w:rFonts w:ascii="宋体" w:hAnsi="宋体"/>
                <w:color w:val="000000"/>
                <w:sz w:val="24"/>
              </w:rPr>
              <w:t>氨氮（NH3-N）</w:t>
            </w:r>
          </w:p>
        </w:tc>
        <w:tc>
          <w:tcPr>
            <w:tcW w:w="3319" w:type="dxa"/>
            <w:vAlign w:val="top"/>
          </w:tcPr>
          <w:p>
            <w:pPr>
              <w:ind w:firstLine="480"/>
              <w:jc w:val="center"/>
              <w:rPr>
                <w:rFonts w:ascii="宋体" w:hAnsi="宋体"/>
                <w:color w:val="000000"/>
                <w:sz w:val="24"/>
              </w:rPr>
            </w:pPr>
            <w:r>
              <w:rPr>
                <w:rFonts w:ascii="宋体" w:hAnsi="宋体"/>
                <w:color w:val="000000"/>
                <w:sz w:val="24"/>
              </w:rPr>
              <w:t>水质 氨氮的测定 纳氏试剂分光光度法 HJ 535-2009</w:t>
            </w:r>
          </w:p>
        </w:tc>
        <w:tc>
          <w:tcPr>
            <w:tcW w:w="2513" w:type="dxa"/>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0" w:type="dxa"/>
            <w:vMerge w:val="continue"/>
            <w:vAlign w:val="center"/>
          </w:tcPr>
          <w:p>
            <w:pPr>
              <w:ind w:firstLine="0" w:firstLineChars="0"/>
              <w:jc w:val="center"/>
              <w:rPr>
                <w:rFonts w:hint="eastAsia" w:ascii="楷体_GB2312" w:hAnsi="楷体_GB2312" w:eastAsia="楷体_GB2312" w:cs="楷体_GB2312"/>
                <w:sz w:val="24"/>
              </w:rPr>
            </w:pPr>
          </w:p>
        </w:tc>
        <w:tc>
          <w:tcPr>
            <w:tcW w:w="1536" w:type="dxa"/>
            <w:vAlign w:val="center"/>
          </w:tcPr>
          <w:p>
            <w:pPr>
              <w:ind w:firstLine="0" w:firstLineChars="0"/>
              <w:jc w:val="center"/>
              <w:rPr>
                <w:rFonts w:ascii="宋体" w:hAnsi="宋体"/>
                <w:color w:val="000000"/>
                <w:sz w:val="24"/>
              </w:rPr>
            </w:pPr>
            <w:r>
              <w:rPr>
                <w:rFonts w:ascii="宋体" w:hAnsi="宋体"/>
                <w:color w:val="000000"/>
                <w:sz w:val="24"/>
              </w:rPr>
              <w:t>pH值</w:t>
            </w:r>
          </w:p>
        </w:tc>
        <w:tc>
          <w:tcPr>
            <w:tcW w:w="3319" w:type="dxa"/>
            <w:vAlign w:val="top"/>
          </w:tcPr>
          <w:p>
            <w:pPr>
              <w:ind w:firstLine="480"/>
              <w:jc w:val="center"/>
              <w:rPr>
                <w:rFonts w:ascii="宋体" w:hAnsi="宋体"/>
                <w:color w:val="000000"/>
                <w:sz w:val="24"/>
              </w:rPr>
            </w:pPr>
            <w:r>
              <w:rPr>
                <w:rFonts w:ascii="宋体" w:hAnsi="宋体"/>
                <w:color w:val="000000"/>
                <w:sz w:val="24"/>
              </w:rPr>
              <w:t>水质 pH值的测定 玻璃电极法 GB 6920-1986</w:t>
            </w:r>
          </w:p>
        </w:tc>
        <w:tc>
          <w:tcPr>
            <w:tcW w:w="2513" w:type="dxa"/>
            <w:vAlign w:val="center"/>
          </w:tcPr>
          <w:p>
            <w:pPr>
              <w:ind w:firstLine="0" w:firstLineChars="0"/>
              <w:jc w:val="center"/>
              <w:rPr>
                <w:rFonts w:hint="eastAsia" w:ascii="楷体_GB2312" w:hAnsi="楷体_GB2312" w:eastAsia="楷体_GB2312" w:cs="楷体_GB2312"/>
                <w:sz w:val="24"/>
              </w:rPr>
            </w:pPr>
          </w:p>
        </w:tc>
      </w:tr>
    </w:tbl>
    <w:p>
      <w:pPr>
        <w:pStyle w:val="4"/>
        <w:ind w:firstLine="0" w:firstLineChars="0"/>
        <w:rPr>
          <w:rFonts w:hint="eastAsia" w:ascii="楷体_GB2312" w:hAnsi="楷体_GB2312" w:eastAsia="楷体_GB2312" w:cs="楷体_GB2312"/>
        </w:rPr>
      </w:pPr>
      <w:bookmarkStart w:id="802" w:name="_Toc373998374"/>
      <w:r>
        <w:rPr>
          <w:rFonts w:hint="eastAsia" w:ascii="楷体_GB2312" w:hAnsi="楷体_GB2312" w:eastAsia="楷体_GB2312" w:cs="楷体_GB2312"/>
        </w:rPr>
        <w:t>自动监测方法、依据和仪器</w:t>
      </w:r>
      <w:bookmarkEnd w:id="802"/>
    </w:p>
    <w:p>
      <w:pPr>
        <w:ind w:firstLine="588"/>
        <w:rPr>
          <w:rFonts w:hint="eastAsia" w:ascii="楷体_GB2312" w:hAnsi="楷体_GB2312" w:eastAsia="楷体_GB2312" w:cs="楷体_GB2312"/>
        </w:rPr>
      </w:pPr>
      <w:r>
        <w:rPr>
          <w:rFonts w:hint="eastAsia" w:ascii="楷体_GB2312" w:hAnsi="楷体_GB2312" w:eastAsia="楷体_GB2312" w:cs="楷体_GB2312"/>
        </w:rPr>
        <w:t>自动监测仪器原理、名称和型号见表2-5-2。</w:t>
      </w:r>
    </w:p>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b/>
          <w:bCs/>
          <w:sz w:val="24"/>
        </w:rPr>
        <w:t>表2-5-2 自动监测评价标准、依据及其限值</w:t>
      </w:r>
    </w:p>
    <w:tbl>
      <w:tblPr>
        <w:tblStyle w:val="21"/>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956"/>
        <w:gridCol w:w="2700"/>
        <w:gridCol w:w="3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 w:type="dxa"/>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类别</w:t>
            </w:r>
          </w:p>
        </w:tc>
        <w:tc>
          <w:tcPr>
            <w:tcW w:w="1956" w:type="dxa"/>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监测项目</w:t>
            </w:r>
          </w:p>
        </w:tc>
        <w:tc>
          <w:tcPr>
            <w:tcW w:w="2700" w:type="dxa"/>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监测方法（原理）</w:t>
            </w:r>
          </w:p>
        </w:tc>
        <w:tc>
          <w:tcPr>
            <w:tcW w:w="3348" w:type="dxa"/>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监测仪器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 w:type="dxa"/>
            <w:vMerge w:val="restart"/>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废气</w:t>
            </w:r>
          </w:p>
        </w:tc>
        <w:tc>
          <w:tcPr>
            <w:tcW w:w="1956" w:type="dxa"/>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流速（流量）</w:t>
            </w:r>
          </w:p>
        </w:tc>
        <w:tc>
          <w:tcPr>
            <w:tcW w:w="2700" w:type="dxa"/>
            <w:vAlign w:val="center"/>
          </w:tcPr>
          <w:p>
            <w:pPr>
              <w:spacing w:line="240" w:lineRule="auto"/>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压差传感法</w:t>
            </w:r>
          </w:p>
        </w:tc>
        <w:tc>
          <w:tcPr>
            <w:tcW w:w="3348" w:type="dxa"/>
            <w:vAlign w:val="center"/>
          </w:tcPr>
          <w:p>
            <w:pPr>
              <w:spacing w:line="240" w:lineRule="auto"/>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 xml:space="preserve">深圳彩虹谷：流速温度压力一体化测量仪 </w:t>
            </w:r>
            <w:r>
              <w:rPr>
                <w:rFonts w:hint="eastAsia" w:ascii="楷体_GB2312" w:hAnsi="楷体_GB2312" w:eastAsia="楷体_GB2312" w:cs="楷体_GB2312"/>
                <w:bCs/>
                <w:color w:val="000000"/>
                <w:sz w:val="24"/>
              </w:rPr>
              <w:t>RBV-TPF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 w:type="dxa"/>
            <w:vMerge w:val="continue"/>
            <w:vAlign w:val="center"/>
          </w:tcPr>
          <w:p>
            <w:pPr>
              <w:ind w:firstLine="0" w:firstLineChars="0"/>
              <w:jc w:val="center"/>
              <w:rPr>
                <w:rFonts w:hint="eastAsia" w:ascii="楷体_GB2312" w:hAnsi="楷体_GB2312" w:eastAsia="楷体_GB2312" w:cs="楷体_GB2312"/>
                <w:sz w:val="24"/>
              </w:rPr>
            </w:pPr>
          </w:p>
        </w:tc>
        <w:tc>
          <w:tcPr>
            <w:tcW w:w="1956"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二氧化硫</w:t>
            </w:r>
          </w:p>
        </w:tc>
        <w:tc>
          <w:tcPr>
            <w:tcW w:w="2700" w:type="dxa"/>
            <w:vAlign w:val="center"/>
          </w:tcPr>
          <w:p>
            <w:pPr>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非色散型红外线吸收法</w:t>
            </w:r>
          </w:p>
        </w:tc>
        <w:tc>
          <w:tcPr>
            <w:tcW w:w="3348" w:type="dxa"/>
            <w:vAlign w:val="center"/>
          </w:tcPr>
          <w:p>
            <w:pPr>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岛津：NSA-3080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 w:type="dxa"/>
            <w:vMerge w:val="continue"/>
            <w:vAlign w:val="center"/>
          </w:tcPr>
          <w:p>
            <w:pPr>
              <w:ind w:firstLine="0" w:firstLineChars="0"/>
              <w:jc w:val="center"/>
              <w:rPr>
                <w:rFonts w:hint="eastAsia" w:ascii="楷体_GB2312" w:hAnsi="楷体_GB2312" w:eastAsia="楷体_GB2312" w:cs="楷体_GB2312"/>
                <w:sz w:val="24"/>
              </w:rPr>
            </w:pPr>
          </w:p>
        </w:tc>
        <w:tc>
          <w:tcPr>
            <w:tcW w:w="1956"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NOx</w:t>
            </w:r>
          </w:p>
        </w:tc>
        <w:tc>
          <w:tcPr>
            <w:tcW w:w="2700" w:type="dxa"/>
            <w:vAlign w:val="center"/>
          </w:tcPr>
          <w:p>
            <w:pPr>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非色散型红外线吸收法</w:t>
            </w:r>
          </w:p>
        </w:tc>
        <w:tc>
          <w:tcPr>
            <w:tcW w:w="3348" w:type="dxa"/>
            <w:vAlign w:val="center"/>
          </w:tcPr>
          <w:p>
            <w:pPr>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岛津：NSA-3080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 w:type="dxa"/>
            <w:vMerge w:val="continue"/>
            <w:vAlign w:val="center"/>
          </w:tcPr>
          <w:p>
            <w:pPr>
              <w:ind w:firstLine="0" w:firstLineChars="0"/>
              <w:jc w:val="center"/>
              <w:rPr>
                <w:rFonts w:hint="eastAsia" w:ascii="楷体_GB2312" w:hAnsi="楷体_GB2312" w:eastAsia="楷体_GB2312" w:cs="楷体_GB2312"/>
                <w:sz w:val="24"/>
              </w:rPr>
            </w:pPr>
          </w:p>
        </w:tc>
        <w:tc>
          <w:tcPr>
            <w:tcW w:w="1956"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颗粒物</w:t>
            </w:r>
          </w:p>
        </w:tc>
        <w:tc>
          <w:tcPr>
            <w:tcW w:w="2700" w:type="dxa"/>
            <w:vAlign w:val="center"/>
          </w:tcPr>
          <w:p>
            <w:pPr>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非色散型红外线吸收法</w:t>
            </w:r>
          </w:p>
        </w:tc>
        <w:tc>
          <w:tcPr>
            <w:tcW w:w="3348" w:type="dxa"/>
            <w:vAlign w:val="center"/>
          </w:tcPr>
          <w:p>
            <w:pPr>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岛津：NSA-3080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2" w:type="dxa"/>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备注</w:t>
            </w:r>
          </w:p>
        </w:tc>
        <w:tc>
          <w:tcPr>
            <w:tcW w:w="8004" w:type="dxa"/>
            <w:gridSpan w:val="3"/>
            <w:vAlign w:val="center"/>
          </w:tcPr>
          <w:p>
            <w:pPr>
              <w:spacing w:line="240" w:lineRule="auto"/>
              <w:ind w:firstLine="504"/>
              <w:jc w:val="center"/>
              <w:rPr>
                <w:rFonts w:hint="eastAsia" w:ascii="楷体_GB2312" w:hAnsi="楷体_GB2312" w:eastAsia="楷体_GB2312" w:cs="楷体_GB2312"/>
                <w:sz w:val="24"/>
              </w:rPr>
            </w:pPr>
            <w:r>
              <w:rPr>
                <w:rFonts w:hint="eastAsia" w:ascii="楷体_GB2312" w:hAnsi="楷体_GB2312" w:eastAsia="楷体_GB2312" w:cs="楷体_GB2312"/>
                <w:sz w:val="24"/>
              </w:rPr>
              <w:t>使用设备应具有《中国环境保护产品认证证书》和《环境监测仪器质量监督》合格报告，并通过环境保护主管部门验收和数据有效性审核。</w:t>
            </w:r>
          </w:p>
        </w:tc>
      </w:tr>
    </w:tbl>
    <w:p>
      <w:pPr>
        <w:ind w:firstLine="588"/>
        <w:rPr>
          <w:rFonts w:hint="eastAsia" w:ascii="楷体_GB2312" w:hAnsi="楷体_GB2312" w:eastAsia="楷体_GB2312" w:cs="楷体_GB2312"/>
          <w:color w:val="000000"/>
          <w:kern w:val="0"/>
          <w:szCs w:val="28"/>
        </w:rPr>
      </w:pPr>
    </w:p>
    <w:p>
      <w:pPr>
        <w:pStyle w:val="3"/>
        <w:rPr>
          <w:rFonts w:hint="eastAsia" w:ascii="楷体_GB2312" w:hAnsi="楷体_GB2312" w:eastAsia="楷体_GB2312" w:cs="楷体_GB2312"/>
        </w:rPr>
      </w:pPr>
      <w:bookmarkStart w:id="803" w:name="_Toc373998375"/>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3"/>
        <w:rPr>
          <w:rFonts w:hint="eastAsia" w:ascii="楷体_GB2312" w:hAnsi="楷体_GB2312" w:eastAsia="楷体_GB2312" w:cs="楷体_GB2312"/>
        </w:rPr>
      </w:pPr>
      <w:r>
        <w:rPr>
          <w:rFonts w:hint="eastAsia" w:ascii="楷体_GB2312" w:hAnsi="楷体_GB2312" w:eastAsia="楷体_GB2312" w:cs="楷体_GB2312"/>
        </w:rPr>
        <w:t>2.6 评价标准、依据及其限值</w:t>
      </w:r>
      <w:bookmarkEnd w:id="803"/>
    </w:p>
    <w:p>
      <w:pPr>
        <w:ind w:firstLine="0" w:firstLineChars="0"/>
        <w:jc w:val="center"/>
        <w:rPr>
          <w:rFonts w:hint="eastAsia" w:ascii="楷体_GB2312" w:hAnsi="楷体_GB2312" w:eastAsia="楷体_GB2312" w:cs="楷体_GB2312"/>
          <w:b/>
          <w:color w:val="FF0000"/>
          <w:szCs w:val="28"/>
        </w:rPr>
      </w:pPr>
      <w:r>
        <w:rPr>
          <w:rFonts w:hint="eastAsia" w:ascii="楷体_GB2312" w:hAnsi="楷体_GB2312" w:eastAsia="楷体_GB2312" w:cs="楷体_GB2312"/>
          <w:b/>
          <w:color w:val="000000"/>
          <w:sz w:val="24"/>
        </w:rPr>
        <w:t>废气有组织排放</w:t>
      </w:r>
      <w:r>
        <w:rPr>
          <w:rFonts w:hint="eastAsia" w:ascii="楷体_GB2312" w:hAnsi="楷体_GB2312" w:eastAsia="楷体_GB2312" w:cs="楷体_GB2312"/>
          <w:b/>
          <w:sz w:val="24"/>
        </w:rPr>
        <w:t>、依据及其限值</w:t>
      </w:r>
    </w:p>
    <w:tbl>
      <w:tblPr>
        <w:tblStyle w:val="21"/>
        <w:tblW w:w="94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934"/>
        <w:gridCol w:w="1271"/>
        <w:gridCol w:w="1755"/>
        <w:gridCol w:w="1674"/>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4" w:type="dxa"/>
            <w:vMerge w:val="restart"/>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污染源</w:t>
            </w:r>
          </w:p>
        </w:tc>
        <w:tc>
          <w:tcPr>
            <w:tcW w:w="934" w:type="dxa"/>
            <w:vMerge w:val="restart"/>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排放高度</w:t>
            </w:r>
          </w:p>
        </w:tc>
        <w:tc>
          <w:tcPr>
            <w:tcW w:w="1271" w:type="dxa"/>
            <w:vMerge w:val="restart"/>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污染物</w:t>
            </w:r>
          </w:p>
        </w:tc>
        <w:tc>
          <w:tcPr>
            <w:tcW w:w="3429" w:type="dxa"/>
            <w:gridSpan w:val="2"/>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执行/参照标准限值</w:t>
            </w:r>
          </w:p>
        </w:tc>
        <w:tc>
          <w:tcPr>
            <w:tcW w:w="2340" w:type="dxa"/>
            <w:vMerge w:val="restart"/>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标准依据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4" w:type="dxa"/>
            <w:vMerge w:val="continue"/>
            <w:vAlign w:val="center"/>
          </w:tcPr>
          <w:p>
            <w:pPr>
              <w:ind w:firstLine="0" w:firstLineChars="0"/>
              <w:jc w:val="center"/>
              <w:rPr>
                <w:rFonts w:hint="eastAsia" w:ascii="楷体_GB2312" w:hAnsi="楷体_GB2312" w:eastAsia="楷体_GB2312" w:cs="楷体_GB2312"/>
                <w:sz w:val="24"/>
              </w:rPr>
            </w:pPr>
          </w:p>
        </w:tc>
        <w:tc>
          <w:tcPr>
            <w:tcW w:w="934" w:type="dxa"/>
            <w:vMerge w:val="continue"/>
            <w:vAlign w:val="center"/>
          </w:tcPr>
          <w:p>
            <w:pPr>
              <w:ind w:firstLine="0" w:firstLineChars="0"/>
              <w:jc w:val="center"/>
              <w:rPr>
                <w:rFonts w:hint="eastAsia" w:ascii="楷体_GB2312" w:hAnsi="楷体_GB2312" w:eastAsia="楷体_GB2312" w:cs="楷体_GB2312"/>
                <w:sz w:val="24"/>
              </w:rPr>
            </w:pPr>
          </w:p>
        </w:tc>
        <w:tc>
          <w:tcPr>
            <w:tcW w:w="1271" w:type="dxa"/>
            <w:vMerge w:val="continue"/>
            <w:vAlign w:val="center"/>
          </w:tcPr>
          <w:p>
            <w:pPr>
              <w:ind w:firstLine="0" w:firstLineChars="0"/>
              <w:jc w:val="center"/>
              <w:rPr>
                <w:rFonts w:hint="eastAsia" w:ascii="楷体_GB2312" w:hAnsi="楷体_GB2312" w:eastAsia="楷体_GB2312" w:cs="楷体_GB2312"/>
                <w:sz w:val="24"/>
              </w:rPr>
            </w:pPr>
          </w:p>
        </w:tc>
        <w:tc>
          <w:tcPr>
            <w:tcW w:w="1755" w:type="dxa"/>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最高允许排放浓度（mg/m</w:t>
            </w:r>
            <w:r>
              <w:rPr>
                <w:rFonts w:hint="eastAsia" w:ascii="楷体_GB2312" w:hAnsi="楷体_GB2312" w:eastAsia="楷体_GB2312" w:cs="楷体_GB2312"/>
                <w:sz w:val="24"/>
                <w:vertAlign w:val="superscript"/>
              </w:rPr>
              <w:t>3</w:t>
            </w:r>
            <w:r>
              <w:rPr>
                <w:rFonts w:hint="eastAsia" w:ascii="楷体_GB2312" w:hAnsi="楷体_GB2312" w:eastAsia="楷体_GB2312" w:cs="楷体_GB2312"/>
                <w:sz w:val="24"/>
              </w:rPr>
              <w:t>）</w:t>
            </w:r>
          </w:p>
        </w:tc>
        <w:tc>
          <w:tcPr>
            <w:tcW w:w="1674" w:type="dxa"/>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最高允许排放速率（kg/h）</w:t>
            </w:r>
          </w:p>
        </w:tc>
        <w:tc>
          <w:tcPr>
            <w:tcW w:w="2340" w:type="dxa"/>
            <w:vMerge w:val="continue"/>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jc w:val="center"/>
        </w:trPr>
        <w:tc>
          <w:tcPr>
            <w:tcW w:w="1494" w:type="dxa"/>
            <w:vMerge w:val="restart"/>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1"/>
                <w:szCs w:val="21"/>
              </w:rPr>
              <w:t>水泥回转窑废气</w:t>
            </w:r>
          </w:p>
        </w:tc>
        <w:tc>
          <w:tcPr>
            <w:tcW w:w="934" w:type="dxa"/>
            <w:vMerge w:val="restart"/>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110m</w:t>
            </w:r>
          </w:p>
        </w:tc>
        <w:tc>
          <w:tcPr>
            <w:tcW w:w="1271"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SO2</w:t>
            </w:r>
          </w:p>
        </w:tc>
        <w:tc>
          <w:tcPr>
            <w:tcW w:w="1755"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150</w:t>
            </w:r>
          </w:p>
        </w:tc>
        <w:tc>
          <w:tcPr>
            <w:tcW w:w="1674" w:type="dxa"/>
            <w:vAlign w:val="center"/>
          </w:tcPr>
          <w:p>
            <w:pPr>
              <w:ind w:firstLine="0" w:firstLineChars="0"/>
              <w:jc w:val="center"/>
              <w:rPr>
                <w:rFonts w:hint="eastAsia" w:ascii="楷体_GB2312" w:hAnsi="楷体_GB2312" w:eastAsia="楷体_GB2312" w:cs="楷体_GB2312"/>
                <w:sz w:val="24"/>
              </w:rPr>
            </w:pPr>
          </w:p>
        </w:tc>
        <w:tc>
          <w:tcPr>
            <w:tcW w:w="2340" w:type="dxa"/>
            <w:vMerge w:val="restart"/>
            <w:vAlign w:val="center"/>
          </w:tcPr>
          <w:p>
            <w:pPr>
              <w:ind w:firstLine="0" w:firstLineChars="0"/>
              <w:rPr>
                <w:rFonts w:hint="eastAsia" w:ascii="楷体_GB2312" w:hAnsi="楷体_GB2312" w:eastAsia="楷体_GB2312" w:cs="楷体_GB2312"/>
                <w:sz w:val="24"/>
              </w:rPr>
            </w:pPr>
            <w:r>
              <w:rPr>
                <w:rFonts w:hint="eastAsia" w:ascii="宋体" w:hAnsi="宋体" w:cs="宋体"/>
                <w:sz w:val="24"/>
              </w:rPr>
              <w:t>排污许可证：</w:t>
            </w:r>
            <w:r>
              <w:rPr>
                <w:rFonts w:hint="eastAsia" w:ascii="楷体_GB2312" w:hAnsi="楷体_GB2312" w:eastAsia="楷体_GB2312" w:cs="楷体_GB2312"/>
                <w:sz w:val="24"/>
              </w:rPr>
              <w:t>91500106203401664G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jc w:val="center"/>
        </w:trPr>
        <w:tc>
          <w:tcPr>
            <w:tcW w:w="1494" w:type="dxa"/>
            <w:vMerge w:val="continue"/>
            <w:vAlign w:val="center"/>
          </w:tcPr>
          <w:p>
            <w:pPr>
              <w:ind w:firstLine="0" w:firstLineChars="0"/>
              <w:jc w:val="center"/>
              <w:rPr>
                <w:rFonts w:hint="eastAsia" w:ascii="楷体_GB2312" w:hAnsi="楷体_GB2312" w:eastAsia="楷体_GB2312" w:cs="楷体_GB2312"/>
                <w:sz w:val="24"/>
              </w:rPr>
            </w:pPr>
          </w:p>
        </w:tc>
        <w:tc>
          <w:tcPr>
            <w:tcW w:w="934" w:type="dxa"/>
            <w:vMerge w:val="continue"/>
            <w:vAlign w:val="center"/>
          </w:tcPr>
          <w:p>
            <w:pPr>
              <w:ind w:firstLine="0" w:firstLineChars="0"/>
              <w:jc w:val="center"/>
              <w:rPr>
                <w:rFonts w:hint="eastAsia" w:ascii="楷体_GB2312" w:hAnsi="楷体_GB2312" w:eastAsia="楷体_GB2312" w:cs="楷体_GB2312"/>
                <w:sz w:val="24"/>
              </w:rPr>
            </w:pPr>
          </w:p>
        </w:tc>
        <w:tc>
          <w:tcPr>
            <w:tcW w:w="1271"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NOx</w:t>
            </w:r>
          </w:p>
        </w:tc>
        <w:tc>
          <w:tcPr>
            <w:tcW w:w="1755"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250</w:t>
            </w:r>
          </w:p>
        </w:tc>
        <w:tc>
          <w:tcPr>
            <w:tcW w:w="1674" w:type="dxa"/>
            <w:vAlign w:val="center"/>
          </w:tcPr>
          <w:p>
            <w:pPr>
              <w:ind w:firstLine="0" w:firstLineChars="0"/>
              <w:jc w:val="center"/>
              <w:rPr>
                <w:rFonts w:hint="eastAsia" w:ascii="楷体_GB2312" w:hAnsi="楷体_GB2312" w:eastAsia="楷体_GB2312" w:cs="楷体_GB2312"/>
                <w:sz w:val="24"/>
              </w:rPr>
            </w:pPr>
          </w:p>
        </w:tc>
        <w:tc>
          <w:tcPr>
            <w:tcW w:w="2340" w:type="dxa"/>
            <w:vMerge w:val="continue"/>
            <w:vAlign w:val="center"/>
          </w:tcPr>
          <w:p>
            <w:pPr>
              <w:ind w:firstLine="504"/>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jc w:val="center"/>
        </w:trPr>
        <w:tc>
          <w:tcPr>
            <w:tcW w:w="1494" w:type="dxa"/>
            <w:vMerge w:val="continue"/>
            <w:vAlign w:val="center"/>
          </w:tcPr>
          <w:p>
            <w:pPr>
              <w:ind w:firstLine="0" w:firstLineChars="0"/>
              <w:jc w:val="center"/>
              <w:rPr>
                <w:rFonts w:hint="eastAsia" w:ascii="楷体_GB2312" w:hAnsi="楷体_GB2312" w:eastAsia="楷体_GB2312" w:cs="楷体_GB2312"/>
                <w:sz w:val="24"/>
              </w:rPr>
            </w:pPr>
          </w:p>
        </w:tc>
        <w:tc>
          <w:tcPr>
            <w:tcW w:w="934" w:type="dxa"/>
            <w:vMerge w:val="continue"/>
            <w:vAlign w:val="center"/>
          </w:tcPr>
          <w:p>
            <w:pPr>
              <w:ind w:firstLine="0" w:firstLineChars="0"/>
              <w:jc w:val="center"/>
              <w:rPr>
                <w:rFonts w:hint="eastAsia" w:ascii="楷体_GB2312" w:hAnsi="楷体_GB2312" w:eastAsia="楷体_GB2312" w:cs="楷体_GB2312"/>
                <w:sz w:val="24"/>
              </w:rPr>
            </w:pPr>
          </w:p>
        </w:tc>
        <w:tc>
          <w:tcPr>
            <w:tcW w:w="1271"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颗粒物</w:t>
            </w:r>
          </w:p>
        </w:tc>
        <w:tc>
          <w:tcPr>
            <w:tcW w:w="1755"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15</w:t>
            </w:r>
          </w:p>
        </w:tc>
        <w:tc>
          <w:tcPr>
            <w:tcW w:w="1674" w:type="dxa"/>
            <w:vAlign w:val="center"/>
          </w:tcPr>
          <w:p>
            <w:pPr>
              <w:ind w:firstLine="0" w:firstLineChars="0"/>
              <w:jc w:val="center"/>
              <w:rPr>
                <w:rFonts w:hint="eastAsia" w:ascii="楷体_GB2312" w:hAnsi="楷体_GB2312" w:eastAsia="楷体_GB2312" w:cs="楷体_GB2312"/>
                <w:sz w:val="24"/>
              </w:rPr>
            </w:pPr>
          </w:p>
        </w:tc>
        <w:tc>
          <w:tcPr>
            <w:tcW w:w="2340" w:type="dxa"/>
            <w:vMerge w:val="continue"/>
            <w:vAlign w:val="center"/>
          </w:tcPr>
          <w:p>
            <w:pPr>
              <w:ind w:firstLine="504"/>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0" w:hRule="atLeast"/>
          <w:jc w:val="center"/>
        </w:trPr>
        <w:tc>
          <w:tcPr>
            <w:tcW w:w="1494" w:type="dxa"/>
            <w:vMerge w:val="continue"/>
            <w:vAlign w:val="center"/>
          </w:tcPr>
          <w:p>
            <w:pPr>
              <w:ind w:firstLine="0" w:firstLineChars="0"/>
              <w:jc w:val="center"/>
              <w:rPr>
                <w:rFonts w:hint="eastAsia" w:ascii="楷体_GB2312" w:hAnsi="楷体_GB2312" w:eastAsia="楷体_GB2312" w:cs="楷体_GB2312"/>
                <w:sz w:val="24"/>
              </w:rPr>
            </w:pPr>
          </w:p>
        </w:tc>
        <w:tc>
          <w:tcPr>
            <w:tcW w:w="934" w:type="dxa"/>
            <w:vMerge w:val="continue"/>
            <w:vAlign w:val="center"/>
          </w:tcPr>
          <w:p>
            <w:pPr>
              <w:ind w:firstLine="0" w:firstLineChars="0"/>
              <w:jc w:val="center"/>
              <w:rPr>
                <w:rFonts w:hint="eastAsia" w:ascii="楷体_GB2312" w:hAnsi="楷体_GB2312" w:eastAsia="楷体_GB2312" w:cs="楷体_GB2312"/>
                <w:sz w:val="24"/>
              </w:rPr>
            </w:pPr>
          </w:p>
        </w:tc>
        <w:tc>
          <w:tcPr>
            <w:tcW w:w="1271"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氟化物（以总F计）</w:t>
            </w:r>
          </w:p>
        </w:tc>
        <w:tc>
          <w:tcPr>
            <w:tcW w:w="1755"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5</w:t>
            </w:r>
          </w:p>
        </w:tc>
        <w:tc>
          <w:tcPr>
            <w:tcW w:w="1674" w:type="dxa"/>
            <w:vAlign w:val="center"/>
          </w:tcPr>
          <w:p>
            <w:pPr>
              <w:ind w:firstLine="0" w:firstLineChars="0"/>
              <w:jc w:val="center"/>
              <w:rPr>
                <w:rFonts w:hint="eastAsia" w:ascii="楷体_GB2312" w:hAnsi="楷体_GB2312" w:eastAsia="楷体_GB2312" w:cs="楷体_GB2312"/>
                <w:sz w:val="24"/>
              </w:rPr>
            </w:pPr>
          </w:p>
        </w:tc>
        <w:tc>
          <w:tcPr>
            <w:tcW w:w="2340" w:type="dxa"/>
            <w:vMerge w:val="continue"/>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1494" w:type="dxa"/>
            <w:vMerge w:val="continue"/>
            <w:vAlign w:val="center"/>
          </w:tcPr>
          <w:p>
            <w:pPr>
              <w:ind w:firstLine="0" w:firstLineChars="0"/>
              <w:jc w:val="center"/>
              <w:rPr>
                <w:rFonts w:hint="eastAsia" w:ascii="楷体_GB2312" w:hAnsi="楷体_GB2312" w:eastAsia="楷体_GB2312" w:cs="楷体_GB2312"/>
                <w:sz w:val="24"/>
              </w:rPr>
            </w:pPr>
          </w:p>
        </w:tc>
        <w:tc>
          <w:tcPr>
            <w:tcW w:w="934" w:type="dxa"/>
            <w:vMerge w:val="continue"/>
            <w:vAlign w:val="center"/>
          </w:tcPr>
          <w:p>
            <w:pPr>
              <w:ind w:firstLine="0" w:firstLineChars="0"/>
              <w:jc w:val="center"/>
              <w:rPr>
                <w:rFonts w:hint="eastAsia" w:ascii="楷体_GB2312" w:hAnsi="楷体_GB2312" w:eastAsia="楷体_GB2312" w:cs="楷体_GB2312"/>
                <w:sz w:val="24"/>
              </w:rPr>
            </w:pPr>
          </w:p>
        </w:tc>
        <w:tc>
          <w:tcPr>
            <w:tcW w:w="1271"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汞及其化合物</w:t>
            </w:r>
          </w:p>
        </w:tc>
        <w:tc>
          <w:tcPr>
            <w:tcW w:w="1755"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0.05</w:t>
            </w:r>
          </w:p>
        </w:tc>
        <w:tc>
          <w:tcPr>
            <w:tcW w:w="1674" w:type="dxa"/>
            <w:vAlign w:val="center"/>
          </w:tcPr>
          <w:p>
            <w:pPr>
              <w:ind w:firstLine="0" w:firstLineChars="0"/>
              <w:jc w:val="center"/>
              <w:rPr>
                <w:rFonts w:hint="eastAsia" w:ascii="楷体_GB2312" w:hAnsi="楷体_GB2312" w:eastAsia="楷体_GB2312" w:cs="楷体_GB2312"/>
                <w:sz w:val="24"/>
              </w:rPr>
            </w:pPr>
          </w:p>
        </w:tc>
        <w:tc>
          <w:tcPr>
            <w:tcW w:w="2340" w:type="dxa"/>
            <w:vMerge w:val="continue"/>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1494" w:type="dxa"/>
            <w:vMerge w:val="continue"/>
            <w:vAlign w:val="center"/>
          </w:tcPr>
          <w:p>
            <w:pPr>
              <w:ind w:firstLine="0" w:firstLineChars="0"/>
              <w:jc w:val="center"/>
              <w:rPr>
                <w:rFonts w:hint="eastAsia" w:ascii="楷体_GB2312" w:hAnsi="楷体_GB2312" w:eastAsia="楷体_GB2312" w:cs="楷体_GB2312"/>
                <w:sz w:val="24"/>
              </w:rPr>
            </w:pPr>
          </w:p>
        </w:tc>
        <w:tc>
          <w:tcPr>
            <w:tcW w:w="934" w:type="dxa"/>
            <w:vMerge w:val="continue"/>
            <w:vAlign w:val="center"/>
          </w:tcPr>
          <w:p>
            <w:pPr>
              <w:ind w:firstLine="0" w:firstLineChars="0"/>
              <w:jc w:val="center"/>
              <w:rPr>
                <w:rFonts w:hint="eastAsia" w:ascii="楷体_GB2312" w:hAnsi="楷体_GB2312" w:eastAsia="楷体_GB2312" w:cs="楷体_GB2312"/>
                <w:sz w:val="24"/>
              </w:rPr>
            </w:pPr>
          </w:p>
        </w:tc>
        <w:tc>
          <w:tcPr>
            <w:tcW w:w="1271"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氨</w:t>
            </w:r>
          </w:p>
        </w:tc>
        <w:tc>
          <w:tcPr>
            <w:tcW w:w="1755"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10</w:t>
            </w:r>
          </w:p>
        </w:tc>
        <w:tc>
          <w:tcPr>
            <w:tcW w:w="1674" w:type="dxa"/>
            <w:vAlign w:val="center"/>
          </w:tcPr>
          <w:p>
            <w:pPr>
              <w:ind w:firstLine="0" w:firstLineChars="0"/>
              <w:jc w:val="center"/>
              <w:rPr>
                <w:rFonts w:hint="eastAsia" w:ascii="楷体_GB2312" w:hAnsi="楷体_GB2312" w:eastAsia="楷体_GB2312" w:cs="楷体_GB2312"/>
                <w:sz w:val="24"/>
              </w:rPr>
            </w:pPr>
          </w:p>
        </w:tc>
        <w:tc>
          <w:tcPr>
            <w:tcW w:w="2340" w:type="dxa"/>
            <w:vMerge w:val="continue"/>
            <w:vAlign w:val="center"/>
          </w:tcPr>
          <w:p>
            <w:pPr>
              <w:ind w:firstLine="0" w:firstLineChars="0"/>
              <w:jc w:val="center"/>
              <w:rPr>
                <w:rFonts w:hint="eastAsia" w:ascii="楷体_GB2312" w:hAnsi="楷体_GB2312" w:eastAsia="楷体_GB2312" w:cs="楷体_GB2312"/>
                <w:sz w:val="24"/>
              </w:rPr>
            </w:pPr>
          </w:p>
        </w:tc>
      </w:tr>
    </w:tbl>
    <w:p>
      <w:pPr>
        <w:ind w:firstLine="588"/>
        <w:jc w:val="center"/>
        <w:rPr>
          <w:rFonts w:hint="eastAsia" w:ascii="楷体_GB2312" w:hAnsi="楷体_GB2312" w:eastAsia="楷体_GB2312" w:cs="楷体_GB2312"/>
          <w:b/>
          <w:color w:val="000000"/>
          <w:szCs w:val="28"/>
        </w:rPr>
      </w:pPr>
    </w:p>
    <w:p>
      <w:pPr>
        <w:ind w:firstLine="0" w:firstLineChars="0"/>
        <w:rPr>
          <w:rFonts w:hint="eastAsia" w:ascii="楷体_GB2312" w:hAnsi="楷体_GB2312" w:eastAsia="楷体_GB2312" w:cs="楷体_GB2312"/>
          <w:b/>
          <w:color w:val="000000"/>
          <w:sz w:val="24"/>
        </w:rPr>
      </w:pPr>
    </w:p>
    <w:p>
      <w:pPr>
        <w:ind w:firstLine="0" w:firstLineChars="0"/>
        <w:rPr>
          <w:rFonts w:hint="eastAsia" w:ascii="楷体_GB2312" w:hAnsi="楷体_GB2312" w:eastAsia="楷体_GB2312" w:cs="楷体_GB2312"/>
          <w:b/>
          <w:color w:val="000000"/>
          <w:sz w:val="24"/>
        </w:rPr>
      </w:pPr>
    </w:p>
    <w:p>
      <w:pPr>
        <w:ind w:firstLine="0" w:firstLineChars="0"/>
        <w:rPr>
          <w:rFonts w:hint="eastAsia" w:ascii="楷体_GB2312" w:hAnsi="楷体_GB2312" w:eastAsia="楷体_GB2312" w:cs="楷体_GB2312"/>
          <w:b/>
          <w:color w:val="000000"/>
          <w:sz w:val="24"/>
        </w:rPr>
      </w:pPr>
    </w:p>
    <w:p>
      <w:pPr>
        <w:ind w:firstLine="0" w:firstLineChars="0"/>
        <w:rPr>
          <w:rFonts w:hint="eastAsia" w:ascii="楷体_GB2312" w:hAnsi="楷体_GB2312" w:eastAsia="楷体_GB2312" w:cs="楷体_GB2312"/>
          <w:b/>
          <w:color w:val="000000"/>
          <w:sz w:val="24"/>
        </w:rPr>
      </w:pPr>
    </w:p>
    <w:p>
      <w:pPr>
        <w:ind w:firstLine="504"/>
        <w:jc w:val="center"/>
        <w:rPr>
          <w:rFonts w:hint="eastAsia" w:ascii="楷体_GB2312" w:hAnsi="楷体_GB2312" w:eastAsia="楷体_GB2312" w:cs="楷体_GB2312"/>
          <w:b/>
          <w:color w:val="000000"/>
          <w:sz w:val="24"/>
        </w:rPr>
      </w:pPr>
      <w:r>
        <w:rPr>
          <w:rFonts w:hint="eastAsia" w:ascii="楷体_GB2312" w:hAnsi="楷体_GB2312" w:eastAsia="楷体_GB2312" w:cs="楷体_GB2312"/>
          <w:b/>
          <w:color w:val="000000"/>
          <w:sz w:val="24"/>
        </w:rPr>
        <w:t>表2-6-4  废水污染物排放标准</w:t>
      </w:r>
      <w:r>
        <w:rPr>
          <w:rFonts w:hint="eastAsia" w:ascii="楷体_GB2312" w:hAnsi="楷体_GB2312" w:eastAsia="楷体_GB2312" w:cs="楷体_GB2312"/>
          <w:b/>
          <w:sz w:val="24"/>
        </w:rPr>
        <w:t>、依据及其限值</w:t>
      </w:r>
    </w:p>
    <w:tbl>
      <w:tblPr>
        <w:tblStyle w:val="21"/>
        <w:tblW w:w="99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1174"/>
        <w:gridCol w:w="1897"/>
        <w:gridCol w:w="3057"/>
        <w:gridCol w:w="2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1385" w:type="dxa"/>
            <w:vMerge w:val="restart"/>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污染源</w:t>
            </w:r>
          </w:p>
        </w:tc>
        <w:tc>
          <w:tcPr>
            <w:tcW w:w="1174" w:type="dxa"/>
            <w:vMerge w:val="restart"/>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污染物</w:t>
            </w:r>
          </w:p>
        </w:tc>
        <w:tc>
          <w:tcPr>
            <w:tcW w:w="4954" w:type="dxa"/>
            <w:gridSpan w:val="2"/>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执行/参照标准限值</w:t>
            </w:r>
          </w:p>
        </w:tc>
        <w:tc>
          <w:tcPr>
            <w:tcW w:w="2466" w:type="dxa"/>
            <w:vMerge w:val="restart"/>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标准依据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jc w:val="center"/>
        </w:trPr>
        <w:tc>
          <w:tcPr>
            <w:tcW w:w="1385" w:type="dxa"/>
            <w:vMerge w:val="continue"/>
            <w:vAlign w:val="center"/>
          </w:tcPr>
          <w:p>
            <w:pPr>
              <w:ind w:firstLine="0" w:firstLineChars="0"/>
              <w:jc w:val="center"/>
              <w:rPr>
                <w:rFonts w:hint="eastAsia" w:ascii="楷体_GB2312" w:hAnsi="楷体_GB2312" w:eastAsia="楷体_GB2312" w:cs="楷体_GB2312"/>
                <w:sz w:val="24"/>
              </w:rPr>
            </w:pPr>
          </w:p>
        </w:tc>
        <w:tc>
          <w:tcPr>
            <w:tcW w:w="1174" w:type="dxa"/>
            <w:vMerge w:val="continue"/>
            <w:vAlign w:val="center"/>
          </w:tcPr>
          <w:p>
            <w:pPr>
              <w:ind w:firstLine="0" w:firstLineChars="0"/>
              <w:jc w:val="center"/>
              <w:rPr>
                <w:rFonts w:hint="eastAsia" w:ascii="楷体_GB2312" w:hAnsi="楷体_GB2312" w:eastAsia="楷体_GB2312" w:cs="楷体_GB2312"/>
                <w:sz w:val="24"/>
              </w:rPr>
            </w:pPr>
          </w:p>
        </w:tc>
        <w:tc>
          <w:tcPr>
            <w:tcW w:w="1897" w:type="dxa"/>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单位</w:t>
            </w:r>
          </w:p>
        </w:tc>
        <w:tc>
          <w:tcPr>
            <w:tcW w:w="3057" w:type="dxa"/>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限值</w:t>
            </w:r>
          </w:p>
        </w:tc>
        <w:tc>
          <w:tcPr>
            <w:tcW w:w="2466" w:type="dxa"/>
            <w:vMerge w:val="continue"/>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1385" w:type="dxa"/>
            <w:vMerge w:val="restart"/>
            <w:vAlign w:val="center"/>
          </w:tcPr>
          <w:p>
            <w:pPr>
              <w:ind w:firstLine="0" w:firstLineChars="0"/>
              <w:jc w:val="center"/>
              <w:rPr>
                <w:rFonts w:hint="eastAsia" w:ascii="楷体_GB2312" w:hAnsi="楷体_GB2312" w:eastAsia="楷体_GB2312" w:cs="楷体_GB2312"/>
                <w:sz w:val="24"/>
              </w:rPr>
            </w:pPr>
            <w:r>
              <w:rPr>
                <w:rFonts w:hint="eastAsia" w:ascii="宋体" w:hAnsi="宋体" w:cs="宋体"/>
                <w:sz w:val="24"/>
              </w:rPr>
              <w:t>工业</w:t>
            </w:r>
            <w:r>
              <w:rPr>
                <w:rFonts w:hint="eastAsia" w:ascii="楷体_GB2312" w:hAnsi="楷体_GB2312" w:eastAsia="楷体_GB2312" w:cs="楷体_GB2312"/>
                <w:sz w:val="24"/>
              </w:rPr>
              <w:t>废水</w:t>
            </w:r>
          </w:p>
        </w:tc>
        <w:tc>
          <w:tcPr>
            <w:tcW w:w="1174" w:type="dxa"/>
            <w:vAlign w:val="top"/>
          </w:tcPr>
          <w:p>
            <w:pPr>
              <w:ind w:firstLine="0" w:firstLineChars="0"/>
              <w:jc w:val="center"/>
              <w:rPr>
                <w:rFonts w:ascii="宋体" w:hAnsi="宋体"/>
                <w:color w:val="000000"/>
              </w:rPr>
            </w:pPr>
            <w:r>
              <w:rPr>
                <w:rFonts w:ascii="宋体" w:hAnsi="宋体"/>
                <w:color w:val="000000"/>
              </w:rPr>
              <w:t>石油类</w:t>
            </w:r>
          </w:p>
        </w:tc>
        <w:tc>
          <w:tcPr>
            <w:tcW w:w="1897" w:type="dxa"/>
            <w:vMerge w:val="restart"/>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mg/L</w:t>
            </w:r>
          </w:p>
        </w:tc>
        <w:tc>
          <w:tcPr>
            <w:tcW w:w="3057"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10</w:t>
            </w:r>
          </w:p>
        </w:tc>
        <w:tc>
          <w:tcPr>
            <w:tcW w:w="2466" w:type="dxa"/>
            <w:vMerge w:val="restart"/>
            <w:vAlign w:val="center"/>
          </w:tcPr>
          <w:p>
            <w:pPr>
              <w:ind w:firstLine="0" w:firstLineChars="0"/>
              <w:jc w:val="center"/>
              <w:rPr>
                <w:rFonts w:hint="eastAsia" w:ascii="楷体_GB2312" w:hAnsi="楷体_GB2312" w:eastAsia="楷体_GB2312" w:cs="楷体_GB2312"/>
                <w:sz w:val="24"/>
              </w:rPr>
            </w:pPr>
            <w:r>
              <w:rPr>
                <w:rFonts w:hint="eastAsia" w:ascii="宋体" w:hAnsi="宋体" w:cs="宋体"/>
                <w:sz w:val="24"/>
              </w:rPr>
              <w:t>排污许可证：</w:t>
            </w:r>
            <w:r>
              <w:rPr>
                <w:rFonts w:hint="eastAsia" w:ascii="楷体_GB2312" w:hAnsi="楷体_GB2312" w:eastAsia="楷体_GB2312" w:cs="楷体_GB2312"/>
                <w:sz w:val="24"/>
              </w:rPr>
              <w:t xml:space="preserve">91500106203401664G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1385" w:type="dxa"/>
            <w:vMerge w:val="continue"/>
            <w:vAlign w:val="center"/>
          </w:tcPr>
          <w:p>
            <w:pPr>
              <w:ind w:firstLine="0" w:firstLineChars="0"/>
              <w:jc w:val="center"/>
              <w:rPr>
                <w:rFonts w:hint="eastAsia" w:ascii="楷体_GB2312" w:hAnsi="楷体_GB2312" w:eastAsia="楷体_GB2312" w:cs="楷体_GB2312"/>
                <w:sz w:val="24"/>
              </w:rPr>
            </w:pPr>
          </w:p>
        </w:tc>
        <w:tc>
          <w:tcPr>
            <w:tcW w:w="1174" w:type="dxa"/>
            <w:vAlign w:val="top"/>
          </w:tcPr>
          <w:p>
            <w:pPr>
              <w:ind w:firstLine="0" w:firstLineChars="0"/>
              <w:jc w:val="center"/>
              <w:rPr>
                <w:rFonts w:ascii="宋体" w:hAnsi="宋体"/>
                <w:color w:val="000000"/>
              </w:rPr>
            </w:pPr>
            <w:r>
              <w:rPr>
                <w:rFonts w:ascii="宋体" w:hAnsi="宋体"/>
                <w:color w:val="000000"/>
              </w:rPr>
              <w:t>氟化物（以F-计）</w:t>
            </w:r>
          </w:p>
        </w:tc>
        <w:tc>
          <w:tcPr>
            <w:tcW w:w="1897" w:type="dxa"/>
            <w:vMerge w:val="continue"/>
            <w:vAlign w:val="center"/>
          </w:tcPr>
          <w:p>
            <w:pPr>
              <w:ind w:firstLine="0" w:firstLineChars="0"/>
              <w:jc w:val="center"/>
              <w:rPr>
                <w:rFonts w:hint="eastAsia" w:ascii="楷体_GB2312" w:hAnsi="楷体_GB2312" w:eastAsia="楷体_GB2312" w:cs="楷体_GB2312"/>
                <w:sz w:val="24"/>
              </w:rPr>
            </w:pPr>
          </w:p>
        </w:tc>
        <w:tc>
          <w:tcPr>
            <w:tcW w:w="3057"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10</w:t>
            </w:r>
          </w:p>
        </w:tc>
        <w:tc>
          <w:tcPr>
            <w:tcW w:w="2466" w:type="dxa"/>
            <w:vMerge w:val="continue"/>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1385" w:type="dxa"/>
            <w:vMerge w:val="continue"/>
            <w:vAlign w:val="center"/>
          </w:tcPr>
          <w:p>
            <w:pPr>
              <w:ind w:firstLine="0" w:firstLineChars="0"/>
              <w:jc w:val="center"/>
              <w:rPr>
                <w:rFonts w:hint="eastAsia" w:ascii="楷体_GB2312" w:hAnsi="楷体_GB2312" w:eastAsia="楷体_GB2312" w:cs="楷体_GB2312"/>
                <w:sz w:val="24"/>
              </w:rPr>
            </w:pPr>
          </w:p>
        </w:tc>
        <w:tc>
          <w:tcPr>
            <w:tcW w:w="1174" w:type="dxa"/>
            <w:vAlign w:val="top"/>
          </w:tcPr>
          <w:p>
            <w:pPr>
              <w:ind w:firstLine="0" w:firstLineChars="0"/>
              <w:jc w:val="center"/>
              <w:rPr>
                <w:rFonts w:ascii="宋体" w:hAnsi="宋体"/>
                <w:color w:val="000000"/>
              </w:rPr>
            </w:pPr>
            <w:r>
              <w:rPr>
                <w:rFonts w:ascii="宋体" w:hAnsi="宋体"/>
                <w:color w:val="000000"/>
              </w:rPr>
              <w:t>化学需氧量</w:t>
            </w:r>
          </w:p>
        </w:tc>
        <w:tc>
          <w:tcPr>
            <w:tcW w:w="1897" w:type="dxa"/>
            <w:vMerge w:val="continue"/>
            <w:vAlign w:val="center"/>
          </w:tcPr>
          <w:p>
            <w:pPr>
              <w:ind w:firstLine="0" w:firstLineChars="0"/>
              <w:jc w:val="center"/>
              <w:rPr>
                <w:rFonts w:hint="eastAsia" w:ascii="楷体_GB2312" w:hAnsi="楷体_GB2312" w:eastAsia="楷体_GB2312" w:cs="楷体_GB2312"/>
                <w:sz w:val="24"/>
              </w:rPr>
            </w:pPr>
          </w:p>
        </w:tc>
        <w:tc>
          <w:tcPr>
            <w:tcW w:w="3057"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100</w:t>
            </w:r>
          </w:p>
        </w:tc>
        <w:tc>
          <w:tcPr>
            <w:tcW w:w="2466" w:type="dxa"/>
            <w:vMerge w:val="continue"/>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jc w:val="center"/>
        </w:trPr>
        <w:tc>
          <w:tcPr>
            <w:tcW w:w="1385" w:type="dxa"/>
            <w:vMerge w:val="continue"/>
            <w:vAlign w:val="center"/>
          </w:tcPr>
          <w:p>
            <w:pPr>
              <w:ind w:firstLine="0" w:firstLineChars="0"/>
              <w:jc w:val="center"/>
              <w:rPr>
                <w:rFonts w:hint="eastAsia" w:ascii="楷体_GB2312" w:hAnsi="楷体_GB2312" w:eastAsia="楷体_GB2312" w:cs="楷体_GB2312"/>
                <w:sz w:val="24"/>
              </w:rPr>
            </w:pPr>
          </w:p>
        </w:tc>
        <w:tc>
          <w:tcPr>
            <w:tcW w:w="1174" w:type="dxa"/>
            <w:vAlign w:val="top"/>
          </w:tcPr>
          <w:p>
            <w:pPr>
              <w:ind w:firstLine="0" w:firstLineChars="0"/>
              <w:jc w:val="center"/>
              <w:rPr>
                <w:rFonts w:ascii="宋体" w:hAnsi="宋体"/>
                <w:color w:val="000000"/>
              </w:rPr>
            </w:pPr>
            <w:r>
              <w:rPr>
                <w:rFonts w:ascii="宋体" w:hAnsi="宋体"/>
                <w:color w:val="000000"/>
              </w:rPr>
              <w:t>悬浮物</w:t>
            </w:r>
          </w:p>
        </w:tc>
        <w:tc>
          <w:tcPr>
            <w:tcW w:w="1897" w:type="dxa"/>
            <w:vMerge w:val="continue"/>
            <w:vAlign w:val="center"/>
          </w:tcPr>
          <w:p>
            <w:pPr>
              <w:ind w:firstLine="0" w:firstLineChars="0"/>
              <w:jc w:val="center"/>
              <w:rPr>
                <w:rFonts w:hint="eastAsia" w:ascii="楷体_GB2312" w:hAnsi="楷体_GB2312" w:eastAsia="楷体_GB2312" w:cs="楷体_GB2312"/>
                <w:sz w:val="24"/>
              </w:rPr>
            </w:pPr>
          </w:p>
        </w:tc>
        <w:tc>
          <w:tcPr>
            <w:tcW w:w="3057"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70</w:t>
            </w:r>
          </w:p>
        </w:tc>
        <w:tc>
          <w:tcPr>
            <w:tcW w:w="2466" w:type="dxa"/>
            <w:vMerge w:val="continue"/>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jc w:val="center"/>
        </w:trPr>
        <w:tc>
          <w:tcPr>
            <w:tcW w:w="1385" w:type="dxa"/>
            <w:vMerge w:val="continue"/>
            <w:vAlign w:val="center"/>
          </w:tcPr>
          <w:p>
            <w:pPr>
              <w:ind w:firstLine="0" w:firstLineChars="0"/>
              <w:jc w:val="center"/>
              <w:rPr>
                <w:rFonts w:hint="eastAsia" w:ascii="楷体_GB2312" w:hAnsi="楷体_GB2312" w:eastAsia="楷体_GB2312" w:cs="楷体_GB2312"/>
                <w:sz w:val="24"/>
              </w:rPr>
            </w:pPr>
          </w:p>
        </w:tc>
        <w:tc>
          <w:tcPr>
            <w:tcW w:w="1174"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PH</w:t>
            </w:r>
          </w:p>
        </w:tc>
        <w:tc>
          <w:tcPr>
            <w:tcW w:w="1897"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无纲量</w:t>
            </w:r>
          </w:p>
        </w:tc>
        <w:tc>
          <w:tcPr>
            <w:tcW w:w="3057"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6-9</w:t>
            </w:r>
          </w:p>
        </w:tc>
        <w:tc>
          <w:tcPr>
            <w:tcW w:w="2466" w:type="dxa"/>
            <w:vMerge w:val="continue"/>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jc w:val="center"/>
        </w:trPr>
        <w:tc>
          <w:tcPr>
            <w:tcW w:w="1385" w:type="dxa"/>
            <w:vMerge w:val="restart"/>
            <w:vAlign w:val="center"/>
          </w:tcPr>
          <w:p>
            <w:pPr>
              <w:ind w:firstLine="0" w:firstLineChars="0"/>
              <w:jc w:val="center"/>
              <w:rPr>
                <w:rFonts w:hint="eastAsia" w:ascii="楷体_GB2312" w:hAnsi="楷体_GB2312" w:eastAsia="楷体_GB2312" w:cs="楷体_GB2312"/>
                <w:sz w:val="24"/>
              </w:rPr>
            </w:pPr>
            <w:r>
              <w:rPr>
                <w:rFonts w:hint="eastAsia" w:ascii="宋体" w:hAnsi="宋体" w:cs="宋体"/>
                <w:sz w:val="24"/>
              </w:rPr>
              <w:t>生活废水</w:t>
            </w:r>
          </w:p>
        </w:tc>
        <w:tc>
          <w:tcPr>
            <w:tcW w:w="1174" w:type="dxa"/>
            <w:vAlign w:val="center"/>
          </w:tcPr>
          <w:p>
            <w:pPr>
              <w:ind w:firstLine="0" w:firstLineChars="0"/>
              <w:jc w:val="center"/>
              <w:rPr>
                <w:rFonts w:ascii="宋体" w:hAnsi="宋体"/>
                <w:color w:val="000000"/>
                <w:sz w:val="24"/>
              </w:rPr>
            </w:pPr>
            <w:r>
              <w:rPr>
                <w:rFonts w:ascii="宋体" w:hAnsi="宋体"/>
                <w:color w:val="000000"/>
                <w:sz w:val="24"/>
              </w:rPr>
              <w:t>化学需氧量</w:t>
            </w:r>
          </w:p>
        </w:tc>
        <w:tc>
          <w:tcPr>
            <w:tcW w:w="1897" w:type="dxa"/>
            <w:vMerge w:val="restart"/>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mg/L</w:t>
            </w:r>
          </w:p>
        </w:tc>
        <w:tc>
          <w:tcPr>
            <w:tcW w:w="3057"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100</w:t>
            </w:r>
          </w:p>
        </w:tc>
        <w:tc>
          <w:tcPr>
            <w:tcW w:w="2466" w:type="dxa"/>
            <w:vMerge w:val="continue"/>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jc w:val="center"/>
        </w:trPr>
        <w:tc>
          <w:tcPr>
            <w:tcW w:w="1385" w:type="dxa"/>
            <w:vMerge w:val="continue"/>
            <w:vAlign w:val="center"/>
          </w:tcPr>
          <w:p>
            <w:pPr>
              <w:ind w:firstLine="0" w:firstLineChars="0"/>
              <w:jc w:val="center"/>
              <w:rPr>
                <w:rFonts w:hint="eastAsia" w:ascii="楷体_GB2312" w:hAnsi="楷体_GB2312" w:eastAsia="楷体_GB2312" w:cs="楷体_GB2312"/>
                <w:sz w:val="24"/>
              </w:rPr>
            </w:pPr>
          </w:p>
        </w:tc>
        <w:tc>
          <w:tcPr>
            <w:tcW w:w="1174" w:type="dxa"/>
            <w:vAlign w:val="center"/>
          </w:tcPr>
          <w:p>
            <w:pPr>
              <w:ind w:firstLine="0" w:firstLineChars="0"/>
              <w:jc w:val="center"/>
              <w:rPr>
                <w:rFonts w:ascii="宋体" w:hAnsi="宋体"/>
                <w:color w:val="000000"/>
                <w:sz w:val="24"/>
              </w:rPr>
            </w:pPr>
            <w:r>
              <w:rPr>
                <w:rFonts w:ascii="宋体" w:hAnsi="宋体"/>
                <w:color w:val="000000"/>
                <w:sz w:val="24"/>
              </w:rPr>
              <w:t>五日生化需氧量</w:t>
            </w:r>
          </w:p>
        </w:tc>
        <w:tc>
          <w:tcPr>
            <w:tcW w:w="1897" w:type="dxa"/>
            <w:vMerge w:val="continue"/>
            <w:vAlign w:val="center"/>
          </w:tcPr>
          <w:p>
            <w:pPr>
              <w:ind w:firstLine="0" w:firstLineChars="0"/>
              <w:jc w:val="center"/>
              <w:rPr>
                <w:rFonts w:hint="eastAsia" w:ascii="楷体_GB2312" w:hAnsi="楷体_GB2312" w:eastAsia="楷体_GB2312" w:cs="楷体_GB2312"/>
                <w:sz w:val="24"/>
              </w:rPr>
            </w:pPr>
          </w:p>
        </w:tc>
        <w:tc>
          <w:tcPr>
            <w:tcW w:w="3057"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30</w:t>
            </w:r>
          </w:p>
        </w:tc>
        <w:tc>
          <w:tcPr>
            <w:tcW w:w="2466" w:type="dxa"/>
            <w:vMerge w:val="continue"/>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jc w:val="center"/>
        </w:trPr>
        <w:tc>
          <w:tcPr>
            <w:tcW w:w="1385" w:type="dxa"/>
            <w:vMerge w:val="continue"/>
            <w:vAlign w:val="center"/>
          </w:tcPr>
          <w:p>
            <w:pPr>
              <w:ind w:firstLine="0" w:firstLineChars="0"/>
              <w:jc w:val="center"/>
              <w:rPr>
                <w:rFonts w:hint="eastAsia" w:ascii="楷体_GB2312" w:hAnsi="楷体_GB2312" w:eastAsia="楷体_GB2312" w:cs="楷体_GB2312"/>
                <w:sz w:val="24"/>
              </w:rPr>
            </w:pPr>
          </w:p>
        </w:tc>
        <w:tc>
          <w:tcPr>
            <w:tcW w:w="1174" w:type="dxa"/>
            <w:vAlign w:val="center"/>
          </w:tcPr>
          <w:p>
            <w:pPr>
              <w:ind w:firstLine="0" w:firstLineChars="0"/>
              <w:jc w:val="center"/>
              <w:rPr>
                <w:rFonts w:ascii="宋体" w:hAnsi="宋体"/>
                <w:color w:val="000000"/>
                <w:sz w:val="24"/>
              </w:rPr>
            </w:pPr>
            <w:r>
              <w:rPr>
                <w:rFonts w:ascii="宋体" w:hAnsi="宋体"/>
                <w:color w:val="000000"/>
                <w:sz w:val="24"/>
              </w:rPr>
              <w:t>悬浮物</w:t>
            </w:r>
          </w:p>
        </w:tc>
        <w:tc>
          <w:tcPr>
            <w:tcW w:w="1897" w:type="dxa"/>
            <w:vMerge w:val="continue"/>
            <w:vAlign w:val="center"/>
          </w:tcPr>
          <w:p>
            <w:pPr>
              <w:ind w:firstLine="0" w:firstLineChars="0"/>
              <w:jc w:val="center"/>
              <w:rPr>
                <w:rFonts w:hint="eastAsia" w:ascii="楷体_GB2312" w:hAnsi="楷体_GB2312" w:eastAsia="楷体_GB2312" w:cs="楷体_GB2312"/>
                <w:sz w:val="24"/>
              </w:rPr>
            </w:pPr>
          </w:p>
        </w:tc>
        <w:tc>
          <w:tcPr>
            <w:tcW w:w="3057"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70</w:t>
            </w:r>
          </w:p>
        </w:tc>
        <w:tc>
          <w:tcPr>
            <w:tcW w:w="2466" w:type="dxa"/>
            <w:vMerge w:val="continue"/>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jc w:val="center"/>
        </w:trPr>
        <w:tc>
          <w:tcPr>
            <w:tcW w:w="1385" w:type="dxa"/>
            <w:vMerge w:val="continue"/>
            <w:vAlign w:val="center"/>
          </w:tcPr>
          <w:p>
            <w:pPr>
              <w:ind w:firstLine="0" w:firstLineChars="0"/>
              <w:jc w:val="center"/>
              <w:rPr>
                <w:rFonts w:hint="eastAsia" w:ascii="楷体_GB2312" w:hAnsi="楷体_GB2312" w:eastAsia="楷体_GB2312" w:cs="楷体_GB2312"/>
                <w:sz w:val="24"/>
              </w:rPr>
            </w:pPr>
          </w:p>
        </w:tc>
        <w:tc>
          <w:tcPr>
            <w:tcW w:w="1174" w:type="dxa"/>
            <w:vAlign w:val="center"/>
          </w:tcPr>
          <w:p>
            <w:pPr>
              <w:ind w:firstLine="0" w:firstLineChars="0"/>
              <w:jc w:val="center"/>
              <w:rPr>
                <w:rFonts w:ascii="宋体" w:hAnsi="宋体"/>
                <w:color w:val="000000"/>
                <w:sz w:val="24"/>
              </w:rPr>
            </w:pPr>
            <w:r>
              <w:rPr>
                <w:rFonts w:ascii="宋体" w:hAnsi="宋体"/>
                <w:color w:val="000000"/>
                <w:sz w:val="24"/>
              </w:rPr>
              <w:t>总磷（以P计）</w:t>
            </w:r>
          </w:p>
        </w:tc>
        <w:tc>
          <w:tcPr>
            <w:tcW w:w="1897" w:type="dxa"/>
            <w:vAlign w:val="center"/>
          </w:tcPr>
          <w:p>
            <w:pPr>
              <w:ind w:firstLine="0" w:firstLineChars="0"/>
              <w:jc w:val="center"/>
              <w:rPr>
                <w:rFonts w:hint="eastAsia" w:ascii="楷体_GB2312" w:hAnsi="楷体_GB2312" w:eastAsia="楷体_GB2312" w:cs="楷体_GB2312"/>
                <w:sz w:val="24"/>
              </w:rPr>
            </w:pPr>
            <w:r>
              <w:rPr>
                <w:rFonts w:ascii="宋体" w:hAnsi="宋体"/>
                <w:color w:val="000000"/>
                <w:sz w:val="24"/>
              </w:rPr>
              <w:t>以P计</w:t>
            </w:r>
          </w:p>
        </w:tc>
        <w:tc>
          <w:tcPr>
            <w:tcW w:w="3057"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0.5</w:t>
            </w:r>
          </w:p>
        </w:tc>
        <w:tc>
          <w:tcPr>
            <w:tcW w:w="2466" w:type="dxa"/>
            <w:vMerge w:val="continue"/>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jc w:val="center"/>
        </w:trPr>
        <w:tc>
          <w:tcPr>
            <w:tcW w:w="1385" w:type="dxa"/>
            <w:vMerge w:val="continue"/>
            <w:vAlign w:val="center"/>
          </w:tcPr>
          <w:p>
            <w:pPr>
              <w:ind w:firstLine="0" w:firstLineChars="0"/>
              <w:jc w:val="center"/>
              <w:rPr>
                <w:rFonts w:hint="eastAsia" w:ascii="楷体_GB2312" w:hAnsi="楷体_GB2312" w:eastAsia="楷体_GB2312" w:cs="楷体_GB2312"/>
                <w:sz w:val="24"/>
              </w:rPr>
            </w:pPr>
          </w:p>
        </w:tc>
        <w:tc>
          <w:tcPr>
            <w:tcW w:w="1174" w:type="dxa"/>
            <w:vAlign w:val="center"/>
          </w:tcPr>
          <w:p>
            <w:pPr>
              <w:ind w:firstLine="0" w:firstLineChars="0"/>
              <w:jc w:val="center"/>
              <w:rPr>
                <w:rFonts w:ascii="宋体" w:hAnsi="宋体"/>
                <w:color w:val="000000"/>
                <w:sz w:val="24"/>
              </w:rPr>
            </w:pPr>
            <w:r>
              <w:rPr>
                <w:rFonts w:ascii="宋体" w:hAnsi="宋体"/>
                <w:color w:val="000000"/>
                <w:sz w:val="24"/>
              </w:rPr>
              <w:t>氨氮（NH3-N）</w:t>
            </w:r>
          </w:p>
        </w:tc>
        <w:tc>
          <w:tcPr>
            <w:tcW w:w="1897"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mg/L</w:t>
            </w:r>
          </w:p>
        </w:tc>
        <w:tc>
          <w:tcPr>
            <w:tcW w:w="3057"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15</w:t>
            </w:r>
          </w:p>
        </w:tc>
        <w:tc>
          <w:tcPr>
            <w:tcW w:w="2466" w:type="dxa"/>
            <w:vMerge w:val="continue"/>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jc w:val="center"/>
        </w:trPr>
        <w:tc>
          <w:tcPr>
            <w:tcW w:w="1385" w:type="dxa"/>
            <w:vMerge w:val="continue"/>
            <w:vAlign w:val="center"/>
          </w:tcPr>
          <w:p>
            <w:pPr>
              <w:ind w:firstLine="0" w:firstLineChars="0"/>
              <w:jc w:val="center"/>
              <w:rPr>
                <w:rFonts w:hint="eastAsia" w:ascii="楷体_GB2312" w:hAnsi="楷体_GB2312" w:eastAsia="楷体_GB2312" w:cs="楷体_GB2312"/>
                <w:sz w:val="24"/>
              </w:rPr>
            </w:pPr>
          </w:p>
        </w:tc>
        <w:tc>
          <w:tcPr>
            <w:tcW w:w="1174" w:type="dxa"/>
            <w:vAlign w:val="center"/>
          </w:tcPr>
          <w:p>
            <w:pPr>
              <w:ind w:firstLine="0" w:firstLineChars="0"/>
              <w:jc w:val="center"/>
              <w:rPr>
                <w:rFonts w:ascii="宋体" w:hAnsi="宋体"/>
                <w:color w:val="000000"/>
                <w:sz w:val="24"/>
              </w:rPr>
            </w:pPr>
            <w:r>
              <w:rPr>
                <w:rFonts w:ascii="宋体" w:hAnsi="宋体"/>
                <w:color w:val="000000"/>
                <w:sz w:val="24"/>
              </w:rPr>
              <w:t>pH值</w:t>
            </w:r>
          </w:p>
        </w:tc>
        <w:tc>
          <w:tcPr>
            <w:tcW w:w="1897" w:type="dxa"/>
            <w:vAlign w:val="center"/>
          </w:tcPr>
          <w:p>
            <w:pPr>
              <w:ind w:firstLine="0" w:firstLineChars="0"/>
              <w:jc w:val="center"/>
              <w:rPr>
                <w:rFonts w:hint="eastAsia" w:ascii="楷体_GB2312" w:hAnsi="楷体_GB2312" w:eastAsia="楷体_GB2312" w:cs="楷体_GB2312"/>
                <w:sz w:val="24"/>
              </w:rPr>
            </w:pPr>
            <w:r>
              <w:rPr>
                <w:rFonts w:hint="eastAsia" w:ascii="宋体" w:hAnsi="宋体" w:cs="宋体"/>
                <w:sz w:val="24"/>
              </w:rPr>
              <w:t>无量纲</w:t>
            </w:r>
          </w:p>
        </w:tc>
        <w:tc>
          <w:tcPr>
            <w:tcW w:w="3057"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6-9</w:t>
            </w:r>
          </w:p>
        </w:tc>
        <w:tc>
          <w:tcPr>
            <w:tcW w:w="2466" w:type="dxa"/>
            <w:vMerge w:val="continue"/>
            <w:vAlign w:val="center"/>
          </w:tcPr>
          <w:p>
            <w:pPr>
              <w:ind w:firstLine="0" w:firstLineChars="0"/>
              <w:jc w:val="center"/>
              <w:rPr>
                <w:rFonts w:hint="eastAsia" w:ascii="楷体_GB2312" w:hAnsi="楷体_GB2312" w:eastAsia="楷体_GB2312" w:cs="楷体_GB2312"/>
                <w:sz w:val="24"/>
              </w:rPr>
            </w:pPr>
          </w:p>
        </w:tc>
      </w:tr>
    </w:tbl>
    <w:p>
      <w:pPr>
        <w:tabs>
          <w:tab w:val="left" w:pos="4140"/>
        </w:tabs>
        <w:ind w:firstLine="504"/>
        <w:rPr>
          <w:rFonts w:hint="eastAsia" w:ascii="楷体_GB2312" w:hAnsi="楷体_GB2312" w:eastAsia="楷体_GB2312" w:cs="楷体_GB2312"/>
          <w:sz w:val="24"/>
        </w:rPr>
      </w:pPr>
    </w:p>
    <w:p>
      <w:pPr>
        <w:ind w:firstLine="504"/>
        <w:jc w:val="center"/>
        <w:rPr>
          <w:rFonts w:hint="eastAsia" w:ascii="楷体_GB2312" w:hAnsi="楷体_GB2312" w:eastAsia="楷体_GB2312" w:cs="楷体_GB2312"/>
          <w:b/>
          <w:color w:val="000000"/>
          <w:sz w:val="24"/>
        </w:rPr>
      </w:pPr>
      <w:r>
        <w:rPr>
          <w:rFonts w:hint="eastAsia" w:ascii="楷体_GB2312" w:hAnsi="楷体_GB2312" w:eastAsia="楷体_GB2312" w:cs="楷体_GB2312"/>
          <w:b/>
          <w:color w:val="000000"/>
          <w:sz w:val="24"/>
        </w:rPr>
        <w:t>表2-6-5  噪声标准</w:t>
      </w:r>
      <w:r>
        <w:rPr>
          <w:rFonts w:hint="eastAsia" w:ascii="楷体_GB2312" w:hAnsi="楷体_GB2312" w:eastAsia="楷体_GB2312" w:cs="楷体_GB2312"/>
          <w:b/>
          <w:sz w:val="24"/>
        </w:rPr>
        <w:t>、依据及其限值</w:t>
      </w:r>
    </w:p>
    <w:tbl>
      <w:tblPr>
        <w:tblStyle w:val="21"/>
        <w:tblW w:w="94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1800"/>
        <w:gridCol w:w="2900"/>
        <w:gridCol w:w="2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48" w:type="dxa"/>
            <w:vMerge w:val="restart"/>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污染因子</w:t>
            </w:r>
          </w:p>
        </w:tc>
        <w:tc>
          <w:tcPr>
            <w:tcW w:w="4700" w:type="dxa"/>
            <w:gridSpan w:val="2"/>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执行/参照标准限值</w:t>
            </w:r>
          </w:p>
        </w:tc>
        <w:tc>
          <w:tcPr>
            <w:tcW w:w="2320" w:type="dxa"/>
            <w:vMerge w:val="restart"/>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标准依据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48" w:type="dxa"/>
            <w:vMerge w:val="continue"/>
            <w:vAlign w:val="center"/>
          </w:tcPr>
          <w:p>
            <w:pPr>
              <w:ind w:firstLine="0" w:firstLineChars="0"/>
              <w:jc w:val="center"/>
              <w:rPr>
                <w:rFonts w:hint="eastAsia" w:ascii="楷体_GB2312" w:hAnsi="楷体_GB2312" w:eastAsia="楷体_GB2312" w:cs="楷体_GB2312"/>
                <w:sz w:val="24"/>
              </w:rPr>
            </w:pPr>
          </w:p>
        </w:tc>
        <w:tc>
          <w:tcPr>
            <w:tcW w:w="1800" w:type="dxa"/>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单位</w:t>
            </w:r>
          </w:p>
        </w:tc>
        <w:tc>
          <w:tcPr>
            <w:tcW w:w="2900" w:type="dxa"/>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限值</w:t>
            </w:r>
          </w:p>
        </w:tc>
        <w:tc>
          <w:tcPr>
            <w:tcW w:w="2320" w:type="dxa"/>
            <w:vMerge w:val="continue"/>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48"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噪声</w:t>
            </w:r>
          </w:p>
        </w:tc>
        <w:tc>
          <w:tcPr>
            <w:tcW w:w="1800"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dB（A）</w:t>
            </w:r>
          </w:p>
        </w:tc>
        <w:tc>
          <w:tcPr>
            <w:tcW w:w="2900" w:type="dxa"/>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昼间：60</w:t>
            </w:r>
          </w:p>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夜间：50</w:t>
            </w:r>
          </w:p>
        </w:tc>
        <w:tc>
          <w:tcPr>
            <w:tcW w:w="2320" w:type="dxa"/>
            <w:vAlign w:val="center"/>
          </w:tcPr>
          <w:p>
            <w:pPr>
              <w:pStyle w:val="39"/>
              <w:numPr>
                <w:ilvl w:val="0"/>
                <w:numId w:val="0"/>
              </w:numPr>
              <w:rPr>
                <w:rFonts w:hint="eastAsia" w:ascii="楷体_GB2312" w:hAnsi="楷体_GB2312" w:eastAsia="楷体_GB2312" w:cs="楷体_GB2312"/>
              </w:rPr>
            </w:pPr>
            <w:r>
              <w:rPr>
                <w:rFonts w:hint="eastAsia" w:hAnsi="宋体" w:cs="宋体"/>
                <w:sz w:val="24"/>
              </w:rPr>
              <w:t>排污许可证：</w:t>
            </w:r>
            <w:r>
              <w:rPr>
                <w:rFonts w:hint="eastAsia" w:ascii="楷体_GB2312" w:hAnsi="楷体_GB2312" w:eastAsia="楷体_GB2312" w:cs="楷体_GB2312"/>
                <w:sz w:val="24"/>
              </w:rPr>
              <w:t xml:space="preserve">91500106203401664G </w:t>
            </w:r>
          </w:p>
        </w:tc>
      </w:tr>
    </w:tbl>
    <w:p>
      <w:pPr>
        <w:ind w:firstLine="504"/>
        <w:rPr>
          <w:rFonts w:hint="eastAsia" w:ascii="楷体_GB2312" w:hAnsi="楷体_GB2312" w:eastAsia="楷体_GB2312" w:cs="楷体_GB2312"/>
          <w:sz w:val="24"/>
        </w:rPr>
      </w:pPr>
    </w:p>
    <w:p>
      <w:pPr>
        <w:ind w:firstLine="0" w:firstLineChars="0"/>
        <w:rPr>
          <w:rFonts w:hint="eastAsia" w:ascii="楷体_GB2312" w:hAnsi="楷体_GB2312" w:eastAsia="楷体_GB2312" w:cs="楷体_GB2312"/>
          <w:b/>
          <w:sz w:val="24"/>
        </w:rPr>
      </w:pPr>
      <w:r>
        <w:rPr>
          <w:rFonts w:hint="eastAsia" w:ascii="楷体_GB2312" w:hAnsi="楷体_GB2312" w:eastAsia="楷体_GB2312" w:cs="楷体_GB2312"/>
          <w:b/>
          <w:color w:val="000000"/>
          <w:sz w:val="24"/>
        </w:rPr>
        <w:t>表2-6-6  污染物总量控制指标</w:t>
      </w:r>
      <w:r>
        <w:rPr>
          <w:rFonts w:hint="eastAsia" w:ascii="楷体_GB2312" w:hAnsi="楷体_GB2312" w:eastAsia="楷体_GB2312" w:cs="楷体_GB2312"/>
          <w:b/>
          <w:sz w:val="24"/>
        </w:rPr>
        <w:t>、依据及其限值</w:t>
      </w:r>
    </w:p>
    <w:tbl>
      <w:tblPr>
        <w:tblStyle w:val="21"/>
        <w:tblW w:w="94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824"/>
        <w:gridCol w:w="2700"/>
        <w:gridCol w:w="3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09" w:type="dxa"/>
            <w:gridSpan w:val="2"/>
            <w:vAlign w:val="center"/>
          </w:tcPr>
          <w:p>
            <w:pPr>
              <w:spacing w:line="240" w:lineRule="auto"/>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项目</w:t>
            </w:r>
          </w:p>
        </w:tc>
        <w:tc>
          <w:tcPr>
            <w:tcW w:w="2700" w:type="dxa"/>
            <w:vAlign w:val="center"/>
          </w:tcPr>
          <w:p>
            <w:pPr>
              <w:spacing w:line="240" w:lineRule="auto"/>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总量控制指标*（t/a）</w:t>
            </w:r>
          </w:p>
        </w:tc>
        <w:tc>
          <w:tcPr>
            <w:tcW w:w="3116" w:type="dxa"/>
            <w:vAlign w:val="top"/>
          </w:tcPr>
          <w:p>
            <w:pPr>
              <w:spacing w:line="240" w:lineRule="auto"/>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指标来源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5" w:type="dxa"/>
            <w:vMerge w:val="restart"/>
            <w:vAlign w:val="center"/>
          </w:tcPr>
          <w:p>
            <w:pPr>
              <w:ind w:firstLine="0" w:firstLineChars="0"/>
              <w:jc w:val="center"/>
              <w:rPr>
                <w:rFonts w:hint="eastAsia" w:ascii="楷体_GB2312" w:hAnsi="楷体_GB2312" w:eastAsia="楷体_GB2312" w:cs="楷体_GB2312"/>
                <w:sz w:val="24"/>
              </w:rPr>
            </w:pPr>
            <w:r>
              <w:rPr>
                <w:rFonts w:hint="eastAsia" w:ascii="宋体" w:hAnsi="宋体" w:cs="宋体"/>
                <w:sz w:val="21"/>
                <w:szCs w:val="21"/>
              </w:rPr>
              <w:t>大气</w:t>
            </w:r>
          </w:p>
        </w:tc>
        <w:tc>
          <w:tcPr>
            <w:tcW w:w="1824" w:type="dxa"/>
            <w:vAlign w:val="center"/>
          </w:tcPr>
          <w:p>
            <w:pPr>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颗粒物</w:t>
            </w:r>
          </w:p>
        </w:tc>
        <w:tc>
          <w:tcPr>
            <w:tcW w:w="2700" w:type="dxa"/>
            <w:vAlign w:val="center"/>
          </w:tcPr>
          <w:p>
            <w:pPr>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158.37</w:t>
            </w:r>
          </w:p>
        </w:tc>
        <w:tc>
          <w:tcPr>
            <w:tcW w:w="3116" w:type="dxa"/>
            <w:vMerge w:val="restart"/>
            <w:vAlign w:val="center"/>
          </w:tcPr>
          <w:p>
            <w:pPr>
              <w:ind w:firstLine="0" w:firstLineChars="0"/>
              <w:jc w:val="center"/>
              <w:rPr>
                <w:rFonts w:hint="eastAsia" w:ascii="楷体_GB2312" w:hAnsi="楷体_GB2312" w:eastAsia="楷体_GB2312" w:cs="楷体_GB2312"/>
                <w:bCs/>
                <w:color w:val="000000"/>
                <w:sz w:val="21"/>
                <w:szCs w:val="21"/>
              </w:rPr>
            </w:pPr>
            <w:r>
              <w:rPr>
                <w:rFonts w:hint="eastAsia" w:ascii="宋体" w:hAnsi="宋体" w:cs="宋体"/>
                <w:sz w:val="24"/>
              </w:rPr>
              <w:t>排污许可证：</w:t>
            </w:r>
            <w:r>
              <w:rPr>
                <w:rFonts w:hint="eastAsia" w:ascii="楷体_GB2312" w:hAnsi="楷体_GB2312" w:eastAsia="楷体_GB2312" w:cs="楷体_GB2312"/>
                <w:sz w:val="24"/>
              </w:rPr>
              <w:t xml:space="preserve">91500106203401664G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5" w:type="dxa"/>
            <w:vMerge w:val="continue"/>
            <w:vAlign w:val="center"/>
          </w:tcPr>
          <w:p>
            <w:pPr>
              <w:ind w:firstLine="0" w:firstLineChars="0"/>
              <w:jc w:val="center"/>
              <w:rPr>
                <w:rFonts w:hint="eastAsia" w:ascii="楷体_GB2312" w:hAnsi="楷体_GB2312" w:eastAsia="楷体_GB2312" w:cs="楷体_GB2312"/>
                <w:bCs/>
                <w:color w:val="000000"/>
                <w:sz w:val="24"/>
              </w:rPr>
            </w:pPr>
          </w:p>
        </w:tc>
        <w:tc>
          <w:tcPr>
            <w:tcW w:w="1824" w:type="dxa"/>
            <w:vAlign w:val="center"/>
          </w:tcPr>
          <w:p>
            <w:pPr>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SO</w:t>
            </w:r>
            <w:r>
              <w:rPr>
                <w:rFonts w:hint="eastAsia" w:ascii="楷体_GB2312" w:hAnsi="楷体_GB2312" w:eastAsia="楷体_GB2312" w:cs="楷体_GB2312"/>
                <w:bCs/>
                <w:color w:val="000000"/>
                <w:sz w:val="24"/>
                <w:vertAlign w:val="subscript"/>
              </w:rPr>
              <w:t>2</w:t>
            </w:r>
          </w:p>
        </w:tc>
        <w:tc>
          <w:tcPr>
            <w:tcW w:w="2700" w:type="dxa"/>
            <w:vAlign w:val="center"/>
          </w:tcPr>
          <w:p>
            <w:pPr>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216.4</w:t>
            </w:r>
          </w:p>
        </w:tc>
        <w:tc>
          <w:tcPr>
            <w:tcW w:w="3116" w:type="dxa"/>
            <w:vMerge w:val="continue"/>
            <w:vAlign w:val="center"/>
          </w:tcPr>
          <w:p>
            <w:pPr>
              <w:ind w:firstLine="0" w:firstLineChars="0"/>
              <w:jc w:val="center"/>
              <w:rPr>
                <w:rFonts w:hint="eastAsia" w:ascii="楷体_GB2312" w:hAnsi="楷体_GB2312" w:eastAsia="楷体_GB2312" w:cs="楷体_GB2312"/>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5" w:type="dxa"/>
            <w:vMerge w:val="continue"/>
            <w:vAlign w:val="center"/>
          </w:tcPr>
          <w:p>
            <w:pPr>
              <w:ind w:firstLine="0" w:firstLineChars="0"/>
              <w:jc w:val="center"/>
              <w:rPr>
                <w:rFonts w:hint="eastAsia" w:ascii="楷体_GB2312" w:hAnsi="楷体_GB2312" w:eastAsia="楷体_GB2312" w:cs="楷体_GB2312"/>
                <w:bCs/>
                <w:color w:val="000000"/>
                <w:sz w:val="24"/>
              </w:rPr>
            </w:pPr>
          </w:p>
        </w:tc>
        <w:tc>
          <w:tcPr>
            <w:tcW w:w="1824" w:type="dxa"/>
            <w:vAlign w:val="center"/>
          </w:tcPr>
          <w:p>
            <w:pPr>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NOx</w:t>
            </w:r>
          </w:p>
        </w:tc>
        <w:tc>
          <w:tcPr>
            <w:tcW w:w="2700" w:type="dxa"/>
            <w:vAlign w:val="center"/>
          </w:tcPr>
          <w:p>
            <w:pPr>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562.5</w:t>
            </w:r>
          </w:p>
        </w:tc>
        <w:tc>
          <w:tcPr>
            <w:tcW w:w="3116" w:type="dxa"/>
            <w:vMerge w:val="continue"/>
            <w:vAlign w:val="center"/>
          </w:tcPr>
          <w:p>
            <w:pPr>
              <w:ind w:firstLine="0" w:firstLineChars="0"/>
              <w:jc w:val="center"/>
              <w:rPr>
                <w:rFonts w:hint="eastAsia" w:ascii="楷体_GB2312" w:hAnsi="楷体_GB2312" w:eastAsia="楷体_GB2312" w:cs="楷体_GB2312"/>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785" w:type="dxa"/>
            <w:vMerge w:val="restart"/>
            <w:vAlign w:val="center"/>
          </w:tcPr>
          <w:p>
            <w:pPr>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生活废水</w:t>
            </w:r>
          </w:p>
        </w:tc>
        <w:tc>
          <w:tcPr>
            <w:tcW w:w="1824" w:type="dxa"/>
            <w:vAlign w:val="center"/>
          </w:tcPr>
          <w:p>
            <w:pPr>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COD</w:t>
            </w:r>
          </w:p>
        </w:tc>
        <w:tc>
          <w:tcPr>
            <w:tcW w:w="2700" w:type="dxa"/>
            <w:vAlign w:val="center"/>
          </w:tcPr>
          <w:p>
            <w:pPr>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0.292</w:t>
            </w:r>
          </w:p>
        </w:tc>
        <w:tc>
          <w:tcPr>
            <w:tcW w:w="3116" w:type="dxa"/>
            <w:vMerge w:val="restart"/>
            <w:vAlign w:val="center"/>
          </w:tcPr>
          <w:p>
            <w:pPr>
              <w:ind w:firstLine="480"/>
              <w:jc w:val="center"/>
              <w:rPr>
                <w:rFonts w:hint="eastAsia" w:ascii="楷体_GB2312" w:hAnsi="楷体_GB2312" w:eastAsia="楷体_GB2312" w:cs="楷体_GB2312"/>
                <w:bCs/>
                <w:color w:val="000000"/>
                <w:sz w:val="24"/>
              </w:rPr>
            </w:pPr>
            <w:r>
              <w:rPr>
                <w:rFonts w:hint="eastAsia" w:ascii="宋体" w:hAnsi="宋体" w:cs="宋体"/>
                <w:sz w:val="24"/>
              </w:rPr>
              <w:t>排污许可证：</w:t>
            </w:r>
            <w:r>
              <w:rPr>
                <w:rFonts w:hint="eastAsia" w:ascii="楷体_GB2312" w:hAnsi="楷体_GB2312" w:eastAsia="楷体_GB2312" w:cs="楷体_GB2312"/>
                <w:sz w:val="24"/>
              </w:rPr>
              <w:t>91500106203401664G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1785" w:type="dxa"/>
            <w:vMerge w:val="continue"/>
            <w:vAlign w:val="center"/>
          </w:tcPr>
          <w:p>
            <w:pPr>
              <w:ind w:firstLine="0" w:firstLineChars="0"/>
              <w:jc w:val="center"/>
              <w:rPr>
                <w:rFonts w:hint="eastAsia" w:ascii="楷体_GB2312" w:hAnsi="楷体_GB2312" w:eastAsia="楷体_GB2312" w:cs="楷体_GB2312"/>
                <w:bCs/>
                <w:color w:val="000000"/>
                <w:sz w:val="24"/>
              </w:rPr>
            </w:pPr>
          </w:p>
        </w:tc>
        <w:tc>
          <w:tcPr>
            <w:tcW w:w="1824" w:type="dxa"/>
            <w:vAlign w:val="center"/>
          </w:tcPr>
          <w:p>
            <w:pPr>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氨氮</w:t>
            </w:r>
          </w:p>
        </w:tc>
        <w:tc>
          <w:tcPr>
            <w:tcW w:w="2700" w:type="dxa"/>
            <w:vAlign w:val="center"/>
          </w:tcPr>
          <w:p>
            <w:pPr>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0.044</w:t>
            </w:r>
          </w:p>
        </w:tc>
        <w:tc>
          <w:tcPr>
            <w:tcW w:w="3116" w:type="dxa"/>
            <w:vMerge w:val="continue"/>
            <w:vAlign w:val="center"/>
          </w:tcPr>
          <w:p>
            <w:pPr>
              <w:ind w:firstLine="0" w:firstLineChars="0"/>
              <w:jc w:val="center"/>
              <w:rPr>
                <w:rFonts w:hint="eastAsia" w:ascii="楷体_GB2312" w:hAnsi="楷体_GB2312" w:eastAsia="楷体_GB2312" w:cs="楷体_GB2312"/>
                <w:sz w:val="21"/>
                <w:szCs w:val="21"/>
              </w:rPr>
            </w:pPr>
          </w:p>
        </w:tc>
      </w:tr>
    </w:tbl>
    <w:p>
      <w:pPr>
        <w:ind w:firstLine="504"/>
        <w:jc w:val="left"/>
        <w:rPr>
          <w:rFonts w:hint="eastAsia" w:ascii="楷体_GB2312" w:hAnsi="楷体_GB2312" w:eastAsia="楷体_GB2312" w:cs="楷体_GB2312"/>
          <w:bCs/>
          <w:color w:val="000000"/>
          <w:szCs w:val="21"/>
        </w:rPr>
      </w:pPr>
      <w:r>
        <w:rPr>
          <w:rFonts w:hint="eastAsia" w:ascii="楷体_GB2312" w:hAnsi="楷体_GB2312" w:eastAsia="楷体_GB2312" w:cs="楷体_GB2312"/>
          <w:bCs/>
          <w:color w:val="000000"/>
          <w:sz w:val="24"/>
        </w:rPr>
        <w:t>注：*以该项目环境影响评价及其批复、或环境管理限值要求为依据</w:t>
      </w:r>
    </w:p>
    <w:p>
      <w:pPr>
        <w:pStyle w:val="2"/>
        <w:rPr>
          <w:rFonts w:hint="eastAsia" w:ascii="楷体_GB2312" w:hAnsi="楷体_GB2312" w:eastAsia="楷体_GB2312" w:cs="楷体_GB2312"/>
        </w:rPr>
      </w:pPr>
      <w:bookmarkStart w:id="804" w:name="_Toc373998378"/>
      <w:r>
        <w:rPr>
          <w:rFonts w:hint="eastAsia" w:ascii="楷体_GB2312" w:hAnsi="楷体_GB2312" w:eastAsia="楷体_GB2312" w:cs="楷体_GB2312"/>
        </w:rPr>
        <w:t>三、监测点位及厂区平面图</w:t>
      </w:r>
      <w:bookmarkEnd w:id="804"/>
    </w:p>
    <w:p>
      <w:pPr>
        <w:ind w:firstLine="588"/>
        <w:rPr>
          <w:rFonts w:hint="eastAsia" w:ascii="楷体_GB2312" w:hAnsi="楷体_GB2312" w:eastAsia="楷体_GB2312" w:cs="楷体_GB2312"/>
        </w:rPr>
      </w:pPr>
      <w:r>
        <w:rPr>
          <w:rFonts w:hint="eastAsia" w:ascii="楷体_GB2312" w:hAnsi="楷体_GB2312" w:eastAsia="楷体_GB2312" w:cs="楷体_GB2312"/>
        </w:rPr>
        <w:t>主要的产排污环节、环境敏感点和监测点位及厂区平面示意图。</w:t>
      </w:r>
    </w:p>
    <w:p>
      <w:pPr>
        <w:ind w:firstLine="441"/>
        <w:rPr>
          <w:rFonts w:hint="eastAsia" w:ascii="楷体_GB2312" w:hAnsi="楷体_GB2312" w:eastAsia="楷体_GB2312" w:cs="楷体_GB2312"/>
          <w:b/>
          <w:sz w:val="21"/>
          <w:szCs w:val="21"/>
        </w:rPr>
      </w:pPr>
      <w:r>
        <w:rPr>
          <w:rFonts w:hint="eastAsia" w:ascii="楷体_GB2312" w:hAnsi="楷体_GB2312" w:eastAsia="楷体_GB2312" w:cs="楷体_GB2312"/>
          <w:b/>
          <w:sz w:val="21"/>
          <w:szCs w:val="21"/>
        </w:rPr>
        <w:t>（监测布点图中应统一标识符。空气和废气：环境空气●，有组织废气◎，无组织废气○；水和废水：环境水质☆，废水 ★；噪声： 敏感点噪声△，其他噪声 ▲；固体物质和固体废物：固体物质□，固体废物■。）</w:t>
      </w:r>
    </w:p>
    <w:p>
      <w:pPr>
        <w:ind w:firstLine="0" w:firstLineChars="0"/>
        <w:rPr>
          <w:rFonts w:hint="eastAsia" w:ascii="楷体_GB2312" w:hAnsi="楷体_GB2312" w:eastAsia="楷体_GB2312" w:cs="楷体_GB2312"/>
        </w:rPr>
        <w:sectPr>
          <w:headerReference r:id="rId23" w:type="first"/>
          <w:footerReference r:id="rId26" w:type="first"/>
          <w:headerReference r:id="rId21" w:type="default"/>
          <w:footerReference r:id="rId24" w:type="default"/>
          <w:headerReference r:id="rId22" w:type="even"/>
          <w:footerReference r:id="rId25" w:type="even"/>
          <w:pgSz w:w="12240" w:h="15840"/>
          <w:pgMar w:top="1440" w:right="1800" w:bottom="1440" w:left="1800" w:header="720" w:footer="720" w:gutter="0"/>
          <w:lnNumType w:countBy="0" w:distance="360"/>
          <w:pgNumType w:fmt="numberInDash"/>
          <w:cols w:space="720" w:num="1"/>
          <w:docGrid w:type="lines" w:linePitch="312" w:charSpace="0"/>
        </w:sectPr>
      </w:pPr>
    </w:p>
    <w:p>
      <w:pPr>
        <w:ind w:firstLine="0" w:firstLineChars="0"/>
        <w:rPr>
          <w:rFonts w:hint="eastAsia" w:ascii="楷体_GB2312" w:hAnsi="楷体_GB2312" w:eastAsia="楷体_GB2312" w:cs="楷体_GB2312"/>
        </w:rPr>
      </w:pPr>
      <w:r>
        <w:object>
          <v:shape id="_x0000_i1036" o:spt="75" type="#_x0000_t75" style="height:193.3pt;width:482.65pt;" o:ole="t" filled="f" o:preferrelative="t" stroked="f" coordsize="21600,21600">
            <v:path/>
            <v:fill on="f" focussize="0,0"/>
            <v:stroke on="f"/>
            <v:imagedata r:id="rId29" o:title=""/>
            <o:lock v:ext="edit" aspectratio="t"/>
            <w10:wrap type="none"/>
            <w10:anchorlock/>
          </v:shape>
          <o:OLEObject Type="Embed" ProgID="Visio.Drawing.11" ShapeID="_x0000_i1036" DrawAspect="Content" ObjectID="_1468075737" r:id="rId63">
            <o:LockedField>false</o:LockedField>
          </o:OLEObject>
        </w:object>
      </w:r>
    </w:p>
    <w:p>
      <w:pPr>
        <w:ind w:firstLine="0" w:firstLineChars="0"/>
        <w:rPr>
          <w:rFonts w:hint="eastAsia" w:ascii="楷体_GB2312" w:hAnsi="楷体_GB2312" w:eastAsia="楷体_GB2312" w:cs="楷体_GB2312"/>
          <w:b/>
          <w:bCs/>
          <w:sz w:val="24"/>
          <w:szCs w:val="22"/>
        </w:rPr>
      </w:pPr>
      <w:r>
        <w:rPr>
          <w:rFonts w:hint="eastAsia" w:ascii="楷体_GB2312" w:hAnsi="楷体_GB2312" w:eastAsia="楷体_GB2312" w:cs="楷体_GB2312"/>
          <w:b/>
          <w:bCs/>
          <w:sz w:val="24"/>
          <w:szCs w:val="22"/>
        </w:rPr>
        <w:t xml:space="preserve">     图3-1 监测点位及厂区平面图</w:t>
      </w:r>
    </w:p>
    <w:p>
      <w:pPr>
        <w:ind w:firstLine="588"/>
        <w:rPr>
          <w:rFonts w:hint="eastAsia" w:ascii="楷体_GB2312" w:hAnsi="楷体_GB2312" w:eastAsia="楷体_GB2312" w:cs="楷体_GB2312"/>
        </w:rPr>
      </w:pPr>
      <w:r>
        <w:rPr>
          <w:rFonts w:hint="eastAsia" w:ascii="楷体_GB2312" w:hAnsi="楷体_GB2312" w:eastAsia="楷体_GB2312" w:cs="楷体_GB2312"/>
        </w:rPr>
        <w:t>注：4、5、6#排口是属于配料系统除尘随工艺的更替启停除尘器；7、8#为一用一备；32-35#为水泥磨尾后排，随水泥磨工段启停；42-53#随水泥库存放水泥时段启停。</w:t>
      </w:r>
    </w:p>
    <w:p>
      <w:pPr>
        <w:ind w:firstLine="588"/>
        <w:rPr>
          <w:rFonts w:hint="eastAsia" w:ascii="楷体_GB2312" w:hAnsi="楷体_GB2312" w:eastAsia="楷体_GB2312" w:cs="楷体_GB2312"/>
        </w:rPr>
      </w:pPr>
    </w:p>
    <w:p>
      <w:pPr>
        <w:pStyle w:val="2"/>
        <w:rPr>
          <w:rFonts w:hint="eastAsia" w:ascii="楷体_GB2312" w:hAnsi="楷体_GB2312" w:eastAsia="楷体_GB2312" w:cs="楷体_GB2312"/>
        </w:rPr>
      </w:pPr>
      <w:bookmarkStart w:id="805" w:name="_Toc373998379"/>
      <w:r>
        <w:rPr>
          <w:rFonts w:hint="eastAsia" w:ascii="楷体_GB2312" w:hAnsi="楷体_GB2312" w:eastAsia="楷体_GB2312" w:cs="楷体_GB2312"/>
        </w:rPr>
        <w:t>四、监测结果公开时限</w:t>
      </w:r>
      <w:bookmarkEnd w:id="805"/>
    </w:p>
    <w:bookmarkEnd w:id="795"/>
    <w:p>
      <w:pPr>
        <w:pStyle w:val="3"/>
        <w:rPr>
          <w:rFonts w:hint="eastAsia" w:ascii="楷体_GB2312" w:hAnsi="楷体_GB2312" w:eastAsia="楷体_GB2312" w:cs="楷体_GB2312"/>
        </w:rPr>
      </w:pPr>
      <w:bookmarkStart w:id="806" w:name="_Toc373998380"/>
      <w:r>
        <w:rPr>
          <w:rFonts w:hint="eastAsia" w:ascii="楷体_GB2312" w:hAnsi="楷体_GB2312" w:eastAsia="楷体_GB2312" w:cs="楷体_GB2312"/>
        </w:rPr>
        <w:t>4.1手工监测结果公开时限</w:t>
      </w:r>
      <w:bookmarkEnd w:id="806"/>
    </w:p>
    <w:p>
      <w:pPr>
        <w:ind w:firstLine="588"/>
        <w:rPr>
          <w:rFonts w:hint="eastAsia" w:ascii="楷体_GB2312" w:hAnsi="楷体_GB2312" w:eastAsia="楷体_GB2312" w:cs="楷体_GB2312"/>
        </w:rPr>
      </w:pPr>
      <w:r>
        <w:rPr>
          <w:rFonts w:hint="eastAsia" w:ascii="楷体_GB2312" w:hAnsi="楷体_GB2312" w:eastAsia="楷体_GB2312" w:cs="楷体_GB2312"/>
        </w:rPr>
        <w:t>手工监测数据监测结果每次监测完成后的次日公布;全指标于每月25日前完成。</w:t>
      </w:r>
    </w:p>
    <w:p>
      <w:pPr>
        <w:pStyle w:val="3"/>
        <w:rPr>
          <w:rFonts w:hint="eastAsia" w:ascii="楷体_GB2312" w:hAnsi="楷体_GB2312" w:eastAsia="楷体_GB2312" w:cs="楷体_GB2312"/>
        </w:rPr>
      </w:pPr>
      <w:bookmarkStart w:id="807" w:name="_Toc373998381"/>
      <w:r>
        <w:rPr>
          <w:rFonts w:hint="eastAsia" w:ascii="楷体_GB2312" w:hAnsi="楷体_GB2312" w:eastAsia="楷体_GB2312" w:cs="楷体_GB2312"/>
        </w:rPr>
        <w:t>4.2 自动监测结果公开时限</w:t>
      </w:r>
      <w:bookmarkEnd w:id="807"/>
    </w:p>
    <w:p>
      <w:pPr>
        <w:ind w:firstLine="588"/>
        <w:rPr>
          <w:rFonts w:hint="eastAsia" w:ascii="楷体_GB2312" w:hAnsi="楷体_GB2312" w:eastAsia="楷体_GB2312" w:cs="楷体_GB2312"/>
        </w:rPr>
      </w:pPr>
      <w:r>
        <w:rPr>
          <w:rFonts w:hint="eastAsia" w:ascii="楷体_GB2312" w:hAnsi="楷体_GB2312" w:eastAsia="楷体_GB2312" w:cs="楷体_GB2312"/>
        </w:rPr>
        <w:t>自动监测数据应实时公布监测结果，废气自动监测设备为每1小时均值。</w:t>
      </w:r>
    </w:p>
    <w:p>
      <w:pPr>
        <w:ind w:firstLine="588"/>
        <w:rPr>
          <w:rFonts w:hint="eastAsia" w:ascii="楷体_GB2312" w:hAnsi="楷体_GB2312" w:eastAsia="楷体_GB2312" w:cs="楷体_GB2312"/>
        </w:rPr>
      </w:pPr>
    </w:p>
    <w:p>
      <w:pPr>
        <w:ind w:firstLine="588"/>
        <w:rPr>
          <w:rFonts w:hint="eastAsia" w:ascii="楷体_GB2312" w:hAnsi="楷体_GB2312" w:eastAsia="楷体_GB2312" w:cs="楷体_GB2312"/>
        </w:rPr>
      </w:pPr>
    </w:p>
    <w:p>
      <w:pPr>
        <w:ind w:firstLine="588"/>
        <w:rPr>
          <w:rFonts w:hint="eastAsia" w:ascii="楷体_GB2312" w:hAnsi="楷体_GB2312" w:eastAsia="楷体_GB2312" w:cs="楷体_GB2312"/>
          <w:highlight w:val="yellow"/>
          <w:u w:val="single"/>
        </w:rPr>
      </w:pPr>
    </w:p>
    <w:p>
      <w:pPr>
        <w:numPr>
          <w:ilvl w:val="0"/>
          <w:numId w:val="0"/>
        </w:numPr>
        <w:rPr>
          <w:rFonts w:hint="default" w:asciiTheme="minorEastAsia" w:hAnsiTheme="minorEastAsia" w:cstheme="minorEastAsia"/>
          <w:sz w:val="21"/>
          <w:szCs w:val="2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Bookshelf Symbol 7">
    <w:altName w:val="Symbol"/>
    <w:panose1 w:val="05010101010101010101"/>
    <w:charset w:val="02"/>
    <w:family w:val="auto"/>
    <w:pitch w:val="default"/>
    <w:sig w:usb0="00000000" w:usb1="00000000" w:usb2="00000000" w:usb3="00000000" w:csb0="80000000" w:csb1="00000000"/>
  </w:font>
  <w:font w:name="Tunga">
    <w:panose1 w:val="020B0502040204020203"/>
    <w:charset w:val="00"/>
    <w:family w:val="auto"/>
    <w:pitch w:val="default"/>
    <w:sig w:usb0="00400003"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Malgun Gothic Semilight">
    <w:altName w:val="宋体"/>
    <w:panose1 w:val="020B0502040204020203"/>
    <w:charset w:val="86"/>
    <w:family w:val="swiss"/>
    <w:pitch w:val="default"/>
    <w:sig w:usb0="00000000" w:usb1="00000000" w:usb2="00000012" w:usb3="00000000" w:csb0="203E01BD" w:csb1="D7FF0000"/>
  </w:font>
  <w:font w:name="华文楷体">
    <w:altName w:val="楷体_GB2312"/>
    <w:panose1 w:val="02010600040101010101"/>
    <w:charset w:val="86"/>
    <w:family w:val="auto"/>
    <w:pitch w:val="default"/>
    <w:sig w:usb0="00000000" w:usb1="00000000" w:usb2="00000000" w:usb3="00000000" w:csb0="0004009F" w:csb1="DFD7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9"/>
      </w:rPr>
    </w:pPr>
    <w:r>
      <w:rPr>
        <w:rStyle w:val="19"/>
      </w:rPr>
      <w:fldChar w:fldCharType="begin"/>
    </w:r>
    <w:r>
      <w:rPr>
        <w:rStyle w:val="19"/>
      </w:rPr>
      <w:instrText xml:space="preserve">PAGE  </w:instrText>
    </w:r>
    <w:r>
      <w:rPr>
        <w:rStyle w:val="19"/>
      </w:rPr>
      <w:fldChar w:fldCharType="separate"/>
    </w:r>
    <w:r>
      <w:rPr>
        <w:rStyle w:val="19"/>
      </w:rPr>
      <w:t>III</w:t>
    </w:r>
    <w:r>
      <w:rPr>
        <w:rStyle w:val="19"/>
      </w:rPr>
      <w:fldChar w:fldCharType="end"/>
    </w:r>
  </w:p>
  <w:p>
    <w:pPr>
      <w:pStyle w:val="1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9"/>
      </w:rPr>
    </w:pPr>
    <w:r>
      <w:rPr>
        <w:rStyle w:val="19"/>
      </w:rPr>
      <w:fldChar w:fldCharType="begin"/>
    </w:r>
    <w:r>
      <w:rPr>
        <w:rStyle w:val="19"/>
      </w:rPr>
      <w:instrText xml:space="preserve">PAGE  </w:instrText>
    </w:r>
    <w:r>
      <w:rPr>
        <w:rStyle w:val="19"/>
      </w:rPr>
      <w:fldChar w:fldCharType="separate"/>
    </w:r>
    <w:r>
      <w:rPr>
        <w:rStyle w:val="19"/>
      </w:rPr>
      <w:t>137</w:t>
    </w:r>
    <w:r>
      <w:rPr>
        <w:rStyle w:val="19"/>
      </w:rPr>
      <w:fldChar w:fldCharType="end"/>
    </w:r>
  </w:p>
  <w:p>
    <w:pPr>
      <w:pStyle w:val="12"/>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9"/>
      </w:rPr>
    </w:pPr>
    <w:r>
      <w:rPr>
        <w:rStyle w:val="19"/>
      </w:rPr>
      <w:fldChar w:fldCharType="begin"/>
    </w:r>
    <w:r>
      <w:rPr>
        <w:rStyle w:val="19"/>
      </w:rPr>
      <w:instrText xml:space="preserve">PAGE  </w:instrText>
    </w:r>
    <w:r>
      <w:rPr>
        <w:rStyle w:val="19"/>
      </w:rPr>
      <w:fldChar w:fldCharType="separate"/>
    </w:r>
    <w:r>
      <w:rPr>
        <w:rStyle w:val="19"/>
      </w:rPr>
      <w:t>136</w:t>
    </w:r>
    <w:r>
      <w:rPr>
        <w:rStyle w:val="19"/>
      </w:rPr>
      <w:fldChar w:fldCharType="end"/>
    </w:r>
  </w:p>
  <w:p>
    <w:pPr>
      <w:pStyle w:val="12"/>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9"/>
        <w:rFonts w:hint="eastAsia"/>
        <w:lang w:eastAsia="zh-CN"/>
      </w:rPr>
    </w:pPr>
    <w:r>
      <w:fldChar w:fldCharType="begin"/>
    </w:r>
    <w:r>
      <w:rPr>
        <w:rStyle w:val="19"/>
      </w:rPr>
      <w:instrText xml:space="preserve">PAGE  </w:instrText>
    </w:r>
    <w:r>
      <w:fldChar w:fldCharType="separate"/>
    </w:r>
    <w:r>
      <w:rPr>
        <w:rStyle w:val="19"/>
      </w:rPr>
      <w:t>1</w:t>
    </w:r>
    <w:r>
      <w:fldChar w:fldCharType="end"/>
    </w:r>
  </w:p>
  <w:p>
    <w:pPr>
      <w:pStyle w:val="12"/>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9"/>
      </w:rPr>
    </w:pPr>
    <w:r>
      <w:fldChar w:fldCharType="begin"/>
    </w:r>
    <w:r>
      <w:rPr>
        <w:rStyle w:val="19"/>
      </w:rPr>
      <w:instrText xml:space="preserve">PAGE  </w:instrText>
    </w:r>
    <w:r>
      <w:fldChar w:fldCharType="separate"/>
    </w:r>
    <w:r>
      <w:fldChar w:fldCharType="end"/>
    </w:r>
  </w:p>
  <w:p>
    <w:pPr>
      <w:pStyle w:val="12"/>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9"/>
        <w:rFonts w:hint="eastAsia"/>
        <w:lang w:eastAsia="zh-CN"/>
      </w:rPr>
    </w:pPr>
    <w:r>
      <w:fldChar w:fldCharType="begin"/>
    </w:r>
    <w:r>
      <w:rPr>
        <w:rStyle w:val="19"/>
      </w:rPr>
      <w:instrText xml:space="preserve">PAGE  </w:instrText>
    </w:r>
    <w:r>
      <w:fldChar w:fldCharType="separate"/>
    </w:r>
    <w:r>
      <w:rPr>
        <w:rStyle w:val="19"/>
      </w:rPr>
      <w:t>48</w:t>
    </w:r>
    <w:r>
      <w:fldChar w:fldCharType="end"/>
    </w:r>
  </w:p>
  <w:p>
    <w:pPr>
      <w:pStyle w:val="12"/>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rPr>
        <w:rFonts w:hint="eastAsia"/>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0" w:firstLineChars="0"/>
      <w:rPr>
        <w:rFonts w:hint="eastAsia"/>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9"/>
      </w:rPr>
    </w:pPr>
    <w:r>
      <w:rPr>
        <w:rStyle w:val="19"/>
      </w:rPr>
      <w:fldChar w:fldCharType="begin"/>
    </w:r>
    <w:r>
      <w:rPr>
        <w:rStyle w:val="19"/>
      </w:rPr>
      <w:instrText xml:space="preserve">PAGE  </w:instrText>
    </w:r>
    <w:r>
      <w:rPr>
        <w:rStyle w:val="19"/>
      </w:rPr>
      <w:fldChar w:fldCharType="separate"/>
    </w:r>
    <w:r>
      <w:rPr>
        <w:rStyle w:val="19"/>
      </w:rPr>
      <w:t>II</w:t>
    </w:r>
    <w:r>
      <w:rPr>
        <w:rStyle w:val="19"/>
      </w:rP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9"/>
      </w:rPr>
    </w:pPr>
    <w:r>
      <w:rPr>
        <w:rStyle w:val="19"/>
      </w:rPr>
      <w:fldChar w:fldCharType="begin"/>
    </w:r>
    <w:r>
      <w:rPr>
        <w:rStyle w:val="19"/>
      </w:rPr>
      <w:instrText xml:space="preserve">PAGE  </w:instrText>
    </w:r>
    <w:r>
      <w:rPr>
        <w:rStyle w:val="19"/>
      </w:rPr>
      <w:fldChar w:fldCharType="separate"/>
    </w:r>
    <w:r>
      <w:rPr>
        <w:rStyle w:val="19"/>
      </w:rPr>
      <w:t>65</w:t>
    </w:r>
    <w:r>
      <w:rPr>
        <w:rStyle w:val="19"/>
      </w:rPr>
      <w:fldChar w:fldCharType="end"/>
    </w:r>
  </w:p>
  <w:p>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9"/>
      </w:rPr>
    </w:pPr>
    <w:r>
      <w:rPr>
        <w:rStyle w:val="19"/>
      </w:rPr>
      <w:fldChar w:fldCharType="begin"/>
    </w:r>
    <w:r>
      <w:rPr>
        <w:rStyle w:val="19"/>
      </w:rPr>
      <w:instrText xml:space="preserve">PAGE  </w:instrText>
    </w:r>
    <w:r>
      <w:rPr>
        <w:rStyle w:val="19"/>
      </w:rPr>
      <w:fldChar w:fldCharType="separate"/>
    </w:r>
    <w:r>
      <w:rPr>
        <w:rStyle w:val="19"/>
      </w:rPr>
      <w:t>64</w:t>
    </w:r>
    <w:r>
      <w:rPr>
        <w:rStyle w:val="19"/>
      </w:rPr>
      <w:fldChar w:fldCharType="end"/>
    </w:r>
  </w:p>
  <w:p>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9"/>
      </w:rPr>
    </w:pPr>
    <w:r>
      <w:rPr>
        <w:rStyle w:val="19"/>
      </w:rPr>
      <w:fldChar w:fldCharType="begin"/>
    </w:r>
    <w:r>
      <w:rPr>
        <w:rStyle w:val="19"/>
      </w:rPr>
      <w:instrText xml:space="preserve">PAGE  </w:instrText>
    </w:r>
    <w:r>
      <w:rPr>
        <w:rStyle w:val="19"/>
      </w:rPr>
      <w:fldChar w:fldCharType="separate"/>
    </w:r>
    <w:r>
      <w:rPr>
        <w:rStyle w:val="19"/>
      </w:rPr>
      <w:t>67</w:t>
    </w:r>
    <w:r>
      <w:rPr>
        <w:rStyle w:val="19"/>
      </w:rPr>
      <w:fldChar w:fldCharType="end"/>
    </w:r>
  </w:p>
  <w:p>
    <w:pPr>
      <w:pStyle w:val="1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9"/>
      </w:rPr>
    </w:pPr>
    <w:r>
      <w:rPr>
        <w:rStyle w:val="19"/>
      </w:rPr>
      <w:fldChar w:fldCharType="begin"/>
    </w:r>
    <w:r>
      <w:rPr>
        <w:rStyle w:val="19"/>
      </w:rPr>
      <w:instrText xml:space="preserve">PAGE  </w:instrText>
    </w:r>
    <w:r>
      <w:rPr>
        <w:rStyle w:val="19"/>
      </w:rPr>
      <w:fldChar w:fldCharType="separate"/>
    </w:r>
    <w:r>
      <w:rPr>
        <w:rStyle w:val="19"/>
      </w:rPr>
      <w:t>66</w:t>
    </w:r>
    <w:r>
      <w:rPr>
        <w:rStyle w:val="19"/>
      </w:rPr>
      <w:fldChar w:fldCharType="end"/>
    </w:r>
  </w:p>
  <w:p>
    <w:pPr>
      <w:pStyle w:val="1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9"/>
      </w:rPr>
    </w:pPr>
    <w:r>
      <w:rPr>
        <w:rStyle w:val="19"/>
      </w:rPr>
      <w:fldChar w:fldCharType="begin"/>
    </w:r>
    <w:r>
      <w:rPr>
        <w:rStyle w:val="19"/>
      </w:rPr>
      <w:instrText xml:space="preserve">PAGE  </w:instrText>
    </w:r>
    <w:r>
      <w:rPr>
        <w:rStyle w:val="19"/>
      </w:rPr>
      <w:fldChar w:fldCharType="separate"/>
    </w:r>
    <w:r>
      <w:rPr>
        <w:rStyle w:val="19"/>
      </w:rPr>
      <w:t>69</w:t>
    </w:r>
    <w:r>
      <w:rPr>
        <w:rStyle w:val="19"/>
      </w:rPr>
      <w:fldChar w:fldCharType="end"/>
    </w:r>
  </w:p>
  <w:p>
    <w:pPr>
      <w:pStyle w:val="1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9"/>
      </w:rPr>
    </w:pPr>
    <w:r>
      <w:rPr>
        <w:rStyle w:val="19"/>
      </w:rPr>
      <w:fldChar w:fldCharType="begin"/>
    </w:r>
    <w:r>
      <w:rPr>
        <w:rStyle w:val="19"/>
      </w:rPr>
      <w:instrText xml:space="preserve">PAGE  </w:instrText>
    </w:r>
    <w:r>
      <w:rPr>
        <w:rStyle w:val="19"/>
      </w:rPr>
      <w:fldChar w:fldCharType="separate"/>
    </w:r>
    <w:r>
      <w:rPr>
        <w:rStyle w:val="19"/>
      </w:rPr>
      <w:t>68</w:t>
    </w:r>
    <w:r>
      <w:rPr>
        <w:rStyle w:val="19"/>
      </w:rPr>
      <w:fldChar w:fldCharType="end"/>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rPr>
        <w:rFonts w:hint="eastAsia"/>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rPr>
        <w:rFonts w:hint="eastAsia"/>
        <w:szCs w:val="21"/>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tentative="0">
      <w:start w:val="1"/>
      <w:numFmt w:val="decimal"/>
      <w:lvlText w:val="（%1）"/>
      <w:lvlJc w:val="left"/>
      <w:pPr>
        <w:ind w:left="1125" w:hanging="720"/>
      </w:pPr>
      <w:rPr>
        <w:rFonts w:hint="default"/>
      </w:rPr>
    </w:lvl>
    <w:lvl w:ilvl="1" w:tentative="0">
      <w:start w:val="1"/>
      <w:numFmt w:val="lowerLetter"/>
      <w:lvlText w:val="%2)"/>
      <w:lvlJc w:val="left"/>
      <w:pPr>
        <w:ind w:left="1245" w:hanging="420"/>
      </w:pPr>
    </w:lvl>
    <w:lvl w:ilvl="2" w:tentative="0">
      <w:start w:val="1"/>
      <w:numFmt w:val="lowerRoman"/>
      <w:lvlText w:val="%3."/>
      <w:lvlJc w:val="right"/>
      <w:pPr>
        <w:ind w:left="1665" w:hanging="420"/>
      </w:pPr>
    </w:lvl>
    <w:lvl w:ilvl="3" w:tentative="0">
      <w:start w:val="1"/>
      <w:numFmt w:val="decimal"/>
      <w:lvlText w:val="%4."/>
      <w:lvlJc w:val="left"/>
      <w:pPr>
        <w:ind w:left="2085" w:hanging="420"/>
      </w:pPr>
    </w:lvl>
    <w:lvl w:ilvl="4" w:tentative="0">
      <w:start w:val="1"/>
      <w:numFmt w:val="lowerLetter"/>
      <w:lvlText w:val="%5)"/>
      <w:lvlJc w:val="left"/>
      <w:pPr>
        <w:ind w:left="2505" w:hanging="420"/>
      </w:pPr>
    </w:lvl>
    <w:lvl w:ilvl="5" w:tentative="0">
      <w:start w:val="1"/>
      <w:numFmt w:val="lowerRoman"/>
      <w:lvlText w:val="%6."/>
      <w:lvlJc w:val="right"/>
      <w:pPr>
        <w:ind w:left="2925" w:hanging="420"/>
      </w:pPr>
    </w:lvl>
    <w:lvl w:ilvl="6" w:tentative="0">
      <w:start w:val="1"/>
      <w:numFmt w:val="decimal"/>
      <w:lvlText w:val="%7."/>
      <w:lvlJc w:val="left"/>
      <w:pPr>
        <w:ind w:left="3345" w:hanging="420"/>
      </w:pPr>
    </w:lvl>
    <w:lvl w:ilvl="7" w:tentative="0">
      <w:start w:val="1"/>
      <w:numFmt w:val="lowerLetter"/>
      <w:lvlText w:val="%8)"/>
      <w:lvlJc w:val="left"/>
      <w:pPr>
        <w:ind w:left="3765" w:hanging="420"/>
      </w:pPr>
    </w:lvl>
    <w:lvl w:ilvl="8" w:tentative="0">
      <w:start w:val="1"/>
      <w:numFmt w:val="lowerRoman"/>
      <w:lvlText w:val="%9."/>
      <w:lvlJc w:val="right"/>
      <w:pPr>
        <w:ind w:left="4185" w:hanging="420"/>
      </w:pPr>
    </w:lvl>
  </w:abstractNum>
  <w:abstractNum w:abstractNumId="1">
    <w:nsid w:val="0000000F"/>
    <w:multiLevelType w:val="multilevel"/>
    <w:tmpl w:val="0000000F"/>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10"/>
    <w:multiLevelType w:val="multilevel"/>
    <w:tmpl w:val="00000010"/>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0000011"/>
    <w:multiLevelType w:val="multilevel"/>
    <w:tmpl w:val="0000001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3"/>
    <w:multiLevelType w:val="multilevel"/>
    <w:tmpl w:val="00000013"/>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15"/>
    <w:multiLevelType w:val="multilevel"/>
    <w:tmpl w:val="0000001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2AC884F"/>
    <w:multiLevelType w:val="singleLevel"/>
    <w:tmpl w:val="02AC884F"/>
    <w:lvl w:ilvl="0" w:tentative="0">
      <w:start w:val="1"/>
      <w:numFmt w:val="chineseCounting"/>
      <w:suff w:val="nothing"/>
      <w:lvlText w:val="%1、"/>
      <w:lvlJc w:val="left"/>
      <w:rPr>
        <w:rFonts w:hint="eastAsia"/>
      </w:rPr>
    </w:lvl>
  </w:abstractNum>
  <w:abstractNum w:abstractNumId="7">
    <w:nsid w:val="1C790678"/>
    <w:multiLevelType w:val="multilevel"/>
    <w:tmpl w:val="1C790678"/>
    <w:lvl w:ilvl="0" w:tentative="0">
      <w:start w:val="0"/>
      <w:numFmt w:val="bullet"/>
      <w:lvlText w:val="※"/>
      <w:lvlJc w:val="left"/>
      <w:pPr>
        <w:tabs>
          <w:tab w:val="left" w:pos="420"/>
        </w:tabs>
        <w:ind w:left="420" w:hanging="420"/>
      </w:pPr>
      <w:rPr>
        <w:rFonts w:hint="eastAsia" w:ascii="宋体" w:hAnsi="宋体" w:eastAsia="宋体" w:cs="Times New Roman"/>
      </w:rPr>
    </w:lvl>
    <w:lvl w:ilvl="1" w:tentative="0">
      <w:start w:val="1"/>
      <w:numFmt w:val="bullet"/>
      <w:lvlText w:val=""/>
      <w:lvlJc w:val="left"/>
      <w:pPr>
        <w:tabs>
          <w:tab w:val="left" w:pos="840"/>
        </w:tabs>
        <w:ind w:left="840" w:hanging="420"/>
      </w:pPr>
      <w:rPr>
        <w:rFonts w:hint="default" w:ascii="Bookshelf Symbol 7" w:hAnsi="Bookshelf Symbol 7"/>
      </w:rPr>
    </w:lvl>
    <w:lvl w:ilvl="2" w:tentative="0">
      <w:start w:val="1"/>
      <w:numFmt w:val="bullet"/>
      <w:lvlText w:val=""/>
      <w:lvlJc w:val="left"/>
      <w:pPr>
        <w:tabs>
          <w:tab w:val="left" w:pos="1260"/>
        </w:tabs>
        <w:ind w:left="1260" w:hanging="420"/>
      </w:pPr>
      <w:rPr>
        <w:rFonts w:hint="default" w:ascii="Bookshelf Symbol 7" w:hAnsi="Bookshelf Symbol 7"/>
      </w:rPr>
    </w:lvl>
    <w:lvl w:ilvl="3" w:tentative="0">
      <w:start w:val="1"/>
      <w:numFmt w:val="bullet"/>
      <w:lvlText w:val=""/>
      <w:lvlJc w:val="left"/>
      <w:pPr>
        <w:tabs>
          <w:tab w:val="left" w:pos="1680"/>
        </w:tabs>
        <w:ind w:left="1680" w:hanging="420"/>
      </w:pPr>
      <w:rPr>
        <w:rFonts w:hint="default" w:ascii="Bookshelf Symbol 7" w:hAnsi="Bookshelf Symbol 7"/>
      </w:rPr>
    </w:lvl>
    <w:lvl w:ilvl="4" w:tentative="0">
      <w:start w:val="1"/>
      <w:numFmt w:val="bullet"/>
      <w:lvlText w:val=""/>
      <w:lvlJc w:val="left"/>
      <w:pPr>
        <w:tabs>
          <w:tab w:val="left" w:pos="2100"/>
        </w:tabs>
        <w:ind w:left="2100" w:hanging="420"/>
      </w:pPr>
      <w:rPr>
        <w:rFonts w:hint="default" w:ascii="Bookshelf Symbol 7" w:hAnsi="Bookshelf Symbol 7"/>
      </w:rPr>
    </w:lvl>
    <w:lvl w:ilvl="5" w:tentative="0">
      <w:start w:val="1"/>
      <w:numFmt w:val="bullet"/>
      <w:lvlText w:val=""/>
      <w:lvlJc w:val="left"/>
      <w:pPr>
        <w:tabs>
          <w:tab w:val="left" w:pos="2520"/>
        </w:tabs>
        <w:ind w:left="2520" w:hanging="420"/>
      </w:pPr>
      <w:rPr>
        <w:rFonts w:hint="default" w:ascii="Bookshelf Symbol 7" w:hAnsi="Bookshelf Symbol 7"/>
      </w:rPr>
    </w:lvl>
    <w:lvl w:ilvl="6" w:tentative="0">
      <w:start w:val="1"/>
      <w:numFmt w:val="bullet"/>
      <w:lvlText w:val=""/>
      <w:lvlJc w:val="left"/>
      <w:pPr>
        <w:tabs>
          <w:tab w:val="left" w:pos="2940"/>
        </w:tabs>
        <w:ind w:left="2940" w:hanging="420"/>
      </w:pPr>
      <w:rPr>
        <w:rFonts w:hint="default" w:ascii="Bookshelf Symbol 7" w:hAnsi="Bookshelf Symbol 7"/>
      </w:rPr>
    </w:lvl>
    <w:lvl w:ilvl="7" w:tentative="0">
      <w:start w:val="1"/>
      <w:numFmt w:val="bullet"/>
      <w:lvlText w:val=""/>
      <w:lvlJc w:val="left"/>
      <w:pPr>
        <w:tabs>
          <w:tab w:val="left" w:pos="3360"/>
        </w:tabs>
        <w:ind w:left="3360" w:hanging="420"/>
      </w:pPr>
      <w:rPr>
        <w:rFonts w:hint="default" w:ascii="Bookshelf Symbol 7" w:hAnsi="Bookshelf Symbol 7"/>
      </w:rPr>
    </w:lvl>
    <w:lvl w:ilvl="8" w:tentative="0">
      <w:start w:val="1"/>
      <w:numFmt w:val="bullet"/>
      <w:lvlText w:val=""/>
      <w:lvlJc w:val="left"/>
      <w:pPr>
        <w:tabs>
          <w:tab w:val="left" w:pos="3780"/>
        </w:tabs>
        <w:ind w:left="3780" w:hanging="420"/>
      </w:pPr>
      <w:rPr>
        <w:rFonts w:hint="default" w:ascii="Bookshelf Symbol 7" w:hAnsi="Bookshelf Symbol 7"/>
      </w:rPr>
    </w:lvl>
  </w:abstractNum>
  <w:abstractNum w:abstractNumId="8">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41"/>
      <w:suff w:val="nothing"/>
      <w:lvlText w:val="%1.%2　"/>
      <w:lvlJc w:val="left"/>
      <w:pPr>
        <w:ind w:left="0" w:firstLine="0"/>
      </w:pPr>
      <w:rPr>
        <w:rFonts w:hint="eastAsia" w:ascii="黑体" w:hAnsi="Times New Roman" w:eastAsia="黑体" w:cs="Times New Roman"/>
        <w:b/>
        <w:bCs w:val="0"/>
        <w:i w:val="0"/>
        <w:iCs w:val="0"/>
        <w:caps w:val="0"/>
        <w:strike w:val="0"/>
        <w:dstrike w:val="0"/>
        <w:vanish w:val="0"/>
        <w:spacing w:val="0"/>
        <w:kern w:val="0"/>
        <w:position w:val="0"/>
        <w:sz w:val="21"/>
        <w:szCs w:val="21"/>
        <w:u w:val="none"/>
        <w:vertAlign w:val="baseline"/>
      </w:rPr>
    </w:lvl>
    <w:lvl w:ilvl="2" w:tentative="0">
      <w:start w:val="1"/>
      <w:numFmt w:val="decimal"/>
      <w:pStyle w:val="40"/>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
    <w:nsid w:val="245F9086"/>
    <w:multiLevelType w:val="singleLevel"/>
    <w:tmpl w:val="245F9086"/>
    <w:lvl w:ilvl="0" w:tentative="0">
      <w:start w:val="6"/>
      <w:numFmt w:val="chineseCounting"/>
      <w:suff w:val="nothing"/>
      <w:lvlText w:val="%1、"/>
      <w:lvlJc w:val="left"/>
      <w:rPr>
        <w:rFonts w:hint="eastAsia"/>
      </w:rPr>
    </w:lvl>
  </w:abstractNum>
  <w:abstractNum w:abstractNumId="10">
    <w:nsid w:val="52B65BA5"/>
    <w:multiLevelType w:val="multilevel"/>
    <w:tmpl w:val="52B65BA5"/>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1">
    <w:nsid w:val="5A03A161"/>
    <w:multiLevelType w:val="singleLevel"/>
    <w:tmpl w:val="5A03A161"/>
    <w:lvl w:ilvl="0" w:tentative="0">
      <w:start w:val="1"/>
      <w:numFmt w:val="chineseCounting"/>
      <w:suff w:val="nothing"/>
      <w:lvlText w:val="%1、"/>
      <w:lvlJc w:val="left"/>
    </w:lvl>
  </w:abstractNum>
  <w:abstractNum w:abstractNumId="12">
    <w:nsid w:val="5D013185"/>
    <w:multiLevelType w:val="multilevel"/>
    <w:tmpl w:val="5D013185"/>
    <w:lvl w:ilvl="0" w:tentative="0">
      <w:start w:val="1"/>
      <w:numFmt w:val="bullet"/>
      <w:lvlText w:val="◆"/>
      <w:lvlJc w:val="left"/>
      <w:pPr>
        <w:tabs>
          <w:tab w:val="left" w:pos="840"/>
        </w:tabs>
        <w:ind w:left="840" w:hanging="360"/>
      </w:pPr>
      <w:rPr>
        <w:rFonts w:hint="eastAsia" w:ascii="宋体" w:hAnsi="宋体" w:eastAsia="宋体" w:cs="Times New Roman"/>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3">
    <w:nsid w:val="60D7694C"/>
    <w:multiLevelType w:val="multilevel"/>
    <w:tmpl w:val="60D7694C"/>
    <w:lvl w:ilvl="0" w:tentative="0">
      <w:start w:val="1"/>
      <w:numFmt w:val="decimalEnclosedCircle"/>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10"/>
  </w:num>
  <w:num w:numId="2">
    <w:abstractNumId w:val="8"/>
  </w:num>
  <w:num w:numId="3">
    <w:abstractNumId w:val="6"/>
  </w:num>
  <w:num w:numId="4">
    <w:abstractNumId w:val="7"/>
  </w:num>
  <w:num w:numId="5">
    <w:abstractNumId w:val="12"/>
  </w:num>
  <w:num w:numId="6">
    <w:abstractNumId w:val="13"/>
  </w:num>
  <w:num w:numId="7">
    <w:abstractNumId w:val="3"/>
  </w:num>
  <w:num w:numId="8">
    <w:abstractNumId w:val="5"/>
  </w:num>
  <w:num w:numId="9">
    <w:abstractNumId w:val="1"/>
  </w:num>
  <w:num w:numId="10">
    <w:abstractNumId w:val="4"/>
  </w:num>
  <w:num w:numId="11">
    <w:abstractNumId w:val="0"/>
  </w:num>
  <w:num w:numId="12">
    <w:abstractNumId w:val="2"/>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B96EFF"/>
    <w:rsid w:val="061E09D1"/>
    <w:rsid w:val="10EC0385"/>
    <w:rsid w:val="15EC69CB"/>
    <w:rsid w:val="1EAA01EF"/>
    <w:rsid w:val="25430EF6"/>
    <w:rsid w:val="45714C7C"/>
    <w:rsid w:val="45DE5842"/>
    <w:rsid w:val="4F8E6A54"/>
    <w:rsid w:val="56105339"/>
    <w:rsid w:val="5EB1060B"/>
    <w:rsid w:val="6F235C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name="toc 1"/>
    <w:lsdException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360" w:lineRule="auto"/>
      <w:outlineLvl w:val="0"/>
    </w:pPr>
    <w:rPr>
      <w:b/>
      <w:bCs/>
      <w:kern w:val="44"/>
      <w:sz w:val="32"/>
      <w:szCs w:val="44"/>
    </w:rPr>
  </w:style>
  <w:style w:type="paragraph" w:styleId="3">
    <w:name w:val="heading 2"/>
    <w:basedOn w:val="1"/>
    <w:next w:val="1"/>
    <w:qFormat/>
    <w:uiPriority w:val="0"/>
    <w:pPr>
      <w:keepNext/>
      <w:keepLines/>
      <w:spacing w:line="360" w:lineRule="auto"/>
      <w:outlineLvl w:val="1"/>
    </w:pPr>
    <w:rPr>
      <w:b/>
      <w:bCs/>
      <w:sz w:val="28"/>
      <w:szCs w:val="32"/>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character" w:default="1" w:styleId="18">
    <w:name w:val="Default Paragraph Font"/>
    <w:semiHidden/>
    <w:uiPriority w:val="0"/>
  </w:style>
  <w:style w:type="table" w:default="1" w:styleId="21">
    <w:name w:val="Normal Table"/>
    <w:semiHidden/>
    <w:uiPriority w:val="0"/>
    <w:tblPr>
      <w:tblLayout w:type="fixed"/>
      <w:tblCellMar>
        <w:top w:w="0" w:type="dxa"/>
        <w:left w:w="108" w:type="dxa"/>
        <w:bottom w:w="0" w:type="dxa"/>
        <w:right w:w="108" w:type="dxa"/>
      </w:tblCellMar>
    </w:tblPr>
  </w:style>
  <w:style w:type="paragraph" w:styleId="5">
    <w:name w:val="Normal Indent"/>
    <w:basedOn w:val="1"/>
    <w:qFormat/>
    <w:uiPriority w:val="0"/>
    <w:pPr>
      <w:ind w:firstLine="420"/>
    </w:pPr>
    <w:rPr>
      <w:sz w:val="21"/>
      <w:szCs w:val="20"/>
    </w:rPr>
  </w:style>
  <w:style w:type="paragraph" w:styleId="6">
    <w:name w:val="Body Text 3"/>
    <w:basedOn w:val="1"/>
    <w:qFormat/>
    <w:uiPriority w:val="0"/>
    <w:pPr>
      <w:spacing w:line="240" w:lineRule="exact"/>
    </w:pPr>
    <w:rPr>
      <w:sz w:val="28"/>
    </w:rPr>
  </w:style>
  <w:style w:type="paragraph" w:styleId="7">
    <w:name w:val="Body Text"/>
    <w:basedOn w:val="1"/>
    <w:qFormat/>
    <w:uiPriority w:val="0"/>
    <w:pPr>
      <w:spacing w:line="440" w:lineRule="exact"/>
    </w:pPr>
    <w:rPr>
      <w:rFonts w:ascii="宋体"/>
    </w:rPr>
  </w:style>
  <w:style w:type="paragraph" w:styleId="8">
    <w:name w:val="Body Text Indent"/>
    <w:basedOn w:val="1"/>
    <w:qFormat/>
    <w:uiPriority w:val="0"/>
    <w:pPr>
      <w:spacing w:line="360" w:lineRule="auto"/>
      <w:ind w:firstLine="538" w:firstLineChars="192"/>
    </w:pPr>
    <w:rPr>
      <w:sz w:val="28"/>
    </w:rPr>
  </w:style>
  <w:style w:type="paragraph" w:styleId="9">
    <w:name w:val="Plain Text"/>
    <w:basedOn w:val="1"/>
    <w:qFormat/>
    <w:uiPriority w:val="0"/>
    <w:rPr>
      <w:rFonts w:ascii="宋体" w:hAnsi="Courier New"/>
      <w:sz w:val="28"/>
      <w:szCs w:val="20"/>
    </w:rPr>
  </w:style>
  <w:style w:type="paragraph" w:styleId="10">
    <w:name w:val="Date"/>
    <w:basedOn w:val="1"/>
    <w:next w:val="1"/>
    <w:qFormat/>
    <w:uiPriority w:val="0"/>
    <w:pPr>
      <w:ind w:left="100" w:leftChars="2500"/>
    </w:pPr>
  </w:style>
  <w:style w:type="paragraph" w:styleId="11">
    <w:name w:val="Body Text Indent 2"/>
    <w:basedOn w:val="1"/>
    <w:qFormat/>
    <w:uiPriority w:val="0"/>
    <w:pPr>
      <w:spacing w:line="360" w:lineRule="auto"/>
      <w:ind w:left="540" w:firstLine="720" w:firstLineChars="257"/>
    </w:pPr>
    <w:rPr>
      <w:sz w:val="28"/>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semiHidden/>
    <w:uiPriority w:val="0"/>
    <w:pPr>
      <w:tabs>
        <w:tab w:val="right" w:leader="dot" w:pos="9344"/>
      </w:tabs>
      <w:spacing w:before="120" w:after="120" w:line="400" w:lineRule="exact"/>
      <w:jc w:val="left"/>
    </w:pPr>
    <w:rPr>
      <w:b/>
      <w:bCs/>
      <w:caps/>
    </w:rPr>
  </w:style>
  <w:style w:type="paragraph" w:styleId="15">
    <w:name w:val="toc 2"/>
    <w:basedOn w:val="1"/>
    <w:next w:val="1"/>
    <w:semiHidden/>
    <w:uiPriority w:val="0"/>
    <w:pPr>
      <w:ind w:left="420" w:leftChars="200"/>
    </w:pPr>
  </w:style>
  <w:style w:type="paragraph" w:styleId="16">
    <w:name w:val="Body Text 2"/>
    <w:basedOn w:val="1"/>
    <w:qFormat/>
    <w:uiPriority w:val="0"/>
    <w:pPr>
      <w:spacing w:line="440" w:lineRule="exact"/>
      <w:jc w:val="left"/>
    </w:p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1"/>
      <w:szCs w:val="21"/>
    </w:rPr>
  </w:style>
  <w:style w:type="character" w:styleId="19">
    <w:name w:val="page number"/>
    <w:basedOn w:val="18"/>
    <w:uiPriority w:val="0"/>
  </w:style>
  <w:style w:type="character" w:styleId="20">
    <w:name w:val="Hyperlink"/>
    <w:basedOn w:val="18"/>
    <w:qFormat/>
    <w:uiPriority w:val="0"/>
    <w:rPr>
      <w:color w:val="0000FF"/>
      <w:u w:val="single"/>
    </w:rPr>
  </w:style>
  <w:style w:type="table" w:styleId="22">
    <w:name w:val="Table Grid"/>
    <w:basedOn w:val="21"/>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23">
    <w:name w:val="Table Grid 5"/>
    <w:basedOn w:val="21"/>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tblPr>
        <w:tblLayout w:type="fixed"/>
      </w:tblPr>
      <w:tcPr>
        <w:tcBorders>
          <w:left w:val="single" w:color="000000" w:sz="12" w:space="0"/>
          <w:tl2br w:val="nil"/>
          <w:tr2bl w:val="nil"/>
        </w:tcBorders>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paragraph" w:customStyle="1" w:styleId="24">
    <w:name w:val=" Char"/>
    <w:basedOn w:val="1"/>
    <w:qFormat/>
    <w:uiPriority w:val="0"/>
    <w:pPr>
      <w:autoSpaceDE w:val="0"/>
      <w:autoSpaceDN w:val="0"/>
      <w:adjustRightInd w:val="0"/>
      <w:snapToGrid w:val="0"/>
      <w:spacing w:before="50" w:after="50" w:line="360" w:lineRule="auto"/>
      <w:ind w:firstLine="560" w:firstLineChars="200"/>
    </w:pPr>
    <w:rPr>
      <w:rFonts w:eastAsia="仿宋_GB2312"/>
      <w:color w:val="000000"/>
    </w:rPr>
  </w:style>
  <w:style w:type="paragraph" w:customStyle="1" w:styleId="25">
    <w:name w:val="xl25"/>
    <w:basedOn w:val="1"/>
    <w:qFormat/>
    <w:uiPriority w:val="0"/>
    <w:pPr>
      <w:widowControl/>
      <w:spacing w:before="100" w:beforeAutospacing="1" w:after="100" w:afterAutospacing="1"/>
      <w:jc w:val="center"/>
    </w:pPr>
    <w:rPr>
      <w:rFonts w:hint="eastAsia" w:ascii="宋体" w:hAnsi="宋体"/>
      <w:kern w:val="0"/>
    </w:rPr>
  </w:style>
  <w:style w:type="paragraph" w:customStyle="1" w:styleId="26">
    <w:name w:val="正文(首行缩进)"/>
    <w:basedOn w:val="1"/>
    <w:qFormat/>
    <w:uiPriority w:val="0"/>
    <w:pPr>
      <w:spacing w:line="360" w:lineRule="auto"/>
    </w:pPr>
    <w:rPr>
      <w:snapToGrid w:val="0"/>
      <w:kern w:val="0"/>
    </w:rPr>
  </w:style>
  <w:style w:type="paragraph" w:customStyle="1" w:styleId="27">
    <w:name w:val="表头1"/>
    <w:basedOn w:val="1"/>
    <w:next w:val="1"/>
    <w:qFormat/>
    <w:uiPriority w:val="0"/>
    <w:pPr>
      <w:tabs>
        <w:tab w:val="left" w:pos="605"/>
      </w:tabs>
      <w:adjustRightInd w:val="0"/>
      <w:snapToGrid w:val="0"/>
      <w:jc w:val="center"/>
    </w:pPr>
    <w:rPr>
      <w:rFonts w:eastAsia="黑体"/>
      <w:kern w:val="0"/>
      <w:sz w:val="21"/>
      <w:szCs w:val="28"/>
    </w:rPr>
  </w:style>
  <w:style w:type="paragraph" w:customStyle="1" w:styleId="28">
    <w:name w:val="PSPSPSPS"/>
    <w:basedOn w:val="1"/>
    <w:qFormat/>
    <w:uiPriority w:val="0"/>
    <w:pPr>
      <w:adjustRightInd w:val="0"/>
      <w:spacing w:line="600" w:lineRule="atLeast"/>
      <w:textAlignment w:val="baseline"/>
    </w:pPr>
    <w:rPr>
      <w:kern w:val="0"/>
      <w:sz w:val="28"/>
      <w:szCs w:val="20"/>
    </w:rPr>
  </w:style>
  <w:style w:type="paragraph" w:customStyle="1" w:styleId="29">
    <w:name w:val="5"/>
    <w:basedOn w:val="1"/>
    <w:next w:val="11"/>
    <w:qFormat/>
    <w:uiPriority w:val="0"/>
    <w:pPr>
      <w:snapToGrid w:val="0"/>
      <w:spacing w:line="440" w:lineRule="exact"/>
      <w:ind w:firstLine="480" w:firstLineChars="200"/>
    </w:pPr>
    <w:rPr>
      <w:rFonts w:ascii="宋体"/>
      <w:color w:val="000000"/>
      <w:szCs w:val="22"/>
    </w:rPr>
  </w:style>
  <w:style w:type="paragraph" w:customStyle="1" w:styleId="30">
    <w:name w:val="二级标题"/>
    <w:basedOn w:val="1"/>
    <w:next w:val="1"/>
    <w:qFormat/>
    <w:uiPriority w:val="0"/>
    <w:pPr>
      <w:keepNext/>
      <w:adjustRightInd w:val="0"/>
      <w:spacing w:before="240" w:after="240" w:line="312" w:lineRule="atLeast"/>
      <w:jc w:val="center"/>
    </w:pPr>
    <w:rPr>
      <w:kern w:val="0"/>
      <w:sz w:val="28"/>
      <w:szCs w:val="20"/>
    </w:rPr>
  </w:style>
  <w:style w:type="paragraph" w:customStyle="1" w:styleId="31">
    <w:name w:val="表格"/>
    <w:basedOn w:val="1"/>
    <w:qFormat/>
    <w:uiPriority w:val="0"/>
    <w:pPr>
      <w:suppressLineNumbers/>
      <w:tabs>
        <w:tab w:val="left" w:pos="3120"/>
        <w:tab w:val="center" w:pos="4156"/>
      </w:tabs>
      <w:suppressAutoHyphens/>
      <w:ind w:left="-2" w:leftChars="-1" w:right="-107" w:rightChars="-51"/>
      <w:jc w:val="center"/>
    </w:pPr>
    <w:rPr>
      <w:rFonts w:ascii="宋体" w:hAnsi="宋体" w:cs="宋体"/>
      <w:color w:val="000000"/>
      <w:sz w:val="21"/>
      <w:szCs w:val="21"/>
    </w:rPr>
  </w:style>
  <w:style w:type="paragraph" w:customStyle="1" w:styleId="32">
    <w:name w:val="表、图名"/>
    <w:basedOn w:val="1"/>
    <w:semiHidden/>
    <w:qFormat/>
    <w:uiPriority w:val="0"/>
    <w:pPr>
      <w:adjustRightInd w:val="0"/>
      <w:snapToGrid w:val="0"/>
      <w:spacing w:before="120" w:line="400" w:lineRule="exact"/>
      <w:jc w:val="center"/>
    </w:pPr>
    <w:rPr>
      <w:rFonts w:ascii="宋体" w:hAnsi="宋体"/>
      <w:b/>
      <w:kern w:val="0"/>
    </w:rPr>
  </w:style>
  <w:style w:type="paragraph" w:customStyle="1" w:styleId="33">
    <w:name w:val="表体"/>
    <w:basedOn w:val="1"/>
    <w:qFormat/>
    <w:uiPriority w:val="0"/>
    <w:pPr>
      <w:suppressAutoHyphens/>
      <w:spacing w:line="300" w:lineRule="exact"/>
      <w:jc w:val="center"/>
    </w:pPr>
    <w:rPr>
      <w:rFonts w:ascii="宋体" w:hAnsi="宋体" w:cs="宋体"/>
      <w:snapToGrid w:val="0"/>
      <w:color w:val="000000"/>
      <w:kern w:val="0"/>
      <w:sz w:val="18"/>
      <w:szCs w:val="18"/>
    </w:rPr>
  </w:style>
  <w:style w:type="paragraph" w:customStyle="1" w:styleId="34">
    <w:name w:val="_Style 9"/>
    <w:basedOn w:val="2"/>
    <w:next w:val="1"/>
    <w:qFormat/>
    <w:uiPriority w:val="39"/>
    <w:pPr>
      <w:widowControl/>
      <w:spacing w:before="480" w:beforeLines="0" w:after="0" w:afterLines="0" w:line="276" w:lineRule="auto"/>
      <w:jc w:val="left"/>
      <w:outlineLvl w:val="9"/>
    </w:pPr>
    <w:rPr>
      <w:rFonts w:ascii="Cambria" w:hAnsi="Cambria" w:eastAsia="宋体" w:cs="Times New Roman"/>
      <w:color w:val="365F91"/>
      <w:kern w:val="0"/>
      <w:sz w:val="28"/>
      <w:szCs w:val="28"/>
    </w:rPr>
  </w:style>
  <w:style w:type="paragraph" w:customStyle="1" w:styleId="35">
    <w:name w:val="样式3"/>
    <w:basedOn w:val="1"/>
    <w:qFormat/>
    <w:uiPriority w:val="0"/>
    <w:pPr>
      <w:adjustRightInd w:val="0"/>
      <w:snapToGrid w:val="0"/>
      <w:spacing w:line="460" w:lineRule="exact"/>
      <w:ind w:firstLine="480" w:firstLineChars="200"/>
    </w:pPr>
    <w:rPr>
      <w:rFonts w:ascii="Arial" w:hAnsi="Arial" w:cs="Arial"/>
      <w:snapToGrid w:val="0"/>
      <w:kern w:val="0"/>
      <w:sz w:val="24"/>
      <w:szCs w:val="24"/>
    </w:rPr>
  </w:style>
  <w:style w:type="paragraph" w:customStyle="1" w:styleId="36">
    <w:name w:val="列出段落1"/>
    <w:basedOn w:val="1"/>
    <w:qFormat/>
    <w:uiPriority w:val="34"/>
    <w:pPr>
      <w:spacing w:line="360" w:lineRule="auto"/>
      <w:ind w:firstLine="420" w:firstLineChars="200"/>
    </w:pPr>
    <w:rPr>
      <w:rFonts w:ascii="Times New Roman" w:hAnsi="Times New Roman" w:eastAsia="楷体" w:cs="黑体"/>
      <w:sz w:val="24"/>
    </w:rPr>
  </w:style>
  <w:style w:type="paragraph" w:customStyle="1" w:styleId="37">
    <w:name w:val="段"/>
    <w:qFormat/>
    <w:uiPriority w:val="0"/>
    <w:pPr>
      <w:tabs>
        <w:tab w:val="center" w:pos="4201"/>
        <w:tab w:val="right" w:leader="dot" w:pos="9298"/>
      </w:tabs>
      <w:autoSpaceDE w:val="0"/>
      <w:autoSpaceDN w:val="0"/>
      <w:ind w:firstLine="420" w:firstLineChars="200"/>
      <w:jc w:val="both"/>
    </w:pPr>
    <w:rPr>
      <w:rFonts w:ascii="宋体" w:hAnsi="Calibri" w:eastAsia="宋体" w:cs="Times New Roman"/>
      <w:sz w:val="21"/>
      <w:lang w:val="en-US" w:eastAsia="zh-CN" w:bidi="ar-SA"/>
    </w:rPr>
  </w:style>
  <w:style w:type="paragraph" w:customStyle="1" w:styleId="38">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9">
    <w:name w:val="二级无"/>
    <w:basedOn w:val="40"/>
    <w:qFormat/>
    <w:uiPriority w:val="0"/>
    <w:pPr>
      <w:spacing w:before="0" w:beforeLines="0" w:after="0" w:afterLines="0"/>
    </w:pPr>
    <w:rPr>
      <w:rFonts w:ascii="宋体" w:eastAsia="宋体"/>
    </w:rPr>
  </w:style>
  <w:style w:type="paragraph" w:customStyle="1" w:styleId="40">
    <w:name w:val="二级条标题"/>
    <w:basedOn w:val="41"/>
    <w:next w:val="1"/>
    <w:uiPriority w:val="0"/>
    <w:pPr>
      <w:numPr>
        <w:ilvl w:val="2"/>
        <w:numId w:val="2"/>
      </w:numPr>
      <w:spacing w:before="50" w:after="50"/>
      <w:outlineLvl w:val="3"/>
    </w:pPr>
  </w:style>
  <w:style w:type="paragraph" w:customStyle="1" w:styleId="41">
    <w:name w:val="一级条标题"/>
    <w:next w:val="1"/>
    <w:qFormat/>
    <w:uiPriority w:val="0"/>
    <w:pPr>
      <w:numPr>
        <w:ilvl w:val="1"/>
        <w:numId w:val="2"/>
      </w:numPr>
      <w:spacing w:before="156" w:beforeLines="50" w:after="156" w:afterLines="50"/>
      <w:outlineLvl w:val="2"/>
    </w:pPr>
    <w:rPr>
      <w:rFonts w:ascii="黑体" w:hAnsi="Times New Roman" w:eastAsia="黑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oleObject" Target="embeddings/oleObject13.bin"/><Relationship Id="rId62" Type="http://schemas.openxmlformats.org/officeDocument/2006/relationships/image" Target="media/image23.jpeg"/><Relationship Id="rId61" Type="http://schemas.openxmlformats.org/officeDocument/2006/relationships/image" Target="media/image22.png"/><Relationship Id="rId60" Type="http://schemas.openxmlformats.org/officeDocument/2006/relationships/image" Target="media/image21.jpeg"/><Relationship Id="rId6" Type="http://schemas.openxmlformats.org/officeDocument/2006/relationships/footer" Target="footer1.xml"/><Relationship Id="rId59" Type="http://schemas.openxmlformats.org/officeDocument/2006/relationships/image" Target="media/image20.jpeg"/><Relationship Id="rId58" Type="http://schemas.openxmlformats.org/officeDocument/2006/relationships/image" Target="media/image19.wmf"/><Relationship Id="rId57" Type="http://schemas.openxmlformats.org/officeDocument/2006/relationships/oleObject" Target="embeddings/oleObject12.bin"/><Relationship Id="rId56" Type="http://schemas.openxmlformats.org/officeDocument/2006/relationships/image" Target="media/image18.wmf"/><Relationship Id="rId55" Type="http://schemas.openxmlformats.org/officeDocument/2006/relationships/oleObject" Target="embeddings/oleObject11.bin"/><Relationship Id="rId54" Type="http://schemas.openxmlformats.org/officeDocument/2006/relationships/image" Target="media/image17.wmf"/><Relationship Id="rId53" Type="http://schemas.openxmlformats.org/officeDocument/2006/relationships/oleObject" Target="embeddings/oleObject10.bin"/><Relationship Id="rId52" Type="http://schemas.openxmlformats.org/officeDocument/2006/relationships/image" Target="media/image16.wmf"/><Relationship Id="rId51" Type="http://schemas.openxmlformats.org/officeDocument/2006/relationships/oleObject" Target="embeddings/oleObject9.bin"/><Relationship Id="rId50" Type="http://schemas.openxmlformats.org/officeDocument/2006/relationships/image" Target="media/image15.wmf"/><Relationship Id="rId5" Type="http://schemas.openxmlformats.org/officeDocument/2006/relationships/header" Target="header3.xml"/><Relationship Id="rId49" Type="http://schemas.openxmlformats.org/officeDocument/2006/relationships/oleObject" Target="embeddings/oleObject8.bin"/><Relationship Id="rId48" Type="http://schemas.openxmlformats.org/officeDocument/2006/relationships/image" Target="media/image14.emf"/><Relationship Id="rId47" Type="http://schemas.openxmlformats.org/officeDocument/2006/relationships/image" Target="media/image13.emf"/><Relationship Id="rId46" Type="http://schemas.openxmlformats.org/officeDocument/2006/relationships/image" Target="media/image12.emf"/><Relationship Id="rId45" Type="http://schemas.openxmlformats.org/officeDocument/2006/relationships/image" Target="media/image11.jpeg"/><Relationship Id="rId44" Type="http://schemas.openxmlformats.org/officeDocument/2006/relationships/image" Target="media/image10.wmf"/><Relationship Id="rId43" Type="http://schemas.openxmlformats.org/officeDocument/2006/relationships/oleObject" Target="embeddings/oleObject7.bin"/><Relationship Id="rId42" Type="http://schemas.openxmlformats.org/officeDocument/2006/relationships/image" Target="media/image9.wmf"/><Relationship Id="rId41" Type="http://schemas.openxmlformats.org/officeDocument/2006/relationships/oleObject" Target="embeddings/oleObject6.bin"/><Relationship Id="rId40" Type="http://schemas.openxmlformats.org/officeDocument/2006/relationships/image" Target="media/image8.wmf"/><Relationship Id="rId4" Type="http://schemas.openxmlformats.org/officeDocument/2006/relationships/header" Target="header2.xml"/><Relationship Id="rId39" Type="http://schemas.openxmlformats.org/officeDocument/2006/relationships/oleObject" Target="embeddings/oleObject5.bin"/><Relationship Id="rId38" Type="http://schemas.openxmlformats.org/officeDocument/2006/relationships/image" Target="media/image7.wmf"/><Relationship Id="rId37" Type="http://schemas.openxmlformats.org/officeDocument/2006/relationships/oleObject" Target="embeddings/oleObject4.bin"/><Relationship Id="rId36" Type="http://schemas.openxmlformats.org/officeDocument/2006/relationships/image" Target="media/image6.wmf"/><Relationship Id="rId35" Type="http://schemas.openxmlformats.org/officeDocument/2006/relationships/oleObject" Target="embeddings/oleObject3.bin"/><Relationship Id="rId34" Type="http://schemas.openxmlformats.org/officeDocument/2006/relationships/image" Target="media/image5.wmf"/><Relationship Id="rId33" Type="http://schemas.openxmlformats.org/officeDocument/2006/relationships/oleObject" Target="embeddings/oleObject2.bin"/><Relationship Id="rId32" Type="http://schemas.openxmlformats.org/officeDocument/2006/relationships/image" Target="media/image4.jpeg"/><Relationship Id="rId31" Type="http://schemas.openxmlformats.org/officeDocument/2006/relationships/image" Target="media/image3.jpeg"/><Relationship Id="rId30" Type="http://schemas.openxmlformats.org/officeDocument/2006/relationships/image" Target="media/image2.jpeg"/><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header" Target="header7.xml"/><Relationship Id="rId22" Type="http://schemas.openxmlformats.org/officeDocument/2006/relationships/header" Target="header6.xml"/><Relationship Id="rId21" Type="http://schemas.openxmlformats.org/officeDocument/2006/relationships/header" Target="header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header" Target="header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Office_10.8.0.6108_F1E327BC-269C-435d-A152-05C5408002CA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谢光进</cp:lastModifiedBy>
  <dcterms:modified xsi:type="dcterms:W3CDTF">2019-07-17T08:45:33Z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2052-10.8.0.6108</vt:lpwstr>
  </property>
</Properties>
</file>